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164C68D2" w:rsidR="00AE5FBB" w:rsidRPr="00D671D2" w:rsidRDefault="00AE5FBB" w:rsidP="00AE5FBB">
      <w:pPr>
        <w:pBdr>
          <w:top w:val="nil"/>
          <w:left w:val="nil"/>
          <w:bottom w:val="nil"/>
          <w:right w:val="nil"/>
          <w:between w:val="nil"/>
        </w:pBdr>
        <w:spacing w:after="480" w:line="240" w:lineRule="auto"/>
        <w:jc w:val="right"/>
        <w:rPr>
          <w:rFonts w:ascii="Söhne" w:hAnsi="Söhne" w:cs="Arial"/>
          <w:sz w:val="18"/>
          <w:szCs w:val="18"/>
          <w:u w:val="single"/>
          <w:lang w:val="en-GB" w:eastAsia="ja-JP"/>
        </w:rPr>
      </w:pPr>
      <w:r w:rsidRPr="00D671D2">
        <w:rPr>
          <w:rFonts w:ascii="Söhne" w:hAnsi="Söhne" w:cs="Arial"/>
          <w:sz w:val="18"/>
          <w:szCs w:val="18"/>
          <w:u w:val="single"/>
          <w:lang w:val="en-GB"/>
        </w:rPr>
        <w:t xml:space="preserve">Annex </w:t>
      </w:r>
      <w:r w:rsidR="00A3660D">
        <w:rPr>
          <w:rFonts w:ascii="Söhne" w:hAnsi="Söhne" w:cs="Arial" w:hint="eastAsia"/>
          <w:sz w:val="18"/>
          <w:szCs w:val="18"/>
          <w:u w:val="single"/>
          <w:lang w:val="en-GB" w:eastAsia="ja-JP"/>
        </w:rPr>
        <w:t>27</w:t>
      </w:r>
    </w:p>
    <w:p w14:paraId="760FB251" w14:textId="585B64AB" w:rsidR="005E00FC" w:rsidRPr="00407D0E" w:rsidRDefault="00556D9A" w:rsidP="005E00FC">
      <w:pPr>
        <w:pStyle w:val="NoSpacing"/>
        <w:adjustRightInd w:val="0"/>
        <w:snapToGrid w:val="0"/>
        <w:jc w:val="center"/>
        <w:rPr>
          <w:rFonts w:ascii="Söhne Halbfett" w:eastAsiaTheme="minorEastAsia" w:hAnsi="Söhne Halbfett" w:cs="Arial"/>
          <w:caps/>
          <w:spacing w:val="57"/>
          <w:sz w:val="28"/>
          <w:szCs w:val="28"/>
          <w:lang w:val="en-GB"/>
        </w:rPr>
      </w:pPr>
      <w:r w:rsidRPr="00407D0E">
        <w:rPr>
          <w:rFonts w:ascii="Söhne Halbfett" w:eastAsiaTheme="minorEastAsia" w:hAnsi="Söhne Halbfett" w:cs="Arial"/>
          <w:caps/>
          <w:spacing w:val="57"/>
          <w:sz w:val="28"/>
          <w:szCs w:val="28"/>
          <w:lang w:val="en-GB"/>
        </w:rPr>
        <w:t>Explanatory Notes on</w:t>
      </w:r>
      <w:r w:rsidR="00A20FC6" w:rsidRPr="00407D0E">
        <w:rPr>
          <w:rFonts w:ascii="Söhne Halbfett" w:eastAsiaTheme="minorEastAsia" w:hAnsi="Söhne Halbfett" w:cs="Arial"/>
          <w:caps/>
          <w:spacing w:val="57"/>
          <w:sz w:val="28"/>
          <w:szCs w:val="28"/>
          <w:lang w:val="en-GB"/>
        </w:rPr>
        <w:t xml:space="preserve"> </w:t>
      </w:r>
      <w:r w:rsidRPr="00407D0E">
        <w:rPr>
          <w:rFonts w:ascii="Söhne Halbfett" w:eastAsiaTheme="minorEastAsia" w:hAnsi="Söhne Halbfett" w:cs="Arial"/>
          <w:caps/>
          <w:spacing w:val="57"/>
          <w:sz w:val="28"/>
          <w:szCs w:val="28"/>
          <w:lang w:val="en-GB"/>
        </w:rPr>
        <w:t>‘Five Domains’ model prepared</w:t>
      </w:r>
      <w:r w:rsidR="005E00FC" w:rsidRPr="00407D0E">
        <w:rPr>
          <w:rFonts w:ascii="Söhne Halbfett" w:eastAsiaTheme="minorEastAsia" w:hAnsi="Söhne Halbfett" w:cs="Arial"/>
          <w:caps/>
          <w:spacing w:val="57"/>
          <w:sz w:val="28"/>
          <w:szCs w:val="28"/>
          <w:lang w:val="en-GB"/>
        </w:rPr>
        <w:t xml:space="preserve"> </w:t>
      </w:r>
      <w:r w:rsidRPr="00407D0E">
        <w:rPr>
          <w:rFonts w:ascii="Söhne Halbfett" w:eastAsiaTheme="minorEastAsia" w:hAnsi="Söhne Halbfett" w:cs="Arial"/>
          <w:caps/>
          <w:spacing w:val="57"/>
          <w:sz w:val="28"/>
          <w:szCs w:val="28"/>
          <w:lang w:val="en-GB"/>
        </w:rPr>
        <w:t xml:space="preserve">by </w:t>
      </w:r>
    </w:p>
    <w:p w14:paraId="53348E94" w14:textId="78C69A05" w:rsidR="00556D9A" w:rsidRPr="00407D0E" w:rsidRDefault="00556D9A" w:rsidP="005E00FC">
      <w:pPr>
        <w:pStyle w:val="NoSpacing"/>
        <w:adjustRightInd w:val="0"/>
        <w:snapToGrid w:val="0"/>
        <w:spacing w:after="240"/>
        <w:jc w:val="center"/>
        <w:rPr>
          <w:rFonts w:ascii="Söhne Halbfett" w:eastAsiaTheme="minorEastAsia" w:hAnsi="Söhne Halbfett" w:cs="Arial"/>
          <w:caps/>
          <w:spacing w:val="57"/>
          <w:sz w:val="28"/>
          <w:szCs w:val="28"/>
          <w:lang w:val="en-GB"/>
        </w:rPr>
      </w:pPr>
      <w:r w:rsidRPr="00407D0E">
        <w:rPr>
          <w:rFonts w:ascii="Söhne Halbfett" w:eastAsiaTheme="minorEastAsia" w:hAnsi="Söhne Halbfett" w:cs="Arial"/>
          <w:caps/>
          <w:spacing w:val="57"/>
          <w:sz w:val="28"/>
          <w:szCs w:val="28"/>
          <w:lang w:val="en-GB"/>
        </w:rPr>
        <w:t>the WOAH Animal Welfare Collaborating Centres</w:t>
      </w:r>
    </w:p>
    <w:p w14:paraId="3D7F8F4A" w14:textId="77777777" w:rsidR="00556D9A" w:rsidRPr="00407D0E" w:rsidRDefault="00556D9A" w:rsidP="00407D0E">
      <w:pPr>
        <w:autoSpaceDE w:val="0"/>
        <w:autoSpaceDN w:val="0"/>
        <w:adjustRightInd w:val="0"/>
        <w:spacing w:after="240" w:line="240" w:lineRule="auto"/>
        <w:jc w:val="both"/>
        <w:rPr>
          <w:rFonts w:ascii="Söhne Halbfett" w:hAnsi="Söhne Halbfett" w:cs="Arial"/>
          <w:sz w:val="18"/>
          <w:szCs w:val="18"/>
          <w:lang w:val="en-GB" w:eastAsia="fr-FR"/>
        </w:rPr>
      </w:pPr>
      <w:r w:rsidRPr="00407D0E">
        <w:rPr>
          <w:rFonts w:ascii="Söhne Halbfett" w:hAnsi="Söhne Halbfett" w:cs="Arial"/>
          <w:sz w:val="18"/>
          <w:szCs w:val="18"/>
          <w:lang w:val="en-GB" w:eastAsia="fr-FR"/>
        </w:rPr>
        <w:t xml:space="preserve">Animal welfare risk assessment and animal welfare impact underpins the development of animal welfare </w:t>
      </w:r>
      <w:proofErr w:type="gramStart"/>
      <w:r w:rsidRPr="00407D0E">
        <w:rPr>
          <w:rFonts w:ascii="Söhne Halbfett" w:hAnsi="Söhne Halbfett" w:cs="Arial"/>
          <w:sz w:val="18"/>
          <w:szCs w:val="18"/>
          <w:lang w:val="en-GB" w:eastAsia="fr-FR"/>
        </w:rPr>
        <w:t>standards</w:t>
      </w:r>
      <w:proofErr w:type="gramEnd"/>
    </w:p>
    <w:p w14:paraId="61A8EDC3" w14:textId="6484A444"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Animal welfare standards need to be underpinned by robust assessment of the animal welfare impacts (or opportunities) that arise from the farming system under study.</w:t>
      </w:r>
    </w:p>
    <w:p w14:paraId="28B6308D" w14:textId="16AA6457"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The Five Domains Model is one framework for the systematic assessment of animal welfare benefits and compromise in the physical, health, behavioural and mental domains, and hence offers a way of systematically reviewing the literature and determining animals’ physical, health and behavioural needs.</w:t>
      </w:r>
    </w:p>
    <w:p w14:paraId="70715B79" w14:textId="48C7C384" w:rsidR="00556D9A" w:rsidRPr="00407D0E" w:rsidRDefault="00556D9A" w:rsidP="00407D0E">
      <w:pPr>
        <w:autoSpaceDE w:val="0"/>
        <w:autoSpaceDN w:val="0"/>
        <w:adjustRightInd w:val="0"/>
        <w:spacing w:after="240" w:line="240" w:lineRule="auto"/>
        <w:jc w:val="both"/>
        <w:rPr>
          <w:rFonts w:ascii="Söhne Halbfett" w:hAnsi="Söhne Halbfett" w:cs="Arial"/>
          <w:sz w:val="18"/>
          <w:szCs w:val="18"/>
          <w:lang w:val="en-GB" w:eastAsia="fr-FR"/>
        </w:rPr>
      </w:pPr>
      <w:r w:rsidRPr="00407D0E">
        <w:rPr>
          <w:rFonts w:ascii="Söhne Halbfett" w:hAnsi="Söhne Halbfett" w:cs="Arial"/>
          <w:sz w:val="18"/>
          <w:szCs w:val="18"/>
          <w:lang w:val="en-GB" w:eastAsia="fr-FR"/>
        </w:rPr>
        <w:t>Five Domains is well-established as model for systematic evaluation of animal welfare impacts to promote animal welfare in operations</w:t>
      </w:r>
      <w:r w:rsidR="00971730" w:rsidRPr="00407D0E">
        <w:rPr>
          <w:rFonts w:ascii="Söhne Halbfett" w:hAnsi="Söhne Halbfett" w:cs="Arial"/>
          <w:sz w:val="18"/>
          <w:szCs w:val="18"/>
          <w:lang w:val="en-GB" w:eastAsia="fr-FR"/>
        </w:rPr>
        <w:t>.</w:t>
      </w:r>
    </w:p>
    <w:p w14:paraId="47CF3162" w14:textId="78846AC4"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Throughout its 25-year history, the Model has been regularly reviewed and updated to include the latest developments in animal welfare science.</w:t>
      </w:r>
    </w:p>
    <w:p w14:paraId="72A66353" w14:textId="38254EF3"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Since its development, it has been used globally (see Appendix One) to assess the welfare of a range of species, including livestock species, in a range of situations with the purposes including fundamental and applied biomedical, veterinary, agricultural, ecological, welfare and other approved investigations.</w:t>
      </w:r>
    </w:p>
    <w:p w14:paraId="743D687A" w14:textId="1A828A04"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The Model has been adopted by several businesses and organisations as a way of understanding animal welfare, and to support the assessment of animal welfare on farm, in research (the laboratory or elsewhere) and other settings including horse racing, livestock export, zoos and for retailer consumer guarantees about animal welfare (Annex I).</w:t>
      </w:r>
    </w:p>
    <w:p w14:paraId="72DDFDF0" w14:textId="13002058"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As such, it supports the verification or monitoring of animal welfare to satisfy the requirements of assurance schemes and legislative or other standards.</w:t>
      </w:r>
    </w:p>
    <w:p w14:paraId="4963D680" w14:textId="29228FD2"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It is used to assess animal welfare state in animal cruelty cases, and to support prosecutions. For example, Dr Rebecca Ledger has had over 100 successful prosecutions in Canada using the Model.</w:t>
      </w:r>
    </w:p>
    <w:p w14:paraId="1628BF26" w14:textId="0C0A7753" w:rsidR="00556D9A" w:rsidRPr="00556D9A" w:rsidRDefault="00556D9A" w:rsidP="00407D0E">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The Model can also be used to support end-of-life decisions in a range of settings.</w:t>
      </w:r>
    </w:p>
    <w:p w14:paraId="3439D5B2" w14:textId="77777777" w:rsidR="00556D9A" w:rsidRPr="00407D0E" w:rsidRDefault="00556D9A" w:rsidP="00407D0E">
      <w:pPr>
        <w:autoSpaceDE w:val="0"/>
        <w:autoSpaceDN w:val="0"/>
        <w:adjustRightInd w:val="0"/>
        <w:spacing w:after="240" w:line="240" w:lineRule="auto"/>
        <w:jc w:val="both"/>
        <w:rPr>
          <w:rFonts w:ascii="Söhne Halbfett" w:hAnsi="Söhne Halbfett" w:cs="Arial"/>
          <w:sz w:val="18"/>
          <w:szCs w:val="18"/>
          <w:lang w:val="en-GB" w:eastAsia="fr-FR"/>
        </w:rPr>
      </w:pPr>
      <w:r w:rsidRPr="00407D0E">
        <w:rPr>
          <w:rFonts w:ascii="Söhne Halbfett" w:hAnsi="Söhne Halbfett" w:cs="Arial"/>
          <w:sz w:val="18"/>
          <w:szCs w:val="18"/>
          <w:lang w:val="en-GB" w:eastAsia="fr-FR"/>
        </w:rPr>
        <w:t xml:space="preserve">Five Domains supports capacity </w:t>
      </w:r>
      <w:proofErr w:type="gramStart"/>
      <w:r w:rsidRPr="00407D0E">
        <w:rPr>
          <w:rFonts w:ascii="Söhne Halbfett" w:hAnsi="Söhne Halbfett" w:cs="Arial"/>
          <w:sz w:val="18"/>
          <w:szCs w:val="18"/>
          <w:lang w:val="en-GB" w:eastAsia="fr-FR"/>
        </w:rPr>
        <w:t>building</w:t>
      </w:r>
      <w:proofErr w:type="gramEnd"/>
    </w:p>
    <w:p w14:paraId="29C7CCAE" w14:textId="244366E8"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The Model is a useful approach to understand animal suffering and positive states to support training of veterinary services staff, including staff involved in enforcement and</w:t>
      </w:r>
    </w:p>
    <w:p w14:paraId="7103FFD5" w14:textId="5DA425A1"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0556D9A">
        <w:rPr>
          <w:rFonts w:ascii="Söhne" w:hAnsi="Söhne" w:cs="Arial"/>
          <w:sz w:val="18"/>
          <w:szCs w:val="18"/>
          <w:lang w:val="en-GB" w:eastAsia="fr-FR"/>
        </w:rPr>
        <w:t>•</w:t>
      </w:r>
      <w:r w:rsidR="00270258">
        <w:rPr>
          <w:rFonts w:ascii="Söhne" w:hAnsi="Söhne" w:cs="Arial"/>
          <w:sz w:val="18"/>
          <w:szCs w:val="18"/>
          <w:lang w:val="en-GB" w:eastAsia="fr-FR"/>
        </w:rPr>
        <w:t xml:space="preserve"> </w:t>
      </w:r>
      <w:r w:rsidRPr="00556D9A">
        <w:rPr>
          <w:rFonts w:ascii="Söhne" w:hAnsi="Söhne" w:cs="Arial"/>
          <w:sz w:val="18"/>
          <w:szCs w:val="18"/>
          <w:lang w:val="en-GB" w:eastAsia="fr-FR"/>
        </w:rPr>
        <w:t>monitoring, for example veterinary staff at slaughter premises and animal welfare inspectors or enforcement staff.</w:t>
      </w:r>
    </w:p>
    <w:p w14:paraId="417A794D" w14:textId="456600B9" w:rsidR="00556D9A" w:rsidRPr="00556D9A" w:rsidRDefault="00556D9A" w:rsidP="00407D0E">
      <w:pPr>
        <w:pStyle w:val="NoSpacing"/>
        <w:adjustRightInd w:val="0"/>
        <w:snapToGrid w:val="0"/>
        <w:spacing w:after="240"/>
        <w:ind w:left="144" w:hanging="144"/>
        <w:jc w:val="both"/>
        <w:rPr>
          <w:rFonts w:ascii="Söhne" w:hAnsi="Söhne" w:cs="Arial"/>
          <w:sz w:val="18"/>
          <w:szCs w:val="18"/>
          <w:lang w:val="en-GB" w:eastAsia="fr-FR"/>
        </w:rPr>
      </w:pPr>
      <w:r w:rsidRPr="0FBCE2E5">
        <w:rPr>
          <w:rFonts w:ascii="Söhne" w:hAnsi="Söhne" w:cs="Arial"/>
          <w:sz w:val="18"/>
          <w:szCs w:val="18"/>
          <w:lang w:val="en-GB" w:eastAsia="fr-FR"/>
        </w:rPr>
        <w:t>•</w:t>
      </w:r>
      <w:r w:rsidR="00270258">
        <w:rPr>
          <w:rFonts w:ascii="Söhne" w:hAnsi="Söhne" w:cs="Arial"/>
          <w:sz w:val="18"/>
          <w:szCs w:val="18"/>
          <w:lang w:val="en-GB" w:eastAsia="fr-FR"/>
        </w:rPr>
        <w:t xml:space="preserve"> </w:t>
      </w:r>
      <w:r w:rsidRPr="0FBCE2E5">
        <w:rPr>
          <w:rFonts w:ascii="Söhne" w:hAnsi="Söhne" w:cs="Arial"/>
          <w:sz w:val="18"/>
          <w:szCs w:val="18"/>
          <w:lang w:val="en-GB" w:eastAsia="fr-FR"/>
        </w:rPr>
        <w:t>The model supports the assessment of human-animal interactions, which allows gap analysis identify areas where professional development or other upskilling is needed.</w:t>
      </w:r>
    </w:p>
    <w:p w14:paraId="2E62E7C9" w14:textId="77777777" w:rsidR="00556D9A" w:rsidRPr="00407D0E" w:rsidRDefault="00556D9A" w:rsidP="00407D0E">
      <w:pPr>
        <w:autoSpaceDE w:val="0"/>
        <w:autoSpaceDN w:val="0"/>
        <w:adjustRightInd w:val="0"/>
        <w:spacing w:after="240" w:line="240" w:lineRule="auto"/>
        <w:jc w:val="both"/>
        <w:rPr>
          <w:rFonts w:ascii="Söhne Halbfett" w:hAnsi="Söhne Halbfett" w:cs="Arial"/>
          <w:sz w:val="18"/>
          <w:szCs w:val="18"/>
          <w:lang w:val="en-GB" w:eastAsia="fr-FR"/>
        </w:rPr>
      </w:pPr>
      <w:r w:rsidRPr="00407D0E">
        <w:rPr>
          <w:rFonts w:ascii="Söhne Halbfett" w:hAnsi="Söhne Halbfett" w:cs="Arial"/>
          <w:sz w:val="18"/>
          <w:szCs w:val="18"/>
          <w:lang w:val="en-GB" w:eastAsia="fr-FR"/>
        </w:rPr>
        <w:t>References</w:t>
      </w:r>
    </w:p>
    <w:p w14:paraId="2362DCD1" w14:textId="77777777" w:rsidR="00556D9A" w:rsidRPr="00556D9A" w:rsidRDefault="00556D9A" w:rsidP="00407D0E">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Five Domains: 138 scientific papers found in Web of Science Aug 2021</w:t>
      </w:r>
    </w:p>
    <w:p w14:paraId="22BE0CC1" w14:textId="77777777" w:rsidR="00556D9A" w:rsidRPr="00556D9A" w:rsidRDefault="00556D9A" w:rsidP="00407D0E">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Originating from (non-exhaustive sample): New Zealand, Australia, UK, Colombia, Brazil, Romania, Germany, Denmark, Canada.</w:t>
      </w:r>
    </w:p>
    <w:p w14:paraId="6FFBFEE2"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Examples of recent papers include:</w:t>
      </w:r>
    </w:p>
    <w:p w14:paraId="316E1BD7"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lastRenderedPageBreak/>
        <w:t>Mellor, D.J.; Beausoleil, N.J.; Littlewood, K.E.; McLean, A.N.; McGreevy, P.D.; Jones, B.; Wilkins, C. The 2020 Five Domains Model: Including Human–Animal Interactions in Assessments of Animal Welfare. Animals 2020, 10, 1870. https://doi.org/10.3390/ani10101870</w:t>
      </w:r>
    </w:p>
    <w:p w14:paraId="682EC4C5"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Mellor, D.J. Operational Details of the Five Domains Model and Its Key Applications to the Assessment and Management of Animal Welfare. Animals 2017, 7, 60. https://doi.org/10.3390/ani7080060</w:t>
      </w:r>
    </w:p>
    <w:p w14:paraId="653FA636"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Mellor, D.J., NJ Beausoleil, KE Littlewood, AN McLean… The 2020 five domains model: Including human–animal interactions in assessments of animal welfare. Animals</w:t>
      </w:r>
    </w:p>
    <w:p w14:paraId="55D84DFE"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proofErr w:type="spellStart"/>
      <w:r w:rsidRPr="00556D9A">
        <w:rPr>
          <w:rFonts w:ascii="Söhne" w:hAnsi="Söhne" w:cs="Arial"/>
          <w:sz w:val="18"/>
          <w:szCs w:val="18"/>
          <w:lang w:val="en-GB" w:eastAsia="fr-FR"/>
        </w:rPr>
        <w:t>Sherwen</w:t>
      </w:r>
      <w:proofErr w:type="spellEnd"/>
      <w:r w:rsidRPr="00556D9A">
        <w:rPr>
          <w:rFonts w:ascii="Söhne" w:hAnsi="Söhne" w:cs="Arial"/>
          <w:sz w:val="18"/>
          <w:szCs w:val="18"/>
          <w:lang w:val="en-GB" w:eastAsia="fr-FR"/>
        </w:rPr>
        <w:t>, S.L.; Hemsworth, L.M.; Beausoleil, N.J.; Embury, A.; Mellor, D.J. An Animal Welfare Risk Assessment Process for Zoos. Animals 2018, 8, 130. https://doi.org/10.3390/ani8080130.</w:t>
      </w:r>
    </w:p>
    <w:p w14:paraId="6634E416"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 </w:t>
      </w:r>
    </w:p>
    <w:p w14:paraId="1E8754AA" w14:textId="77777777" w:rsidR="00971730" w:rsidRDefault="00971730">
      <w:pPr>
        <w:rPr>
          <w:rFonts w:ascii="Söhne Halbfett" w:hAnsi="Söhne Halbfett" w:cs="Arial"/>
          <w:b/>
          <w:bCs/>
          <w:sz w:val="18"/>
          <w:szCs w:val="18"/>
          <w:lang w:val="en-GB" w:eastAsia="fr-FR"/>
        </w:rPr>
      </w:pPr>
      <w:r>
        <w:rPr>
          <w:rFonts w:ascii="Söhne Halbfett" w:hAnsi="Söhne Halbfett" w:cs="Arial"/>
          <w:b/>
          <w:bCs/>
          <w:sz w:val="18"/>
          <w:szCs w:val="18"/>
          <w:lang w:val="en-GB" w:eastAsia="fr-FR"/>
        </w:rPr>
        <w:br w:type="page"/>
      </w:r>
    </w:p>
    <w:p w14:paraId="161EFF87" w14:textId="747888B3" w:rsidR="00556D9A" w:rsidRPr="00971730" w:rsidRDefault="0061241D" w:rsidP="00971730">
      <w:pPr>
        <w:autoSpaceDE w:val="0"/>
        <w:autoSpaceDN w:val="0"/>
        <w:adjustRightInd w:val="0"/>
        <w:spacing w:after="240" w:line="240" w:lineRule="auto"/>
        <w:rPr>
          <w:rFonts w:ascii="Söhne Halbfett" w:hAnsi="Söhne Halbfett" w:cs="Arial"/>
          <w:b/>
          <w:bCs/>
          <w:sz w:val="18"/>
          <w:szCs w:val="18"/>
          <w:lang w:val="en-GB" w:eastAsia="fr-FR"/>
        </w:rPr>
      </w:pPr>
      <w:r>
        <w:rPr>
          <w:rFonts w:ascii="Söhne Halbfett" w:hAnsi="Söhne Halbfett" w:cs="Arial"/>
          <w:b/>
          <w:bCs/>
          <w:sz w:val="18"/>
          <w:szCs w:val="18"/>
          <w:lang w:val="en-GB" w:eastAsia="fr-FR"/>
        </w:rPr>
        <w:lastRenderedPageBreak/>
        <w:t>Appendix</w:t>
      </w:r>
    </w:p>
    <w:p w14:paraId="3E3DA839"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 xml:space="preserve">Organisations that refer to 5 Domains on website (a non-exhaustive sample as </w:t>
      </w:r>
      <w:proofErr w:type="gramStart"/>
      <w:r w:rsidRPr="00556D9A">
        <w:rPr>
          <w:rFonts w:ascii="Söhne" w:hAnsi="Söhne" w:cs="Arial"/>
          <w:sz w:val="18"/>
          <w:szCs w:val="18"/>
          <w:lang w:val="en-GB" w:eastAsia="fr-FR"/>
        </w:rPr>
        <w:t>at</w:t>
      </w:r>
      <w:proofErr w:type="gramEnd"/>
      <w:r w:rsidRPr="00556D9A">
        <w:rPr>
          <w:rFonts w:ascii="Söhne" w:hAnsi="Söhne" w:cs="Arial"/>
          <w:sz w:val="18"/>
          <w:szCs w:val="18"/>
          <w:lang w:val="en-GB" w:eastAsia="fr-FR"/>
        </w:rPr>
        <w:t xml:space="preserve"> Aug 2021):</w:t>
      </w:r>
    </w:p>
    <w:p w14:paraId="5E6B65CD" w14:textId="77777777" w:rsidR="00556D9A" w:rsidRPr="004A4887" w:rsidRDefault="00556D9A" w:rsidP="00556D9A">
      <w:pPr>
        <w:pStyle w:val="NoSpacing"/>
        <w:adjustRightInd w:val="0"/>
        <w:snapToGrid w:val="0"/>
        <w:spacing w:after="240"/>
        <w:jc w:val="both"/>
        <w:rPr>
          <w:rFonts w:ascii="Söhne" w:hAnsi="Söhne" w:cs="Arial"/>
          <w:sz w:val="18"/>
          <w:szCs w:val="18"/>
          <w:lang w:val="es-ES" w:eastAsia="fr-FR"/>
        </w:rPr>
      </w:pPr>
      <w:r w:rsidRPr="004A4887">
        <w:rPr>
          <w:rFonts w:ascii="Söhne" w:hAnsi="Söhne" w:cs="Arial"/>
          <w:sz w:val="18"/>
          <w:szCs w:val="18"/>
          <w:lang w:val="es-ES" w:eastAsia="fr-FR"/>
        </w:rPr>
        <w:t>Humaneness (https://www.mpi.govt.nz/dmsdocument/4009/direct)</w:t>
      </w:r>
    </w:p>
    <w:p w14:paraId="592D542B"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MPI website – Animal Use Statistics (https://www.mpi.govt.nz/dmsdocument/1477/direct) (harm assessments of RTT under Animal Welfare Statistics Regulations use 5 Domains)</w:t>
      </w:r>
    </w:p>
    <w:p w14:paraId="3B02E8A3" w14:textId="77777777" w:rsidR="00556D9A" w:rsidRPr="004A4887" w:rsidRDefault="00556D9A" w:rsidP="00556D9A">
      <w:pPr>
        <w:pStyle w:val="NoSpacing"/>
        <w:adjustRightInd w:val="0"/>
        <w:snapToGrid w:val="0"/>
        <w:spacing w:after="240"/>
        <w:jc w:val="both"/>
        <w:rPr>
          <w:rFonts w:ascii="Söhne" w:hAnsi="Söhne" w:cs="Arial"/>
          <w:sz w:val="18"/>
          <w:szCs w:val="18"/>
          <w:lang w:val="it-IT" w:eastAsia="fr-FR"/>
        </w:rPr>
      </w:pPr>
      <w:r w:rsidRPr="004A4887">
        <w:rPr>
          <w:rFonts w:ascii="Söhne" w:hAnsi="Söhne" w:cs="Arial"/>
          <w:sz w:val="18"/>
          <w:szCs w:val="18"/>
          <w:lang w:val="it-IT" w:eastAsia="fr-FR"/>
        </w:rPr>
        <w:t xml:space="preserve">Fonterra (https://www.fonterra.com/au/en/embracing-sustainability/our-commitments/animal-wellbeing.html) </w:t>
      </w:r>
    </w:p>
    <w:p w14:paraId="79A38815"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World Association of Zoos and Aquariums (https://www.waza.org/)</w:t>
      </w:r>
    </w:p>
    <w:p w14:paraId="11A889CA"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Animal Heath Australia (https://animalhealthaustralia.com.au/livestock-welfare/)</w:t>
      </w:r>
    </w:p>
    <w:p w14:paraId="09BABD1D"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 xml:space="preserve">Australian Government Department of Agriculture, </w:t>
      </w:r>
      <w:proofErr w:type="gramStart"/>
      <w:r w:rsidRPr="00556D9A">
        <w:rPr>
          <w:rFonts w:ascii="Söhne" w:hAnsi="Söhne" w:cs="Arial"/>
          <w:sz w:val="18"/>
          <w:szCs w:val="18"/>
          <w:lang w:val="en-GB" w:eastAsia="fr-FR"/>
        </w:rPr>
        <w:t>Water</w:t>
      </w:r>
      <w:proofErr w:type="gramEnd"/>
      <w:r w:rsidRPr="00556D9A">
        <w:rPr>
          <w:rFonts w:ascii="Söhne" w:hAnsi="Söhne" w:cs="Arial"/>
          <w:sz w:val="18"/>
          <w:szCs w:val="18"/>
          <w:lang w:val="en-GB" w:eastAsia="fr-FR"/>
        </w:rPr>
        <w:t xml:space="preserve"> and the Environment https://www.agriculture.gov.au/animal/welfare/aaws/humaneness-of-pest-animal-control- methods</w:t>
      </w:r>
    </w:p>
    <w:p w14:paraId="5BF5B3E3"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Landcare Research Manaaki Whenua/TB Free/</w:t>
      </w:r>
      <w:proofErr w:type="spellStart"/>
      <w:r w:rsidRPr="00556D9A">
        <w:rPr>
          <w:rFonts w:ascii="Söhne" w:hAnsi="Söhne" w:cs="Arial"/>
          <w:sz w:val="18"/>
          <w:szCs w:val="18"/>
          <w:lang w:val="en-GB" w:eastAsia="fr-FR"/>
        </w:rPr>
        <w:t>Ospri</w:t>
      </w:r>
      <w:proofErr w:type="spellEnd"/>
      <w:r w:rsidRPr="00556D9A">
        <w:rPr>
          <w:rFonts w:ascii="Söhne" w:hAnsi="Söhne" w:cs="Arial"/>
          <w:sz w:val="18"/>
          <w:szCs w:val="18"/>
          <w:lang w:val="en-GB" w:eastAsia="fr-FR"/>
        </w:rPr>
        <w:t xml:space="preserve"> (https://www.bionet.nz/assets/Uploads/Possum-Control-and-Animal-Welfare.pdf)</w:t>
      </w:r>
    </w:p>
    <w:p w14:paraId="7C02E7B3"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Scottish Animal Welfare Commission references the 5 domains in their report on the use of rodent glue traps (https://www.gov.scot/publications/scottish-animal-welfare- commission-report-use-rodent-glue-traps-</w:t>
      </w:r>
      <w:proofErr w:type="spellStart"/>
      <w:r w:rsidRPr="00556D9A">
        <w:rPr>
          <w:rFonts w:ascii="Söhne" w:hAnsi="Söhne" w:cs="Arial"/>
          <w:sz w:val="18"/>
          <w:szCs w:val="18"/>
          <w:lang w:val="en-GB" w:eastAsia="fr-FR"/>
        </w:rPr>
        <w:t>scotland</w:t>
      </w:r>
      <w:proofErr w:type="spellEnd"/>
      <w:r w:rsidRPr="00556D9A">
        <w:rPr>
          <w:rFonts w:ascii="Söhne" w:hAnsi="Söhne" w:cs="Arial"/>
          <w:sz w:val="18"/>
          <w:szCs w:val="18"/>
          <w:lang w:val="en-GB" w:eastAsia="fr-FR"/>
        </w:rPr>
        <w:t>/documents/)</w:t>
      </w:r>
    </w:p>
    <w:p w14:paraId="167FAEDF"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Dairy NZ (https://www.dairynz.co.nz/animal/welfare/)</w:t>
      </w:r>
    </w:p>
    <w:p w14:paraId="3B6469C5" w14:textId="77777777" w:rsidR="00556D9A" w:rsidRPr="00556D9A" w:rsidRDefault="00556D9A" w:rsidP="00556D9A">
      <w:pPr>
        <w:pStyle w:val="NoSpacing"/>
        <w:adjustRightInd w:val="0"/>
        <w:snapToGrid w:val="0"/>
        <w:spacing w:after="240"/>
        <w:jc w:val="both"/>
        <w:rPr>
          <w:rFonts w:ascii="Söhne" w:hAnsi="Söhne" w:cs="Arial"/>
          <w:sz w:val="18"/>
          <w:szCs w:val="18"/>
          <w:lang w:val="en-GB" w:eastAsia="fr-FR"/>
        </w:rPr>
      </w:pPr>
      <w:r w:rsidRPr="00556D9A">
        <w:rPr>
          <w:rFonts w:ascii="Söhne" w:hAnsi="Söhne" w:cs="Arial"/>
          <w:sz w:val="18"/>
          <w:szCs w:val="18"/>
          <w:lang w:val="en-GB" w:eastAsia="fr-FR"/>
        </w:rPr>
        <w:t>Four Paws (https://www.four-paws.org/campaigns-topics/topics/science-and-research/animal-welfare-assessment-framework)</w:t>
      </w:r>
    </w:p>
    <w:p w14:paraId="51C03994" w14:textId="77777777" w:rsidR="00102837" w:rsidRDefault="00102837" w:rsidP="00C56B2D">
      <w:pPr>
        <w:pStyle w:val="NoSpacing"/>
        <w:adjustRightInd w:val="0"/>
        <w:snapToGrid w:val="0"/>
        <w:spacing w:after="240"/>
        <w:jc w:val="both"/>
        <w:rPr>
          <w:rFonts w:ascii="Söhne" w:hAnsi="Söhne" w:cs="Arial"/>
          <w:sz w:val="18"/>
          <w:szCs w:val="18"/>
          <w:lang w:val="en-GB" w:eastAsia="fr-FR"/>
        </w:rPr>
      </w:pPr>
    </w:p>
    <w:sectPr w:rsidR="00102837" w:rsidSect="00111B6C">
      <w:headerReference w:type="even" r:id="rId11"/>
      <w:headerReference w:type="default" r:id="rId12"/>
      <w:footerReference w:type="even" r:id="rId13"/>
      <w:footerReference w:type="default" r:id="rId14"/>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F6D" w14:textId="77777777" w:rsidR="00111B6C" w:rsidRDefault="00111B6C" w:rsidP="00CF28E7">
      <w:pPr>
        <w:spacing w:after="0" w:line="240" w:lineRule="auto"/>
      </w:pPr>
      <w:r>
        <w:separator/>
      </w:r>
    </w:p>
  </w:endnote>
  <w:endnote w:type="continuationSeparator" w:id="0">
    <w:p w14:paraId="6C09FDE4" w14:textId="77777777" w:rsidR="00111B6C" w:rsidRDefault="00111B6C" w:rsidP="00CF28E7">
      <w:pPr>
        <w:spacing w:after="0" w:line="240" w:lineRule="auto"/>
      </w:pPr>
      <w:r>
        <w:continuationSeparator/>
      </w:r>
    </w:p>
  </w:endnote>
  <w:endnote w:type="continuationNotice" w:id="1">
    <w:p w14:paraId="6FFFE200" w14:textId="77777777" w:rsidR="00111B6C" w:rsidRDefault="00111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74A99D99"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CF6BC7">
      <w:rPr>
        <w:rFonts w:ascii="Arial" w:hAnsi="Arial" w:cs="Arial"/>
        <w:sz w:val="18"/>
        <w:szCs w:val="18"/>
        <w:lang w:val="en-CA"/>
      </w:rPr>
      <w:t>September</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36379DE0" w:rsidR="00B65A1C" w:rsidRPr="00CB0F21" w:rsidRDefault="001B2BCC" w:rsidP="001B2BCC">
    <w:pPr>
      <w:pStyle w:val="Footer"/>
      <w:tabs>
        <w:tab w:val="clear" w:pos="9360"/>
        <w:tab w:val="right" w:pos="9638"/>
      </w:tabs>
      <w:rPr>
        <w:rFonts w:ascii="Arial" w:hAnsi="Arial" w:cs="Arial"/>
        <w:sz w:val="18"/>
        <w:szCs w:val="18"/>
        <w:lang w:val="en-GB"/>
      </w:rPr>
    </w:pPr>
    <w:r w:rsidRPr="00CB0F21">
      <w:rPr>
        <w:rFonts w:ascii="Arial" w:hAnsi="Arial" w:cs="Arial"/>
        <w:sz w:val="18"/>
        <w:szCs w:val="18"/>
        <w:lang w:val="en-GB"/>
      </w:rPr>
      <w:t>Report of the Meeting of the WOAH Terrestrial Animal Health Standards Commission/</w:t>
    </w:r>
    <w:r w:rsidR="001A3533" w:rsidRPr="00CB0F21">
      <w:rPr>
        <w:rFonts w:ascii="Arial" w:hAnsi="Arial" w:cs="Arial"/>
        <w:sz w:val="18"/>
        <w:szCs w:val="18"/>
        <w:lang w:val="en-GB"/>
      </w:rPr>
      <w:t>February</w:t>
    </w:r>
    <w:r w:rsidRPr="00CB0F21">
      <w:rPr>
        <w:rFonts w:ascii="Arial" w:hAnsi="Arial" w:cs="Arial"/>
        <w:sz w:val="18"/>
        <w:szCs w:val="18"/>
        <w:lang w:val="en-GB"/>
      </w:rPr>
      <w:t xml:space="preserve"> 202</w:t>
    </w:r>
    <w:r w:rsidR="001A3533" w:rsidRPr="00CB0F21">
      <w:rPr>
        <w:rFonts w:ascii="Arial" w:hAnsi="Arial" w:cs="Arial"/>
        <w:sz w:val="18"/>
        <w:szCs w:val="18"/>
        <w:lang w:val="en-GB"/>
      </w:rPr>
      <w:t>4</w:t>
    </w:r>
    <w:r w:rsidRPr="00CB0F21">
      <w:rPr>
        <w:rFonts w:ascii="Arial" w:hAnsi="Arial" w:cs="Arial"/>
        <w:sz w:val="18"/>
        <w:szCs w:val="18"/>
        <w:lang w:val="en-GB"/>
      </w:rPr>
      <w:tab/>
    </w:r>
    <w:r w:rsidRPr="00CB0F21">
      <w:rPr>
        <w:rFonts w:ascii="Arial" w:hAnsi="Arial" w:cs="Arial"/>
        <w:sz w:val="18"/>
        <w:szCs w:val="18"/>
        <w:lang w:val="en-GB"/>
      </w:rPr>
      <w:fldChar w:fldCharType="begin"/>
    </w:r>
    <w:r w:rsidRPr="00CB0F21">
      <w:rPr>
        <w:rFonts w:ascii="Arial" w:hAnsi="Arial" w:cs="Arial"/>
        <w:sz w:val="18"/>
        <w:szCs w:val="18"/>
        <w:lang w:val="en-GB"/>
      </w:rPr>
      <w:instrText>PAGE   \* MERGEFORMAT</w:instrText>
    </w:r>
    <w:r w:rsidRPr="00CB0F21">
      <w:rPr>
        <w:rFonts w:ascii="Arial" w:hAnsi="Arial" w:cs="Arial"/>
        <w:sz w:val="18"/>
        <w:szCs w:val="18"/>
        <w:lang w:val="en-GB"/>
      </w:rPr>
      <w:fldChar w:fldCharType="separate"/>
    </w:r>
    <w:r w:rsidRPr="00CB0F21">
      <w:rPr>
        <w:rFonts w:ascii="Arial" w:hAnsi="Arial" w:cs="Arial"/>
        <w:sz w:val="18"/>
        <w:szCs w:val="18"/>
        <w:lang w:val="en-GB"/>
      </w:rPr>
      <w:t>1</w:t>
    </w:r>
    <w:r w:rsidRPr="00CB0F21">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617E" w14:textId="77777777" w:rsidR="00111B6C" w:rsidRDefault="00111B6C" w:rsidP="00CF28E7">
      <w:pPr>
        <w:spacing w:after="0" w:line="240" w:lineRule="auto"/>
      </w:pPr>
      <w:r>
        <w:separator/>
      </w:r>
    </w:p>
  </w:footnote>
  <w:footnote w:type="continuationSeparator" w:id="0">
    <w:p w14:paraId="23F2135E" w14:textId="77777777" w:rsidR="00111B6C" w:rsidRDefault="00111B6C" w:rsidP="00CF28E7">
      <w:pPr>
        <w:spacing w:after="0" w:line="240" w:lineRule="auto"/>
      </w:pPr>
      <w:r>
        <w:continuationSeparator/>
      </w:r>
    </w:p>
  </w:footnote>
  <w:footnote w:type="continuationNotice" w:id="1">
    <w:p w14:paraId="1045C854" w14:textId="77777777" w:rsidR="00111B6C" w:rsidRDefault="00111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740559318">
    <w:abstractNumId w:val="7"/>
  </w:num>
  <w:num w:numId="2" w16cid:durableId="302931534">
    <w:abstractNumId w:val="6"/>
  </w:num>
  <w:num w:numId="3" w16cid:durableId="392431792">
    <w:abstractNumId w:val="4"/>
  </w:num>
  <w:num w:numId="4" w16cid:durableId="1838181854">
    <w:abstractNumId w:val="1"/>
  </w:num>
  <w:num w:numId="5" w16cid:durableId="74480083">
    <w:abstractNumId w:val="2"/>
  </w:num>
  <w:num w:numId="6" w16cid:durableId="667633864">
    <w:abstractNumId w:val="5"/>
  </w:num>
  <w:num w:numId="7" w16cid:durableId="526406646">
    <w:abstractNumId w:val="8"/>
  </w:num>
  <w:num w:numId="8" w16cid:durableId="399206906">
    <w:abstractNumId w:val="3"/>
  </w:num>
  <w:num w:numId="9" w16cid:durableId="11531780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gFABfUlhUtAAAA"/>
  </w:docVars>
  <w:rsids>
    <w:rsidRoot w:val="00376651"/>
    <w:rsid w:val="00001352"/>
    <w:rsid w:val="0000529B"/>
    <w:rsid w:val="00007666"/>
    <w:rsid w:val="00010150"/>
    <w:rsid w:val="00010F77"/>
    <w:rsid w:val="00014639"/>
    <w:rsid w:val="00014DF6"/>
    <w:rsid w:val="000176D9"/>
    <w:rsid w:val="0003158B"/>
    <w:rsid w:val="00035F4E"/>
    <w:rsid w:val="00036A82"/>
    <w:rsid w:val="00044DF1"/>
    <w:rsid w:val="00046A56"/>
    <w:rsid w:val="00047193"/>
    <w:rsid w:val="000471CD"/>
    <w:rsid w:val="00050B4E"/>
    <w:rsid w:val="00053851"/>
    <w:rsid w:val="00054210"/>
    <w:rsid w:val="00061396"/>
    <w:rsid w:val="00063B97"/>
    <w:rsid w:val="0006591F"/>
    <w:rsid w:val="00072371"/>
    <w:rsid w:val="000734AF"/>
    <w:rsid w:val="00074724"/>
    <w:rsid w:val="00075C2B"/>
    <w:rsid w:val="00080BFC"/>
    <w:rsid w:val="0009142D"/>
    <w:rsid w:val="00091D5F"/>
    <w:rsid w:val="0009285B"/>
    <w:rsid w:val="0009491A"/>
    <w:rsid w:val="0009773D"/>
    <w:rsid w:val="000A30D3"/>
    <w:rsid w:val="000B48FC"/>
    <w:rsid w:val="000C0592"/>
    <w:rsid w:val="000C1537"/>
    <w:rsid w:val="000C365A"/>
    <w:rsid w:val="000C4886"/>
    <w:rsid w:val="000C735F"/>
    <w:rsid w:val="000D04C8"/>
    <w:rsid w:val="000D23E3"/>
    <w:rsid w:val="000D2D4D"/>
    <w:rsid w:val="000E2AF2"/>
    <w:rsid w:val="000E7CB8"/>
    <w:rsid w:val="000F1713"/>
    <w:rsid w:val="000F1CDF"/>
    <w:rsid w:val="000F456B"/>
    <w:rsid w:val="000F65DF"/>
    <w:rsid w:val="000F6F2C"/>
    <w:rsid w:val="000F7BB1"/>
    <w:rsid w:val="00102755"/>
    <w:rsid w:val="00102837"/>
    <w:rsid w:val="00103E12"/>
    <w:rsid w:val="00103E5C"/>
    <w:rsid w:val="0010475E"/>
    <w:rsid w:val="001055A7"/>
    <w:rsid w:val="00107C22"/>
    <w:rsid w:val="0011072A"/>
    <w:rsid w:val="001115BA"/>
    <w:rsid w:val="00111B6C"/>
    <w:rsid w:val="001134F2"/>
    <w:rsid w:val="001154B2"/>
    <w:rsid w:val="00117C53"/>
    <w:rsid w:val="00122508"/>
    <w:rsid w:val="0012409B"/>
    <w:rsid w:val="00126665"/>
    <w:rsid w:val="00126A49"/>
    <w:rsid w:val="001277BE"/>
    <w:rsid w:val="00127D3F"/>
    <w:rsid w:val="00130FFF"/>
    <w:rsid w:val="0013392F"/>
    <w:rsid w:val="00134195"/>
    <w:rsid w:val="00135BEA"/>
    <w:rsid w:val="00136A79"/>
    <w:rsid w:val="00141E18"/>
    <w:rsid w:val="00143528"/>
    <w:rsid w:val="00144F00"/>
    <w:rsid w:val="00147A63"/>
    <w:rsid w:val="00154FFD"/>
    <w:rsid w:val="001603F3"/>
    <w:rsid w:val="00160C7D"/>
    <w:rsid w:val="00160E71"/>
    <w:rsid w:val="00161AB4"/>
    <w:rsid w:val="00164F6C"/>
    <w:rsid w:val="0016712F"/>
    <w:rsid w:val="00167EB2"/>
    <w:rsid w:val="00172618"/>
    <w:rsid w:val="0017612A"/>
    <w:rsid w:val="00176BC2"/>
    <w:rsid w:val="00183B01"/>
    <w:rsid w:val="00185261"/>
    <w:rsid w:val="001871E0"/>
    <w:rsid w:val="00187216"/>
    <w:rsid w:val="0019018E"/>
    <w:rsid w:val="001931C8"/>
    <w:rsid w:val="001A0E2F"/>
    <w:rsid w:val="001A2293"/>
    <w:rsid w:val="001A2739"/>
    <w:rsid w:val="001A3533"/>
    <w:rsid w:val="001A4A5D"/>
    <w:rsid w:val="001A509A"/>
    <w:rsid w:val="001A7077"/>
    <w:rsid w:val="001B1151"/>
    <w:rsid w:val="001B18CA"/>
    <w:rsid w:val="001B20D5"/>
    <w:rsid w:val="001B2BCC"/>
    <w:rsid w:val="001B467C"/>
    <w:rsid w:val="001C1A1F"/>
    <w:rsid w:val="001C5271"/>
    <w:rsid w:val="001C67C3"/>
    <w:rsid w:val="001D23DA"/>
    <w:rsid w:val="001D2DF5"/>
    <w:rsid w:val="001E1AA9"/>
    <w:rsid w:val="001E20C8"/>
    <w:rsid w:val="001E4741"/>
    <w:rsid w:val="001F377B"/>
    <w:rsid w:val="001F5B1D"/>
    <w:rsid w:val="00200682"/>
    <w:rsid w:val="002007BF"/>
    <w:rsid w:val="00200AED"/>
    <w:rsid w:val="0020105C"/>
    <w:rsid w:val="002027BE"/>
    <w:rsid w:val="002039A4"/>
    <w:rsid w:val="002042B7"/>
    <w:rsid w:val="0020437E"/>
    <w:rsid w:val="00207B3F"/>
    <w:rsid w:val="00213A4B"/>
    <w:rsid w:val="00222072"/>
    <w:rsid w:val="00226A85"/>
    <w:rsid w:val="0023388F"/>
    <w:rsid w:val="002414BA"/>
    <w:rsid w:val="00247124"/>
    <w:rsid w:val="00250BF9"/>
    <w:rsid w:val="00252B26"/>
    <w:rsid w:val="00257196"/>
    <w:rsid w:val="002603BC"/>
    <w:rsid w:val="002613DA"/>
    <w:rsid w:val="00263F0E"/>
    <w:rsid w:val="00264312"/>
    <w:rsid w:val="002644C6"/>
    <w:rsid w:val="002651C8"/>
    <w:rsid w:val="002652E5"/>
    <w:rsid w:val="00270258"/>
    <w:rsid w:val="002702EF"/>
    <w:rsid w:val="0027350B"/>
    <w:rsid w:val="00275221"/>
    <w:rsid w:val="00276168"/>
    <w:rsid w:val="002764C5"/>
    <w:rsid w:val="0027707E"/>
    <w:rsid w:val="002804CA"/>
    <w:rsid w:val="00280BB8"/>
    <w:rsid w:val="00281369"/>
    <w:rsid w:val="00283EB7"/>
    <w:rsid w:val="00291662"/>
    <w:rsid w:val="0029385B"/>
    <w:rsid w:val="002942CA"/>
    <w:rsid w:val="00294BE7"/>
    <w:rsid w:val="0029639C"/>
    <w:rsid w:val="00296A03"/>
    <w:rsid w:val="00297874"/>
    <w:rsid w:val="002A1773"/>
    <w:rsid w:val="002A293E"/>
    <w:rsid w:val="002A493E"/>
    <w:rsid w:val="002A5BA1"/>
    <w:rsid w:val="002A69B3"/>
    <w:rsid w:val="002A72D9"/>
    <w:rsid w:val="002B1CAC"/>
    <w:rsid w:val="002B339A"/>
    <w:rsid w:val="002B4C00"/>
    <w:rsid w:val="002C1780"/>
    <w:rsid w:val="002C4307"/>
    <w:rsid w:val="002C4E2F"/>
    <w:rsid w:val="002C5531"/>
    <w:rsid w:val="002C6476"/>
    <w:rsid w:val="002C68A7"/>
    <w:rsid w:val="002C72A7"/>
    <w:rsid w:val="002D0A9E"/>
    <w:rsid w:val="002D2258"/>
    <w:rsid w:val="002D280C"/>
    <w:rsid w:val="002D3DC9"/>
    <w:rsid w:val="002D7E80"/>
    <w:rsid w:val="002E075D"/>
    <w:rsid w:val="002E1F09"/>
    <w:rsid w:val="002E5104"/>
    <w:rsid w:val="002E697E"/>
    <w:rsid w:val="002E6FA4"/>
    <w:rsid w:val="002F0C62"/>
    <w:rsid w:val="002F1E7A"/>
    <w:rsid w:val="002F62FB"/>
    <w:rsid w:val="002F709C"/>
    <w:rsid w:val="002F783F"/>
    <w:rsid w:val="00300914"/>
    <w:rsid w:val="00302227"/>
    <w:rsid w:val="0030546E"/>
    <w:rsid w:val="003066AE"/>
    <w:rsid w:val="00307B7A"/>
    <w:rsid w:val="003114EB"/>
    <w:rsid w:val="00311DE5"/>
    <w:rsid w:val="00314291"/>
    <w:rsid w:val="003142F9"/>
    <w:rsid w:val="00324983"/>
    <w:rsid w:val="00324E34"/>
    <w:rsid w:val="00327B7E"/>
    <w:rsid w:val="00330ED0"/>
    <w:rsid w:val="00333830"/>
    <w:rsid w:val="00340A22"/>
    <w:rsid w:val="00341721"/>
    <w:rsid w:val="00341F82"/>
    <w:rsid w:val="00342DA0"/>
    <w:rsid w:val="00344297"/>
    <w:rsid w:val="00347544"/>
    <w:rsid w:val="00356DC9"/>
    <w:rsid w:val="00360FAB"/>
    <w:rsid w:val="00362267"/>
    <w:rsid w:val="0036549F"/>
    <w:rsid w:val="00367498"/>
    <w:rsid w:val="00371C47"/>
    <w:rsid w:val="00371C56"/>
    <w:rsid w:val="00372B81"/>
    <w:rsid w:val="00372FD0"/>
    <w:rsid w:val="00374D0A"/>
    <w:rsid w:val="00376651"/>
    <w:rsid w:val="00384354"/>
    <w:rsid w:val="003843EB"/>
    <w:rsid w:val="0038461C"/>
    <w:rsid w:val="00386A71"/>
    <w:rsid w:val="00386E33"/>
    <w:rsid w:val="003A152E"/>
    <w:rsid w:val="003A1B50"/>
    <w:rsid w:val="003A4F5F"/>
    <w:rsid w:val="003A6966"/>
    <w:rsid w:val="003A7B1D"/>
    <w:rsid w:val="003B3B36"/>
    <w:rsid w:val="003B46E6"/>
    <w:rsid w:val="003B4B7D"/>
    <w:rsid w:val="003B4D62"/>
    <w:rsid w:val="003B669F"/>
    <w:rsid w:val="003B673D"/>
    <w:rsid w:val="003C1354"/>
    <w:rsid w:val="003C14B7"/>
    <w:rsid w:val="003C1A81"/>
    <w:rsid w:val="003C2845"/>
    <w:rsid w:val="003C6AB9"/>
    <w:rsid w:val="003C78D1"/>
    <w:rsid w:val="003D012D"/>
    <w:rsid w:val="003D228D"/>
    <w:rsid w:val="003D470E"/>
    <w:rsid w:val="003D4779"/>
    <w:rsid w:val="003E00D4"/>
    <w:rsid w:val="003E5E02"/>
    <w:rsid w:val="003E6267"/>
    <w:rsid w:val="003E62EE"/>
    <w:rsid w:val="003E6FE0"/>
    <w:rsid w:val="003E70DA"/>
    <w:rsid w:val="003F591F"/>
    <w:rsid w:val="00401A64"/>
    <w:rsid w:val="00402B0D"/>
    <w:rsid w:val="00407250"/>
    <w:rsid w:val="00407D0E"/>
    <w:rsid w:val="00414F21"/>
    <w:rsid w:val="00421806"/>
    <w:rsid w:val="00423D6F"/>
    <w:rsid w:val="0042746A"/>
    <w:rsid w:val="004278E2"/>
    <w:rsid w:val="004310B5"/>
    <w:rsid w:val="004323CE"/>
    <w:rsid w:val="00433B4C"/>
    <w:rsid w:val="00437B79"/>
    <w:rsid w:val="00441BC9"/>
    <w:rsid w:val="004456BC"/>
    <w:rsid w:val="00446B0E"/>
    <w:rsid w:val="0045117E"/>
    <w:rsid w:val="0045283D"/>
    <w:rsid w:val="0045458A"/>
    <w:rsid w:val="004547D1"/>
    <w:rsid w:val="004571FF"/>
    <w:rsid w:val="0046476A"/>
    <w:rsid w:val="00464950"/>
    <w:rsid w:val="0046767C"/>
    <w:rsid w:val="00467C7F"/>
    <w:rsid w:val="0047393A"/>
    <w:rsid w:val="00475243"/>
    <w:rsid w:val="00475F0A"/>
    <w:rsid w:val="004766C3"/>
    <w:rsid w:val="00480D44"/>
    <w:rsid w:val="00484F0A"/>
    <w:rsid w:val="00491AD5"/>
    <w:rsid w:val="00492BBB"/>
    <w:rsid w:val="0049418F"/>
    <w:rsid w:val="00494492"/>
    <w:rsid w:val="004976CD"/>
    <w:rsid w:val="00497968"/>
    <w:rsid w:val="004A1C15"/>
    <w:rsid w:val="004A1DD9"/>
    <w:rsid w:val="004A227E"/>
    <w:rsid w:val="004A3E14"/>
    <w:rsid w:val="004A4887"/>
    <w:rsid w:val="004B2204"/>
    <w:rsid w:val="004B29AF"/>
    <w:rsid w:val="004B2A03"/>
    <w:rsid w:val="004B438B"/>
    <w:rsid w:val="004C0842"/>
    <w:rsid w:val="004C4E5D"/>
    <w:rsid w:val="004C5346"/>
    <w:rsid w:val="004D1DCE"/>
    <w:rsid w:val="004D4A0B"/>
    <w:rsid w:val="004D4EEE"/>
    <w:rsid w:val="004E3CA3"/>
    <w:rsid w:val="004E62B1"/>
    <w:rsid w:val="004E63D0"/>
    <w:rsid w:val="004E7620"/>
    <w:rsid w:val="004F21E9"/>
    <w:rsid w:val="004F2BBE"/>
    <w:rsid w:val="004F2DB8"/>
    <w:rsid w:val="00512F2F"/>
    <w:rsid w:val="005234A9"/>
    <w:rsid w:val="0052496F"/>
    <w:rsid w:val="00525454"/>
    <w:rsid w:val="005254CE"/>
    <w:rsid w:val="00527E29"/>
    <w:rsid w:val="00527E66"/>
    <w:rsid w:val="005339EE"/>
    <w:rsid w:val="005355B0"/>
    <w:rsid w:val="00541E36"/>
    <w:rsid w:val="00545D50"/>
    <w:rsid w:val="00546E28"/>
    <w:rsid w:val="00551E2A"/>
    <w:rsid w:val="00555B25"/>
    <w:rsid w:val="00556D9A"/>
    <w:rsid w:val="005672BE"/>
    <w:rsid w:val="00570793"/>
    <w:rsid w:val="005712EA"/>
    <w:rsid w:val="005728A9"/>
    <w:rsid w:val="0057357D"/>
    <w:rsid w:val="00575022"/>
    <w:rsid w:val="005756CA"/>
    <w:rsid w:val="0058125D"/>
    <w:rsid w:val="005817A2"/>
    <w:rsid w:val="00581AD9"/>
    <w:rsid w:val="005836D1"/>
    <w:rsid w:val="00584AA5"/>
    <w:rsid w:val="005853DC"/>
    <w:rsid w:val="00591FA7"/>
    <w:rsid w:val="00597654"/>
    <w:rsid w:val="005A0158"/>
    <w:rsid w:val="005A0BD5"/>
    <w:rsid w:val="005A17C8"/>
    <w:rsid w:val="005A1977"/>
    <w:rsid w:val="005A502F"/>
    <w:rsid w:val="005A6D57"/>
    <w:rsid w:val="005A7D79"/>
    <w:rsid w:val="005B0E2B"/>
    <w:rsid w:val="005B1D4A"/>
    <w:rsid w:val="005B2DEE"/>
    <w:rsid w:val="005B3CB4"/>
    <w:rsid w:val="005B6EC3"/>
    <w:rsid w:val="005C0AB2"/>
    <w:rsid w:val="005C0CB1"/>
    <w:rsid w:val="005C244D"/>
    <w:rsid w:val="005C4836"/>
    <w:rsid w:val="005C54D9"/>
    <w:rsid w:val="005C5E42"/>
    <w:rsid w:val="005D0A5B"/>
    <w:rsid w:val="005E00FC"/>
    <w:rsid w:val="005E408D"/>
    <w:rsid w:val="005F0EDF"/>
    <w:rsid w:val="005F2783"/>
    <w:rsid w:val="005F3E1E"/>
    <w:rsid w:val="005F52E3"/>
    <w:rsid w:val="00603612"/>
    <w:rsid w:val="00603F4E"/>
    <w:rsid w:val="00604695"/>
    <w:rsid w:val="00606EE4"/>
    <w:rsid w:val="00611389"/>
    <w:rsid w:val="006113B7"/>
    <w:rsid w:val="0061241D"/>
    <w:rsid w:val="00616C30"/>
    <w:rsid w:val="00621E5F"/>
    <w:rsid w:val="006235BE"/>
    <w:rsid w:val="006242B5"/>
    <w:rsid w:val="00625AF7"/>
    <w:rsid w:val="00626109"/>
    <w:rsid w:val="006278EC"/>
    <w:rsid w:val="00631065"/>
    <w:rsid w:val="006318D7"/>
    <w:rsid w:val="00633629"/>
    <w:rsid w:val="006337EC"/>
    <w:rsid w:val="00635401"/>
    <w:rsid w:val="006427B2"/>
    <w:rsid w:val="00644943"/>
    <w:rsid w:val="00645BC1"/>
    <w:rsid w:val="00655C13"/>
    <w:rsid w:val="00656BFE"/>
    <w:rsid w:val="00660F73"/>
    <w:rsid w:val="00661078"/>
    <w:rsid w:val="00661476"/>
    <w:rsid w:val="00662357"/>
    <w:rsid w:val="006624B5"/>
    <w:rsid w:val="006632B3"/>
    <w:rsid w:val="006635C8"/>
    <w:rsid w:val="00664A01"/>
    <w:rsid w:val="00664CEA"/>
    <w:rsid w:val="0066666C"/>
    <w:rsid w:val="006703FB"/>
    <w:rsid w:val="0067042A"/>
    <w:rsid w:val="00671881"/>
    <w:rsid w:val="00672010"/>
    <w:rsid w:val="006730F7"/>
    <w:rsid w:val="006733B7"/>
    <w:rsid w:val="0067529C"/>
    <w:rsid w:val="00675509"/>
    <w:rsid w:val="006831A7"/>
    <w:rsid w:val="00683B4D"/>
    <w:rsid w:val="006921EE"/>
    <w:rsid w:val="00692EB6"/>
    <w:rsid w:val="00695079"/>
    <w:rsid w:val="00696956"/>
    <w:rsid w:val="006A204E"/>
    <w:rsid w:val="006A2B29"/>
    <w:rsid w:val="006A3C88"/>
    <w:rsid w:val="006B0EA4"/>
    <w:rsid w:val="006B123E"/>
    <w:rsid w:val="006B2012"/>
    <w:rsid w:val="006B23DE"/>
    <w:rsid w:val="006C0AAF"/>
    <w:rsid w:val="006C0E2A"/>
    <w:rsid w:val="006C4107"/>
    <w:rsid w:val="006C55C2"/>
    <w:rsid w:val="006C56AD"/>
    <w:rsid w:val="006D2300"/>
    <w:rsid w:val="006D553A"/>
    <w:rsid w:val="006E153C"/>
    <w:rsid w:val="006F02F3"/>
    <w:rsid w:val="006F4109"/>
    <w:rsid w:val="006F68CD"/>
    <w:rsid w:val="00702DDD"/>
    <w:rsid w:val="00706F06"/>
    <w:rsid w:val="007114B8"/>
    <w:rsid w:val="0071380F"/>
    <w:rsid w:val="00725CA9"/>
    <w:rsid w:val="0072610E"/>
    <w:rsid w:val="007264DC"/>
    <w:rsid w:val="00733F09"/>
    <w:rsid w:val="00736F32"/>
    <w:rsid w:val="007439F6"/>
    <w:rsid w:val="0074410D"/>
    <w:rsid w:val="00745424"/>
    <w:rsid w:val="0074744A"/>
    <w:rsid w:val="0075731C"/>
    <w:rsid w:val="00761C69"/>
    <w:rsid w:val="00763CA9"/>
    <w:rsid w:val="00764D27"/>
    <w:rsid w:val="00765E62"/>
    <w:rsid w:val="007701ED"/>
    <w:rsid w:val="007725A2"/>
    <w:rsid w:val="00774C46"/>
    <w:rsid w:val="00775FB9"/>
    <w:rsid w:val="0077744F"/>
    <w:rsid w:val="0078510D"/>
    <w:rsid w:val="00791278"/>
    <w:rsid w:val="0079278F"/>
    <w:rsid w:val="007978AC"/>
    <w:rsid w:val="007B4E39"/>
    <w:rsid w:val="007B52A5"/>
    <w:rsid w:val="007B6302"/>
    <w:rsid w:val="007B6604"/>
    <w:rsid w:val="007C28F8"/>
    <w:rsid w:val="007C3432"/>
    <w:rsid w:val="007C4ACB"/>
    <w:rsid w:val="007D0DFE"/>
    <w:rsid w:val="007D25FF"/>
    <w:rsid w:val="007D28D5"/>
    <w:rsid w:val="007D2F24"/>
    <w:rsid w:val="007D43B4"/>
    <w:rsid w:val="007D4869"/>
    <w:rsid w:val="007D678A"/>
    <w:rsid w:val="007E3B67"/>
    <w:rsid w:val="007E6F59"/>
    <w:rsid w:val="007E747C"/>
    <w:rsid w:val="007F0842"/>
    <w:rsid w:val="007F3E1A"/>
    <w:rsid w:val="007F4A39"/>
    <w:rsid w:val="007F6FE3"/>
    <w:rsid w:val="007F748E"/>
    <w:rsid w:val="007F7BC3"/>
    <w:rsid w:val="00800E7C"/>
    <w:rsid w:val="008029D6"/>
    <w:rsid w:val="00802F0D"/>
    <w:rsid w:val="008064D6"/>
    <w:rsid w:val="00810D2B"/>
    <w:rsid w:val="0081198D"/>
    <w:rsid w:val="008119F4"/>
    <w:rsid w:val="00816813"/>
    <w:rsid w:val="00817083"/>
    <w:rsid w:val="008225BD"/>
    <w:rsid w:val="00822D3A"/>
    <w:rsid w:val="00824087"/>
    <w:rsid w:val="00824C85"/>
    <w:rsid w:val="0083317E"/>
    <w:rsid w:val="0083367A"/>
    <w:rsid w:val="008337A3"/>
    <w:rsid w:val="00834CAA"/>
    <w:rsid w:val="00835D56"/>
    <w:rsid w:val="00837394"/>
    <w:rsid w:val="00843A8A"/>
    <w:rsid w:val="0085150D"/>
    <w:rsid w:val="00853456"/>
    <w:rsid w:val="0085744F"/>
    <w:rsid w:val="00864946"/>
    <w:rsid w:val="008708C6"/>
    <w:rsid w:val="008753AF"/>
    <w:rsid w:val="00875B28"/>
    <w:rsid w:val="00876905"/>
    <w:rsid w:val="00877C7C"/>
    <w:rsid w:val="00881730"/>
    <w:rsid w:val="00883B45"/>
    <w:rsid w:val="00885028"/>
    <w:rsid w:val="00891595"/>
    <w:rsid w:val="008946FC"/>
    <w:rsid w:val="00894DA2"/>
    <w:rsid w:val="008A0FB9"/>
    <w:rsid w:val="008A1046"/>
    <w:rsid w:val="008A58E4"/>
    <w:rsid w:val="008A59FB"/>
    <w:rsid w:val="008A65A1"/>
    <w:rsid w:val="008B2975"/>
    <w:rsid w:val="008B4FCE"/>
    <w:rsid w:val="008B69B2"/>
    <w:rsid w:val="008B7F63"/>
    <w:rsid w:val="008C527F"/>
    <w:rsid w:val="008C62CC"/>
    <w:rsid w:val="008C76BA"/>
    <w:rsid w:val="008D1636"/>
    <w:rsid w:val="008D7DAC"/>
    <w:rsid w:val="008E3071"/>
    <w:rsid w:val="008E5B17"/>
    <w:rsid w:val="008E6156"/>
    <w:rsid w:val="008E7E4E"/>
    <w:rsid w:val="008F0E39"/>
    <w:rsid w:val="008F3901"/>
    <w:rsid w:val="008F5736"/>
    <w:rsid w:val="008F5775"/>
    <w:rsid w:val="009028B1"/>
    <w:rsid w:val="009058BF"/>
    <w:rsid w:val="0090625D"/>
    <w:rsid w:val="0090714D"/>
    <w:rsid w:val="0090725A"/>
    <w:rsid w:val="009073B6"/>
    <w:rsid w:val="00910A84"/>
    <w:rsid w:val="00916519"/>
    <w:rsid w:val="0092335F"/>
    <w:rsid w:val="00923DCC"/>
    <w:rsid w:val="009300E5"/>
    <w:rsid w:val="00931913"/>
    <w:rsid w:val="00931CE3"/>
    <w:rsid w:val="00933C6F"/>
    <w:rsid w:val="00934170"/>
    <w:rsid w:val="00940271"/>
    <w:rsid w:val="00940757"/>
    <w:rsid w:val="00950B0F"/>
    <w:rsid w:val="00950FE6"/>
    <w:rsid w:val="0095146A"/>
    <w:rsid w:val="009549F6"/>
    <w:rsid w:val="00956851"/>
    <w:rsid w:val="00956949"/>
    <w:rsid w:val="00957304"/>
    <w:rsid w:val="009573D1"/>
    <w:rsid w:val="00960AE5"/>
    <w:rsid w:val="00963B3A"/>
    <w:rsid w:val="00965CA4"/>
    <w:rsid w:val="00971730"/>
    <w:rsid w:val="00972EF2"/>
    <w:rsid w:val="00972FF8"/>
    <w:rsid w:val="00975537"/>
    <w:rsid w:val="00977B92"/>
    <w:rsid w:val="00987C50"/>
    <w:rsid w:val="00987C89"/>
    <w:rsid w:val="00990095"/>
    <w:rsid w:val="009904F2"/>
    <w:rsid w:val="00995F93"/>
    <w:rsid w:val="00996182"/>
    <w:rsid w:val="00996F1B"/>
    <w:rsid w:val="009A6628"/>
    <w:rsid w:val="009A6B55"/>
    <w:rsid w:val="009A7C2B"/>
    <w:rsid w:val="009B0305"/>
    <w:rsid w:val="009B108B"/>
    <w:rsid w:val="009B32A7"/>
    <w:rsid w:val="009B609A"/>
    <w:rsid w:val="009B7D81"/>
    <w:rsid w:val="009C3DE4"/>
    <w:rsid w:val="009C4787"/>
    <w:rsid w:val="009C490F"/>
    <w:rsid w:val="009C5600"/>
    <w:rsid w:val="009C60E5"/>
    <w:rsid w:val="009D06DC"/>
    <w:rsid w:val="009E64B2"/>
    <w:rsid w:val="009E6593"/>
    <w:rsid w:val="009E6B69"/>
    <w:rsid w:val="009F179B"/>
    <w:rsid w:val="009F1B26"/>
    <w:rsid w:val="009F21EE"/>
    <w:rsid w:val="009F2328"/>
    <w:rsid w:val="009F3980"/>
    <w:rsid w:val="009F5CDE"/>
    <w:rsid w:val="009F764E"/>
    <w:rsid w:val="009F77B6"/>
    <w:rsid w:val="00A02663"/>
    <w:rsid w:val="00A0356C"/>
    <w:rsid w:val="00A0497C"/>
    <w:rsid w:val="00A10668"/>
    <w:rsid w:val="00A13C05"/>
    <w:rsid w:val="00A14D3F"/>
    <w:rsid w:val="00A20FC6"/>
    <w:rsid w:val="00A221A3"/>
    <w:rsid w:val="00A234BF"/>
    <w:rsid w:val="00A354B5"/>
    <w:rsid w:val="00A35802"/>
    <w:rsid w:val="00A35B58"/>
    <w:rsid w:val="00A35EBE"/>
    <w:rsid w:val="00A36047"/>
    <w:rsid w:val="00A3660D"/>
    <w:rsid w:val="00A40E81"/>
    <w:rsid w:val="00A4349D"/>
    <w:rsid w:val="00A43F40"/>
    <w:rsid w:val="00A44D67"/>
    <w:rsid w:val="00A45D2B"/>
    <w:rsid w:val="00A46870"/>
    <w:rsid w:val="00A46A19"/>
    <w:rsid w:val="00A55129"/>
    <w:rsid w:val="00A55B57"/>
    <w:rsid w:val="00A620C5"/>
    <w:rsid w:val="00A63072"/>
    <w:rsid w:val="00A63D3C"/>
    <w:rsid w:val="00A66061"/>
    <w:rsid w:val="00A66F6A"/>
    <w:rsid w:val="00A75D64"/>
    <w:rsid w:val="00A76831"/>
    <w:rsid w:val="00A76993"/>
    <w:rsid w:val="00A77DEF"/>
    <w:rsid w:val="00A801A2"/>
    <w:rsid w:val="00A80868"/>
    <w:rsid w:val="00A81766"/>
    <w:rsid w:val="00A8426D"/>
    <w:rsid w:val="00A86DCC"/>
    <w:rsid w:val="00A87FF8"/>
    <w:rsid w:val="00A90CDE"/>
    <w:rsid w:val="00A93FD3"/>
    <w:rsid w:val="00A94B7A"/>
    <w:rsid w:val="00A94CDE"/>
    <w:rsid w:val="00AA1D69"/>
    <w:rsid w:val="00AA48A3"/>
    <w:rsid w:val="00AA6CCA"/>
    <w:rsid w:val="00AA7ECE"/>
    <w:rsid w:val="00AB7A55"/>
    <w:rsid w:val="00AB7C52"/>
    <w:rsid w:val="00AC374D"/>
    <w:rsid w:val="00AC40B0"/>
    <w:rsid w:val="00AC6C8B"/>
    <w:rsid w:val="00AD06A7"/>
    <w:rsid w:val="00AD0EFC"/>
    <w:rsid w:val="00AD2910"/>
    <w:rsid w:val="00AD58C7"/>
    <w:rsid w:val="00AE1E5E"/>
    <w:rsid w:val="00AE2B77"/>
    <w:rsid w:val="00AE3E63"/>
    <w:rsid w:val="00AE5FBB"/>
    <w:rsid w:val="00AEB046"/>
    <w:rsid w:val="00AF0F4A"/>
    <w:rsid w:val="00AF3821"/>
    <w:rsid w:val="00AF6A1B"/>
    <w:rsid w:val="00AF6F8C"/>
    <w:rsid w:val="00AF7674"/>
    <w:rsid w:val="00B00275"/>
    <w:rsid w:val="00B01084"/>
    <w:rsid w:val="00B01E40"/>
    <w:rsid w:val="00B05AAE"/>
    <w:rsid w:val="00B069C2"/>
    <w:rsid w:val="00B10DD3"/>
    <w:rsid w:val="00B11BB7"/>
    <w:rsid w:val="00B11D91"/>
    <w:rsid w:val="00B12E36"/>
    <w:rsid w:val="00B12E3B"/>
    <w:rsid w:val="00B14F28"/>
    <w:rsid w:val="00B16893"/>
    <w:rsid w:val="00B214E5"/>
    <w:rsid w:val="00B2320B"/>
    <w:rsid w:val="00B23863"/>
    <w:rsid w:val="00B23C0D"/>
    <w:rsid w:val="00B302AF"/>
    <w:rsid w:val="00B32928"/>
    <w:rsid w:val="00B35133"/>
    <w:rsid w:val="00B438D7"/>
    <w:rsid w:val="00B43F99"/>
    <w:rsid w:val="00B50617"/>
    <w:rsid w:val="00B50DCE"/>
    <w:rsid w:val="00B52348"/>
    <w:rsid w:val="00B53A94"/>
    <w:rsid w:val="00B54E77"/>
    <w:rsid w:val="00B56430"/>
    <w:rsid w:val="00B605B3"/>
    <w:rsid w:val="00B65993"/>
    <w:rsid w:val="00B65A1C"/>
    <w:rsid w:val="00B7211B"/>
    <w:rsid w:val="00B725B3"/>
    <w:rsid w:val="00B73B35"/>
    <w:rsid w:val="00B757C3"/>
    <w:rsid w:val="00B816A4"/>
    <w:rsid w:val="00B821F4"/>
    <w:rsid w:val="00B83358"/>
    <w:rsid w:val="00B84535"/>
    <w:rsid w:val="00B8500B"/>
    <w:rsid w:val="00B85247"/>
    <w:rsid w:val="00B90863"/>
    <w:rsid w:val="00B939E1"/>
    <w:rsid w:val="00B978FD"/>
    <w:rsid w:val="00B97EEC"/>
    <w:rsid w:val="00BA143C"/>
    <w:rsid w:val="00BA4D25"/>
    <w:rsid w:val="00BA5A19"/>
    <w:rsid w:val="00BB118C"/>
    <w:rsid w:val="00BB176A"/>
    <w:rsid w:val="00BB3A37"/>
    <w:rsid w:val="00BB505E"/>
    <w:rsid w:val="00BB5BDE"/>
    <w:rsid w:val="00BB62EF"/>
    <w:rsid w:val="00BC12DA"/>
    <w:rsid w:val="00BC74A5"/>
    <w:rsid w:val="00BD0823"/>
    <w:rsid w:val="00BD0E8C"/>
    <w:rsid w:val="00BD34C4"/>
    <w:rsid w:val="00BD389A"/>
    <w:rsid w:val="00BD45D5"/>
    <w:rsid w:val="00BD56D2"/>
    <w:rsid w:val="00BD7A7E"/>
    <w:rsid w:val="00BD7F83"/>
    <w:rsid w:val="00BE11E6"/>
    <w:rsid w:val="00BE3630"/>
    <w:rsid w:val="00BE5324"/>
    <w:rsid w:val="00BE5D2A"/>
    <w:rsid w:val="00BE7B53"/>
    <w:rsid w:val="00BF0386"/>
    <w:rsid w:val="00BF2796"/>
    <w:rsid w:val="00BF2870"/>
    <w:rsid w:val="00BF2A7A"/>
    <w:rsid w:val="00BF4577"/>
    <w:rsid w:val="00BF7D6B"/>
    <w:rsid w:val="00C02B86"/>
    <w:rsid w:val="00C066B3"/>
    <w:rsid w:val="00C06EA3"/>
    <w:rsid w:val="00C121C9"/>
    <w:rsid w:val="00C12742"/>
    <w:rsid w:val="00C20426"/>
    <w:rsid w:val="00C22058"/>
    <w:rsid w:val="00C253D0"/>
    <w:rsid w:val="00C2797E"/>
    <w:rsid w:val="00C336DD"/>
    <w:rsid w:val="00C34697"/>
    <w:rsid w:val="00C37459"/>
    <w:rsid w:val="00C43E96"/>
    <w:rsid w:val="00C45096"/>
    <w:rsid w:val="00C45E3E"/>
    <w:rsid w:val="00C50180"/>
    <w:rsid w:val="00C54246"/>
    <w:rsid w:val="00C55491"/>
    <w:rsid w:val="00C56B2D"/>
    <w:rsid w:val="00C57C9E"/>
    <w:rsid w:val="00C60598"/>
    <w:rsid w:val="00C609C6"/>
    <w:rsid w:val="00C6163C"/>
    <w:rsid w:val="00C61DE7"/>
    <w:rsid w:val="00C6214A"/>
    <w:rsid w:val="00C711F1"/>
    <w:rsid w:val="00C717A9"/>
    <w:rsid w:val="00C717AF"/>
    <w:rsid w:val="00C7350E"/>
    <w:rsid w:val="00C76CF7"/>
    <w:rsid w:val="00C7766F"/>
    <w:rsid w:val="00C801B9"/>
    <w:rsid w:val="00C82DD5"/>
    <w:rsid w:val="00C915D8"/>
    <w:rsid w:val="00C93BE2"/>
    <w:rsid w:val="00C94808"/>
    <w:rsid w:val="00C9484D"/>
    <w:rsid w:val="00C950C7"/>
    <w:rsid w:val="00C95AF7"/>
    <w:rsid w:val="00C96CDA"/>
    <w:rsid w:val="00CA0CEE"/>
    <w:rsid w:val="00CA6016"/>
    <w:rsid w:val="00CB0D65"/>
    <w:rsid w:val="00CB0F21"/>
    <w:rsid w:val="00CB45B1"/>
    <w:rsid w:val="00CB560A"/>
    <w:rsid w:val="00CB774B"/>
    <w:rsid w:val="00CC0E1A"/>
    <w:rsid w:val="00CC4F08"/>
    <w:rsid w:val="00CC78BF"/>
    <w:rsid w:val="00CD2167"/>
    <w:rsid w:val="00CD5BEF"/>
    <w:rsid w:val="00CD7CEC"/>
    <w:rsid w:val="00CE0122"/>
    <w:rsid w:val="00CE01D9"/>
    <w:rsid w:val="00CE1105"/>
    <w:rsid w:val="00CE250F"/>
    <w:rsid w:val="00CE2C0B"/>
    <w:rsid w:val="00CE3734"/>
    <w:rsid w:val="00CE6817"/>
    <w:rsid w:val="00CF0E0A"/>
    <w:rsid w:val="00CF256D"/>
    <w:rsid w:val="00CF28E7"/>
    <w:rsid w:val="00CF45DD"/>
    <w:rsid w:val="00CF6BC7"/>
    <w:rsid w:val="00D02ADE"/>
    <w:rsid w:val="00D02DDC"/>
    <w:rsid w:val="00D04EDB"/>
    <w:rsid w:val="00D05CBA"/>
    <w:rsid w:val="00D0680C"/>
    <w:rsid w:val="00D13D3D"/>
    <w:rsid w:val="00D14B27"/>
    <w:rsid w:val="00D160E0"/>
    <w:rsid w:val="00D168A6"/>
    <w:rsid w:val="00D16E0A"/>
    <w:rsid w:val="00D279AE"/>
    <w:rsid w:val="00D3141D"/>
    <w:rsid w:val="00D314FB"/>
    <w:rsid w:val="00D34053"/>
    <w:rsid w:val="00D40CFC"/>
    <w:rsid w:val="00D4151E"/>
    <w:rsid w:val="00D4251F"/>
    <w:rsid w:val="00D5044E"/>
    <w:rsid w:val="00D61406"/>
    <w:rsid w:val="00D61EFA"/>
    <w:rsid w:val="00D62FA9"/>
    <w:rsid w:val="00D634AA"/>
    <w:rsid w:val="00D671D2"/>
    <w:rsid w:val="00D715CA"/>
    <w:rsid w:val="00D72097"/>
    <w:rsid w:val="00D75CC0"/>
    <w:rsid w:val="00D763F7"/>
    <w:rsid w:val="00D77161"/>
    <w:rsid w:val="00D81646"/>
    <w:rsid w:val="00D81EAD"/>
    <w:rsid w:val="00D81FC8"/>
    <w:rsid w:val="00D8463A"/>
    <w:rsid w:val="00D86419"/>
    <w:rsid w:val="00D86632"/>
    <w:rsid w:val="00D87736"/>
    <w:rsid w:val="00D91701"/>
    <w:rsid w:val="00D95D30"/>
    <w:rsid w:val="00D96EDB"/>
    <w:rsid w:val="00D97DB4"/>
    <w:rsid w:val="00DA3566"/>
    <w:rsid w:val="00DA5FAE"/>
    <w:rsid w:val="00DA6029"/>
    <w:rsid w:val="00DA7F17"/>
    <w:rsid w:val="00DB0843"/>
    <w:rsid w:val="00DB1C94"/>
    <w:rsid w:val="00DB28B7"/>
    <w:rsid w:val="00DB4476"/>
    <w:rsid w:val="00DB5B09"/>
    <w:rsid w:val="00DB5BF9"/>
    <w:rsid w:val="00DB720C"/>
    <w:rsid w:val="00DB7845"/>
    <w:rsid w:val="00DC1E0A"/>
    <w:rsid w:val="00DC2A7B"/>
    <w:rsid w:val="00DC3074"/>
    <w:rsid w:val="00DC3649"/>
    <w:rsid w:val="00DC43E9"/>
    <w:rsid w:val="00DD38B7"/>
    <w:rsid w:val="00DD3BE3"/>
    <w:rsid w:val="00DD7D0E"/>
    <w:rsid w:val="00DE1257"/>
    <w:rsid w:val="00DE5AF7"/>
    <w:rsid w:val="00DE6DA3"/>
    <w:rsid w:val="00DF0D7D"/>
    <w:rsid w:val="00DF2126"/>
    <w:rsid w:val="00DF4B51"/>
    <w:rsid w:val="00E00279"/>
    <w:rsid w:val="00E017F6"/>
    <w:rsid w:val="00E03905"/>
    <w:rsid w:val="00E11A39"/>
    <w:rsid w:val="00E11BEF"/>
    <w:rsid w:val="00E12DE1"/>
    <w:rsid w:val="00E13057"/>
    <w:rsid w:val="00E15A91"/>
    <w:rsid w:val="00E22C59"/>
    <w:rsid w:val="00E24429"/>
    <w:rsid w:val="00E26D56"/>
    <w:rsid w:val="00E26F47"/>
    <w:rsid w:val="00E31BF6"/>
    <w:rsid w:val="00E33EF9"/>
    <w:rsid w:val="00E340C1"/>
    <w:rsid w:val="00E34AAB"/>
    <w:rsid w:val="00E34E23"/>
    <w:rsid w:val="00E44BFE"/>
    <w:rsid w:val="00E450CA"/>
    <w:rsid w:val="00E47AE4"/>
    <w:rsid w:val="00E502AE"/>
    <w:rsid w:val="00E55844"/>
    <w:rsid w:val="00E578D7"/>
    <w:rsid w:val="00E611BB"/>
    <w:rsid w:val="00E666C0"/>
    <w:rsid w:val="00E66FD6"/>
    <w:rsid w:val="00E70056"/>
    <w:rsid w:val="00E7181A"/>
    <w:rsid w:val="00E74638"/>
    <w:rsid w:val="00E9151E"/>
    <w:rsid w:val="00E9383F"/>
    <w:rsid w:val="00EA1E3C"/>
    <w:rsid w:val="00EA31C0"/>
    <w:rsid w:val="00EA4D81"/>
    <w:rsid w:val="00EB11B2"/>
    <w:rsid w:val="00EB21C9"/>
    <w:rsid w:val="00EB4EE1"/>
    <w:rsid w:val="00EB65C5"/>
    <w:rsid w:val="00EC1088"/>
    <w:rsid w:val="00EC1F67"/>
    <w:rsid w:val="00EC28B0"/>
    <w:rsid w:val="00ED2623"/>
    <w:rsid w:val="00EE13DF"/>
    <w:rsid w:val="00EE15AD"/>
    <w:rsid w:val="00EE2D96"/>
    <w:rsid w:val="00EE4D6F"/>
    <w:rsid w:val="00EE7A58"/>
    <w:rsid w:val="00EF006D"/>
    <w:rsid w:val="00EF0BF9"/>
    <w:rsid w:val="00EF20F8"/>
    <w:rsid w:val="00EF3CE5"/>
    <w:rsid w:val="00EF3FFC"/>
    <w:rsid w:val="00EF6C62"/>
    <w:rsid w:val="00F0016A"/>
    <w:rsid w:val="00F00C5A"/>
    <w:rsid w:val="00F011AA"/>
    <w:rsid w:val="00F0256D"/>
    <w:rsid w:val="00F04485"/>
    <w:rsid w:val="00F066CA"/>
    <w:rsid w:val="00F13A1B"/>
    <w:rsid w:val="00F13E60"/>
    <w:rsid w:val="00F15D7D"/>
    <w:rsid w:val="00F16BBF"/>
    <w:rsid w:val="00F1724F"/>
    <w:rsid w:val="00F178D2"/>
    <w:rsid w:val="00F24246"/>
    <w:rsid w:val="00F24FBA"/>
    <w:rsid w:val="00F32B23"/>
    <w:rsid w:val="00F34BB9"/>
    <w:rsid w:val="00F34E6E"/>
    <w:rsid w:val="00F37C61"/>
    <w:rsid w:val="00F37F7C"/>
    <w:rsid w:val="00F40A22"/>
    <w:rsid w:val="00F40D76"/>
    <w:rsid w:val="00F41A2C"/>
    <w:rsid w:val="00F434D5"/>
    <w:rsid w:val="00F479C2"/>
    <w:rsid w:val="00F52ED8"/>
    <w:rsid w:val="00F53770"/>
    <w:rsid w:val="00F53957"/>
    <w:rsid w:val="00F555C9"/>
    <w:rsid w:val="00F55FFC"/>
    <w:rsid w:val="00F63D45"/>
    <w:rsid w:val="00F67877"/>
    <w:rsid w:val="00F67F52"/>
    <w:rsid w:val="00F71C57"/>
    <w:rsid w:val="00F72DB2"/>
    <w:rsid w:val="00F7324C"/>
    <w:rsid w:val="00F74C03"/>
    <w:rsid w:val="00F80CF6"/>
    <w:rsid w:val="00F81881"/>
    <w:rsid w:val="00F81F64"/>
    <w:rsid w:val="00F854D3"/>
    <w:rsid w:val="00F864EB"/>
    <w:rsid w:val="00F902A4"/>
    <w:rsid w:val="00F949B0"/>
    <w:rsid w:val="00F977CA"/>
    <w:rsid w:val="00FA26E8"/>
    <w:rsid w:val="00FA57CC"/>
    <w:rsid w:val="00FA791A"/>
    <w:rsid w:val="00FB1231"/>
    <w:rsid w:val="00FB359E"/>
    <w:rsid w:val="00FB3E28"/>
    <w:rsid w:val="00FB53E2"/>
    <w:rsid w:val="00FB748E"/>
    <w:rsid w:val="00FC2605"/>
    <w:rsid w:val="00FC40D4"/>
    <w:rsid w:val="00FC6058"/>
    <w:rsid w:val="00FC6E27"/>
    <w:rsid w:val="00FC7134"/>
    <w:rsid w:val="00FD2777"/>
    <w:rsid w:val="00FD4413"/>
    <w:rsid w:val="00FD49E8"/>
    <w:rsid w:val="00FD7065"/>
    <w:rsid w:val="00FD7D13"/>
    <w:rsid w:val="00FE46E3"/>
    <w:rsid w:val="00FE5284"/>
    <w:rsid w:val="00FE529F"/>
    <w:rsid w:val="00FE5807"/>
    <w:rsid w:val="00FE6B96"/>
    <w:rsid w:val="00FE6D1D"/>
    <w:rsid w:val="00FE7CB5"/>
    <w:rsid w:val="00FF5E58"/>
    <w:rsid w:val="00FF5F3E"/>
    <w:rsid w:val="00FF60A2"/>
    <w:rsid w:val="046C9985"/>
    <w:rsid w:val="057CFFAA"/>
    <w:rsid w:val="09EF7ABE"/>
    <w:rsid w:val="0A4BD3A2"/>
    <w:rsid w:val="0E1222B9"/>
    <w:rsid w:val="0FBCE2E5"/>
    <w:rsid w:val="10C78ED3"/>
    <w:rsid w:val="123412A3"/>
    <w:rsid w:val="17B48962"/>
    <w:rsid w:val="18135CF6"/>
    <w:rsid w:val="1F0E922B"/>
    <w:rsid w:val="31AD2DD0"/>
    <w:rsid w:val="36B388FE"/>
    <w:rsid w:val="37FF61BB"/>
    <w:rsid w:val="381DDB5A"/>
    <w:rsid w:val="3B736A53"/>
    <w:rsid w:val="3BE7A626"/>
    <w:rsid w:val="3C0B36A2"/>
    <w:rsid w:val="3C2766D2"/>
    <w:rsid w:val="3EFBE398"/>
    <w:rsid w:val="4A5291BA"/>
    <w:rsid w:val="4E11576E"/>
    <w:rsid w:val="51AB2161"/>
    <w:rsid w:val="589E2F27"/>
    <w:rsid w:val="6111A71B"/>
    <w:rsid w:val="6118F08A"/>
    <w:rsid w:val="624FB8AB"/>
    <w:rsid w:val="64695C12"/>
    <w:rsid w:val="65FE0E1C"/>
    <w:rsid w:val="6B34F939"/>
    <w:rsid w:val="6C39C6C7"/>
    <w:rsid w:val="7728ECDB"/>
    <w:rsid w:val="7B19B049"/>
    <w:rsid w:val="7D6B2DF6"/>
    <w:rsid w:val="7DDFA9B1"/>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F1021DCD-5FB0-4D02-8EB9-DEB25EE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1"/>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styleId="Mention">
    <w:name w:val="Mention"/>
    <w:basedOn w:val="DefaultParagraphFont"/>
    <w:uiPriority w:val="99"/>
    <w:unhideWhenUsed/>
    <w:rsid w:val="00200A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9" ma:contentTypeDescription="Create a new document." ma:contentTypeScope="" ma:versionID="85887be3c0bb812ee29b65456b9d85a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7cfcb2893e6dba6317d1f24ba297330c"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SharedWithUsers xmlns="c4310aad-d41c-471a-8d4b-290545d5ba7f">
      <UserInfo>
        <DisplayName/>
        <AccountId xsi:nil="true"/>
        <AccountType/>
      </UserInfo>
    </SharedWithUsers>
    <Gillian xmlns="893fd4a9-69b0-4229-815d-5c6d5205746f">
      <UserInfo>
        <DisplayName/>
        <AccountId xsi:nil="true"/>
        <AccountType/>
      </UserInfo>
    </Gillia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6B32E-DEBC-4701-9F49-729C89232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5639C-731A-4DF3-A3EE-ECD14FEC87A7}">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customXml/itemProps3.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4.xml><?xml version="1.0" encoding="utf-8"?>
<ds:datastoreItem xmlns:ds="http://schemas.openxmlformats.org/officeDocument/2006/customXml" ds:itemID="{9F87BFF6-D903-42B6-8D00-2EE504AD8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explanatory-note-five-domains</dc:title>
  <dc:subject/>
  <dc:creator>Anne Guillon</dc:creator>
  <cp:keywords/>
  <dc:description/>
  <cp:lastModifiedBy>Egrie, Paul - MRP-APHIS</cp:lastModifiedBy>
  <cp:revision>14</cp:revision>
  <cp:lastPrinted>2022-02-25T03:22:00Z</cp:lastPrinted>
  <dcterms:created xsi:type="dcterms:W3CDTF">2024-02-22T11:49:00Z</dcterms:created>
  <dcterms:modified xsi:type="dcterms:W3CDTF">2024-04-03T13:45:00Z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