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212D" w14:textId="1AC81A2F" w:rsidR="00C2520A" w:rsidRPr="00182C05" w:rsidRDefault="00182C05" w:rsidP="008A1777">
      <w:pPr>
        <w:pStyle w:val="Chatperno"/>
        <w:rPr>
          <w:b/>
          <w:bCs/>
          <w:color w:val="FF0000"/>
        </w:rPr>
      </w:pPr>
      <w:r>
        <w:rPr>
          <w:b/>
          <w:bCs/>
          <w:color w:val="FF0000"/>
        </w:rPr>
        <w:t>usa comments in red font</w:t>
      </w:r>
    </w:p>
    <w:p w14:paraId="7E7BBA75" w14:textId="6ADC832C" w:rsidR="00946E8A" w:rsidRPr="001A68E6" w:rsidRDefault="00946E8A" w:rsidP="008A1777">
      <w:pPr>
        <w:pStyle w:val="Chatperno"/>
      </w:pPr>
      <w:r w:rsidRPr="001A68E6">
        <w:t xml:space="preserve">Chapter </w:t>
      </w:r>
      <w:r w:rsidR="009D5565" w:rsidRPr="001A68E6">
        <w:t>3</w:t>
      </w:r>
      <w:r w:rsidRPr="001A68E6">
        <w:t>.</w:t>
      </w:r>
      <w:r w:rsidR="008A1777" w:rsidRPr="001A68E6">
        <w:t>3</w:t>
      </w:r>
      <w:r w:rsidR="008B34CF" w:rsidRPr="001A68E6">
        <w:t>.13</w:t>
      </w:r>
      <w:r w:rsidRPr="001A68E6">
        <w:t>.</w:t>
      </w:r>
    </w:p>
    <w:p w14:paraId="6BAD2618" w14:textId="77777777" w:rsidR="00946E8A" w:rsidRPr="001A68E6" w:rsidRDefault="00946E8A">
      <w:pPr>
        <w:pStyle w:val="Chaptertitle"/>
      </w:pPr>
      <w:r w:rsidRPr="001A68E6">
        <w:t>marek’s disease</w:t>
      </w:r>
    </w:p>
    <w:p w14:paraId="6C9B4FD7" w14:textId="77777777" w:rsidR="00946E8A" w:rsidRPr="001A68E6" w:rsidRDefault="00946E8A">
      <w:pPr>
        <w:pStyle w:val="Summarytitle"/>
      </w:pPr>
      <w:r w:rsidRPr="001A68E6">
        <w:t>SUMMARY</w:t>
      </w:r>
    </w:p>
    <w:p w14:paraId="1D52E551" w14:textId="69F8B4F2" w:rsidR="00946E8A" w:rsidRPr="001A68E6" w:rsidRDefault="006F6BE2" w:rsidP="00525072">
      <w:pPr>
        <w:pStyle w:val="sumtexte"/>
        <w:spacing w:after="100"/>
      </w:pPr>
      <w:r w:rsidRPr="001A68E6">
        <w:rPr>
          <w:b/>
          <w:bCs/>
          <w:u w:val="double"/>
        </w:rPr>
        <w:t>Description and importance of disease:</w:t>
      </w:r>
      <w:r w:rsidRPr="001A68E6">
        <w:t xml:space="preserve"> </w:t>
      </w:r>
      <w:r w:rsidR="00946E8A" w:rsidRPr="001A68E6">
        <w:t xml:space="preserve">Marek’s disease </w:t>
      </w:r>
      <w:r w:rsidR="00946E8A" w:rsidRPr="001A68E6">
        <w:rPr>
          <w:i w:val="0"/>
          <w:iCs w:val="0"/>
        </w:rPr>
        <w:t>(</w:t>
      </w:r>
      <w:r w:rsidR="00946E8A" w:rsidRPr="001A68E6">
        <w:t>MD</w:t>
      </w:r>
      <w:r w:rsidR="00946E8A" w:rsidRPr="001A68E6">
        <w:rPr>
          <w:i w:val="0"/>
          <w:iCs w:val="0"/>
        </w:rPr>
        <w:t>)</w:t>
      </w:r>
      <w:r w:rsidR="00946E8A" w:rsidRPr="001A68E6">
        <w:t xml:space="preserve"> is a lymphomatous and neuropathic disease of </w:t>
      </w:r>
      <w:r w:rsidR="00761295" w:rsidRPr="000561C0">
        <w:rPr>
          <w:rFonts w:cstheme="minorHAnsi"/>
          <w:highlight w:val="yellow"/>
          <w:u w:val="double"/>
          <w:lang w:val="en-IE"/>
        </w:rPr>
        <w:t>gallinaceous birds</w:t>
      </w:r>
      <w:r w:rsidR="000561C0" w:rsidRPr="000561C0">
        <w:rPr>
          <w:rFonts w:cstheme="minorHAnsi"/>
          <w:strike/>
          <w:highlight w:val="yellow"/>
          <w:lang w:val="en-IE"/>
        </w:rPr>
        <w:t xml:space="preserve"> </w:t>
      </w:r>
      <w:r w:rsidR="00946E8A" w:rsidRPr="000561C0">
        <w:rPr>
          <w:strike/>
          <w:highlight w:val="yellow"/>
        </w:rPr>
        <w:t>domestic fowl</w:t>
      </w:r>
      <w:r w:rsidR="00946E8A" w:rsidRPr="001A68E6">
        <w:t xml:space="preserve"> caused by </w:t>
      </w:r>
      <w:r w:rsidR="00ED0922" w:rsidRPr="001A68E6">
        <w:t>an alpha</w:t>
      </w:r>
      <w:r w:rsidR="00946E8A" w:rsidRPr="001A68E6">
        <w:t>herpesvirus</w:t>
      </w:r>
      <w:r w:rsidR="001D3125" w:rsidRPr="001A68E6">
        <w:t xml:space="preserve">, designated Marek’s disease virus </w:t>
      </w:r>
      <w:r w:rsidR="001D3125" w:rsidRPr="001A68E6">
        <w:rPr>
          <w:i w:val="0"/>
        </w:rPr>
        <w:t>(</w:t>
      </w:r>
      <w:r w:rsidR="001D3125" w:rsidRPr="001A68E6">
        <w:t>MDV</w:t>
      </w:r>
      <w:r w:rsidR="001D3125" w:rsidRPr="001A68E6">
        <w:rPr>
          <w:i w:val="0"/>
        </w:rPr>
        <w:t>)</w:t>
      </w:r>
      <w:r w:rsidR="00366C55" w:rsidRPr="001A68E6">
        <w:rPr>
          <w:i w:val="0"/>
          <w:strike/>
        </w:rPr>
        <w:t>,</w:t>
      </w:r>
      <w:r w:rsidR="00EA1E02" w:rsidRPr="001A68E6">
        <w:rPr>
          <w:strike/>
        </w:rPr>
        <w:t xml:space="preserve"> belonging to the genus </w:t>
      </w:r>
      <w:r w:rsidR="00EA1E02" w:rsidRPr="001A68E6">
        <w:rPr>
          <w:i w:val="0"/>
          <w:strike/>
        </w:rPr>
        <w:t>Mardivirus</w:t>
      </w:r>
      <w:r w:rsidR="003E4542" w:rsidRPr="001A68E6">
        <w:rPr>
          <w:i w:val="0"/>
        </w:rPr>
        <w:t>.</w:t>
      </w:r>
    </w:p>
    <w:p w14:paraId="103411CC" w14:textId="042A225F" w:rsidR="00946E8A" w:rsidRPr="001A68E6" w:rsidRDefault="00946E8A" w:rsidP="00525072">
      <w:pPr>
        <w:pStyle w:val="sumtexte"/>
        <w:spacing w:after="100"/>
      </w:pPr>
      <w:r w:rsidRPr="001A68E6">
        <w:t xml:space="preserve">Diagnosis is made on clinical signs and gross or microscopic lesions. </w:t>
      </w:r>
      <w:r w:rsidR="00DD5F37" w:rsidRPr="001A68E6">
        <w:t xml:space="preserve">Definitive diagnosis must be made by diagnosing the disease </w:t>
      </w:r>
      <w:r w:rsidR="00DD5F37" w:rsidRPr="001A68E6">
        <w:rPr>
          <w:i w:val="0"/>
        </w:rPr>
        <w:t>(</w:t>
      </w:r>
      <w:r w:rsidR="00246EB4" w:rsidRPr="001A68E6">
        <w:t>tumour</w:t>
      </w:r>
      <w:r w:rsidR="00DD5F37" w:rsidRPr="001A68E6">
        <w:rPr>
          <w:i w:val="0"/>
        </w:rPr>
        <w:t>)</w:t>
      </w:r>
      <w:r w:rsidR="00DD5F37" w:rsidRPr="001A68E6">
        <w:t xml:space="preserve">, not the infection. </w:t>
      </w:r>
      <w:r w:rsidRPr="001A68E6">
        <w:t>Chickens may become persistently infected with</w:t>
      </w:r>
      <w:r w:rsidR="001D3125" w:rsidRPr="001A68E6">
        <w:t xml:space="preserve"> MDV</w:t>
      </w:r>
      <w:r w:rsidRPr="001A68E6">
        <w:t xml:space="preserve"> without developing clinical disease. </w:t>
      </w:r>
      <w:r w:rsidR="003E4542" w:rsidRPr="001A68E6">
        <w:rPr>
          <w:strike/>
        </w:rPr>
        <w:t>Infection by MDV is detected by virus isolation and the demonstration of viral nucleic acid, antigen or antibodies.</w:t>
      </w:r>
    </w:p>
    <w:p w14:paraId="389B6985" w14:textId="3EEB0391" w:rsidR="00946E8A" w:rsidRPr="001A68E6" w:rsidRDefault="00946E8A" w:rsidP="00525072">
      <w:pPr>
        <w:pStyle w:val="sumtexte"/>
        <w:spacing w:after="100"/>
        <w:rPr>
          <w:strike/>
        </w:rPr>
      </w:pPr>
      <w:r w:rsidRPr="001A68E6">
        <w:rPr>
          <w:strike/>
        </w:rPr>
        <w:t xml:space="preserve">MD is prevented by vaccination with monovalent or multivalent live virus vaccines </w:t>
      </w:r>
      <w:r w:rsidR="00D27033" w:rsidRPr="001A68E6">
        <w:rPr>
          <w:strike/>
        </w:rPr>
        <w:t xml:space="preserve">belonging to </w:t>
      </w:r>
      <w:r w:rsidRPr="001A68E6">
        <w:rPr>
          <w:strike/>
        </w:rPr>
        <w:t xml:space="preserve">various </w:t>
      </w:r>
      <w:r w:rsidR="001D3125" w:rsidRPr="001A68E6">
        <w:rPr>
          <w:strike/>
        </w:rPr>
        <w:t>species or sero</w:t>
      </w:r>
      <w:r w:rsidRPr="001A68E6">
        <w:rPr>
          <w:strike/>
        </w:rPr>
        <w:t xml:space="preserve">types. </w:t>
      </w:r>
      <w:r w:rsidR="001D3125" w:rsidRPr="001A68E6">
        <w:rPr>
          <w:strike/>
        </w:rPr>
        <w:t>V</w:t>
      </w:r>
      <w:r w:rsidRPr="001A68E6">
        <w:rPr>
          <w:strike/>
        </w:rPr>
        <w:t>accine</w:t>
      </w:r>
      <w:r w:rsidR="001D3125" w:rsidRPr="001A68E6">
        <w:rPr>
          <w:strike/>
        </w:rPr>
        <w:t>s</w:t>
      </w:r>
      <w:r w:rsidRPr="001A68E6">
        <w:rPr>
          <w:strike/>
        </w:rPr>
        <w:t xml:space="preserve"> </w:t>
      </w:r>
      <w:r w:rsidR="001D3125" w:rsidRPr="001A68E6">
        <w:rPr>
          <w:strike/>
        </w:rPr>
        <w:t>are given as injections either at hatch or</w:t>
      </w:r>
      <w:r w:rsidR="00366C55" w:rsidRPr="001A68E6">
        <w:rPr>
          <w:strike/>
        </w:rPr>
        <w:t>,</w:t>
      </w:r>
      <w:r w:rsidR="001D3125" w:rsidRPr="001A68E6">
        <w:rPr>
          <w:strike/>
        </w:rPr>
        <w:t xml:space="preserve"> increasingly</w:t>
      </w:r>
      <w:r w:rsidR="00366C55" w:rsidRPr="001A68E6">
        <w:rPr>
          <w:strike/>
        </w:rPr>
        <w:t>,</w:t>
      </w:r>
      <w:r w:rsidR="001D3125" w:rsidRPr="001A68E6">
        <w:rPr>
          <w:strike/>
        </w:rPr>
        <w:t xml:space="preserve"> </w:t>
      </w:r>
      <w:r w:rsidRPr="001A68E6">
        <w:rPr>
          <w:i w:val="0"/>
          <w:strike/>
        </w:rPr>
        <w:t>in ovo</w:t>
      </w:r>
      <w:r w:rsidRPr="001A68E6">
        <w:rPr>
          <w:strike/>
        </w:rPr>
        <w:t xml:space="preserve"> </w:t>
      </w:r>
      <w:r w:rsidR="001D3125" w:rsidRPr="001A68E6">
        <w:rPr>
          <w:strike/>
        </w:rPr>
        <w:t>at 1</w:t>
      </w:r>
      <w:r w:rsidR="00D27033" w:rsidRPr="001A68E6">
        <w:rPr>
          <w:strike/>
        </w:rPr>
        <w:t>7</w:t>
      </w:r>
      <w:r w:rsidR="00A367F0" w:rsidRPr="001A68E6">
        <w:rPr>
          <w:strike/>
        </w:rPr>
        <w:t>–</w:t>
      </w:r>
      <w:r w:rsidR="00D27033" w:rsidRPr="001A68E6">
        <w:rPr>
          <w:strike/>
        </w:rPr>
        <w:t>19</w:t>
      </w:r>
      <w:r w:rsidR="007308B2" w:rsidRPr="001A68E6">
        <w:rPr>
          <w:strike/>
        </w:rPr>
        <w:t xml:space="preserve"> </w:t>
      </w:r>
      <w:r w:rsidR="001D3125" w:rsidRPr="001A68E6">
        <w:rPr>
          <w:strike/>
        </w:rPr>
        <w:t>days of incubation.</w:t>
      </w:r>
    </w:p>
    <w:p w14:paraId="3D2BE5D0" w14:textId="0A5D3234" w:rsidR="00946E8A" w:rsidRPr="001A68E6" w:rsidRDefault="00946E8A" w:rsidP="00525072">
      <w:pPr>
        <w:pStyle w:val="sumtexte"/>
        <w:spacing w:after="100"/>
      </w:pPr>
      <w:r w:rsidRPr="001A68E6">
        <w:t xml:space="preserve">In chickens, </w:t>
      </w:r>
      <w:r w:rsidR="00BE067C" w:rsidRPr="000561C0">
        <w:rPr>
          <w:highlight w:val="yellow"/>
          <w:u w:val="double"/>
        </w:rPr>
        <w:t>classical</w:t>
      </w:r>
      <w:r w:rsidR="000561C0">
        <w:t xml:space="preserve"> </w:t>
      </w:r>
      <w:r w:rsidRPr="001A68E6">
        <w:t xml:space="preserve">MD </w:t>
      </w:r>
      <w:r w:rsidR="00D8711A" w:rsidRPr="001A68E6">
        <w:t xml:space="preserve">can </w:t>
      </w:r>
      <w:r w:rsidRPr="001A68E6">
        <w:t xml:space="preserve">occur </w:t>
      </w:r>
      <w:r w:rsidR="00D8711A" w:rsidRPr="001A68E6">
        <w:t xml:space="preserve">at any time, beginning at </w:t>
      </w:r>
      <w:r w:rsidRPr="001A68E6">
        <w:t>3–4 weeks of age or older</w:t>
      </w:r>
      <w:r w:rsidR="00D8711A" w:rsidRPr="001A68E6">
        <w:t>, sometimes even well after the onset of egg production</w:t>
      </w:r>
      <w:r w:rsidRPr="001A68E6">
        <w:t xml:space="preserve">. </w:t>
      </w:r>
      <w:r w:rsidR="002B4F4B" w:rsidRPr="001A68E6">
        <w:t>Clinical signs observed are p</w:t>
      </w:r>
      <w:r w:rsidRPr="001A68E6">
        <w:t xml:space="preserve">aralysis of the legs and wings, with enlargement of peripheral nerves, </w:t>
      </w:r>
      <w:r w:rsidR="000B5E44" w:rsidRPr="001A68E6">
        <w:t xml:space="preserve">although </w:t>
      </w:r>
      <w:r w:rsidRPr="001A68E6">
        <w:t xml:space="preserve">nerve involvement is sometimes not seen, especially in adult birds. </w:t>
      </w:r>
      <w:r w:rsidR="003172FC" w:rsidRPr="001A68E6">
        <w:t>MDV strains of higher virulence may also cause increased mortality in young</w:t>
      </w:r>
      <w:r w:rsidR="00A95A65" w:rsidRPr="000561C0">
        <w:rPr>
          <w:highlight w:val="yellow"/>
          <w:u w:val="double"/>
        </w:rPr>
        <w:t>er</w:t>
      </w:r>
      <w:r w:rsidR="003172FC" w:rsidRPr="001A68E6">
        <w:t xml:space="preserve"> birds of 1</w:t>
      </w:r>
      <w:r w:rsidR="002C31EF" w:rsidRPr="001A68E6">
        <w:t>–</w:t>
      </w:r>
      <w:r w:rsidR="003172FC" w:rsidRPr="001A68E6">
        <w:t>2</w:t>
      </w:r>
      <w:r w:rsidR="005F3089" w:rsidRPr="001A68E6">
        <w:t> </w:t>
      </w:r>
      <w:r w:rsidR="003172FC" w:rsidRPr="001A68E6">
        <w:t xml:space="preserve">weeks of age, especially if they lack maternal antibodies. </w:t>
      </w:r>
      <w:r w:rsidRPr="001A68E6">
        <w:t>Depending on the strain of MDV,</w:t>
      </w:r>
      <w:r w:rsidR="008D65E2" w:rsidRPr="001A68E6">
        <w:t xml:space="preserve"> </w:t>
      </w:r>
      <w:r w:rsidRPr="001A68E6">
        <w:t>lymphomato</w:t>
      </w:r>
      <w:r w:rsidR="00BD619A" w:rsidRPr="001A68E6">
        <w:t>u</w:t>
      </w:r>
      <w:r w:rsidRPr="001A68E6">
        <w:t xml:space="preserve">s </w:t>
      </w:r>
      <w:r w:rsidR="00BD619A" w:rsidRPr="001A68E6">
        <w:t xml:space="preserve">lesions </w:t>
      </w:r>
      <w:r w:rsidRPr="001A68E6">
        <w:t>can occur</w:t>
      </w:r>
      <w:r w:rsidR="008D65E2" w:rsidRPr="001A68E6">
        <w:t xml:space="preserve"> </w:t>
      </w:r>
      <w:r w:rsidR="00BD619A" w:rsidRPr="001A68E6">
        <w:t>in multiple organs such as</w:t>
      </w:r>
      <w:r w:rsidRPr="001A68E6">
        <w:t xml:space="preserve"> the </w:t>
      </w:r>
      <w:r w:rsidRPr="000561C0">
        <w:rPr>
          <w:strike/>
          <w:highlight w:val="yellow"/>
        </w:rPr>
        <w:t>ovary</w:t>
      </w:r>
      <w:r w:rsidR="000561C0">
        <w:rPr>
          <w:strike/>
          <w:highlight w:val="yellow"/>
        </w:rPr>
        <w:t xml:space="preserve"> </w:t>
      </w:r>
      <w:r w:rsidR="00B902D5" w:rsidRPr="000561C0">
        <w:rPr>
          <w:highlight w:val="yellow"/>
          <w:u w:val="double"/>
        </w:rPr>
        <w:t>gonads</w:t>
      </w:r>
      <w:r w:rsidRPr="001A68E6">
        <w:t>, liver, spleen, kidneys, lungs, heart, proventriculus and skin.</w:t>
      </w:r>
      <w:r w:rsidR="0069636E" w:rsidRPr="001A68E6">
        <w:t xml:space="preserve"> Tumours produced by MDV may also resemble those induced by retroviral pathogens such as avian leukosis virus and reticuloendotheliosis virus and </w:t>
      </w:r>
      <w:r w:rsidR="00844DD7" w:rsidRPr="001A68E6">
        <w:t xml:space="preserve">their </w:t>
      </w:r>
      <w:r w:rsidR="0069636E" w:rsidRPr="001A68E6">
        <w:t>d</w:t>
      </w:r>
      <w:r w:rsidR="00844DD7" w:rsidRPr="001A68E6">
        <w:t xml:space="preserve">ifferentiation </w:t>
      </w:r>
      <w:r w:rsidR="0069636E" w:rsidRPr="001A68E6">
        <w:t>is important.</w:t>
      </w:r>
      <w:r w:rsidRPr="001A68E6">
        <w:t xml:space="preserve"> </w:t>
      </w:r>
      <w:r w:rsidR="00BD619A" w:rsidRPr="001A68E6">
        <w:t xml:space="preserve">Compared </w:t>
      </w:r>
      <w:r w:rsidR="00246EB4" w:rsidRPr="001A68E6">
        <w:t>with</w:t>
      </w:r>
      <w:r w:rsidR="00BD619A" w:rsidRPr="001A68E6">
        <w:t xml:space="preserve"> the </w:t>
      </w:r>
      <w:r w:rsidRPr="001A68E6">
        <w:t>uniform cell population</w:t>
      </w:r>
      <w:r w:rsidR="00BD619A" w:rsidRPr="001A68E6">
        <w:t>s</w:t>
      </w:r>
      <w:r w:rsidRPr="001A68E6">
        <w:t xml:space="preserve"> </w:t>
      </w:r>
      <w:r w:rsidR="00BD619A" w:rsidRPr="001A68E6">
        <w:t>observed in</w:t>
      </w:r>
      <w:r w:rsidRPr="001A68E6">
        <w:t xml:space="preserve"> lymphoid leukosis, </w:t>
      </w:r>
      <w:r w:rsidR="0069636E" w:rsidRPr="001A68E6">
        <w:t>MD</w:t>
      </w:r>
      <w:r w:rsidRPr="001A68E6">
        <w:t xml:space="preserve"> lymphomas consist of </w:t>
      </w:r>
      <w:r w:rsidR="0069636E" w:rsidRPr="001A68E6">
        <w:t xml:space="preserve">pleomorphic </w:t>
      </w:r>
      <w:r w:rsidRPr="001A68E6">
        <w:t>lymphoid cells of various types</w:t>
      </w:r>
      <w:r w:rsidR="002B4F4B" w:rsidRPr="001A68E6">
        <w:t xml:space="preserve">. </w:t>
      </w:r>
    </w:p>
    <w:p w14:paraId="581C35E0" w14:textId="7CB5CF44" w:rsidR="00946E8A" w:rsidRPr="001A68E6" w:rsidRDefault="000532C4" w:rsidP="00525072">
      <w:pPr>
        <w:pStyle w:val="sumtexte"/>
        <w:spacing w:after="100"/>
      </w:pPr>
      <w:r w:rsidRPr="001A68E6">
        <w:rPr>
          <w:b/>
          <w:strike/>
        </w:rPr>
        <w:t xml:space="preserve">Identification </w:t>
      </w:r>
      <w:r w:rsidR="005B7617" w:rsidRPr="006E1743">
        <w:rPr>
          <w:b/>
          <w:u w:val="double"/>
        </w:rPr>
        <w:t xml:space="preserve">Detection </w:t>
      </w:r>
      <w:r w:rsidR="00343A28" w:rsidRPr="006E1743">
        <w:rPr>
          <w:b/>
          <w:highlight w:val="yellow"/>
          <w:u w:val="double"/>
        </w:rPr>
        <w:t>and identification</w:t>
      </w:r>
      <w:r w:rsidR="001417D6">
        <w:rPr>
          <w:b/>
        </w:rPr>
        <w:t xml:space="preserve"> </w:t>
      </w:r>
      <w:r w:rsidRPr="001A68E6">
        <w:rPr>
          <w:b/>
        </w:rPr>
        <w:t>of the agent</w:t>
      </w:r>
      <w:r w:rsidR="00946E8A" w:rsidRPr="001A68E6">
        <w:rPr>
          <w:b/>
        </w:rPr>
        <w:t>:</w:t>
      </w:r>
      <w:r w:rsidR="00946E8A" w:rsidRPr="001A68E6">
        <w:t xml:space="preserve"> </w:t>
      </w:r>
      <w:r w:rsidR="002F2A8D" w:rsidRPr="001A68E6">
        <w:rPr>
          <w:u w:val="double"/>
        </w:rPr>
        <w:t>Infection by MDV is detected by virus isolation and the demonstration of viral nucleic acid, antigen or antibodies.</w:t>
      </w:r>
      <w:r w:rsidR="002F2A8D" w:rsidRPr="001A68E6">
        <w:t xml:space="preserve"> </w:t>
      </w:r>
      <w:r w:rsidR="00946E8A" w:rsidRPr="001A68E6">
        <w:t xml:space="preserve">Under field conditions, most chickens become infected with MDV during the first few weeks of life and then carry the infection throughout their lives, often without developing overt disease. </w:t>
      </w:r>
      <w:r w:rsidR="00946E8A" w:rsidRPr="001A68E6">
        <w:rPr>
          <w:strike/>
        </w:rPr>
        <w:t>The infection is usually detected</w:t>
      </w:r>
      <w:r w:rsidR="003E4542" w:rsidRPr="001A68E6">
        <w:rPr>
          <w:strike/>
        </w:rPr>
        <w:t xml:space="preserve"> </w:t>
      </w:r>
      <w:r w:rsidR="00710C37" w:rsidRPr="001A68E6">
        <w:rPr>
          <w:u w:val="double"/>
        </w:rPr>
        <w:t>Virus isolation is per</w:t>
      </w:r>
      <w:r w:rsidR="0065119E" w:rsidRPr="001A68E6">
        <w:rPr>
          <w:u w:val="double"/>
        </w:rPr>
        <w:t>formed</w:t>
      </w:r>
      <w:r w:rsidR="00946E8A" w:rsidRPr="001A68E6">
        <w:t xml:space="preserve"> by </w:t>
      </w:r>
      <w:r w:rsidR="00D27033" w:rsidRPr="001A68E6">
        <w:t xml:space="preserve">co-cultivating </w:t>
      </w:r>
      <w:r w:rsidR="00946E8A" w:rsidRPr="001A68E6">
        <w:t>live buffy coat cells on monolayer cultures of chicken kidney cells</w:t>
      </w:r>
      <w:r w:rsidR="003172FC" w:rsidRPr="001A68E6">
        <w:t xml:space="preserve"> </w:t>
      </w:r>
      <w:r w:rsidR="00946E8A" w:rsidRPr="001A68E6">
        <w:t xml:space="preserve">or </w:t>
      </w:r>
      <w:r w:rsidR="00EA1E02" w:rsidRPr="001A68E6">
        <w:t>chicken/</w:t>
      </w:r>
      <w:r w:rsidR="00946E8A" w:rsidRPr="001A68E6">
        <w:t>duck embryo fibroblasts, in which characteristic viral plaques develop within a few days.</w:t>
      </w:r>
      <w:r w:rsidR="008D65E2" w:rsidRPr="001A68E6">
        <w:t xml:space="preserve"> </w:t>
      </w:r>
      <w:r w:rsidR="00D27033" w:rsidRPr="001A68E6">
        <w:t>MDV belongs to the g</w:t>
      </w:r>
      <w:r w:rsidR="00E006E2" w:rsidRPr="001A68E6">
        <w:t xml:space="preserve">enus </w:t>
      </w:r>
      <w:r w:rsidR="00E006E2" w:rsidRPr="001A68E6">
        <w:rPr>
          <w:i w:val="0"/>
        </w:rPr>
        <w:t>Mardivirus</w:t>
      </w:r>
      <w:r w:rsidR="00E006E2" w:rsidRPr="001A68E6">
        <w:t xml:space="preserve"> </w:t>
      </w:r>
      <w:r w:rsidR="00D27033" w:rsidRPr="001A68E6">
        <w:t xml:space="preserve">that </w:t>
      </w:r>
      <w:r w:rsidR="00E006E2" w:rsidRPr="001A68E6">
        <w:t xml:space="preserve">includes </w:t>
      </w:r>
      <w:r w:rsidR="008D65E2" w:rsidRPr="001A68E6">
        <w:t>three</w:t>
      </w:r>
      <w:r w:rsidR="00E006E2" w:rsidRPr="001A68E6">
        <w:t xml:space="preserve"> species </w:t>
      </w:r>
      <w:r w:rsidR="00E006E2" w:rsidRPr="001A68E6">
        <w:rPr>
          <w:i w:val="0"/>
        </w:rPr>
        <w:t>(</w:t>
      </w:r>
      <w:r w:rsidR="00E006E2" w:rsidRPr="001A68E6">
        <w:t>serotypes</w:t>
      </w:r>
      <w:r w:rsidR="00E006E2" w:rsidRPr="001A68E6">
        <w:rPr>
          <w:i w:val="0"/>
        </w:rPr>
        <w:t>)</w:t>
      </w:r>
      <w:r w:rsidR="00BE58BD" w:rsidRPr="001A68E6">
        <w:rPr>
          <w:i w:val="0"/>
        </w:rPr>
        <w:t xml:space="preserve"> </w:t>
      </w:r>
      <w:r w:rsidR="00BE58BD" w:rsidRPr="001A68E6">
        <w:t>designated as</w:t>
      </w:r>
      <w:r w:rsidR="00E006E2" w:rsidRPr="001A68E6">
        <w:rPr>
          <w:i w:val="0"/>
        </w:rPr>
        <w:t xml:space="preserve"> </w:t>
      </w:r>
      <w:r w:rsidR="00E006E2" w:rsidRPr="001A68E6">
        <w:t xml:space="preserve">Gallid </w:t>
      </w:r>
      <w:r w:rsidR="008817F3" w:rsidRPr="001A68E6">
        <w:rPr>
          <w:u w:val="double"/>
        </w:rPr>
        <w:t>alpha</w:t>
      </w:r>
      <w:r w:rsidR="00E006E2" w:rsidRPr="001A68E6">
        <w:t>herpesvirus 2</w:t>
      </w:r>
      <w:r w:rsidR="00E006E2" w:rsidRPr="001A68E6">
        <w:rPr>
          <w:i w:val="0"/>
        </w:rPr>
        <w:t xml:space="preserve"> (</w:t>
      </w:r>
      <w:r w:rsidR="00E006E2" w:rsidRPr="001A68E6">
        <w:t>serotype 1</w:t>
      </w:r>
      <w:r w:rsidR="00E006E2" w:rsidRPr="001A68E6">
        <w:rPr>
          <w:i w:val="0"/>
        </w:rPr>
        <w:t>)</w:t>
      </w:r>
      <w:r w:rsidR="00BE58BD" w:rsidRPr="001A68E6">
        <w:rPr>
          <w:i w:val="0"/>
        </w:rPr>
        <w:t xml:space="preserve">, </w:t>
      </w:r>
      <w:r w:rsidR="00BE58BD" w:rsidRPr="001A68E6">
        <w:t xml:space="preserve">Gallid </w:t>
      </w:r>
      <w:r w:rsidR="008817F3" w:rsidRPr="001A68E6">
        <w:rPr>
          <w:u w:val="double"/>
        </w:rPr>
        <w:t>alpha</w:t>
      </w:r>
      <w:r w:rsidR="00BE58BD" w:rsidRPr="001A68E6">
        <w:t>herpesvirus 3</w:t>
      </w:r>
      <w:r w:rsidR="00BE58BD" w:rsidRPr="001A68E6">
        <w:rPr>
          <w:i w:val="0"/>
        </w:rPr>
        <w:t xml:space="preserve"> (</w:t>
      </w:r>
      <w:r w:rsidR="00BE58BD" w:rsidRPr="001A68E6">
        <w:t>serotype 2</w:t>
      </w:r>
      <w:r w:rsidR="00BE58BD" w:rsidRPr="001A68E6">
        <w:rPr>
          <w:i w:val="0"/>
        </w:rPr>
        <w:t xml:space="preserve">) and </w:t>
      </w:r>
      <w:r w:rsidR="00BE58BD" w:rsidRPr="001A68E6">
        <w:t xml:space="preserve">Meleagrid </w:t>
      </w:r>
      <w:r w:rsidR="008817F3" w:rsidRPr="001A68E6">
        <w:rPr>
          <w:u w:val="double"/>
        </w:rPr>
        <w:t>alpha</w:t>
      </w:r>
      <w:r w:rsidR="00BE58BD" w:rsidRPr="001A68E6">
        <w:t>herpesvirus 1 or herpesvirus of turkeys</w:t>
      </w:r>
      <w:r w:rsidR="00BE58BD" w:rsidRPr="001A68E6">
        <w:rPr>
          <w:i w:val="0"/>
        </w:rPr>
        <w:t xml:space="preserve"> (</w:t>
      </w:r>
      <w:r w:rsidR="00BE58BD" w:rsidRPr="001A68E6">
        <w:t>HVT</w:t>
      </w:r>
      <w:r w:rsidR="00BE58BD" w:rsidRPr="001A68E6">
        <w:rPr>
          <w:i w:val="0"/>
        </w:rPr>
        <w:t>)</w:t>
      </w:r>
      <w:r w:rsidR="00BE58BD" w:rsidRPr="001A68E6">
        <w:t xml:space="preserve"> </w:t>
      </w:r>
      <w:r w:rsidR="00BE58BD" w:rsidRPr="001A68E6">
        <w:rPr>
          <w:i w:val="0"/>
        </w:rPr>
        <w:t>(</w:t>
      </w:r>
      <w:r w:rsidR="00BE58BD" w:rsidRPr="001A68E6">
        <w:t>serotype 3</w:t>
      </w:r>
      <w:r w:rsidR="00BE58BD" w:rsidRPr="001A68E6">
        <w:rPr>
          <w:i w:val="0"/>
        </w:rPr>
        <w:t>)</w:t>
      </w:r>
      <w:r w:rsidR="0048600F" w:rsidRPr="001A68E6">
        <w:rPr>
          <w:i w:val="0"/>
        </w:rPr>
        <w:t>.</w:t>
      </w:r>
      <w:r w:rsidR="00E006E2" w:rsidRPr="001A68E6">
        <w:t xml:space="preserve"> </w:t>
      </w:r>
      <w:r w:rsidR="00946E8A" w:rsidRPr="001A68E6">
        <w:t xml:space="preserve">Serotype 1 includes </w:t>
      </w:r>
      <w:r w:rsidR="003172FC" w:rsidRPr="001A68E6">
        <w:t xml:space="preserve">all </w:t>
      </w:r>
      <w:r w:rsidR="00946E8A" w:rsidRPr="001A68E6">
        <w:t>the virulent strains</w:t>
      </w:r>
      <w:r w:rsidR="003172FC" w:rsidRPr="001A68E6">
        <w:t xml:space="preserve"> and some attenuated vaccine strains. S</w:t>
      </w:r>
      <w:r w:rsidR="00946E8A" w:rsidRPr="001A68E6">
        <w:t>erotype 2</w:t>
      </w:r>
      <w:r w:rsidR="005935AC" w:rsidRPr="001A68E6">
        <w:t xml:space="preserve"> </w:t>
      </w:r>
      <w:r w:rsidR="003172FC" w:rsidRPr="001A68E6">
        <w:t xml:space="preserve">includes the </w:t>
      </w:r>
      <w:r w:rsidR="00946E8A" w:rsidRPr="001A68E6">
        <w:t>naturally avirulent strains</w:t>
      </w:r>
      <w:r w:rsidR="003172FC" w:rsidRPr="001A68E6">
        <w:t>, some of which are used as vaccines</w:t>
      </w:r>
      <w:r w:rsidR="00946E8A" w:rsidRPr="001A68E6">
        <w:t xml:space="preserve">. </w:t>
      </w:r>
      <w:r w:rsidR="001925F3" w:rsidRPr="001A68E6">
        <w:t>Antigenically</w:t>
      </w:r>
      <w:r w:rsidR="0002636C" w:rsidRPr="001A68E6">
        <w:t xml:space="preserve"> </w:t>
      </w:r>
      <w:r w:rsidR="001925F3" w:rsidRPr="001A68E6">
        <w:t>related HVT</w:t>
      </w:r>
      <w:r w:rsidR="002826E4" w:rsidRPr="001A68E6">
        <w:t xml:space="preserve"> is also used as vaccine against MD, and</w:t>
      </w:r>
      <w:r w:rsidR="0002636C" w:rsidRPr="001A68E6">
        <w:t>,</w:t>
      </w:r>
      <w:r w:rsidR="002826E4" w:rsidRPr="001A68E6">
        <w:t xml:space="preserve"> more recently</w:t>
      </w:r>
      <w:r w:rsidR="0002636C" w:rsidRPr="001A68E6">
        <w:t>,</w:t>
      </w:r>
      <w:r w:rsidR="002513FB" w:rsidRPr="001A68E6">
        <w:t xml:space="preserve"> as a recombinant viral vaccine vector.</w:t>
      </w:r>
      <w:r w:rsidR="001925F3" w:rsidRPr="001A68E6">
        <w:t xml:space="preserve"> </w:t>
      </w:r>
      <w:r w:rsidR="00946E8A" w:rsidRPr="001A68E6">
        <w:t>MD</w:t>
      </w:r>
      <w:r w:rsidR="003172FC" w:rsidRPr="001A68E6">
        <w:t xml:space="preserve">V genomic DNA </w:t>
      </w:r>
      <w:r w:rsidR="002F4EC8" w:rsidRPr="001A68E6">
        <w:t>and</w:t>
      </w:r>
      <w:r w:rsidR="00946E8A" w:rsidRPr="001A68E6">
        <w:t xml:space="preserve"> viral antigen</w:t>
      </w:r>
      <w:r w:rsidR="003172FC" w:rsidRPr="001A68E6">
        <w:t>s</w:t>
      </w:r>
      <w:r w:rsidR="00946E8A" w:rsidRPr="001A68E6">
        <w:t xml:space="preserve"> can be detected in the feather tips of infected birds using </w:t>
      </w:r>
      <w:r w:rsidR="003172FC" w:rsidRPr="001A68E6">
        <w:t xml:space="preserve">polymerase chain reaction </w:t>
      </w:r>
      <w:r w:rsidR="003172FC" w:rsidRPr="001A68E6">
        <w:rPr>
          <w:i w:val="0"/>
        </w:rPr>
        <w:t>(</w:t>
      </w:r>
      <w:r w:rsidR="003172FC" w:rsidRPr="001A68E6">
        <w:t>PCR</w:t>
      </w:r>
      <w:r w:rsidR="003172FC" w:rsidRPr="001A68E6">
        <w:rPr>
          <w:i w:val="0"/>
        </w:rPr>
        <w:t>)</w:t>
      </w:r>
      <w:r w:rsidR="003172FC" w:rsidRPr="001A68E6">
        <w:t xml:space="preserve"> and</w:t>
      </w:r>
      <w:r w:rsidR="0002636C" w:rsidRPr="001A68E6">
        <w:t xml:space="preserve"> the</w:t>
      </w:r>
      <w:r w:rsidR="003172FC" w:rsidRPr="001A68E6">
        <w:t xml:space="preserve"> </w:t>
      </w:r>
      <w:r w:rsidR="00946E8A" w:rsidRPr="001A68E6">
        <w:t xml:space="preserve">radial </w:t>
      </w:r>
      <w:r w:rsidR="002F4EC8" w:rsidRPr="001A68E6">
        <w:t>immuno</w:t>
      </w:r>
      <w:r w:rsidR="00946E8A" w:rsidRPr="001A68E6">
        <w:t>precipit</w:t>
      </w:r>
      <w:r w:rsidR="002F4EC8" w:rsidRPr="001A68E6">
        <w:t>at</w:t>
      </w:r>
      <w:r w:rsidR="00946E8A" w:rsidRPr="001A68E6">
        <w:t>i</w:t>
      </w:r>
      <w:r w:rsidR="002F4EC8" w:rsidRPr="001A68E6">
        <w:t>o</w:t>
      </w:r>
      <w:r w:rsidR="00946E8A" w:rsidRPr="001A68E6">
        <w:t>n</w:t>
      </w:r>
      <w:r w:rsidR="005935AC" w:rsidRPr="001A68E6">
        <w:t xml:space="preserve"> </w:t>
      </w:r>
      <w:r w:rsidR="00946E8A" w:rsidRPr="001A68E6">
        <w:t>test</w:t>
      </w:r>
      <w:r w:rsidR="002C31EF" w:rsidRPr="001A68E6">
        <w:t>,</w:t>
      </w:r>
      <w:r w:rsidR="002F4EC8" w:rsidRPr="001A68E6">
        <w:t xml:space="preserve"> respectively.</w:t>
      </w:r>
      <w:r w:rsidR="002513FB" w:rsidRPr="001A68E6">
        <w:t xml:space="preserve"> These molecular diagnostic test</w:t>
      </w:r>
      <w:r w:rsidR="003A7AF3" w:rsidRPr="001A68E6">
        <w:t>s</w:t>
      </w:r>
      <w:r w:rsidR="002513FB" w:rsidRPr="001A68E6">
        <w:t xml:space="preserve"> can be used for differentiating pathogenic and vaccine strains.</w:t>
      </w:r>
    </w:p>
    <w:p w14:paraId="4D4BBFFF" w14:textId="41CDDB77" w:rsidR="00946E8A" w:rsidRPr="001A68E6" w:rsidRDefault="00946E8A" w:rsidP="00525072">
      <w:pPr>
        <w:pStyle w:val="sumtexte"/>
        <w:spacing w:after="100"/>
        <w:rPr>
          <w:b/>
        </w:rPr>
      </w:pPr>
      <w:r w:rsidRPr="001A68E6">
        <w:rPr>
          <w:b/>
        </w:rPr>
        <w:t>Serological tests:</w:t>
      </w:r>
      <w:r w:rsidRPr="001A68E6">
        <w:t xml:space="preserve"> Antibodies to MDV develop within 1–2 weeks of infection and are commonly recognised by the agar gel immunodiffusion test, </w:t>
      </w:r>
      <w:r w:rsidR="008B7C52" w:rsidRPr="001A68E6">
        <w:t xml:space="preserve">or </w:t>
      </w:r>
      <w:r w:rsidRPr="001A68E6">
        <w:t>the indirect fluorescent antibody test.</w:t>
      </w:r>
    </w:p>
    <w:p w14:paraId="6E116982" w14:textId="6E9D665B" w:rsidR="00946E8A" w:rsidRPr="001A68E6" w:rsidRDefault="006A46F0" w:rsidP="00525072">
      <w:pPr>
        <w:pStyle w:val="sumtexte"/>
        <w:spacing w:after="100"/>
      </w:pPr>
      <w:r w:rsidRPr="001A68E6">
        <w:rPr>
          <w:b/>
        </w:rPr>
        <w:t>Requirements for vaccines:</w:t>
      </w:r>
      <w:r w:rsidRPr="001A68E6">
        <w:t xml:space="preserve"> </w:t>
      </w:r>
      <w:r w:rsidR="00946E8A" w:rsidRPr="001A68E6">
        <w:t xml:space="preserve">MD is prevented by vaccinating chickens </w:t>
      </w:r>
      <w:r w:rsidR="00946E8A" w:rsidRPr="001A68E6">
        <w:rPr>
          <w:i w:val="0"/>
        </w:rPr>
        <w:t>in ovo</w:t>
      </w:r>
      <w:r w:rsidR="008D65E2" w:rsidRPr="001A68E6">
        <w:t xml:space="preserve"> </w:t>
      </w:r>
      <w:r w:rsidR="002513FB" w:rsidRPr="001A68E6">
        <w:t xml:space="preserve">at </w:t>
      </w:r>
      <w:r w:rsidR="007308B2" w:rsidRPr="001A68E6">
        <w:rPr>
          <w:strike/>
        </w:rPr>
        <w:t>17</w:t>
      </w:r>
      <w:r w:rsidR="003E4542" w:rsidRPr="001A68E6">
        <w:rPr>
          <w:strike/>
        </w:rPr>
        <w:t xml:space="preserve"> </w:t>
      </w:r>
      <w:r w:rsidR="00E82126" w:rsidRPr="001A68E6">
        <w:rPr>
          <w:u w:val="double"/>
        </w:rPr>
        <w:t>18</w:t>
      </w:r>
      <w:r w:rsidR="00A367F0" w:rsidRPr="001A68E6">
        <w:t>–</w:t>
      </w:r>
      <w:r w:rsidR="007308B2" w:rsidRPr="001A68E6">
        <w:t xml:space="preserve">19 </w:t>
      </w:r>
      <w:r w:rsidR="002513FB" w:rsidRPr="001A68E6">
        <w:t>day</w:t>
      </w:r>
      <w:r w:rsidR="003A7AF3" w:rsidRPr="001A68E6">
        <w:t>s</w:t>
      </w:r>
      <w:r w:rsidR="002513FB" w:rsidRPr="001A68E6">
        <w:t xml:space="preserve"> of incubation, </w:t>
      </w:r>
      <w:r w:rsidR="00946E8A" w:rsidRPr="001A68E6">
        <w:t xml:space="preserve">or at day of </w:t>
      </w:r>
      <w:r w:rsidR="002513FB" w:rsidRPr="001A68E6">
        <w:t>hatch</w:t>
      </w:r>
      <w:r w:rsidR="00946E8A" w:rsidRPr="001A68E6">
        <w:t xml:space="preserve">. </w:t>
      </w:r>
      <w:r w:rsidR="00A66D50" w:rsidRPr="001A68E6">
        <w:t xml:space="preserve">Attenuated variants of serotype 1 strains of MDV are the most </w:t>
      </w:r>
      <w:r w:rsidR="00D27033" w:rsidRPr="001A68E6">
        <w:t>effective</w:t>
      </w:r>
      <w:r w:rsidR="00A66D50" w:rsidRPr="001A68E6">
        <w:t xml:space="preserve"> vaccine</w:t>
      </w:r>
      <w:r w:rsidR="00D27033" w:rsidRPr="001A68E6">
        <w:t>s</w:t>
      </w:r>
      <w:r w:rsidR="00A66D50" w:rsidRPr="001A68E6">
        <w:t>. Serotype 2 strains may also be used, particularly in bivalent vaccines, together with HVT</w:t>
      </w:r>
      <w:r w:rsidR="00A66D50" w:rsidRPr="001A68E6">
        <w:rPr>
          <w:i w:val="0"/>
          <w:iCs w:val="0"/>
        </w:rPr>
        <w:t>.</w:t>
      </w:r>
      <w:r w:rsidR="00A66D50" w:rsidRPr="001A68E6">
        <w:t xml:space="preserve"> Serotype 1 and 2 vaccines are only available in the cell-associated form. </w:t>
      </w:r>
      <w:r w:rsidR="00946E8A" w:rsidRPr="001A68E6">
        <w:t>Live HVT</w:t>
      </w:r>
      <w:r w:rsidR="00E211D9" w:rsidRPr="001A68E6">
        <w:t xml:space="preserve"> </w:t>
      </w:r>
      <w:r w:rsidR="00527550" w:rsidRPr="001A68E6">
        <w:t>vaccines</w:t>
      </w:r>
      <w:r w:rsidR="00D27033" w:rsidRPr="001A68E6">
        <w:t xml:space="preserve"> are widely used and</w:t>
      </w:r>
      <w:r w:rsidR="00527550" w:rsidRPr="001A68E6">
        <w:t xml:space="preserve"> are available both as </w:t>
      </w:r>
      <w:r w:rsidR="00946E8A" w:rsidRPr="001A68E6">
        <w:t xml:space="preserve">cell-free </w:t>
      </w:r>
      <w:r w:rsidR="00946E8A" w:rsidRPr="001A68E6">
        <w:rPr>
          <w:i w:val="0"/>
          <w:iCs w:val="0"/>
        </w:rPr>
        <w:t>(</w:t>
      </w:r>
      <w:r w:rsidR="00946E8A" w:rsidRPr="001A68E6">
        <w:t>lyophilised</w:t>
      </w:r>
      <w:r w:rsidR="00946E8A" w:rsidRPr="001A68E6">
        <w:rPr>
          <w:i w:val="0"/>
          <w:iCs w:val="0"/>
        </w:rPr>
        <w:t>)</w:t>
      </w:r>
      <w:r w:rsidR="00946E8A" w:rsidRPr="001A68E6">
        <w:t xml:space="preserve"> </w:t>
      </w:r>
      <w:r w:rsidR="00BB45E0" w:rsidRPr="001A68E6">
        <w:t xml:space="preserve">and </w:t>
      </w:r>
      <w:r w:rsidR="00946E8A" w:rsidRPr="001A68E6">
        <w:t xml:space="preserve">cell-associated </w:t>
      </w:r>
      <w:r w:rsidR="00946E8A" w:rsidRPr="001A68E6">
        <w:rPr>
          <w:i w:val="0"/>
          <w:iCs w:val="0"/>
        </w:rPr>
        <w:t>(‘</w:t>
      </w:r>
      <w:r w:rsidR="00946E8A" w:rsidRPr="001A68E6">
        <w:t>wet’</w:t>
      </w:r>
      <w:r w:rsidR="00946E8A" w:rsidRPr="001A68E6">
        <w:rPr>
          <w:i w:val="0"/>
          <w:iCs w:val="0"/>
        </w:rPr>
        <w:t>)</w:t>
      </w:r>
      <w:r w:rsidR="00946E8A" w:rsidRPr="001A68E6">
        <w:t xml:space="preserve"> form</w:t>
      </w:r>
      <w:r w:rsidR="00BB45E0" w:rsidRPr="001A68E6">
        <w:t>s</w:t>
      </w:r>
      <w:r w:rsidR="00527550" w:rsidRPr="001A68E6">
        <w:t xml:space="preserve">. </w:t>
      </w:r>
      <w:r w:rsidR="00946E8A" w:rsidRPr="001A68E6">
        <w:t xml:space="preserve">Bivalent vaccines consisting of serotypes 1 and 3 or trivalent </w:t>
      </w:r>
      <w:r w:rsidR="00946E8A" w:rsidRPr="001A68E6">
        <w:lastRenderedPageBreak/>
        <w:t>vaccines consisting of serotypes 1, 2, and 3 are also used. The bivalent and trivalent vaccines have been introduced to combat the very virulent strains of MDV that are not well controlled by the</w:t>
      </w:r>
      <w:r w:rsidR="005935AC" w:rsidRPr="001A68E6">
        <w:t xml:space="preserve"> </w:t>
      </w:r>
      <w:r w:rsidR="00946E8A" w:rsidRPr="001A68E6">
        <w:t>monovalent vaccines.</w:t>
      </w:r>
    </w:p>
    <w:p w14:paraId="2D099232" w14:textId="1DC45642" w:rsidR="00946E8A" w:rsidRPr="001A68E6" w:rsidRDefault="00946E8A">
      <w:pPr>
        <w:pStyle w:val="sumtextelastpara"/>
      </w:pPr>
      <w:r w:rsidRPr="001A68E6">
        <w:t xml:space="preserve">Vaccination greatly reduces clinical disease, but </w:t>
      </w:r>
      <w:r w:rsidR="00E211D9" w:rsidRPr="001A68E6">
        <w:t xml:space="preserve">does </w:t>
      </w:r>
      <w:r w:rsidRPr="001A68E6">
        <w:t>not</w:t>
      </w:r>
      <w:r w:rsidR="00E211D9" w:rsidRPr="001A68E6">
        <w:t xml:space="preserve"> prevent </w:t>
      </w:r>
      <w:r w:rsidR="00E63C97" w:rsidRPr="001A68E6">
        <w:t xml:space="preserve">persistent infection </w:t>
      </w:r>
      <w:r w:rsidR="00011922" w:rsidRPr="001A68E6">
        <w:t>and shedding of</w:t>
      </w:r>
      <w:r w:rsidRPr="001A68E6">
        <w:t xml:space="preserve"> MDV. The vaccine viruses </w:t>
      </w:r>
      <w:r w:rsidR="00011922" w:rsidRPr="001A68E6">
        <w:t xml:space="preserve">may </w:t>
      </w:r>
      <w:r w:rsidRPr="001A68E6">
        <w:t>also</w:t>
      </w:r>
      <w:r w:rsidR="00011922" w:rsidRPr="001A68E6">
        <w:t xml:space="preserve"> be</w:t>
      </w:r>
      <w:r w:rsidRPr="001A68E6">
        <w:t xml:space="preserve"> carried throughout the life of the fowl</w:t>
      </w:r>
      <w:r w:rsidR="002B4F4B" w:rsidRPr="000561C0">
        <w:rPr>
          <w:strike/>
        </w:rPr>
        <w:t xml:space="preserve"> </w:t>
      </w:r>
      <w:r w:rsidR="00011922" w:rsidRPr="000561C0">
        <w:rPr>
          <w:strike/>
          <w:highlight w:val="yellow"/>
        </w:rPr>
        <w:t>although shedding is not common</w:t>
      </w:r>
      <w:r w:rsidR="002B4F4B" w:rsidRPr="001A68E6">
        <w:t>.</w:t>
      </w:r>
    </w:p>
    <w:p w14:paraId="633A4647" w14:textId="77777777" w:rsidR="00946E8A" w:rsidRPr="001A68E6" w:rsidRDefault="00946E8A" w:rsidP="00614F04">
      <w:pPr>
        <w:pStyle w:val="A0"/>
      </w:pPr>
      <w:r w:rsidRPr="001A68E6">
        <w:t>A.  introduction</w:t>
      </w:r>
    </w:p>
    <w:p w14:paraId="3770BAA7" w14:textId="2536DECE" w:rsidR="0012759E" w:rsidRPr="001A68E6" w:rsidRDefault="0012759E" w:rsidP="0012759E">
      <w:pPr>
        <w:pStyle w:val="1"/>
        <w:spacing w:after="300"/>
        <w:rPr>
          <w:u w:val="double"/>
        </w:rPr>
      </w:pPr>
      <w:r w:rsidRPr="001A68E6">
        <w:rPr>
          <w:u w:val="double"/>
        </w:rPr>
        <w:t>1.</w:t>
      </w:r>
      <w:r>
        <w:tab/>
      </w:r>
      <w:r w:rsidRPr="001A68E6">
        <w:rPr>
          <w:u w:val="double"/>
        </w:rPr>
        <w:t>Description and impact of the disease</w:t>
      </w:r>
    </w:p>
    <w:p w14:paraId="1CC7A5CB" w14:textId="77777777" w:rsidR="0017428D" w:rsidRDefault="0017428D" w:rsidP="0017428D">
      <w:pPr>
        <w:pStyle w:val="paraA0"/>
        <w:rPr>
          <w:strike/>
        </w:rPr>
      </w:pPr>
      <w:r>
        <w:rPr>
          <w:u w:val="double"/>
        </w:rPr>
        <w:t xml:space="preserve">Marek’s disease (MD) (Davison &amp; Nair, 2004; Nair </w:t>
      </w:r>
      <w:r>
        <w:rPr>
          <w:i/>
          <w:iCs/>
          <w:u w:val="double"/>
        </w:rPr>
        <w:t>et al.,</w:t>
      </w:r>
      <w:r>
        <w:rPr>
          <w:u w:val="double"/>
        </w:rPr>
        <w:t xml:space="preserve"> 2020) is a lymphoproliferative disease of</w:t>
      </w:r>
      <w:r w:rsidRPr="0017428D">
        <w:t xml:space="preserve"> </w:t>
      </w:r>
      <w:r w:rsidRPr="0017428D">
        <w:rPr>
          <w:strike/>
          <w:highlight w:val="yellow"/>
        </w:rPr>
        <w:t>chickens</w:t>
      </w:r>
      <w:r>
        <w:rPr>
          <w:u w:val="single"/>
        </w:rPr>
        <w:t xml:space="preserve"> </w:t>
      </w:r>
      <w:r>
        <w:rPr>
          <w:highlight w:val="yellow"/>
          <w:u w:val="double"/>
        </w:rPr>
        <w:t>gallinaceous birds</w:t>
      </w:r>
      <w:r>
        <w:rPr>
          <w:u w:val="double"/>
        </w:rPr>
        <w:t xml:space="preserve"> caused by Marek’s disease virus (MDV).</w:t>
      </w:r>
      <w:r>
        <w:rPr>
          <w:strike/>
        </w:rPr>
        <w:t xml:space="preserve"> Marek’s disease (MD) (Davison &amp; Nair, 2004; Schat &amp; Nair, 2013; Sharma,</w:t>
      </w:r>
      <w:r>
        <w:rPr>
          <w:smallCaps/>
          <w:strike/>
        </w:rPr>
        <w:t xml:space="preserve"> </w:t>
      </w:r>
      <w:r>
        <w:rPr>
          <w:strike/>
        </w:rPr>
        <w:t xml:space="preserve">1998) is a disease of domestic fowl (chickens) caused by a herpesvirus of the genus </w:t>
      </w:r>
      <w:r>
        <w:rPr>
          <w:i/>
          <w:strike/>
        </w:rPr>
        <w:t>Mardivirus</w:t>
      </w:r>
      <w:r>
        <w:rPr>
          <w:strike/>
        </w:rPr>
        <w:t xml:space="preserve">. The genus includes three species (serotypes) designated as Gallid herpesvirus 2 (serotype 1), Gallid herpesvirus 3 (serotype 2) and Meleagrid herpesvirus 1 or herpesvirus of turkeys (HVT) (serotype 3). Serotype 1 includes all the virulent strains and some attenuated vaccine strains. Serotype 2 includes the naturally avirulent strains, some of which are used as vaccines. Antigenically related HVT is also used as vaccine against MD, and, more recently, as a recombinant viral vaccine vector. </w:t>
      </w:r>
    </w:p>
    <w:p w14:paraId="32300C40" w14:textId="167252A1" w:rsidR="0017428D" w:rsidRDefault="0017428D" w:rsidP="0017428D">
      <w:pPr>
        <w:pStyle w:val="paraA0"/>
      </w:pPr>
      <w:bookmarkStart w:id="0" w:name="_Hlk121147345"/>
      <w:r>
        <w:t xml:space="preserve">Birds are infected by inhalation of contaminated dust from the poultry houses, and, following </w:t>
      </w:r>
      <w:r w:rsidRPr="00F55DE7">
        <w:rPr>
          <w:strike/>
          <w:highlight w:val="yellow"/>
        </w:rPr>
        <w:t>a</w:t>
      </w:r>
      <w:r w:rsidRPr="00F55DE7">
        <w:rPr>
          <w:strike/>
        </w:rPr>
        <w:t xml:space="preserve"> </w:t>
      </w:r>
      <w:r>
        <w:t xml:space="preserve">complex </w:t>
      </w:r>
      <w:r>
        <w:rPr>
          <w:strike/>
          <w:highlight w:val="yellow"/>
        </w:rPr>
        <w:t>life cycle</w:t>
      </w:r>
      <w:r w:rsidRPr="0017428D">
        <w:rPr>
          <w:strike/>
          <w:highlight w:val="yellow"/>
        </w:rPr>
        <w:t xml:space="preserve"> </w:t>
      </w:r>
      <w:r>
        <w:rPr>
          <w:highlight w:val="yellow"/>
          <w:u w:val="double"/>
        </w:rPr>
        <w:t>pathogenic pathways</w:t>
      </w:r>
      <w:r>
        <w:t>, the virus is shed from the feather follicle of infected birds</w:t>
      </w:r>
      <w:r>
        <w:rPr>
          <w:strike/>
        </w:rPr>
        <w:t xml:space="preserve"> (Baigent &amp; Davison, 2004)</w:t>
      </w:r>
      <w:r>
        <w:t xml:space="preserve">. MD can occur at any time, beginning at 3–4 weeks of age or older, sometimes even well after the onset of egg production. </w:t>
      </w:r>
      <w:bookmarkStart w:id="1" w:name="_Hlk121146650"/>
      <w:r>
        <w:rPr>
          <w:strike/>
          <w:highlight w:val="yellow"/>
        </w:rPr>
        <w:t xml:space="preserve">MD is associated with several distinct pathological syndromes, of which the lymphoproliferative syndromes are the most frequent and are of the most practical significance </w:t>
      </w:r>
      <w:r>
        <w:rPr>
          <w:highlight w:val="yellow"/>
          <w:u w:val="double"/>
        </w:rPr>
        <w:t>During the early phases of the disease, atrophy of the bursa</w:t>
      </w:r>
      <w:r w:rsidR="00C2520A">
        <w:rPr>
          <w:highlight w:val="yellow"/>
          <w:u w:val="double"/>
        </w:rPr>
        <w:t xml:space="preserve"> </w:t>
      </w:r>
      <w:r w:rsidR="00C2520A" w:rsidRPr="00C2520A">
        <w:rPr>
          <w:strike/>
          <w:color w:val="FF0000"/>
          <w:highlight w:val="yellow"/>
          <w:u w:val="double"/>
        </w:rPr>
        <w:t>di</w:t>
      </w:r>
      <w:r w:rsidR="00C2520A">
        <w:rPr>
          <w:highlight w:val="yellow"/>
          <w:u w:val="double"/>
        </w:rPr>
        <w:t xml:space="preserve"> </w:t>
      </w:r>
      <w:r w:rsidR="00C2520A" w:rsidRPr="00C2520A">
        <w:rPr>
          <w:color w:val="FF0000"/>
          <w:highlight w:val="yellow"/>
          <w:u w:val="double"/>
        </w:rPr>
        <w:t>of</w:t>
      </w:r>
      <w:r>
        <w:rPr>
          <w:highlight w:val="yellow"/>
          <w:u w:val="double"/>
        </w:rPr>
        <w:t xml:space="preserve"> Fabrici</w:t>
      </w:r>
      <w:r w:rsidR="00F55DE7">
        <w:rPr>
          <w:highlight w:val="yellow"/>
          <w:u w:val="double"/>
        </w:rPr>
        <w:t>us</w:t>
      </w:r>
      <w:r>
        <w:rPr>
          <w:highlight w:val="yellow"/>
          <w:u w:val="double"/>
        </w:rPr>
        <w:t xml:space="preserve"> and the thymus are detected which often remains unnoticed. MD is associated with several distinct clinicopathological syndromes</w:t>
      </w:r>
      <w:r>
        <w:t xml:space="preserve">. In the classical </w:t>
      </w:r>
      <w:r>
        <w:rPr>
          <w:highlight w:val="yellow"/>
          <w:u w:val="double"/>
        </w:rPr>
        <w:t>neurological</w:t>
      </w:r>
      <w:r>
        <w:t xml:space="preserve"> form of the disease, characterised mainly by the involvement of nerves, mortality rarely exceeds 10–15% and can occur over a few weeks or many months. In the </w:t>
      </w:r>
      <w:r>
        <w:rPr>
          <w:strike/>
          <w:highlight w:val="yellow"/>
        </w:rPr>
        <w:t xml:space="preserve">acute </w:t>
      </w:r>
      <w:r>
        <w:rPr>
          <w:highlight w:val="yellow"/>
          <w:u w:val="double"/>
        </w:rPr>
        <w:t>lymphoproliferative</w:t>
      </w:r>
      <w:r>
        <w:t xml:space="preserve"> form, which is usually characterised by visceral lymphomas in multiple organs, disease incidence of 10–30% in the flock is not uncommon and outbreaks involving up to 70% </w:t>
      </w:r>
      <w:r w:rsidR="00F55DE7" w:rsidRPr="00F55DE7">
        <w:rPr>
          <w:highlight w:val="yellow"/>
          <w:u w:val="double"/>
        </w:rPr>
        <w:t>incidence</w:t>
      </w:r>
      <w:r w:rsidR="00F55DE7">
        <w:t xml:space="preserve"> </w:t>
      </w:r>
      <w:r>
        <w:t xml:space="preserve">can occur. Mortality may increase rapidly over a few weeks and then cease, or can continue at a steady or slowly falling rate for several months. In the </w:t>
      </w:r>
      <w:r>
        <w:rPr>
          <w:strike/>
          <w:highlight w:val="yellow"/>
        </w:rPr>
        <w:t xml:space="preserve">acute </w:t>
      </w:r>
      <w:r>
        <w:rPr>
          <w:highlight w:val="yellow"/>
          <w:u w:val="double"/>
        </w:rPr>
        <w:t>lymphoproliferative</w:t>
      </w:r>
      <w:r>
        <w:t xml:space="preserve"> form, birds are </w:t>
      </w:r>
      <w:r>
        <w:rPr>
          <w:highlight w:val="yellow"/>
          <w:u w:val="double"/>
        </w:rPr>
        <w:t>dull,</w:t>
      </w:r>
      <w:r>
        <w:rPr>
          <w:highlight w:val="yellow"/>
        </w:rPr>
        <w:t xml:space="preserve"> </w:t>
      </w:r>
      <w:r>
        <w:rPr>
          <w:strike/>
          <w:highlight w:val="yellow"/>
        </w:rPr>
        <w:t xml:space="preserve">often severely depressed </w:t>
      </w:r>
      <w:r>
        <w:rPr>
          <w:highlight w:val="yellow"/>
          <w:u w:val="double"/>
        </w:rPr>
        <w:t>lose condition</w:t>
      </w:r>
      <w:r>
        <w:t xml:space="preserve"> and</w:t>
      </w:r>
      <w:r>
        <w:rPr>
          <w:strike/>
        </w:rPr>
        <w:t xml:space="preserve"> </w:t>
      </w:r>
      <w:r>
        <w:rPr>
          <w:strike/>
          <w:highlight w:val="yellow"/>
        </w:rPr>
        <w:t>some may die without</w:t>
      </w:r>
      <w:r>
        <w:rPr>
          <w:strike/>
        </w:rPr>
        <w:t xml:space="preserve"> </w:t>
      </w:r>
      <w:r>
        <w:t>show</w:t>
      </w:r>
      <w:r>
        <w:rPr>
          <w:strike/>
          <w:highlight w:val="yellow"/>
        </w:rPr>
        <w:t>ing</w:t>
      </w:r>
      <w:r>
        <w:t xml:space="preserve"> signs of </w:t>
      </w:r>
      <w:r>
        <w:rPr>
          <w:strike/>
          <w:highlight w:val="yellow"/>
        </w:rPr>
        <w:t xml:space="preserve">clinical disease </w:t>
      </w:r>
      <w:r>
        <w:rPr>
          <w:highlight w:val="yellow"/>
          <w:u w:val="double"/>
        </w:rPr>
        <w:t>immunosuppression</w:t>
      </w:r>
      <w:r>
        <w:rPr>
          <w:highlight w:val="yellow"/>
        </w:rPr>
        <w:t xml:space="preserve">. </w:t>
      </w:r>
      <w:r>
        <w:rPr>
          <w:highlight w:val="yellow"/>
          <w:u w:val="double"/>
        </w:rPr>
        <w:t>Another syndrome</w:t>
      </w:r>
      <w:r>
        <w:rPr>
          <w:highlight w:val="yellow"/>
        </w:rPr>
        <w:t xml:space="preserve"> </w:t>
      </w:r>
      <w:r>
        <w:rPr>
          <w:strike/>
          <w:highlight w:val="yellow"/>
        </w:rPr>
        <w:t xml:space="preserve">Non-neoplastic disease involving brain pathology </w:t>
      </w:r>
      <w:r>
        <w:rPr>
          <w:highlight w:val="yellow"/>
          <w:u w:val="double"/>
        </w:rPr>
        <w:t>is characterised by</w:t>
      </w:r>
      <w:r>
        <w:rPr>
          <w:highlight w:val="yellow"/>
        </w:rPr>
        <w:t xml:space="preserve"> </w:t>
      </w:r>
      <w:r>
        <w:rPr>
          <w:strike/>
          <w:highlight w:val="yellow"/>
        </w:rPr>
        <w:t>with</w:t>
      </w:r>
      <w:r>
        <w:rPr>
          <w:strike/>
        </w:rPr>
        <w:t xml:space="preserve"> </w:t>
      </w:r>
      <w:r>
        <w:t xml:space="preserve">vasogenic oedema </w:t>
      </w:r>
      <w:r>
        <w:rPr>
          <w:highlight w:val="yellow"/>
          <w:u w:val="double"/>
        </w:rPr>
        <w:t>of the brain</w:t>
      </w:r>
      <w:r>
        <w:t xml:space="preserve"> resulting in transient paralysis is increasingly recognised with MD induced by the more virulent strains of the virus. </w:t>
      </w:r>
    </w:p>
    <w:p w14:paraId="3AD8A83B" w14:textId="6F19E41E" w:rsidR="00FD58AF" w:rsidRPr="00345E9D" w:rsidRDefault="00345E9D" w:rsidP="0017428D">
      <w:pPr>
        <w:pStyle w:val="paraA0"/>
        <w:rPr>
          <w:rFonts w:asciiTheme="minorHAnsi" w:hAnsiTheme="minorHAnsi" w:cstheme="minorHAnsi"/>
          <w:color w:val="FF0000"/>
          <w:sz w:val="22"/>
          <w:szCs w:val="22"/>
        </w:rPr>
      </w:pPr>
      <w:r>
        <w:rPr>
          <w:rFonts w:asciiTheme="minorHAnsi" w:hAnsiTheme="minorHAnsi" w:cstheme="minorHAnsi"/>
          <w:b/>
          <w:bCs/>
          <w:color w:val="FF0000"/>
          <w:sz w:val="22"/>
          <w:szCs w:val="22"/>
        </w:rPr>
        <w:t>RATIONALE:</w:t>
      </w:r>
      <w:r>
        <w:rPr>
          <w:rFonts w:asciiTheme="minorHAnsi" w:hAnsiTheme="minorHAnsi" w:cstheme="minorHAnsi"/>
          <w:color w:val="FF0000"/>
          <w:sz w:val="22"/>
          <w:szCs w:val="22"/>
        </w:rPr>
        <w:t xml:space="preserve"> Editorial</w:t>
      </w:r>
      <w:r w:rsidR="003F09DE">
        <w:rPr>
          <w:rFonts w:asciiTheme="minorHAnsi" w:hAnsiTheme="minorHAnsi" w:cstheme="minorHAnsi"/>
          <w:color w:val="FF0000"/>
          <w:sz w:val="22"/>
          <w:szCs w:val="22"/>
        </w:rPr>
        <w:t xml:space="preserve"> </w:t>
      </w:r>
      <w:r w:rsidR="009109B7">
        <w:rPr>
          <w:rFonts w:asciiTheme="minorHAnsi" w:hAnsiTheme="minorHAnsi" w:cstheme="minorHAnsi"/>
          <w:color w:val="FF0000"/>
          <w:sz w:val="22"/>
          <w:szCs w:val="22"/>
        </w:rPr>
        <w:t xml:space="preserve">for </w:t>
      </w:r>
      <w:r w:rsidR="003F09DE">
        <w:rPr>
          <w:rFonts w:asciiTheme="minorHAnsi" w:hAnsiTheme="minorHAnsi" w:cstheme="minorHAnsi"/>
          <w:color w:val="FF0000"/>
          <w:sz w:val="22"/>
          <w:szCs w:val="22"/>
        </w:rPr>
        <w:t>consisten</w:t>
      </w:r>
      <w:r w:rsidR="002938D2">
        <w:rPr>
          <w:rFonts w:asciiTheme="minorHAnsi" w:hAnsiTheme="minorHAnsi" w:cstheme="minorHAnsi"/>
          <w:color w:val="FF0000"/>
          <w:sz w:val="22"/>
          <w:szCs w:val="22"/>
        </w:rPr>
        <w:t>cy o</w:t>
      </w:r>
      <w:r w:rsidR="006968AE">
        <w:rPr>
          <w:rFonts w:asciiTheme="minorHAnsi" w:hAnsiTheme="minorHAnsi" w:cstheme="minorHAnsi"/>
          <w:color w:val="FF0000"/>
          <w:sz w:val="22"/>
          <w:szCs w:val="22"/>
        </w:rPr>
        <w:t>f “</w:t>
      </w:r>
      <w:r w:rsidR="00CD1E6C" w:rsidRPr="00CD1E6C">
        <w:rPr>
          <w:rFonts w:asciiTheme="minorHAnsi" w:hAnsiTheme="minorHAnsi" w:cstheme="minorHAnsi"/>
          <w:color w:val="FF0000"/>
          <w:sz w:val="22"/>
          <w:szCs w:val="22"/>
        </w:rPr>
        <w:t>bursa of Fabricius</w:t>
      </w:r>
      <w:r w:rsidR="00CD1E6C">
        <w:rPr>
          <w:rFonts w:asciiTheme="minorHAnsi" w:hAnsiTheme="minorHAnsi" w:cstheme="minorHAnsi"/>
          <w:color w:val="FF0000"/>
          <w:sz w:val="22"/>
          <w:szCs w:val="22"/>
        </w:rPr>
        <w:t xml:space="preserve">” in </w:t>
      </w:r>
      <w:r w:rsidR="0030677A">
        <w:rPr>
          <w:rFonts w:asciiTheme="minorHAnsi" w:hAnsiTheme="minorHAnsi" w:cstheme="minorHAnsi"/>
          <w:color w:val="FF0000"/>
          <w:sz w:val="22"/>
          <w:szCs w:val="22"/>
        </w:rPr>
        <w:t>other parts of this chapter.</w:t>
      </w:r>
    </w:p>
    <w:p w14:paraId="7852D33B" w14:textId="1EC7A314" w:rsidR="0017428D" w:rsidRDefault="0017428D" w:rsidP="0017428D">
      <w:pPr>
        <w:pStyle w:val="paraA0"/>
      </w:pPr>
      <w:r>
        <w:t xml:space="preserve">In its classical </w:t>
      </w:r>
      <w:r>
        <w:rPr>
          <w:highlight w:val="yellow"/>
          <w:u w:val="double"/>
        </w:rPr>
        <w:t>neurological</w:t>
      </w:r>
      <w:r>
        <w:t xml:space="preserve"> form, the most common clinical sign of MD is partial or complete paralysis of the legs and wings. The characteristic finding is enlargement of one or more peripheral nerves. Those most commonly affected and easily seen at post-mortem </w:t>
      </w:r>
      <w:r w:rsidR="00F55DE7" w:rsidRPr="00F55DE7">
        <w:rPr>
          <w:highlight w:val="yellow"/>
          <w:u w:val="double"/>
        </w:rPr>
        <w:t>examination</w:t>
      </w:r>
      <w:r w:rsidR="00F55DE7">
        <w:t xml:space="preserve"> </w:t>
      </w:r>
      <w:r>
        <w:t xml:space="preserve">are the </w:t>
      </w:r>
      <w:r>
        <w:rPr>
          <w:highlight w:val="yellow"/>
          <w:u w:val="double"/>
        </w:rPr>
        <w:t xml:space="preserve">sciatic, brachial and sometimes vagal nerves. However, other nerves can </w:t>
      </w:r>
      <w:r w:rsidR="00F55DE7">
        <w:rPr>
          <w:highlight w:val="yellow"/>
          <w:u w:val="double"/>
        </w:rPr>
        <w:t xml:space="preserve">also </w:t>
      </w:r>
      <w:r>
        <w:rPr>
          <w:highlight w:val="yellow"/>
          <w:u w:val="double"/>
        </w:rPr>
        <w:t>be affected</w:t>
      </w:r>
      <w:r>
        <w:rPr>
          <w:strike/>
          <w:highlight w:val="yellow"/>
        </w:rPr>
        <w:t xml:space="preserve"> vagus, brachial and sciatic plexuses</w:t>
      </w:r>
      <w:r>
        <w:t xml:space="preserve">. Affected nerves are often two or three times their normal thickness, the normal cross-striated and glistening appearance is absent, and the nerve may appear greyish or yellowish, and sometimes oedematous. </w:t>
      </w:r>
      <w:r>
        <w:rPr>
          <w:highlight w:val="yellow"/>
          <w:u w:val="double"/>
        </w:rPr>
        <w:t>Microscopic examination of the nerves reveals lymphoid infiltration which can vary from mild inflammatory lesions to marked lymphomatous infiltration. In certain neurological forms, similar lesions can be detected in the brain and the eye resulting in typical clinical signs.</w:t>
      </w:r>
      <w:r>
        <w:rPr>
          <w:highlight w:val="yellow"/>
        </w:rPr>
        <w:t xml:space="preserve"> </w:t>
      </w:r>
      <w:r>
        <w:rPr>
          <w:strike/>
          <w:highlight w:val="yellow"/>
        </w:rPr>
        <w:t xml:space="preserve">Lymphomas </w:t>
      </w:r>
      <w:r>
        <w:rPr>
          <w:highlight w:val="yellow"/>
          <w:u w:val="double"/>
        </w:rPr>
        <w:t>Tumours typical of other forms of MD</w:t>
      </w:r>
      <w:r>
        <w:t xml:space="preserve"> are sometimes present </w:t>
      </w:r>
      <w:r>
        <w:rPr>
          <w:strike/>
          <w:highlight w:val="yellow"/>
        </w:rPr>
        <w:t xml:space="preserve">in the classical </w:t>
      </w:r>
      <w:r>
        <w:rPr>
          <w:highlight w:val="yellow"/>
          <w:u w:val="double"/>
        </w:rPr>
        <w:t>in this</w:t>
      </w:r>
      <w:r>
        <w:t xml:space="preserve"> form of MD, most frequently as small, soft, grey tumours in the ovary,</w:t>
      </w:r>
      <w:r>
        <w:rPr>
          <w:u w:val="double"/>
        </w:rPr>
        <w:t xml:space="preserve"> </w:t>
      </w:r>
      <w:r>
        <w:rPr>
          <w:highlight w:val="yellow"/>
          <w:u w:val="double"/>
        </w:rPr>
        <w:t>liver, kidney, heart and other tissues</w:t>
      </w:r>
      <w:r>
        <w:rPr>
          <w:strike/>
          <w:highlight w:val="yellow"/>
        </w:rPr>
        <w:t xml:space="preserve"> and sometimes also in the lungs, kidneys, heart, liver and other tissues</w:t>
      </w:r>
      <w:r>
        <w:rPr>
          <w:highlight w:val="yellow"/>
        </w:rPr>
        <w:t xml:space="preserve">. </w:t>
      </w:r>
      <w:r>
        <w:rPr>
          <w:strike/>
          <w:highlight w:val="yellow"/>
        </w:rPr>
        <w:t>‘Grey eye’ caused by iridocyclitis that renders the bird unable to accommodate the iris in response to light and causes a distorted pupil is common in older (16–18 week) birds, and may be the only presenting sign</w:t>
      </w:r>
      <w:r>
        <w:rPr>
          <w:highlight w:val="yellow"/>
        </w:rPr>
        <w:t>.</w:t>
      </w:r>
    </w:p>
    <w:p w14:paraId="71690298" w14:textId="4428D9B2" w:rsidR="00946E8A" w:rsidRPr="001A68E6" w:rsidRDefault="0017428D" w:rsidP="0017428D">
      <w:pPr>
        <w:pStyle w:val="paraA0"/>
      </w:pPr>
      <w:r>
        <w:t xml:space="preserve">In the </w:t>
      </w:r>
      <w:r>
        <w:rPr>
          <w:strike/>
          <w:highlight w:val="yellow"/>
        </w:rPr>
        <w:t xml:space="preserve">acute </w:t>
      </w:r>
      <w:r>
        <w:rPr>
          <w:highlight w:val="yellow"/>
          <w:u w:val="double"/>
        </w:rPr>
        <w:t>lymphoproliferative</w:t>
      </w:r>
      <w:r>
        <w:t xml:space="preserve"> form, the typical finding is </w:t>
      </w:r>
      <w:r>
        <w:rPr>
          <w:highlight w:val="yellow"/>
          <w:u w:val="double"/>
        </w:rPr>
        <w:t>a multicentric lymphoma with</w:t>
      </w:r>
      <w:r>
        <w:rPr>
          <w:highlight w:val="yellow"/>
        </w:rPr>
        <w:t xml:space="preserve"> </w:t>
      </w:r>
      <w:r>
        <w:rPr>
          <w:strike/>
          <w:highlight w:val="yellow"/>
        </w:rPr>
        <w:t>widespread, diffuse lymphomatous</w:t>
      </w:r>
      <w:r>
        <w:rPr>
          <w:strike/>
        </w:rPr>
        <w:t xml:space="preserve"> </w:t>
      </w:r>
      <w:r>
        <w:t xml:space="preserve">involvement of the liver, gonads, spleen, kidneys, lungs, proventriculus and heart. </w:t>
      </w:r>
      <w:r>
        <w:rPr>
          <w:highlight w:val="yellow"/>
          <w:u w:val="double"/>
        </w:rPr>
        <w:t xml:space="preserve">Grossly, the lymphomatous lesions can appear as distinct white masses or as marked ill-defined enlargement of the affected organ, mostly the liver, spleen and proventriculus. Histopathology reveals typical lymphoid proliferation. </w:t>
      </w:r>
      <w:r>
        <w:rPr>
          <w:strike/>
          <w:highlight w:val="yellow"/>
        </w:rPr>
        <w:t>Sometimes</w:t>
      </w:r>
      <w:r>
        <w:rPr>
          <w:strike/>
        </w:rPr>
        <w:t xml:space="preserve"> </w:t>
      </w:r>
      <w:r>
        <w:t xml:space="preserve">Lymphomas </w:t>
      </w:r>
      <w:r>
        <w:rPr>
          <w:highlight w:val="yellow"/>
          <w:u w:val="double"/>
        </w:rPr>
        <w:t>can</w:t>
      </w:r>
      <w:r>
        <w:t xml:space="preserve"> also arise in the skin around the feather follicles and in the skeletal muscles. </w:t>
      </w:r>
      <w:r>
        <w:rPr>
          <w:highlight w:val="yellow"/>
          <w:u w:val="double"/>
        </w:rPr>
        <w:t>The eye can be similarly affected usually presenting with lymphomatous infiltration of the iris. Upon microscopic examination, lymphoid infiltrations can also be detected in other parts of the eye.</w:t>
      </w:r>
      <w:r>
        <w:rPr>
          <w:highlight w:val="yellow"/>
        </w:rPr>
        <w:t xml:space="preserve"> </w:t>
      </w:r>
      <w:r>
        <w:rPr>
          <w:strike/>
          <w:highlight w:val="yellow"/>
        </w:rPr>
        <w:t>Affected birds usually have enlarged peripheral nerves, as is seen in the classical form. In younger birds, liver enlargement is usually moderate in extent, but in adult birds the liver may be greatly enlarged and the gross appearance identical to that seen in lymphoid leukosis, from which the disease must be differentiated. Nerve lesions are often absent in adult birds with MD.</w:t>
      </w:r>
      <w:bookmarkEnd w:id="0"/>
      <w:bookmarkEnd w:id="1"/>
    </w:p>
    <w:p w14:paraId="253DFAAA" w14:textId="77777777" w:rsidR="003E7F80" w:rsidRPr="001A68E6" w:rsidRDefault="003E7F80" w:rsidP="003E7F80">
      <w:pPr>
        <w:pStyle w:val="1"/>
        <w:spacing w:after="300"/>
        <w:rPr>
          <w:u w:val="double"/>
        </w:rPr>
      </w:pPr>
      <w:r w:rsidRPr="001A68E6">
        <w:rPr>
          <w:u w:val="double"/>
        </w:rPr>
        <w:t>2.</w:t>
      </w:r>
      <w:r w:rsidRPr="001A68E6">
        <w:rPr>
          <w:u w:val="double"/>
        </w:rPr>
        <w:tab/>
        <w:t>Nature and classification of the pathogen</w:t>
      </w:r>
    </w:p>
    <w:p w14:paraId="55C6066D" w14:textId="423FFBE1" w:rsidR="003E7F80" w:rsidRPr="001A68E6" w:rsidRDefault="005F3089" w:rsidP="003E7F80">
      <w:pPr>
        <w:pStyle w:val="paraA0"/>
        <w:rPr>
          <w:u w:val="double"/>
        </w:rPr>
      </w:pPr>
      <w:r w:rsidRPr="001A68E6">
        <w:rPr>
          <w:u w:val="double"/>
        </w:rPr>
        <w:lastRenderedPageBreak/>
        <w:t>MDV</w:t>
      </w:r>
      <w:r w:rsidR="003E7F80" w:rsidRPr="001A68E6">
        <w:rPr>
          <w:u w:val="double"/>
        </w:rPr>
        <w:t xml:space="preserve"> is a highly cell-associated alphaherpesvirus of the genus </w:t>
      </w:r>
      <w:r w:rsidR="003E7F80" w:rsidRPr="001A68E6">
        <w:rPr>
          <w:i/>
          <w:u w:val="double"/>
        </w:rPr>
        <w:t>Mardivirus</w:t>
      </w:r>
      <w:r w:rsidR="003E7F80" w:rsidRPr="001A68E6">
        <w:rPr>
          <w:u w:val="double"/>
        </w:rPr>
        <w:t>. The genus includes three species (serotypes) designated as Gallid alphaherpesvirus 2 (serotype 1), Gallid alphaherpesvirus 3 (serotype 2) and Meleagrid alphaherpesvirus 1 or herpesvirus of turkeys (HVT) (serotype 3). Serotype 1 includes all the virulent strains</w:t>
      </w:r>
      <w:r w:rsidR="00D14C8F" w:rsidRPr="001A68E6">
        <w:rPr>
          <w:u w:val="double"/>
        </w:rPr>
        <w:t>,</w:t>
      </w:r>
      <w:r w:rsidR="003E7F80" w:rsidRPr="001A68E6">
        <w:rPr>
          <w:u w:val="double"/>
        </w:rPr>
        <w:t xml:space="preserve"> which are further divided into pathotypes that include mild (m)MDV, virulent MDV (vMDV), very virulent MDV (vvMDV) and very virulent plus MDV (vv+MDV). Some attenuated vaccine strains also belong to serotype 1. Serotype 2 includes the naturally avirulent strains, some of which are used as vaccines. Antigenically related HVT is also used as vaccine against MD, and, more recently, as a recombinant viral vaccine vector. </w:t>
      </w:r>
    </w:p>
    <w:p w14:paraId="28F1660E" w14:textId="4FE431E6" w:rsidR="003E7F80" w:rsidRPr="001A68E6" w:rsidRDefault="003E7F80" w:rsidP="003E7F80">
      <w:pPr>
        <w:pStyle w:val="paraA0"/>
        <w:rPr>
          <w:u w:val="double"/>
        </w:rPr>
      </w:pPr>
      <w:r w:rsidRPr="001A68E6">
        <w:rPr>
          <w:u w:val="double"/>
        </w:rPr>
        <w:t>MDV is a double-stranded DNA virus of approximately 160</w:t>
      </w:r>
      <w:r w:rsidR="00D14C8F" w:rsidRPr="001A68E6">
        <w:rPr>
          <w:u w:val="double"/>
        </w:rPr>
        <w:t>–</w:t>
      </w:r>
      <w:r w:rsidRPr="001A68E6">
        <w:rPr>
          <w:u w:val="double"/>
        </w:rPr>
        <w:t xml:space="preserve">180 kb in length. The structure is similar </w:t>
      </w:r>
      <w:r w:rsidR="005F3089" w:rsidRPr="001A68E6">
        <w:rPr>
          <w:u w:val="double"/>
        </w:rPr>
        <w:t>to</w:t>
      </w:r>
      <w:r w:rsidRPr="001A68E6">
        <w:rPr>
          <w:u w:val="double"/>
        </w:rPr>
        <w:t xml:space="preserve"> other alphaherpesviruses with a unique long </w:t>
      </w:r>
      <w:r w:rsidR="004E17A2" w:rsidRPr="000561C0">
        <w:rPr>
          <w:highlight w:val="yellow"/>
          <w:u w:val="double"/>
        </w:rPr>
        <w:t>sequence</w:t>
      </w:r>
      <w:r w:rsidR="00FE77A1">
        <w:rPr>
          <w:u w:val="double"/>
        </w:rPr>
        <w:t xml:space="preserve"> </w:t>
      </w:r>
      <w:r w:rsidRPr="001A68E6">
        <w:rPr>
          <w:u w:val="double"/>
        </w:rPr>
        <w:t xml:space="preserve">and </w:t>
      </w:r>
      <w:r w:rsidR="00FE77A1" w:rsidRPr="000561C0">
        <w:rPr>
          <w:highlight w:val="yellow"/>
          <w:u w:val="double"/>
        </w:rPr>
        <w:t>a</w:t>
      </w:r>
      <w:r w:rsidR="00FE77A1">
        <w:rPr>
          <w:u w:val="double"/>
        </w:rPr>
        <w:t xml:space="preserve"> </w:t>
      </w:r>
      <w:r w:rsidRPr="001A68E6">
        <w:rPr>
          <w:u w:val="double"/>
        </w:rPr>
        <w:t>unique short sequence that are both flanked by inverted repeat sequences. Whole genome sequences are available for a number of MDV strains that have been u</w:t>
      </w:r>
      <w:r w:rsidR="00D14C8F" w:rsidRPr="001A68E6">
        <w:rPr>
          <w:u w:val="double"/>
        </w:rPr>
        <w:t>s</w:t>
      </w:r>
      <w:r w:rsidRPr="001A68E6">
        <w:rPr>
          <w:u w:val="double"/>
        </w:rPr>
        <w:t>ed for both diagnostic and research purposes.</w:t>
      </w:r>
    </w:p>
    <w:p w14:paraId="1D842B3D" w14:textId="77777777" w:rsidR="003E7F80" w:rsidRPr="001A68E6" w:rsidRDefault="003E7F80" w:rsidP="003E7F80">
      <w:pPr>
        <w:pStyle w:val="1"/>
        <w:spacing w:after="300"/>
        <w:rPr>
          <w:u w:val="double"/>
        </w:rPr>
      </w:pPr>
      <w:r w:rsidRPr="001A68E6">
        <w:rPr>
          <w:u w:val="double"/>
        </w:rPr>
        <w:t>3.</w:t>
      </w:r>
      <w:r w:rsidRPr="001A68E6">
        <w:rPr>
          <w:u w:val="double"/>
        </w:rPr>
        <w:tab/>
        <w:t>Zoonotic potential and biosafety and biosecurity requirements</w:t>
      </w:r>
    </w:p>
    <w:p w14:paraId="727B961A" w14:textId="009CA387" w:rsidR="003E7F80" w:rsidRPr="0042526E" w:rsidRDefault="005F3089" w:rsidP="003D2D92">
      <w:pPr>
        <w:pStyle w:val="para1"/>
        <w:rPr>
          <w:b/>
          <w:bCs/>
          <w:u w:val="double"/>
        </w:rPr>
      </w:pPr>
      <w:r w:rsidRPr="001A68E6">
        <w:rPr>
          <w:u w:val="double"/>
        </w:rPr>
        <w:t>MDV</w:t>
      </w:r>
      <w:r w:rsidR="003E7F80" w:rsidRPr="001A68E6">
        <w:rPr>
          <w:u w:val="double"/>
        </w:rPr>
        <w:t xml:space="preserve"> is not considered to be a zoonotic pathogen, as nearly all experimental data indicate that mammalian cells or animals cannot be infected with MDV (reviewed by S</w:t>
      </w:r>
      <w:r w:rsidR="00442B35" w:rsidRPr="001A68E6">
        <w:rPr>
          <w:u w:val="double"/>
        </w:rPr>
        <w:t>chat</w:t>
      </w:r>
      <w:r w:rsidR="003E7F80" w:rsidRPr="001A68E6">
        <w:rPr>
          <w:u w:val="double"/>
        </w:rPr>
        <w:t xml:space="preserve"> </w:t>
      </w:r>
      <w:r w:rsidR="00D14C8F" w:rsidRPr="001A68E6">
        <w:rPr>
          <w:u w:val="double"/>
        </w:rPr>
        <w:t>&amp;</w:t>
      </w:r>
      <w:r w:rsidR="003E7F80" w:rsidRPr="001A68E6">
        <w:rPr>
          <w:u w:val="double"/>
        </w:rPr>
        <w:t xml:space="preserve"> Erb, 2014). Biosecurity, however, is an important component for prevention of MD in poultry, in combination with vaccination and improvements in host genetic resistance. Limiting early MDV exposure </w:t>
      </w:r>
      <w:r w:rsidR="00285672">
        <w:rPr>
          <w:u w:val="double"/>
        </w:rPr>
        <w:t>of</w:t>
      </w:r>
      <w:r w:rsidR="00285672" w:rsidRPr="001A68E6">
        <w:rPr>
          <w:u w:val="double"/>
        </w:rPr>
        <w:t xml:space="preserve"> </w:t>
      </w:r>
      <w:r w:rsidR="003E7F80" w:rsidRPr="001A68E6">
        <w:rPr>
          <w:u w:val="double"/>
        </w:rPr>
        <w:t>a newly hatched flock is crucial for maximum efficacy of vaccination program</w:t>
      </w:r>
      <w:r w:rsidR="00D14C8F" w:rsidRPr="001A68E6">
        <w:rPr>
          <w:u w:val="double"/>
        </w:rPr>
        <w:t>me</w:t>
      </w:r>
      <w:r w:rsidR="003E7F80" w:rsidRPr="001A68E6">
        <w:rPr>
          <w:u w:val="double"/>
        </w:rPr>
        <w:t xml:space="preserve">s, and the failure to limit early exposure is likely </w:t>
      </w:r>
      <w:r w:rsidRPr="001A68E6">
        <w:rPr>
          <w:u w:val="double"/>
        </w:rPr>
        <w:t xml:space="preserve">to be </w:t>
      </w:r>
      <w:r w:rsidR="003E7F80" w:rsidRPr="001A68E6">
        <w:rPr>
          <w:u w:val="double"/>
        </w:rPr>
        <w:t>the leading cause of vaccination failures.</w:t>
      </w:r>
      <w:r w:rsidR="0042526E" w:rsidRPr="0042526E">
        <w:t xml:space="preserve"> </w:t>
      </w:r>
      <w:r w:rsidR="0042526E" w:rsidRPr="0042526E">
        <w:rPr>
          <w:u w:val="double"/>
        </w:rPr>
        <w:t xml:space="preserve">Laboratory manipulations should be performed with appropriate biosafety and containment procedures as determined by biological risk analysis (see Chapter 1.1.4 </w:t>
      </w:r>
      <w:r w:rsidR="0042526E" w:rsidRPr="0042526E">
        <w:rPr>
          <w:i/>
          <w:u w:val="double"/>
        </w:rPr>
        <w:t>Biosafety and biosecurity: Standard for managing biological risk in the veterinary laboratory and animal facilities</w:t>
      </w:r>
      <w:r w:rsidR="0042526E" w:rsidRPr="0042526E">
        <w:rPr>
          <w:u w:val="double"/>
        </w:rPr>
        <w:t>)</w:t>
      </w:r>
      <w:r w:rsidR="0042526E">
        <w:rPr>
          <w:u w:val="double"/>
        </w:rPr>
        <w:t>.</w:t>
      </w:r>
    </w:p>
    <w:p w14:paraId="0A3A6693" w14:textId="77777777" w:rsidR="003E7F80" w:rsidRPr="001A68E6" w:rsidRDefault="003E7F80" w:rsidP="003E7F80">
      <w:pPr>
        <w:pStyle w:val="1"/>
        <w:spacing w:after="300"/>
        <w:rPr>
          <w:u w:val="double"/>
        </w:rPr>
      </w:pPr>
      <w:r w:rsidRPr="001A68E6">
        <w:rPr>
          <w:u w:val="double"/>
        </w:rPr>
        <w:t>4.</w:t>
      </w:r>
      <w:r w:rsidRPr="001A68E6">
        <w:rPr>
          <w:u w:val="double"/>
        </w:rPr>
        <w:tab/>
        <w:t>Differential diagnosis</w:t>
      </w:r>
    </w:p>
    <w:p w14:paraId="1EB19111" w14:textId="4248942C" w:rsidR="00CB26E7" w:rsidRPr="001A68E6" w:rsidRDefault="003E7F80" w:rsidP="00614F04">
      <w:pPr>
        <w:pStyle w:val="paraA0"/>
      </w:pPr>
      <w:r w:rsidRPr="001A68E6">
        <w:rPr>
          <w:u w:val="double"/>
        </w:rPr>
        <w:t xml:space="preserve">MD diagnosis requires differentiation from other </w:t>
      </w:r>
      <w:r w:rsidR="009F605D" w:rsidRPr="000561C0">
        <w:rPr>
          <w:highlight w:val="yellow"/>
          <w:u w:val="double"/>
        </w:rPr>
        <w:t>avian</w:t>
      </w:r>
      <w:r w:rsidR="009F605D">
        <w:rPr>
          <w:u w:val="double"/>
        </w:rPr>
        <w:t xml:space="preserve"> </w:t>
      </w:r>
      <w:r w:rsidRPr="001A68E6">
        <w:rPr>
          <w:u w:val="double"/>
        </w:rPr>
        <w:t>tumour virus diseases, such as lymphoid leukosis and reticuloendotheliosis, as well as non</w:t>
      </w:r>
      <w:r w:rsidR="005F3089" w:rsidRPr="001A68E6">
        <w:rPr>
          <w:u w:val="double"/>
        </w:rPr>
        <w:t>-</w:t>
      </w:r>
      <w:r w:rsidRPr="001A68E6">
        <w:rPr>
          <w:u w:val="double"/>
        </w:rPr>
        <w:t>virus</w:t>
      </w:r>
      <w:r w:rsidR="005F3089" w:rsidRPr="001A68E6">
        <w:rPr>
          <w:u w:val="double"/>
        </w:rPr>
        <w:t>-</w:t>
      </w:r>
      <w:r w:rsidRPr="001A68E6">
        <w:rPr>
          <w:u w:val="double"/>
        </w:rPr>
        <w:t>induced tumours, and some non-tumour lesions.</w:t>
      </w:r>
      <w:r w:rsidR="00D14C8F" w:rsidRPr="001A68E6">
        <w:t xml:space="preserve"> </w:t>
      </w:r>
      <w:r w:rsidR="00946E8A" w:rsidRPr="001A68E6">
        <w:t>The heterogeneous population of lymphoid cells in MD lymphomas, as seen in haematoxylin-and-eosin-stained sections, or in impression smears of lymphomas stained by May–Grünwald–Giemsa, is an important feature in differentiating the disease from lymphoid leukosis, in which the lymphomatous infiltrations are composed of uniform lymphoblasts. Another important difference is that, in lymphoid leukosis, gross lymphomas occur in the bursa of Fabricius, and the tumour has an intrafollicular origin and pattern of proliferation. In MD, although the bursa is sometimes involved in the lymphoproliferation, the tumour is less apparent, diffuse and interfollicular in location. Peripheral nerve lesions are not a feature of lymphoid leukosis as they are in MD. The greatest difficulty comes in distinguishing between lymphoid leukosis and forms of MD sometimes seen in adult birds in which the tumour is lymphoblastic with marked liver enlargement and absence of nerve lesions.</w:t>
      </w:r>
      <w:r w:rsidR="00F51001" w:rsidRPr="001A68E6">
        <w:t xml:space="preserve"> If post-mortems are conducted on several affected birds, a</w:t>
      </w:r>
      <w:r w:rsidR="00CB26E7" w:rsidRPr="001A68E6">
        <w:t xml:space="preserve"> diagnosis can usually be made </w:t>
      </w:r>
      <w:r w:rsidR="00F51001" w:rsidRPr="001A68E6">
        <w:t xml:space="preserve">based </w:t>
      </w:r>
      <w:r w:rsidR="00CB26E7" w:rsidRPr="001A68E6">
        <w:t>on gross lesions and histopathology</w:t>
      </w:r>
      <w:r w:rsidR="00F51001" w:rsidRPr="001A68E6">
        <w:t xml:space="preserve">. </w:t>
      </w:r>
      <w:r w:rsidR="00CB26E7" w:rsidRPr="001A68E6">
        <w:t xml:space="preserve">However there are other </w:t>
      </w:r>
      <w:r w:rsidR="00F51001" w:rsidRPr="001A68E6">
        <w:t>specialised</w:t>
      </w:r>
      <w:r w:rsidR="00CB26E7" w:rsidRPr="001A68E6">
        <w:t xml:space="preserve"> techniques </w:t>
      </w:r>
      <w:r w:rsidR="00F51001" w:rsidRPr="001A68E6">
        <w:t>described</w:t>
      </w:r>
      <w:r w:rsidR="00CB26E7" w:rsidRPr="001A68E6">
        <w:t xml:space="preserve">. </w:t>
      </w:r>
      <w:r w:rsidR="0066420D" w:rsidRPr="001A68E6">
        <w:t xml:space="preserve">The expression of </w:t>
      </w:r>
      <w:r w:rsidR="0062388F">
        <w:t>the</w:t>
      </w:r>
      <w:r w:rsidR="0062388F" w:rsidRPr="001A68E6">
        <w:t xml:space="preserve"> </w:t>
      </w:r>
      <w:r w:rsidR="0066420D" w:rsidRPr="001A68E6">
        <w:t>Meq biochemical ma</w:t>
      </w:r>
      <w:r w:rsidR="00380A5C" w:rsidRPr="001A68E6">
        <w:t>r</w:t>
      </w:r>
      <w:r w:rsidR="0066420D" w:rsidRPr="001A68E6">
        <w:t xml:space="preserve">ker has been </w:t>
      </w:r>
      <w:r w:rsidR="00CB26E7" w:rsidRPr="001A68E6">
        <w:t>use</w:t>
      </w:r>
      <w:r w:rsidR="00F51001" w:rsidRPr="001A68E6">
        <w:t>d</w:t>
      </w:r>
      <w:r w:rsidR="00CB26E7" w:rsidRPr="001A68E6">
        <w:t xml:space="preserve"> to</w:t>
      </w:r>
      <w:r w:rsidR="0066420D" w:rsidRPr="001A68E6">
        <w:t xml:space="preserve"> differentiate between MD tumours, latent MDV infections and retrovirus-induced tumours (</w:t>
      </w:r>
      <w:r w:rsidR="00ED457F" w:rsidRPr="001A68E6">
        <w:t xml:space="preserve">Schat &amp; Nair, </w:t>
      </w:r>
      <w:r w:rsidR="00BE6D28" w:rsidRPr="001A68E6">
        <w:t>2013</w:t>
      </w:r>
      <w:r w:rsidR="00F51001" w:rsidRPr="001A68E6">
        <w:t xml:space="preserve">). </w:t>
      </w:r>
      <w:r w:rsidR="0066420D" w:rsidRPr="001A68E6">
        <w:t xml:space="preserve">The procedure </w:t>
      </w:r>
      <w:r w:rsidR="008F1C71" w:rsidRPr="001A68E6">
        <w:t xml:space="preserve">may require specialised reagents and equipment and it may not be possible to carry </w:t>
      </w:r>
      <w:r w:rsidR="003C62F9" w:rsidRPr="001A68E6">
        <w:t xml:space="preserve">out </w:t>
      </w:r>
      <w:r w:rsidR="008F1C71" w:rsidRPr="001A68E6">
        <w:t xml:space="preserve">these tests in laboratories without these facilities. </w:t>
      </w:r>
      <w:r w:rsidR="007D1991" w:rsidRPr="001A68E6">
        <w:t xml:space="preserve">Development of </w:t>
      </w:r>
      <w:r w:rsidR="00A171A1" w:rsidRPr="001A68E6">
        <w:t xml:space="preserve">a number of </w:t>
      </w:r>
      <w:r w:rsidR="000F55AC" w:rsidRPr="001A68E6">
        <w:t>polymerase chain reaction (PCR)</w:t>
      </w:r>
      <w:r w:rsidR="00A171A1" w:rsidRPr="001A68E6">
        <w:t xml:space="preserve">-based diagnostic tests has allowed rapid detection of pathogenic </w:t>
      </w:r>
      <w:r w:rsidR="000F55AC" w:rsidRPr="004133B5">
        <w:rPr>
          <w:strike/>
          <w:highlight w:val="yellow"/>
        </w:rPr>
        <w:t>MD virus (</w:t>
      </w:r>
      <w:r w:rsidR="000F55AC" w:rsidRPr="001A68E6">
        <w:t>MDV</w:t>
      </w:r>
      <w:r w:rsidR="000F55AC" w:rsidRPr="004133B5">
        <w:rPr>
          <w:strike/>
          <w:highlight w:val="yellow"/>
        </w:rPr>
        <w:t>)</w:t>
      </w:r>
      <w:r w:rsidR="00A171A1" w:rsidRPr="001A68E6">
        <w:t xml:space="preserve"> strains (Schat &amp; Nair, 2013). </w:t>
      </w:r>
      <w:r w:rsidR="00F51001" w:rsidRPr="001A68E6">
        <w:t xml:space="preserve">Other </w:t>
      </w:r>
      <w:r w:rsidR="00946E8A" w:rsidRPr="001A68E6">
        <w:t>techniques, such as detection by immuno</w:t>
      </w:r>
      <w:r w:rsidR="00614F04" w:rsidRPr="001A68E6">
        <w:t>-</w:t>
      </w:r>
      <w:r w:rsidR="00946E8A" w:rsidRPr="001A68E6">
        <w:t>fluorescence of activated T cell antigens present on the surface of MD tumour cells (MD tumour-associated surface antigen or MATSA), or of B-cell antigens or IgM on the tumour cells of lymphoid leukosis</w:t>
      </w:r>
      <w:r w:rsidR="00F51001" w:rsidRPr="001A68E6">
        <w:t xml:space="preserve"> can give a presumptive diagnosis</w:t>
      </w:r>
      <w:r w:rsidR="00380A5C" w:rsidRPr="001A68E6">
        <w:t>,</w:t>
      </w:r>
      <w:r w:rsidR="0066420D" w:rsidRPr="001A68E6">
        <w:t xml:space="preserve"> but these are not specific to MD</w:t>
      </w:r>
      <w:r w:rsidR="00CB26E7" w:rsidRPr="001A68E6">
        <w:t xml:space="preserve"> </w:t>
      </w:r>
      <w:r w:rsidR="0066420D" w:rsidRPr="001A68E6">
        <w:t>tumour cells</w:t>
      </w:r>
      <w:r w:rsidR="00946E8A" w:rsidRPr="001A68E6">
        <w:t>.</w:t>
      </w:r>
      <w:r w:rsidR="00443232" w:rsidRPr="001A68E6">
        <w:t xml:space="preserve"> </w:t>
      </w:r>
    </w:p>
    <w:p w14:paraId="1D1702D5" w14:textId="25BB6AA7" w:rsidR="00946E8A" w:rsidRPr="001A68E6" w:rsidRDefault="00946E8A" w:rsidP="00614F04">
      <w:pPr>
        <w:pStyle w:val="paraA0"/>
      </w:pPr>
      <w:r w:rsidRPr="001A68E6">
        <w:t xml:space="preserve">Nerve lesions and lymphomatous proliferations induced by certain strains of reticuloendotheliosis virus </w:t>
      </w:r>
      <w:r w:rsidR="00F50913" w:rsidRPr="001A68E6">
        <w:t xml:space="preserve">(REV) </w:t>
      </w:r>
      <w:r w:rsidRPr="001A68E6">
        <w:t xml:space="preserve">are similar, both grossly and microscopically, to those present in MD. Although </w:t>
      </w:r>
      <w:r w:rsidR="00F50913" w:rsidRPr="001A68E6">
        <w:t>REV</w:t>
      </w:r>
      <w:r w:rsidRPr="001A68E6">
        <w:t xml:space="preserve"> is not common in </w:t>
      </w:r>
      <w:r w:rsidR="00F50913" w:rsidRPr="001A68E6">
        <w:t xml:space="preserve">the majority of </w:t>
      </w:r>
      <w:r w:rsidRPr="001A68E6">
        <w:t xml:space="preserve">chicken flocks, it should be </w:t>
      </w:r>
      <w:r w:rsidRPr="004133B5">
        <w:rPr>
          <w:strike/>
          <w:highlight w:val="yellow"/>
        </w:rPr>
        <w:t>borne in mind</w:t>
      </w:r>
      <w:r w:rsidR="004133B5">
        <w:rPr>
          <w:strike/>
          <w:highlight w:val="yellow"/>
        </w:rPr>
        <w:t xml:space="preserve"> </w:t>
      </w:r>
      <w:r w:rsidR="00A27BF9" w:rsidRPr="004133B5">
        <w:rPr>
          <w:highlight w:val="yellow"/>
          <w:u w:val="double"/>
        </w:rPr>
        <w:t>consider</w:t>
      </w:r>
      <w:r w:rsidR="00DD078B" w:rsidRPr="004133B5">
        <w:rPr>
          <w:highlight w:val="yellow"/>
          <w:u w:val="double"/>
        </w:rPr>
        <w:t>ed</w:t>
      </w:r>
      <w:r w:rsidRPr="001A68E6">
        <w:t xml:space="preserve"> as a possible cause of lymphoid tumours; its recognition depends on virological and serological tests on the flock. </w:t>
      </w:r>
      <w:r w:rsidR="00F50913" w:rsidRPr="001A68E6">
        <w:t>REV</w:t>
      </w:r>
      <w:r w:rsidRPr="001A68E6">
        <w:t xml:space="preserve"> can also cause neoplastic disease in turkeys, ducks, quail and other species. Another retrovirus</w:t>
      </w:r>
      <w:r w:rsidR="00C7020C" w:rsidRPr="001A68E6">
        <w:t xml:space="preserve">, designated lymphoproliferative disease virus (LPDV), </w:t>
      </w:r>
      <w:r w:rsidRPr="001A68E6">
        <w:t xml:space="preserve">also causes lymphoproliferative disease in turkeys. Although chicken flocks may be seropositive for </w:t>
      </w:r>
      <w:r w:rsidR="000F55AC" w:rsidRPr="001A68E6">
        <w:t>REV</w:t>
      </w:r>
      <w:r w:rsidRPr="001A68E6">
        <w:t>, neoplastic disease is rare. The main features in the differential diagnosis of MD, lymphoid leukosis and reticuloendotheliosis are shown in Table 1.</w:t>
      </w:r>
      <w:r w:rsidR="008F1C71" w:rsidRPr="001A68E6">
        <w:rPr>
          <w:color w:val="000000"/>
        </w:rPr>
        <w:t xml:space="preserve"> </w:t>
      </w:r>
      <w:r w:rsidR="008F1C71" w:rsidRPr="001A68E6">
        <w:t xml:space="preserve">Peripheral neuropathy is a syndrome that can easily be confused with the neurological lesions caused by </w:t>
      </w:r>
      <w:r w:rsidR="003C62F9" w:rsidRPr="001A68E6">
        <w:t>MDV</w:t>
      </w:r>
      <w:r w:rsidR="008F1C71" w:rsidRPr="001A68E6">
        <w:t>. This is not very common but its incidence may be increasing in some European flocks</w:t>
      </w:r>
      <w:r w:rsidR="008F1C71" w:rsidRPr="006927BC">
        <w:rPr>
          <w:strike/>
        </w:rPr>
        <w:t xml:space="preserve"> (</w:t>
      </w:r>
      <w:r w:rsidR="00A02924" w:rsidRPr="006927BC">
        <w:rPr>
          <w:strike/>
        </w:rPr>
        <w:t xml:space="preserve">Bacon </w:t>
      </w:r>
      <w:r w:rsidR="00A02924" w:rsidRPr="006927BC">
        <w:rPr>
          <w:i/>
          <w:strike/>
        </w:rPr>
        <w:t>et al.,</w:t>
      </w:r>
      <w:r w:rsidR="00A02924" w:rsidRPr="006927BC">
        <w:rPr>
          <w:strike/>
        </w:rPr>
        <w:t xml:space="preserve"> 2001</w:t>
      </w:r>
      <w:r w:rsidR="008F1C71" w:rsidRPr="006927BC">
        <w:rPr>
          <w:strike/>
        </w:rPr>
        <w:t>)</w:t>
      </w:r>
      <w:r w:rsidR="008F1C71" w:rsidRPr="001A68E6">
        <w:t>.</w:t>
      </w:r>
      <w:r w:rsidR="00C7020C" w:rsidRPr="001A68E6">
        <w:t xml:space="preserve"> </w:t>
      </w:r>
      <w:r w:rsidRPr="001A68E6">
        <w:rPr>
          <w:strike/>
        </w:rPr>
        <w:t>There are no recognised health risks to humans working with MDV or the related herpesvirus of turkeys (HVT)</w:t>
      </w:r>
      <w:r w:rsidR="00145636" w:rsidRPr="001A68E6">
        <w:rPr>
          <w:strike/>
        </w:rPr>
        <w:t xml:space="preserve"> (Schat &amp; Erb, 2014)</w:t>
      </w:r>
      <w:r w:rsidRPr="001A68E6">
        <w:rPr>
          <w:strike/>
        </w:rPr>
        <w:t>.</w:t>
      </w:r>
    </w:p>
    <w:p w14:paraId="16D46E10" w14:textId="7A4BA06F" w:rsidR="00946E8A" w:rsidRPr="001A68E6" w:rsidRDefault="00946E8A" w:rsidP="001F246B">
      <w:pPr>
        <w:pStyle w:val="Tabletitle"/>
      </w:pPr>
      <w:r w:rsidRPr="001A68E6">
        <w:t xml:space="preserve">Table 1. </w:t>
      </w:r>
      <w:r w:rsidRPr="00262934">
        <w:rPr>
          <w:b w:val="0"/>
          <w:bCs w:val="0"/>
        </w:rPr>
        <w:t>Features useful in differentiating Marek</w:t>
      </w:r>
      <w:r w:rsidR="00942498">
        <w:rPr>
          <w:b w:val="0"/>
          <w:bCs w:val="0"/>
        </w:rPr>
        <w:t>’</w:t>
      </w:r>
      <w:r w:rsidRPr="00262934">
        <w:rPr>
          <w:b w:val="0"/>
          <w:bCs w:val="0"/>
        </w:rPr>
        <w:t>s disease, lymphoid leukosis and reticuloendotheliosis</w:t>
      </w:r>
    </w:p>
    <w:tbl>
      <w:tblPr>
        <w:tblW w:w="9214" w:type="dxa"/>
        <w:tblInd w:w="120" w:type="dxa"/>
        <w:tblLayout w:type="fixed"/>
        <w:tblCellMar>
          <w:left w:w="120" w:type="dxa"/>
          <w:right w:w="120" w:type="dxa"/>
        </w:tblCellMar>
        <w:tblLook w:val="0000" w:firstRow="0" w:lastRow="0" w:firstColumn="0" w:lastColumn="0" w:noHBand="0" w:noVBand="0"/>
      </w:tblPr>
      <w:tblGrid>
        <w:gridCol w:w="2448"/>
        <w:gridCol w:w="2797"/>
        <w:gridCol w:w="1985"/>
        <w:gridCol w:w="1984"/>
      </w:tblGrid>
      <w:tr w:rsidR="00946E8A" w:rsidRPr="001A68E6" w14:paraId="7A191946" w14:textId="77777777" w:rsidTr="00EA0816">
        <w:trPr>
          <w:cantSplit/>
          <w:tblHeader/>
        </w:trPr>
        <w:tc>
          <w:tcPr>
            <w:tcW w:w="2448" w:type="dxa"/>
            <w:tcBorders>
              <w:top w:val="single" w:sz="6" w:space="0" w:color="auto"/>
              <w:bottom w:val="single" w:sz="6" w:space="0" w:color="auto"/>
            </w:tcBorders>
          </w:tcPr>
          <w:p w14:paraId="6E8F16A1"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Feature</w:t>
            </w:r>
          </w:p>
        </w:tc>
        <w:tc>
          <w:tcPr>
            <w:tcW w:w="2797" w:type="dxa"/>
            <w:tcBorders>
              <w:top w:val="single" w:sz="6" w:space="0" w:color="auto"/>
              <w:bottom w:val="single" w:sz="6" w:space="0" w:color="auto"/>
            </w:tcBorders>
          </w:tcPr>
          <w:p w14:paraId="02640EE3"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Marek’s disease</w:t>
            </w:r>
          </w:p>
        </w:tc>
        <w:tc>
          <w:tcPr>
            <w:tcW w:w="1985" w:type="dxa"/>
            <w:tcBorders>
              <w:top w:val="single" w:sz="6" w:space="0" w:color="auto"/>
              <w:bottom w:val="single" w:sz="6" w:space="0" w:color="auto"/>
            </w:tcBorders>
          </w:tcPr>
          <w:p w14:paraId="539BB942"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Lymphoid leukosis</w:t>
            </w:r>
          </w:p>
        </w:tc>
        <w:tc>
          <w:tcPr>
            <w:tcW w:w="1984" w:type="dxa"/>
            <w:tcBorders>
              <w:top w:val="single" w:sz="6" w:space="0" w:color="auto"/>
              <w:bottom w:val="single" w:sz="6" w:space="0" w:color="auto"/>
            </w:tcBorders>
          </w:tcPr>
          <w:p w14:paraId="181F0BEC" w14:textId="77777777" w:rsidR="00946E8A" w:rsidRPr="001A68E6" w:rsidRDefault="00946E8A" w:rsidP="0084683F">
            <w:pPr>
              <w:spacing w:before="120" w:after="120" w:line="240" w:lineRule="auto"/>
              <w:jc w:val="left"/>
              <w:rPr>
                <w:rFonts w:ascii="Söhne Kräftig" w:hAnsi="Söhne Kräftig"/>
                <w:bCs/>
                <w:sz w:val="16"/>
              </w:rPr>
            </w:pPr>
            <w:r w:rsidRPr="001A68E6">
              <w:rPr>
                <w:rFonts w:ascii="Söhne Kräftig" w:hAnsi="Söhne Kräftig"/>
                <w:bCs/>
                <w:sz w:val="16"/>
              </w:rPr>
              <w:t>Reticuloendotheliosis</w:t>
            </w:r>
            <w:r w:rsidRPr="001A68E6">
              <w:rPr>
                <w:rFonts w:ascii="Söhne Kräftig" w:hAnsi="Söhne Kräftig"/>
                <w:bCs/>
                <w:sz w:val="16"/>
                <w:vertAlign w:val="superscript"/>
              </w:rPr>
              <w:t>*</w:t>
            </w:r>
          </w:p>
        </w:tc>
      </w:tr>
      <w:tr w:rsidR="00946E8A" w:rsidRPr="001A68E6" w14:paraId="44D34E9F" w14:textId="77777777" w:rsidTr="00EA0816">
        <w:tblPrEx>
          <w:tblCellMar>
            <w:left w:w="70" w:type="dxa"/>
            <w:right w:w="70" w:type="dxa"/>
          </w:tblCellMar>
        </w:tblPrEx>
        <w:trPr>
          <w:cantSplit/>
        </w:trPr>
        <w:tc>
          <w:tcPr>
            <w:tcW w:w="2448" w:type="dxa"/>
            <w:tcBorders>
              <w:top w:val="single" w:sz="6" w:space="0" w:color="auto"/>
              <w:bottom w:val="single" w:sz="4" w:space="0" w:color="auto"/>
            </w:tcBorders>
          </w:tcPr>
          <w:p w14:paraId="2FEB89A4" w14:textId="77777777" w:rsidR="00946E8A" w:rsidRPr="001A68E6" w:rsidRDefault="00946E8A">
            <w:pPr>
              <w:pStyle w:val="para1"/>
              <w:spacing w:before="100" w:after="100"/>
              <w:ind w:left="142"/>
              <w:jc w:val="left"/>
              <w:rPr>
                <w:sz w:val="16"/>
              </w:rPr>
            </w:pPr>
            <w:r w:rsidRPr="001A68E6">
              <w:rPr>
                <w:sz w:val="16"/>
              </w:rPr>
              <w:t>Age</w:t>
            </w:r>
          </w:p>
        </w:tc>
        <w:tc>
          <w:tcPr>
            <w:tcW w:w="2797" w:type="dxa"/>
            <w:tcBorders>
              <w:top w:val="single" w:sz="6" w:space="0" w:color="auto"/>
              <w:bottom w:val="single" w:sz="4" w:space="0" w:color="auto"/>
            </w:tcBorders>
          </w:tcPr>
          <w:p w14:paraId="7A0C321D" w14:textId="77777777" w:rsidR="00946E8A" w:rsidRPr="001A68E6" w:rsidRDefault="00946E8A">
            <w:pPr>
              <w:pStyle w:val="para1"/>
              <w:spacing w:before="100" w:after="100"/>
              <w:ind w:left="142"/>
              <w:jc w:val="left"/>
              <w:rPr>
                <w:sz w:val="16"/>
              </w:rPr>
            </w:pPr>
            <w:r w:rsidRPr="001A68E6">
              <w:rPr>
                <w:sz w:val="16"/>
              </w:rPr>
              <w:t>Any age. Usually 6 weeks or older</w:t>
            </w:r>
          </w:p>
        </w:tc>
        <w:tc>
          <w:tcPr>
            <w:tcW w:w="1985" w:type="dxa"/>
            <w:tcBorders>
              <w:top w:val="single" w:sz="6" w:space="0" w:color="auto"/>
              <w:bottom w:val="single" w:sz="4" w:space="0" w:color="auto"/>
            </w:tcBorders>
          </w:tcPr>
          <w:p w14:paraId="40EB850F" w14:textId="77777777" w:rsidR="00946E8A" w:rsidRPr="001A68E6" w:rsidRDefault="00946E8A">
            <w:pPr>
              <w:pStyle w:val="para1"/>
              <w:spacing w:before="100" w:after="100"/>
              <w:ind w:left="142"/>
              <w:jc w:val="left"/>
              <w:rPr>
                <w:sz w:val="16"/>
              </w:rPr>
            </w:pPr>
            <w:r w:rsidRPr="001A68E6">
              <w:rPr>
                <w:sz w:val="16"/>
              </w:rPr>
              <w:t>Not under 16 weeks</w:t>
            </w:r>
          </w:p>
        </w:tc>
        <w:tc>
          <w:tcPr>
            <w:tcW w:w="1984" w:type="dxa"/>
            <w:tcBorders>
              <w:top w:val="single" w:sz="6" w:space="0" w:color="auto"/>
              <w:bottom w:val="single" w:sz="4" w:space="0" w:color="auto"/>
            </w:tcBorders>
          </w:tcPr>
          <w:p w14:paraId="265C7A7A" w14:textId="77777777" w:rsidR="00946E8A" w:rsidRPr="001A68E6" w:rsidRDefault="00946E8A">
            <w:pPr>
              <w:pStyle w:val="para1"/>
              <w:spacing w:before="100" w:after="100"/>
              <w:ind w:left="142"/>
              <w:jc w:val="left"/>
              <w:rPr>
                <w:sz w:val="16"/>
              </w:rPr>
            </w:pPr>
            <w:r w:rsidRPr="001A68E6">
              <w:rPr>
                <w:sz w:val="16"/>
              </w:rPr>
              <w:t>Not under 16 weeks</w:t>
            </w:r>
          </w:p>
        </w:tc>
      </w:tr>
      <w:tr w:rsidR="00946E8A" w:rsidRPr="001A68E6" w14:paraId="0B29AAD7" w14:textId="77777777" w:rsidTr="00EA0816">
        <w:tblPrEx>
          <w:tblCellMar>
            <w:left w:w="70" w:type="dxa"/>
            <w:right w:w="70" w:type="dxa"/>
          </w:tblCellMar>
        </w:tblPrEx>
        <w:trPr>
          <w:cantSplit/>
        </w:trPr>
        <w:tc>
          <w:tcPr>
            <w:tcW w:w="2448" w:type="dxa"/>
            <w:tcBorders>
              <w:top w:val="single" w:sz="4" w:space="0" w:color="auto"/>
              <w:bottom w:val="single" w:sz="4" w:space="0" w:color="auto"/>
            </w:tcBorders>
          </w:tcPr>
          <w:p w14:paraId="797BFB5B" w14:textId="77777777" w:rsidR="00946E8A" w:rsidRPr="001A68E6" w:rsidRDefault="00946E8A">
            <w:pPr>
              <w:pStyle w:val="para1"/>
              <w:spacing w:before="100" w:after="100"/>
              <w:ind w:left="142"/>
              <w:jc w:val="left"/>
              <w:rPr>
                <w:sz w:val="16"/>
              </w:rPr>
            </w:pPr>
            <w:r w:rsidRPr="001A68E6">
              <w:rPr>
                <w:sz w:val="16"/>
              </w:rPr>
              <w:lastRenderedPageBreak/>
              <w:t>Signs</w:t>
            </w:r>
          </w:p>
        </w:tc>
        <w:tc>
          <w:tcPr>
            <w:tcW w:w="2797" w:type="dxa"/>
            <w:tcBorders>
              <w:top w:val="single" w:sz="4" w:space="0" w:color="auto"/>
              <w:bottom w:val="single" w:sz="4" w:space="0" w:color="auto"/>
            </w:tcBorders>
          </w:tcPr>
          <w:p w14:paraId="2466CAD8" w14:textId="77777777" w:rsidR="00946E8A" w:rsidRPr="001A68E6" w:rsidRDefault="00946E8A">
            <w:pPr>
              <w:pStyle w:val="para1"/>
              <w:spacing w:before="100" w:after="100"/>
              <w:ind w:left="142"/>
              <w:jc w:val="left"/>
              <w:rPr>
                <w:sz w:val="16"/>
              </w:rPr>
            </w:pPr>
            <w:r w:rsidRPr="001A68E6">
              <w:rPr>
                <w:sz w:val="16"/>
              </w:rPr>
              <w:t>Frequently paralysis</w:t>
            </w:r>
          </w:p>
        </w:tc>
        <w:tc>
          <w:tcPr>
            <w:tcW w:w="1985" w:type="dxa"/>
            <w:tcBorders>
              <w:top w:val="single" w:sz="4" w:space="0" w:color="auto"/>
              <w:bottom w:val="single" w:sz="4" w:space="0" w:color="auto"/>
            </w:tcBorders>
          </w:tcPr>
          <w:p w14:paraId="168092D1" w14:textId="77777777" w:rsidR="00946E8A" w:rsidRPr="001A68E6" w:rsidRDefault="00946E8A">
            <w:pPr>
              <w:pStyle w:val="para1"/>
              <w:spacing w:before="100" w:after="100"/>
              <w:ind w:left="142"/>
              <w:jc w:val="left"/>
              <w:rPr>
                <w:sz w:val="16"/>
              </w:rPr>
            </w:pPr>
            <w:r w:rsidRPr="001A68E6">
              <w:rPr>
                <w:sz w:val="16"/>
              </w:rPr>
              <w:t>Non</w:t>
            </w:r>
            <w:r w:rsidR="00DA79B8" w:rsidRPr="001A68E6">
              <w:rPr>
                <w:sz w:val="16"/>
              </w:rPr>
              <w:t>-</w:t>
            </w:r>
            <w:r w:rsidRPr="001A68E6">
              <w:rPr>
                <w:sz w:val="16"/>
              </w:rPr>
              <w:t>specific</w:t>
            </w:r>
          </w:p>
        </w:tc>
        <w:tc>
          <w:tcPr>
            <w:tcW w:w="1984" w:type="dxa"/>
            <w:tcBorders>
              <w:top w:val="single" w:sz="4" w:space="0" w:color="auto"/>
              <w:bottom w:val="single" w:sz="4" w:space="0" w:color="auto"/>
            </w:tcBorders>
          </w:tcPr>
          <w:p w14:paraId="5D8D274D" w14:textId="77777777" w:rsidR="00946E8A" w:rsidRPr="001A68E6" w:rsidRDefault="00946E8A">
            <w:pPr>
              <w:pStyle w:val="para1"/>
              <w:spacing w:before="100" w:after="100"/>
              <w:ind w:left="142"/>
              <w:jc w:val="left"/>
              <w:rPr>
                <w:sz w:val="16"/>
              </w:rPr>
            </w:pPr>
            <w:r w:rsidRPr="001A68E6">
              <w:rPr>
                <w:sz w:val="16"/>
              </w:rPr>
              <w:t>Non</w:t>
            </w:r>
            <w:r w:rsidR="00DA79B8" w:rsidRPr="001A68E6">
              <w:rPr>
                <w:sz w:val="16"/>
              </w:rPr>
              <w:t>-</w:t>
            </w:r>
            <w:r w:rsidRPr="001A68E6">
              <w:rPr>
                <w:sz w:val="16"/>
              </w:rPr>
              <w:t>specific</w:t>
            </w:r>
          </w:p>
        </w:tc>
      </w:tr>
      <w:tr w:rsidR="00946E8A" w:rsidRPr="001A68E6" w14:paraId="5E816A51" w14:textId="77777777" w:rsidTr="00EA0816">
        <w:tblPrEx>
          <w:tblCellMar>
            <w:left w:w="70" w:type="dxa"/>
            <w:right w:w="70" w:type="dxa"/>
          </w:tblCellMar>
        </w:tblPrEx>
        <w:trPr>
          <w:cantSplit/>
        </w:trPr>
        <w:tc>
          <w:tcPr>
            <w:tcW w:w="2448" w:type="dxa"/>
            <w:tcBorders>
              <w:top w:val="single" w:sz="4" w:space="0" w:color="auto"/>
              <w:bottom w:val="single" w:sz="4" w:space="0" w:color="auto"/>
            </w:tcBorders>
          </w:tcPr>
          <w:p w14:paraId="588BA2DE" w14:textId="77777777" w:rsidR="00946E8A" w:rsidRPr="001A68E6" w:rsidRDefault="00946E8A">
            <w:pPr>
              <w:pStyle w:val="para1"/>
              <w:spacing w:before="100" w:after="100"/>
              <w:ind w:left="142"/>
              <w:jc w:val="left"/>
              <w:rPr>
                <w:sz w:val="16"/>
              </w:rPr>
            </w:pPr>
            <w:r w:rsidRPr="001A68E6">
              <w:rPr>
                <w:sz w:val="16"/>
              </w:rPr>
              <w:t>Incidence</w:t>
            </w:r>
          </w:p>
        </w:tc>
        <w:tc>
          <w:tcPr>
            <w:tcW w:w="2797" w:type="dxa"/>
            <w:tcBorders>
              <w:top w:val="single" w:sz="4" w:space="0" w:color="auto"/>
              <w:bottom w:val="single" w:sz="4" w:space="0" w:color="auto"/>
            </w:tcBorders>
          </w:tcPr>
          <w:p w14:paraId="7FF3F14A" w14:textId="77777777" w:rsidR="00946E8A" w:rsidRPr="001A68E6" w:rsidRDefault="00946E8A">
            <w:pPr>
              <w:pStyle w:val="para1"/>
              <w:spacing w:before="100" w:after="100"/>
              <w:ind w:left="142"/>
              <w:jc w:val="left"/>
              <w:rPr>
                <w:sz w:val="16"/>
              </w:rPr>
            </w:pPr>
            <w:r w:rsidRPr="001A68E6">
              <w:rPr>
                <w:sz w:val="16"/>
              </w:rPr>
              <w:t>Frequently above 5% in unvaccinated flocks. Rare in vaccinated flocks</w:t>
            </w:r>
          </w:p>
        </w:tc>
        <w:tc>
          <w:tcPr>
            <w:tcW w:w="1985" w:type="dxa"/>
            <w:tcBorders>
              <w:top w:val="single" w:sz="4" w:space="0" w:color="auto"/>
              <w:bottom w:val="single" w:sz="4" w:space="0" w:color="auto"/>
            </w:tcBorders>
          </w:tcPr>
          <w:p w14:paraId="4C7CB17F" w14:textId="77777777" w:rsidR="00946E8A" w:rsidRPr="001A68E6" w:rsidRDefault="00946E8A">
            <w:pPr>
              <w:pStyle w:val="para1"/>
              <w:spacing w:before="100" w:after="100"/>
              <w:ind w:left="142"/>
              <w:jc w:val="left"/>
              <w:rPr>
                <w:sz w:val="16"/>
              </w:rPr>
            </w:pPr>
            <w:r w:rsidRPr="001A68E6">
              <w:rPr>
                <w:sz w:val="16"/>
              </w:rPr>
              <w:t>Rarely above 5%</w:t>
            </w:r>
          </w:p>
        </w:tc>
        <w:tc>
          <w:tcPr>
            <w:tcW w:w="1984" w:type="dxa"/>
            <w:tcBorders>
              <w:top w:val="single" w:sz="4" w:space="0" w:color="auto"/>
              <w:bottom w:val="single" w:sz="4" w:space="0" w:color="auto"/>
            </w:tcBorders>
          </w:tcPr>
          <w:p w14:paraId="66B23AAA" w14:textId="77777777" w:rsidR="00946E8A" w:rsidRPr="001A68E6" w:rsidRDefault="00946E8A">
            <w:pPr>
              <w:pStyle w:val="para1"/>
              <w:spacing w:before="100" w:after="100"/>
              <w:ind w:left="142"/>
              <w:jc w:val="left"/>
              <w:rPr>
                <w:sz w:val="16"/>
              </w:rPr>
            </w:pPr>
            <w:r w:rsidRPr="001A68E6">
              <w:rPr>
                <w:sz w:val="16"/>
              </w:rPr>
              <w:t>Rare</w:t>
            </w:r>
          </w:p>
        </w:tc>
      </w:tr>
      <w:tr w:rsidR="00946E8A" w:rsidRPr="001A68E6" w14:paraId="19EEB6B4" w14:textId="77777777" w:rsidTr="00EA0816">
        <w:tblPrEx>
          <w:tblCellMar>
            <w:left w:w="70" w:type="dxa"/>
            <w:right w:w="70" w:type="dxa"/>
          </w:tblCellMar>
        </w:tblPrEx>
        <w:trPr>
          <w:cantSplit/>
        </w:trPr>
        <w:tc>
          <w:tcPr>
            <w:tcW w:w="2448" w:type="dxa"/>
            <w:tcBorders>
              <w:top w:val="single" w:sz="4" w:space="0" w:color="auto"/>
            </w:tcBorders>
          </w:tcPr>
          <w:p w14:paraId="25D8881C" w14:textId="77777777" w:rsidR="00946E8A" w:rsidRPr="001A68E6" w:rsidRDefault="00946E8A">
            <w:pPr>
              <w:pStyle w:val="para1"/>
              <w:spacing w:before="100" w:after="100"/>
              <w:ind w:left="142"/>
              <w:jc w:val="left"/>
              <w:rPr>
                <w:sz w:val="16"/>
              </w:rPr>
            </w:pPr>
            <w:r w:rsidRPr="001A68E6">
              <w:rPr>
                <w:i/>
                <w:sz w:val="16"/>
              </w:rPr>
              <w:t>Macroscopic lesions</w:t>
            </w:r>
          </w:p>
        </w:tc>
        <w:tc>
          <w:tcPr>
            <w:tcW w:w="2797" w:type="dxa"/>
            <w:tcBorders>
              <w:top w:val="single" w:sz="4" w:space="0" w:color="auto"/>
            </w:tcBorders>
          </w:tcPr>
          <w:p w14:paraId="7EEA561C" w14:textId="77777777" w:rsidR="00946E8A" w:rsidRPr="001A68E6" w:rsidRDefault="00946E8A">
            <w:pPr>
              <w:pStyle w:val="para1"/>
              <w:spacing w:before="100" w:after="100"/>
              <w:ind w:left="142"/>
              <w:jc w:val="left"/>
              <w:rPr>
                <w:sz w:val="16"/>
              </w:rPr>
            </w:pPr>
          </w:p>
        </w:tc>
        <w:tc>
          <w:tcPr>
            <w:tcW w:w="1985" w:type="dxa"/>
            <w:tcBorders>
              <w:top w:val="single" w:sz="4" w:space="0" w:color="auto"/>
            </w:tcBorders>
          </w:tcPr>
          <w:p w14:paraId="7EF67C5C" w14:textId="77777777" w:rsidR="00946E8A" w:rsidRPr="001A68E6" w:rsidRDefault="00946E8A">
            <w:pPr>
              <w:pStyle w:val="para1"/>
              <w:spacing w:before="100" w:after="100"/>
              <w:ind w:left="142"/>
              <w:jc w:val="left"/>
              <w:rPr>
                <w:sz w:val="16"/>
              </w:rPr>
            </w:pPr>
          </w:p>
        </w:tc>
        <w:tc>
          <w:tcPr>
            <w:tcW w:w="1984" w:type="dxa"/>
            <w:tcBorders>
              <w:top w:val="single" w:sz="4" w:space="0" w:color="auto"/>
            </w:tcBorders>
          </w:tcPr>
          <w:p w14:paraId="510DCFEE" w14:textId="77777777" w:rsidR="00946E8A" w:rsidRPr="001A68E6" w:rsidRDefault="00946E8A">
            <w:pPr>
              <w:spacing w:before="100" w:after="100" w:line="240" w:lineRule="auto"/>
              <w:ind w:left="142"/>
              <w:jc w:val="left"/>
              <w:rPr>
                <w:rFonts w:ascii="Söhne" w:hAnsi="Söhne"/>
                <w:sz w:val="16"/>
              </w:rPr>
            </w:pPr>
          </w:p>
        </w:tc>
      </w:tr>
      <w:tr w:rsidR="00946E8A" w:rsidRPr="001A68E6" w14:paraId="7C6285ED" w14:textId="77777777" w:rsidTr="00EA0816">
        <w:tblPrEx>
          <w:tblCellMar>
            <w:left w:w="70" w:type="dxa"/>
            <w:right w:w="70" w:type="dxa"/>
          </w:tblCellMar>
        </w:tblPrEx>
        <w:trPr>
          <w:cantSplit/>
        </w:trPr>
        <w:tc>
          <w:tcPr>
            <w:tcW w:w="2448" w:type="dxa"/>
          </w:tcPr>
          <w:p w14:paraId="75E3D7AD" w14:textId="77777777" w:rsidR="00946E8A" w:rsidRPr="001A68E6" w:rsidRDefault="00946E8A" w:rsidP="00EA0816">
            <w:pPr>
              <w:tabs>
                <w:tab w:val="clear" w:pos="-720"/>
              </w:tabs>
              <w:spacing w:before="100" w:after="100" w:line="240" w:lineRule="auto"/>
              <w:ind w:left="425"/>
              <w:jc w:val="left"/>
              <w:rPr>
                <w:rFonts w:ascii="Söhne" w:hAnsi="Söhne"/>
                <w:sz w:val="16"/>
                <w:szCs w:val="16"/>
              </w:rPr>
            </w:pPr>
            <w:r w:rsidRPr="001A68E6">
              <w:rPr>
                <w:rFonts w:ascii="Söhne" w:hAnsi="Söhne"/>
                <w:sz w:val="16"/>
                <w:szCs w:val="16"/>
              </w:rPr>
              <w:t>Neural involvement</w:t>
            </w:r>
          </w:p>
        </w:tc>
        <w:tc>
          <w:tcPr>
            <w:tcW w:w="2797" w:type="dxa"/>
          </w:tcPr>
          <w:p w14:paraId="40D60235"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Frequent</w:t>
            </w:r>
          </w:p>
        </w:tc>
        <w:tc>
          <w:tcPr>
            <w:tcW w:w="1985" w:type="dxa"/>
          </w:tcPr>
          <w:p w14:paraId="6D1F768E"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Absent</w:t>
            </w:r>
          </w:p>
        </w:tc>
        <w:tc>
          <w:tcPr>
            <w:tcW w:w="1984" w:type="dxa"/>
          </w:tcPr>
          <w:p w14:paraId="6B14147A"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Infrequent</w:t>
            </w:r>
          </w:p>
        </w:tc>
      </w:tr>
      <w:tr w:rsidR="00946E8A" w:rsidRPr="001A68E6" w14:paraId="13A49CDE" w14:textId="77777777" w:rsidTr="00D14C8F">
        <w:tblPrEx>
          <w:tblCellMar>
            <w:left w:w="70" w:type="dxa"/>
            <w:right w:w="70" w:type="dxa"/>
          </w:tblCellMar>
        </w:tblPrEx>
        <w:trPr>
          <w:cantSplit/>
        </w:trPr>
        <w:tc>
          <w:tcPr>
            <w:tcW w:w="2448" w:type="dxa"/>
          </w:tcPr>
          <w:p w14:paraId="6AB8CDCE" w14:textId="77777777" w:rsidR="00946E8A" w:rsidRPr="001A68E6" w:rsidRDefault="00946E8A">
            <w:pPr>
              <w:pStyle w:val="para1"/>
              <w:tabs>
                <w:tab w:val="clear" w:pos="-720"/>
              </w:tabs>
              <w:spacing w:before="120" w:after="120"/>
              <w:ind w:left="425"/>
              <w:jc w:val="left"/>
              <w:rPr>
                <w:sz w:val="16"/>
                <w:szCs w:val="16"/>
              </w:rPr>
            </w:pPr>
            <w:r w:rsidRPr="001A68E6">
              <w:rPr>
                <w:sz w:val="16"/>
                <w:szCs w:val="16"/>
              </w:rPr>
              <w:t>Bursa of Fabricius</w:t>
            </w:r>
          </w:p>
        </w:tc>
        <w:tc>
          <w:tcPr>
            <w:tcW w:w="2797" w:type="dxa"/>
          </w:tcPr>
          <w:p w14:paraId="4EBC49A7" w14:textId="77777777" w:rsidR="00946E8A" w:rsidRPr="001A68E6" w:rsidRDefault="00946E8A">
            <w:pPr>
              <w:spacing w:before="120" w:after="120" w:line="240" w:lineRule="auto"/>
              <w:ind w:left="142"/>
              <w:jc w:val="left"/>
              <w:rPr>
                <w:rFonts w:ascii="Söhne" w:hAnsi="Söhne"/>
                <w:sz w:val="16"/>
                <w:szCs w:val="16"/>
              </w:rPr>
            </w:pPr>
            <w:r w:rsidRPr="001A68E6">
              <w:rPr>
                <w:rFonts w:ascii="Söhne" w:hAnsi="Söhne"/>
                <w:sz w:val="16"/>
                <w:szCs w:val="16"/>
              </w:rPr>
              <w:t>Diffuse enlargement or atrophy</w:t>
            </w:r>
          </w:p>
        </w:tc>
        <w:tc>
          <w:tcPr>
            <w:tcW w:w="1985" w:type="dxa"/>
          </w:tcPr>
          <w:p w14:paraId="28626223" w14:textId="77777777" w:rsidR="00946E8A" w:rsidRPr="001A68E6" w:rsidRDefault="00946E8A">
            <w:pPr>
              <w:pStyle w:val="para1"/>
              <w:spacing w:before="120" w:after="120"/>
              <w:ind w:left="142"/>
              <w:jc w:val="left"/>
              <w:rPr>
                <w:sz w:val="16"/>
                <w:szCs w:val="16"/>
              </w:rPr>
            </w:pPr>
            <w:r w:rsidRPr="001A68E6">
              <w:rPr>
                <w:sz w:val="16"/>
                <w:szCs w:val="16"/>
              </w:rPr>
              <w:t>Nodular tumours</w:t>
            </w:r>
          </w:p>
        </w:tc>
        <w:tc>
          <w:tcPr>
            <w:tcW w:w="1984" w:type="dxa"/>
          </w:tcPr>
          <w:p w14:paraId="615BA3B7" w14:textId="77777777" w:rsidR="00946E8A" w:rsidRPr="001A68E6" w:rsidRDefault="00946E8A">
            <w:pPr>
              <w:spacing w:before="120" w:after="120" w:line="240" w:lineRule="auto"/>
              <w:ind w:left="142"/>
              <w:jc w:val="left"/>
              <w:rPr>
                <w:rFonts w:ascii="Söhne" w:hAnsi="Söhne"/>
                <w:sz w:val="16"/>
                <w:szCs w:val="16"/>
              </w:rPr>
            </w:pPr>
            <w:r w:rsidRPr="001A68E6">
              <w:rPr>
                <w:rFonts w:ascii="Söhne" w:hAnsi="Söhne"/>
                <w:sz w:val="16"/>
                <w:szCs w:val="16"/>
              </w:rPr>
              <w:t>Nodular tumours</w:t>
            </w:r>
          </w:p>
        </w:tc>
      </w:tr>
      <w:tr w:rsidR="00946E8A" w:rsidRPr="001A68E6" w14:paraId="68943987" w14:textId="77777777" w:rsidTr="00D14C8F">
        <w:tblPrEx>
          <w:tblCellMar>
            <w:left w:w="70" w:type="dxa"/>
            <w:right w:w="70" w:type="dxa"/>
          </w:tblCellMar>
        </w:tblPrEx>
        <w:trPr>
          <w:cantSplit/>
        </w:trPr>
        <w:tc>
          <w:tcPr>
            <w:tcW w:w="2448" w:type="dxa"/>
          </w:tcPr>
          <w:p w14:paraId="2D22AE04" w14:textId="77777777" w:rsidR="00946E8A" w:rsidRPr="001A68E6" w:rsidRDefault="00946E8A">
            <w:pPr>
              <w:tabs>
                <w:tab w:val="clear" w:pos="-720"/>
              </w:tabs>
              <w:spacing w:before="100" w:after="100" w:line="240" w:lineRule="auto"/>
              <w:ind w:left="425"/>
              <w:jc w:val="left"/>
              <w:rPr>
                <w:rFonts w:ascii="Söhne" w:hAnsi="Söhne"/>
                <w:i/>
                <w:sz w:val="16"/>
                <w:szCs w:val="16"/>
              </w:rPr>
            </w:pPr>
            <w:r w:rsidRPr="001A68E6">
              <w:rPr>
                <w:rFonts w:ascii="Söhne" w:hAnsi="Söhne"/>
                <w:sz w:val="16"/>
                <w:szCs w:val="16"/>
              </w:rPr>
              <w:t>Tumours in skin, muscle and proventriculus, ‘grey eye’</w:t>
            </w:r>
          </w:p>
        </w:tc>
        <w:tc>
          <w:tcPr>
            <w:tcW w:w="2797" w:type="dxa"/>
          </w:tcPr>
          <w:p w14:paraId="267AA03A"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May be present</w:t>
            </w:r>
          </w:p>
        </w:tc>
        <w:tc>
          <w:tcPr>
            <w:tcW w:w="1985" w:type="dxa"/>
          </w:tcPr>
          <w:p w14:paraId="4961A391" w14:textId="77777777" w:rsidR="00946E8A" w:rsidRPr="001A68E6" w:rsidRDefault="00946E8A">
            <w:pPr>
              <w:spacing w:before="100" w:after="100" w:line="240" w:lineRule="auto"/>
              <w:ind w:left="144"/>
              <w:jc w:val="left"/>
              <w:rPr>
                <w:rFonts w:ascii="Söhne" w:hAnsi="Söhne"/>
                <w:sz w:val="16"/>
                <w:szCs w:val="16"/>
              </w:rPr>
            </w:pPr>
            <w:r w:rsidRPr="001A68E6">
              <w:rPr>
                <w:rFonts w:ascii="Söhne" w:hAnsi="Söhne"/>
                <w:sz w:val="16"/>
                <w:szCs w:val="16"/>
              </w:rPr>
              <w:t>Usually absent</w:t>
            </w:r>
          </w:p>
        </w:tc>
        <w:tc>
          <w:tcPr>
            <w:tcW w:w="1984" w:type="dxa"/>
          </w:tcPr>
          <w:p w14:paraId="41CCCAFE" w14:textId="77777777" w:rsidR="00946E8A" w:rsidRPr="001A68E6" w:rsidRDefault="00B53FA2">
            <w:pPr>
              <w:spacing w:before="100" w:after="100" w:line="240" w:lineRule="auto"/>
              <w:ind w:left="142"/>
              <w:jc w:val="left"/>
              <w:rPr>
                <w:rFonts w:ascii="Söhne" w:hAnsi="Söhne"/>
                <w:sz w:val="16"/>
                <w:szCs w:val="16"/>
              </w:rPr>
            </w:pPr>
            <w:r w:rsidRPr="001A68E6">
              <w:rPr>
                <w:rFonts w:ascii="Söhne" w:hAnsi="Söhne"/>
                <w:sz w:val="16"/>
                <w:szCs w:val="16"/>
              </w:rPr>
              <w:t>Usually absent</w:t>
            </w:r>
          </w:p>
        </w:tc>
      </w:tr>
      <w:tr w:rsidR="00946E8A" w:rsidRPr="001A68E6" w14:paraId="0C30E70F" w14:textId="77777777" w:rsidTr="00D14C8F">
        <w:tblPrEx>
          <w:tblCellMar>
            <w:left w:w="70" w:type="dxa"/>
            <w:right w:w="70" w:type="dxa"/>
          </w:tblCellMar>
        </w:tblPrEx>
        <w:trPr>
          <w:cantSplit/>
        </w:trPr>
        <w:tc>
          <w:tcPr>
            <w:tcW w:w="2448" w:type="dxa"/>
          </w:tcPr>
          <w:p w14:paraId="196FE648" w14:textId="77777777" w:rsidR="00946E8A" w:rsidRPr="001A68E6" w:rsidRDefault="00946E8A">
            <w:pPr>
              <w:spacing w:before="240" w:after="120" w:line="240" w:lineRule="auto"/>
              <w:ind w:left="142"/>
              <w:rPr>
                <w:rFonts w:ascii="Söhne" w:hAnsi="Söhne"/>
                <w:i/>
                <w:iCs/>
                <w:sz w:val="16"/>
                <w:szCs w:val="16"/>
              </w:rPr>
            </w:pPr>
            <w:r w:rsidRPr="001A68E6">
              <w:rPr>
                <w:rFonts w:ascii="Söhne" w:hAnsi="Söhne"/>
                <w:i/>
                <w:iCs/>
                <w:sz w:val="16"/>
                <w:szCs w:val="16"/>
              </w:rPr>
              <w:t>Microscopic lesions</w:t>
            </w:r>
          </w:p>
        </w:tc>
        <w:tc>
          <w:tcPr>
            <w:tcW w:w="2797" w:type="dxa"/>
          </w:tcPr>
          <w:p w14:paraId="74E223C2" w14:textId="77777777" w:rsidR="00946E8A" w:rsidRPr="001A68E6" w:rsidRDefault="00946E8A">
            <w:pPr>
              <w:pStyle w:val="para1"/>
              <w:spacing w:before="240" w:after="120"/>
              <w:ind w:left="142"/>
              <w:jc w:val="left"/>
              <w:rPr>
                <w:i/>
                <w:iCs/>
                <w:sz w:val="16"/>
                <w:szCs w:val="16"/>
              </w:rPr>
            </w:pPr>
          </w:p>
        </w:tc>
        <w:tc>
          <w:tcPr>
            <w:tcW w:w="1985" w:type="dxa"/>
          </w:tcPr>
          <w:p w14:paraId="2282ADE2" w14:textId="77777777" w:rsidR="00946E8A" w:rsidRPr="001A68E6" w:rsidRDefault="00946E8A">
            <w:pPr>
              <w:pStyle w:val="para1"/>
              <w:spacing w:before="240" w:after="120"/>
              <w:ind w:left="142"/>
              <w:jc w:val="left"/>
              <w:rPr>
                <w:sz w:val="16"/>
                <w:szCs w:val="16"/>
              </w:rPr>
            </w:pPr>
          </w:p>
        </w:tc>
        <w:tc>
          <w:tcPr>
            <w:tcW w:w="1984" w:type="dxa"/>
          </w:tcPr>
          <w:p w14:paraId="0A5579DE" w14:textId="77777777" w:rsidR="00946E8A" w:rsidRPr="001A68E6" w:rsidRDefault="00946E8A">
            <w:pPr>
              <w:spacing w:before="240" w:after="120" w:line="240" w:lineRule="auto"/>
              <w:ind w:left="142"/>
              <w:rPr>
                <w:rFonts w:ascii="Söhne" w:hAnsi="Söhne"/>
                <w:sz w:val="16"/>
                <w:szCs w:val="16"/>
              </w:rPr>
            </w:pPr>
          </w:p>
        </w:tc>
      </w:tr>
      <w:tr w:rsidR="00946E8A" w:rsidRPr="001A68E6" w14:paraId="782FD034" w14:textId="77777777">
        <w:tblPrEx>
          <w:tblCellMar>
            <w:left w:w="70" w:type="dxa"/>
            <w:right w:w="70" w:type="dxa"/>
          </w:tblCellMar>
        </w:tblPrEx>
        <w:trPr>
          <w:cantSplit/>
        </w:trPr>
        <w:tc>
          <w:tcPr>
            <w:tcW w:w="2448" w:type="dxa"/>
          </w:tcPr>
          <w:p w14:paraId="4B1CE0C6"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Neural involvement</w:t>
            </w:r>
          </w:p>
        </w:tc>
        <w:tc>
          <w:tcPr>
            <w:tcW w:w="2797" w:type="dxa"/>
          </w:tcPr>
          <w:p w14:paraId="2DE7D9DB"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Yes</w:t>
            </w:r>
          </w:p>
        </w:tc>
        <w:tc>
          <w:tcPr>
            <w:tcW w:w="1985" w:type="dxa"/>
          </w:tcPr>
          <w:p w14:paraId="329D7CCD"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No</w:t>
            </w:r>
          </w:p>
        </w:tc>
        <w:tc>
          <w:tcPr>
            <w:tcW w:w="1984" w:type="dxa"/>
          </w:tcPr>
          <w:p w14:paraId="5EC9A0EF"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Infrequent</w:t>
            </w:r>
          </w:p>
        </w:tc>
      </w:tr>
      <w:tr w:rsidR="00946E8A" w:rsidRPr="001A68E6" w14:paraId="118AC38B" w14:textId="77777777">
        <w:tblPrEx>
          <w:tblCellMar>
            <w:left w:w="70" w:type="dxa"/>
            <w:right w:w="70" w:type="dxa"/>
          </w:tblCellMar>
        </w:tblPrEx>
        <w:trPr>
          <w:cantSplit/>
        </w:trPr>
        <w:tc>
          <w:tcPr>
            <w:tcW w:w="2448" w:type="dxa"/>
          </w:tcPr>
          <w:p w14:paraId="5D5363DC"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Liver tumours</w:t>
            </w:r>
          </w:p>
        </w:tc>
        <w:tc>
          <w:tcPr>
            <w:tcW w:w="2797" w:type="dxa"/>
          </w:tcPr>
          <w:p w14:paraId="632ACA42"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Often perivascular</w:t>
            </w:r>
          </w:p>
        </w:tc>
        <w:tc>
          <w:tcPr>
            <w:tcW w:w="1985" w:type="dxa"/>
          </w:tcPr>
          <w:p w14:paraId="7B9E2FEC"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Focal or diffuse</w:t>
            </w:r>
          </w:p>
        </w:tc>
        <w:tc>
          <w:tcPr>
            <w:tcW w:w="1984" w:type="dxa"/>
          </w:tcPr>
          <w:p w14:paraId="7EA16ACA"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Focal</w:t>
            </w:r>
          </w:p>
        </w:tc>
      </w:tr>
      <w:tr w:rsidR="00946E8A" w:rsidRPr="001A68E6" w14:paraId="046B9D4C" w14:textId="77777777">
        <w:tblPrEx>
          <w:tblCellMar>
            <w:left w:w="70" w:type="dxa"/>
            <w:right w:w="70" w:type="dxa"/>
          </w:tblCellMar>
        </w:tblPrEx>
        <w:trPr>
          <w:cantSplit/>
        </w:trPr>
        <w:tc>
          <w:tcPr>
            <w:tcW w:w="2448" w:type="dxa"/>
          </w:tcPr>
          <w:p w14:paraId="137C5E3A"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Spleen</w:t>
            </w:r>
          </w:p>
        </w:tc>
        <w:tc>
          <w:tcPr>
            <w:tcW w:w="2797" w:type="dxa"/>
          </w:tcPr>
          <w:p w14:paraId="2537896D"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Diffuse</w:t>
            </w:r>
          </w:p>
        </w:tc>
        <w:tc>
          <w:tcPr>
            <w:tcW w:w="1985" w:type="dxa"/>
          </w:tcPr>
          <w:p w14:paraId="5E9FD078"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Often focal</w:t>
            </w:r>
          </w:p>
        </w:tc>
        <w:tc>
          <w:tcPr>
            <w:tcW w:w="1984" w:type="dxa"/>
          </w:tcPr>
          <w:p w14:paraId="340D7C70"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Focal or diffuse</w:t>
            </w:r>
          </w:p>
        </w:tc>
      </w:tr>
      <w:tr w:rsidR="00946E8A" w:rsidRPr="001A68E6" w14:paraId="64198F80" w14:textId="77777777">
        <w:tblPrEx>
          <w:tblCellMar>
            <w:left w:w="70" w:type="dxa"/>
            <w:right w:w="70" w:type="dxa"/>
          </w:tblCellMar>
        </w:tblPrEx>
        <w:trPr>
          <w:cantSplit/>
        </w:trPr>
        <w:tc>
          <w:tcPr>
            <w:tcW w:w="2448" w:type="dxa"/>
          </w:tcPr>
          <w:p w14:paraId="2F7E2076" w14:textId="77777777" w:rsidR="00946E8A" w:rsidRPr="001A68E6" w:rsidRDefault="00946E8A">
            <w:pPr>
              <w:pStyle w:val="para1"/>
              <w:spacing w:before="100" w:after="100"/>
              <w:ind w:left="425"/>
              <w:rPr>
                <w:sz w:val="16"/>
                <w:szCs w:val="16"/>
              </w:rPr>
            </w:pPr>
            <w:r w:rsidRPr="001A68E6">
              <w:rPr>
                <w:sz w:val="16"/>
                <w:szCs w:val="16"/>
              </w:rPr>
              <w:t>Bursa of Fabricius</w:t>
            </w:r>
          </w:p>
        </w:tc>
        <w:tc>
          <w:tcPr>
            <w:tcW w:w="2797" w:type="dxa"/>
          </w:tcPr>
          <w:p w14:paraId="14B01D05" w14:textId="77777777" w:rsidR="00946E8A" w:rsidRPr="001A68E6" w:rsidRDefault="00946E8A">
            <w:pPr>
              <w:pStyle w:val="para1"/>
              <w:spacing w:before="100" w:after="100"/>
              <w:ind w:left="142"/>
              <w:jc w:val="left"/>
              <w:rPr>
                <w:sz w:val="16"/>
                <w:szCs w:val="16"/>
              </w:rPr>
            </w:pPr>
            <w:r w:rsidRPr="001A68E6">
              <w:rPr>
                <w:sz w:val="16"/>
                <w:szCs w:val="16"/>
              </w:rPr>
              <w:t>Interfollicular tumour and/or atrophy of follicles</w:t>
            </w:r>
          </w:p>
        </w:tc>
        <w:tc>
          <w:tcPr>
            <w:tcW w:w="1985" w:type="dxa"/>
          </w:tcPr>
          <w:p w14:paraId="43560D9A" w14:textId="77777777" w:rsidR="00946E8A" w:rsidRPr="001A68E6" w:rsidRDefault="00946E8A">
            <w:pPr>
              <w:pStyle w:val="para1"/>
              <w:spacing w:before="100" w:after="100"/>
              <w:ind w:left="144"/>
              <w:rPr>
                <w:sz w:val="16"/>
                <w:szCs w:val="16"/>
              </w:rPr>
            </w:pPr>
            <w:r w:rsidRPr="001A68E6">
              <w:rPr>
                <w:sz w:val="16"/>
                <w:szCs w:val="16"/>
              </w:rPr>
              <w:t>Intrafollicular tumour</w:t>
            </w:r>
          </w:p>
        </w:tc>
        <w:tc>
          <w:tcPr>
            <w:tcW w:w="1984" w:type="dxa"/>
          </w:tcPr>
          <w:p w14:paraId="57549D0B" w14:textId="77777777" w:rsidR="00946E8A" w:rsidRPr="001A68E6" w:rsidRDefault="00DA79B8">
            <w:pPr>
              <w:spacing w:before="100" w:after="100" w:line="240" w:lineRule="auto"/>
              <w:ind w:left="142"/>
              <w:rPr>
                <w:rFonts w:ascii="Söhne" w:hAnsi="Söhne"/>
                <w:sz w:val="16"/>
                <w:szCs w:val="16"/>
              </w:rPr>
            </w:pPr>
            <w:r w:rsidRPr="001A68E6">
              <w:rPr>
                <w:rFonts w:ascii="Söhne" w:hAnsi="Söhne"/>
                <w:sz w:val="16"/>
                <w:szCs w:val="16"/>
              </w:rPr>
              <w:t>Intrafollicu</w:t>
            </w:r>
            <w:r w:rsidR="00946E8A" w:rsidRPr="001A68E6">
              <w:rPr>
                <w:rFonts w:ascii="Söhne" w:hAnsi="Söhne"/>
                <w:sz w:val="16"/>
                <w:szCs w:val="16"/>
              </w:rPr>
              <w:t>lar tumour</w:t>
            </w:r>
          </w:p>
        </w:tc>
      </w:tr>
      <w:tr w:rsidR="00946E8A" w:rsidRPr="001A68E6" w14:paraId="4C7E0DCB" w14:textId="77777777" w:rsidTr="000F55AC">
        <w:tblPrEx>
          <w:tblCellMar>
            <w:left w:w="70" w:type="dxa"/>
            <w:right w:w="70" w:type="dxa"/>
          </w:tblCellMar>
        </w:tblPrEx>
        <w:trPr>
          <w:cantSplit/>
        </w:trPr>
        <w:tc>
          <w:tcPr>
            <w:tcW w:w="2448" w:type="dxa"/>
          </w:tcPr>
          <w:p w14:paraId="43A31FE7" w14:textId="77777777" w:rsidR="00946E8A" w:rsidRPr="001A68E6" w:rsidRDefault="00946E8A">
            <w:pPr>
              <w:spacing w:before="100" w:after="100" w:line="240" w:lineRule="auto"/>
              <w:ind w:left="425"/>
              <w:rPr>
                <w:rFonts w:ascii="Söhne" w:hAnsi="Söhne"/>
                <w:sz w:val="16"/>
                <w:szCs w:val="16"/>
              </w:rPr>
            </w:pPr>
            <w:r w:rsidRPr="001A68E6">
              <w:rPr>
                <w:rFonts w:ascii="Söhne" w:hAnsi="Söhne"/>
                <w:sz w:val="16"/>
                <w:szCs w:val="16"/>
              </w:rPr>
              <w:t>Central nervous system</w:t>
            </w:r>
          </w:p>
        </w:tc>
        <w:tc>
          <w:tcPr>
            <w:tcW w:w="2797" w:type="dxa"/>
          </w:tcPr>
          <w:p w14:paraId="640BCB2A"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Yes</w:t>
            </w:r>
          </w:p>
        </w:tc>
        <w:tc>
          <w:tcPr>
            <w:tcW w:w="1985" w:type="dxa"/>
          </w:tcPr>
          <w:p w14:paraId="337DF9D4"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No</w:t>
            </w:r>
          </w:p>
        </w:tc>
        <w:tc>
          <w:tcPr>
            <w:tcW w:w="1984" w:type="dxa"/>
          </w:tcPr>
          <w:p w14:paraId="02E5FF41"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No</w:t>
            </w:r>
          </w:p>
        </w:tc>
      </w:tr>
      <w:tr w:rsidR="00946E8A" w:rsidRPr="001A68E6" w14:paraId="766DAC67" w14:textId="77777777" w:rsidTr="00EA0816">
        <w:tblPrEx>
          <w:tblCellMar>
            <w:left w:w="70" w:type="dxa"/>
            <w:right w:w="70" w:type="dxa"/>
          </w:tblCellMar>
        </w:tblPrEx>
        <w:trPr>
          <w:cantSplit/>
        </w:trPr>
        <w:tc>
          <w:tcPr>
            <w:tcW w:w="2448" w:type="dxa"/>
            <w:tcBorders>
              <w:bottom w:val="single" w:sz="4" w:space="0" w:color="auto"/>
            </w:tcBorders>
          </w:tcPr>
          <w:p w14:paraId="1AE412E5" w14:textId="77777777" w:rsidR="00946E8A" w:rsidRPr="001A68E6" w:rsidRDefault="00946E8A">
            <w:pPr>
              <w:spacing w:before="100" w:after="100" w:line="240" w:lineRule="auto"/>
              <w:ind w:left="425"/>
              <w:rPr>
                <w:rFonts w:ascii="Söhne" w:hAnsi="Söhne"/>
                <w:i/>
                <w:sz w:val="16"/>
                <w:szCs w:val="16"/>
              </w:rPr>
            </w:pPr>
            <w:r w:rsidRPr="001A68E6">
              <w:rPr>
                <w:rFonts w:ascii="Söhne" w:hAnsi="Söhne"/>
                <w:sz w:val="16"/>
                <w:szCs w:val="16"/>
              </w:rPr>
              <w:t>Lymphoid proliferation in skin and feather follicles</w:t>
            </w:r>
          </w:p>
        </w:tc>
        <w:tc>
          <w:tcPr>
            <w:tcW w:w="2797" w:type="dxa"/>
            <w:tcBorders>
              <w:bottom w:val="single" w:sz="4" w:space="0" w:color="auto"/>
            </w:tcBorders>
          </w:tcPr>
          <w:p w14:paraId="3AB5A61F" w14:textId="77777777" w:rsidR="00946E8A" w:rsidRPr="001A68E6" w:rsidRDefault="00946E8A">
            <w:pPr>
              <w:spacing w:before="100" w:after="100" w:line="240" w:lineRule="auto"/>
              <w:ind w:left="142"/>
              <w:jc w:val="left"/>
              <w:rPr>
                <w:rFonts w:ascii="Söhne" w:hAnsi="Söhne"/>
                <w:sz w:val="16"/>
                <w:szCs w:val="16"/>
              </w:rPr>
            </w:pPr>
            <w:r w:rsidRPr="001A68E6">
              <w:rPr>
                <w:rFonts w:ascii="Söhne" w:hAnsi="Söhne"/>
                <w:sz w:val="16"/>
                <w:szCs w:val="16"/>
              </w:rPr>
              <w:t>Yes</w:t>
            </w:r>
          </w:p>
        </w:tc>
        <w:tc>
          <w:tcPr>
            <w:tcW w:w="1985" w:type="dxa"/>
            <w:tcBorders>
              <w:bottom w:val="single" w:sz="4" w:space="0" w:color="auto"/>
            </w:tcBorders>
          </w:tcPr>
          <w:p w14:paraId="65B2BF50" w14:textId="77777777" w:rsidR="00946E8A" w:rsidRPr="001A68E6" w:rsidRDefault="00946E8A">
            <w:pPr>
              <w:spacing w:before="100" w:after="100" w:line="240" w:lineRule="auto"/>
              <w:ind w:left="144"/>
              <w:rPr>
                <w:rFonts w:ascii="Söhne" w:hAnsi="Söhne"/>
                <w:sz w:val="16"/>
                <w:szCs w:val="16"/>
              </w:rPr>
            </w:pPr>
            <w:r w:rsidRPr="001A68E6">
              <w:rPr>
                <w:rFonts w:ascii="Söhne" w:hAnsi="Söhne"/>
                <w:sz w:val="16"/>
                <w:szCs w:val="16"/>
              </w:rPr>
              <w:t>No</w:t>
            </w:r>
          </w:p>
        </w:tc>
        <w:tc>
          <w:tcPr>
            <w:tcW w:w="1984" w:type="dxa"/>
            <w:tcBorders>
              <w:bottom w:val="single" w:sz="4" w:space="0" w:color="auto"/>
            </w:tcBorders>
          </w:tcPr>
          <w:p w14:paraId="156247EB" w14:textId="77777777" w:rsidR="00946E8A" w:rsidRPr="001A68E6" w:rsidRDefault="00946E8A">
            <w:pPr>
              <w:spacing w:before="100" w:after="100" w:line="240" w:lineRule="auto"/>
              <w:ind w:left="142"/>
              <w:rPr>
                <w:rFonts w:ascii="Söhne" w:hAnsi="Söhne"/>
                <w:sz w:val="16"/>
                <w:szCs w:val="16"/>
              </w:rPr>
            </w:pPr>
            <w:r w:rsidRPr="001A68E6">
              <w:rPr>
                <w:rFonts w:ascii="Söhne" w:hAnsi="Söhne"/>
                <w:sz w:val="16"/>
                <w:szCs w:val="16"/>
              </w:rPr>
              <w:t>No</w:t>
            </w:r>
          </w:p>
        </w:tc>
      </w:tr>
      <w:tr w:rsidR="00946E8A" w:rsidRPr="001A68E6" w14:paraId="22A77C6E" w14:textId="77777777" w:rsidTr="00D14C8F">
        <w:tblPrEx>
          <w:tblCellMar>
            <w:left w:w="70" w:type="dxa"/>
            <w:right w:w="70" w:type="dxa"/>
          </w:tblCellMar>
        </w:tblPrEx>
        <w:trPr>
          <w:cantSplit/>
        </w:trPr>
        <w:tc>
          <w:tcPr>
            <w:tcW w:w="2448" w:type="dxa"/>
            <w:tcBorders>
              <w:top w:val="single" w:sz="4" w:space="0" w:color="auto"/>
              <w:bottom w:val="single" w:sz="4" w:space="0" w:color="auto"/>
            </w:tcBorders>
          </w:tcPr>
          <w:p w14:paraId="687BE7CC" w14:textId="77777777" w:rsidR="00946E8A" w:rsidRPr="001A68E6" w:rsidRDefault="00946E8A">
            <w:pPr>
              <w:pStyle w:val="para1"/>
              <w:spacing w:before="100" w:after="100"/>
              <w:ind w:left="142"/>
              <w:rPr>
                <w:sz w:val="16"/>
              </w:rPr>
            </w:pPr>
            <w:r w:rsidRPr="001A68E6">
              <w:rPr>
                <w:sz w:val="16"/>
              </w:rPr>
              <w:t>Cytology of tumours</w:t>
            </w:r>
          </w:p>
        </w:tc>
        <w:tc>
          <w:tcPr>
            <w:tcW w:w="2797" w:type="dxa"/>
            <w:tcBorders>
              <w:top w:val="single" w:sz="4" w:space="0" w:color="auto"/>
              <w:bottom w:val="single" w:sz="4" w:space="0" w:color="auto"/>
            </w:tcBorders>
          </w:tcPr>
          <w:p w14:paraId="74786B07" w14:textId="77777777" w:rsidR="00946E8A" w:rsidRPr="001A68E6" w:rsidRDefault="00946E8A">
            <w:pPr>
              <w:pStyle w:val="para1"/>
              <w:spacing w:before="100" w:after="100"/>
              <w:ind w:left="142"/>
              <w:jc w:val="left"/>
              <w:rPr>
                <w:sz w:val="16"/>
              </w:rPr>
            </w:pPr>
            <w:r w:rsidRPr="001A68E6">
              <w:rPr>
                <w:sz w:val="16"/>
              </w:rPr>
              <w:t>Pleomorphic lymphoid cells, including lymphoblasts, small, medium and large lymphocytes and reticulum cells. Rarely can be only lymphoblasts</w:t>
            </w:r>
          </w:p>
        </w:tc>
        <w:tc>
          <w:tcPr>
            <w:tcW w:w="1985" w:type="dxa"/>
            <w:tcBorders>
              <w:top w:val="single" w:sz="4" w:space="0" w:color="auto"/>
              <w:bottom w:val="single" w:sz="4" w:space="0" w:color="auto"/>
            </w:tcBorders>
          </w:tcPr>
          <w:p w14:paraId="4AAED74A" w14:textId="77777777" w:rsidR="00946E8A" w:rsidRPr="001A68E6" w:rsidRDefault="00946E8A">
            <w:pPr>
              <w:pStyle w:val="para1"/>
              <w:spacing w:before="100" w:after="100"/>
              <w:ind w:left="142"/>
              <w:rPr>
                <w:sz w:val="16"/>
              </w:rPr>
            </w:pPr>
            <w:r w:rsidRPr="001A68E6">
              <w:rPr>
                <w:sz w:val="16"/>
              </w:rPr>
              <w:t>Lymphoblasts</w:t>
            </w:r>
          </w:p>
        </w:tc>
        <w:tc>
          <w:tcPr>
            <w:tcW w:w="1984" w:type="dxa"/>
            <w:tcBorders>
              <w:top w:val="single" w:sz="4" w:space="0" w:color="auto"/>
              <w:bottom w:val="single" w:sz="4" w:space="0" w:color="auto"/>
            </w:tcBorders>
          </w:tcPr>
          <w:p w14:paraId="30861384" w14:textId="77777777" w:rsidR="00946E8A" w:rsidRPr="001A68E6" w:rsidRDefault="00946E8A">
            <w:pPr>
              <w:pStyle w:val="para1"/>
              <w:spacing w:before="100" w:after="100"/>
              <w:ind w:left="142"/>
              <w:rPr>
                <w:sz w:val="16"/>
              </w:rPr>
            </w:pPr>
            <w:r w:rsidRPr="001A68E6">
              <w:rPr>
                <w:sz w:val="16"/>
              </w:rPr>
              <w:t>Lymphoblasts</w:t>
            </w:r>
          </w:p>
        </w:tc>
      </w:tr>
      <w:tr w:rsidR="00946E8A" w:rsidRPr="001A68E6" w14:paraId="2E6B7A96" w14:textId="77777777" w:rsidTr="00D14C8F">
        <w:tblPrEx>
          <w:tblCellMar>
            <w:left w:w="70" w:type="dxa"/>
            <w:right w:w="70" w:type="dxa"/>
          </w:tblCellMar>
        </w:tblPrEx>
        <w:trPr>
          <w:cantSplit/>
          <w:trHeight w:val="570"/>
        </w:trPr>
        <w:tc>
          <w:tcPr>
            <w:tcW w:w="2448" w:type="dxa"/>
            <w:tcBorders>
              <w:top w:val="single" w:sz="4" w:space="0" w:color="auto"/>
              <w:bottom w:val="single" w:sz="4" w:space="0" w:color="auto"/>
            </w:tcBorders>
          </w:tcPr>
          <w:p w14:paraId="2E6F934D" w14:textId="632A8EF2" w:rsidR="00946E8A" w:rsidRPr="001A68E6" w:rsidRDefault="00946E8A" w:rsidP="00EA0816">
            <w:pPr>
              <w:pStyle w:val="para1"/>
              <w:spacing w:before="120" w:after="0"/>
              <w:ind w:left="142"/>
              <w:jc w:val="left"/>
              <w:rPr>
                <w:sz w:val="16"/>
              </w:rPr>
            </w:pPr>
            <w:r w:rsidRPr="001A68E6">
              <w:rPr>
                <w:sz w:val="16"/>
              </w:rPr>
              <w:t>Category of neoplastic</w:t>
            </w:r>
            <w:r w:rsidR="00EA0816" w:rsidRPr="001A68E6">
              <w:rPr>
                <w:sz w:val="16"/>
              </w:rPr>
              <w:t xml:space="preserve"> </w:t>
            </w:r>
            <w:r w:rsidRPr="001A68E6">
              <w:rPr>
                <w:sz w:val="16"/>
              </w:rPr>
              <w:t>lymphoid cell</w:t>
            </w:r>
          </w:p>
        </w:tc>
        <w:tc>
          <w:tcPr>
            <w:tcW w:w="2797" w:type="dxa"/>
            <w:tcBorders>
              <w:top w:val="single" w:sz="4" w:space="0" w:color="auto"/>
              <w:bottom w:val="single" w:sz="4" w:space="0" w:color="auto"/>
            </w:tcBorders>
          </w:tcPr>
          <w:p w14:paraId="0972CE1D" w14:textId="77777777" w:rsidR="00946E8A" w:rsidRPr="001A68E6" w:rsidRDefault="00946E8A">
            <w:pPr>
              <w:pStyle w:val="para1"/>
              <w:spacing w:before="120" w:after="0"/>
              <w:ind w:left="142"/>
              <w:jc w:val="left"/>
              <w:rPr>
                <w:sz w:val="16"/>
              </w:rPr>
            </w:pPr>
            <w:r w:rsidRPr="001A68E6">
              <w:rPr>
                <w:sz w:val="16"/>
              </w:rPr>
              <w:t>T cell</w:t>
            </w:r>
          </w:p>
        </w:tc>
        <w:tc>
          <w:tcPr>
            <w:tcW w:w="1985" w:type="dxa"/>
            <w:tcBorders>
              <w:top w:val="single" w:sz="4" w:space="0" w:color="auto"/>
              <w:bottom w:val="single" w:sz="4" w:space="0" w:color="auto"/>
            </w:tcBorders>
          </w:tcPr>
          <w:p w14:paraId="1459D98C" w14:textId="77777777" w:rsidR="00946E8A" w:rsidRPr="001A68E6" w:rsidRDefault="00946E8A">
            <w:pPr>
              <w:pStyle w:val="para1"/>
              <w:spacing w:before="120" w:after="0"/>
              <w:ind w:left="142"/>
              <w:jc w:val="left"/>
              <w:rPr>
                <w:sz w:val="16"/>
              </w:rPr>
            </w:pPr>
            <w:r w:rsidRPr="001A68E6">
              <w:rPr>
                <w:sz w:val="16"/>
              </w:rPr>
              <w:t>B cell</w:t>
            </w:r>
          </w:p>
        </w:tc>
        <w:tc>
          <w:tcPr>
            <w:tcW w:w="1984" w:type="dxa"/>
            <w:tcBorders>
              <w:top w:val="single" w:sz="4" w:space="0" w:color="auto"/>
              <w:bottom w:val="single" w:sz="4" w:space="0" w:color="auto"/>
            </w:tcBorders>
          </w:tcPr>
          <w:p w14:paraId="55FB8D60" w14:textId="77777777" w:rsidR="00946E8A" w:rsidRPr="001A68E6" w:rsidRDefault="00946E8A">
            <w:pPr>
              <w:pStyle w:val="para1"/>
              <w:spacing w:before="120" w:after="0"/>
              <w:ind w:left="142"/>
              <w:jc w:val="left"/>
              <w:rPr>
                <w:sz w:val="16"/>
              </w:rPr>
            </w:pPr>
            <w:r w:rsidRPr="001A68E6">
              <w:rPr>
                <w:sz w:val="16"/>
              </w:rPr>
              <w:t>B cell</w:t>
            </w:r>
          </w:p>
        </w:tc>
      </w:tr>
    </w:tbl>
    <w:p w14:paraId="6C4A96BE" w14:textId="4F5D0750" w:rsidR="00946E8A" w:rsidRPr="001A68E6" w:rsidRDefault="00946E8A" w:rsidP="001F246B">
      <w:pPr>
        <w:pStyle w:val="para1"/>
        <w:spacing w:before="120" w:after="480"/>
        <w:jc w:val="center"/>
      </w:pPr>
      <w:r w:rsidRPr="001A68E6">
        <w:t>*</w:t>
      </w:r>
      <w:r w:rsidR="00F576D4" w:rsidRPr="001A68E6">
        <w:rPr>
          <w:sz w:val="16"/>
        </w:rPr>
        <w:t>Reticuloendotheliosis</w:t>
      </w:r>
      <w:r w:rsidRPr="001A68E6">
        <w:rPr>
          <w:sz w:val="16"/>
        </w:rPr>
        <w:t xml:space="preserve"> virus may cause several different syndromes. T</w:t>
      </w:r>
      <w:r w:rsidR="00DA79B8" w:rsidRPr="001A68E6">
        <w:rPr>
          <w:sz w:val="16"/>
        </w:rPr>
        <w:t xml:space="preserve">he bursal lymphoma syndrome is most likely to occur in </w:t>
      </w:r>
      <w:r w:rsidRPr="001A68E6">
        <w:rPr>
          <w:sz w:val="16"/>
        </w:rPr>
        <w:t>the field and is described here.</w:t>
      </w:r>
    </w:p>
    <w:p w14:paraId="0485F774" w14:textId="5C8A4272" w:rsidR="00380A5C" w:rsidRPr="001A68E6" w:rsidRDefault="00380A5C" w:rsidP="00380A5C">
      <w:pPr>
        <w:pStyle w:val="A0"/>
      </w:pPr>
      <w:r w:rsidRPr="001A68E6">
        <w:t>b.  DIAGNOSTIC TECHNIQUES</w:t>
      </w:r>
    </w:p>
    <w:p w14:paraId="2272DD82" w14:textId="77777777" w:rsidR="00F51679" w:rsidRPr="001A68E6" w:rsidRDefault="00F51679" w:rsidP="001F246B">
      <w:pPr>
        <w:pStyle w:val="Tabletitle"/>
      </w:pPr>
      <w:bookmarkStart w:id="2" w:name="_Hlk127262483"/>
      <w:r w:rsidRPr="001A68E6">
        <w:t xml:space="preserve">Table </w:t>
      </w:r>
      <w:r w:rsidRPr="001A68E6">
        <w:rPr>
          <w:noProof/>
        </w:rPr>
        <w:t>2</w:t>
      </w:r>
      <w:r w:rsidRPr="001A68E6">
        <w:t xml:space="preserve">. </w:t>
      </w:r>
      <w:r w:rsidRPr="00262934">
        <w:rPr>
          <w:b w:val="0"/>
          <w:bCs w:val="0"/>
        </w:rPr>
        <w:t>Test methods available for the diagnosis of Marek’s disease and their purpose</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11"/>
        <w:gridCol w:w="1134"/>
        <w:gridCol w:w="1418"/>
        <w:gridCol w:w="1275"/>
        <w:gridCol w:w="1134"/>
        <w:gridCol w:w="1134"/>
        <w:gridCol w:w="1688"/>
      </w:tblGrid>
      <w:tr w:rsidR="008931E9" w:rsidRPr="001A68E6" w14:paraId="18D0E529" w14:textId="77777777" w:rsidTr="004133B5">
        <w:trPr>
          <w:trHeight w:val="402"/>
          <w:tblHeader/>
          <w:jc w:val="center"/>
        </w:trPr>
        <w:tc>
          <w:tcPr>
            <w:tcW w:w="1411" w:type="dxa"/>
            <w:vMerge w:val="restart"/>
            <w:vAlign w:val="center"/>
          </w:tcPr>
          <w:p w14:paraId="7930241F" w14:textId="2BCE3058" w:rsidR="008931E9" w:rsidRPr="001A68E6" w:rsidRDefault="008931E9" w:rsidP="009D5565">
            <w:pPr>
              <w:pStyle w:val="TableHead"/>
              <w:spacing w:before="60" w:after="60"/>
              <w:rPr>
                <w:rFonts w:ascii="Söhne Kräftig" w:hAnsi="Söhne Kräftig" w:cs="Arial"/>
                <w:b w:val="0"/>
                <w:bCs w:val="0"/>
                <w:lang w:val="en-GB"/>
              </w:rPr>
            </w:pPr>
            <w:r w:rsidRPr="001A68E6">
              <w:rPr>
                <w:rFonts w:ascii="Söhne Kräftig" w:hAnsi="Söhne Kräftig" w:cs="Arial"/>
                <w:b w:val="0"/>
                <w:bCs w:val="0"/>
                <w:lang w:val="en-GB"/>
              </w:rPr>
              <w:t>Method</w:t>
            </w:r>
          </w:p>
        </w:tc>
        <w:tc>
          <w:tcPr>
            <w:tcW w:w="7783" w:type="dxa"/>
            <w:gridSpan w:val="6"/>
            <w:vAlign w:val="center"/>
          </w:tcPr>
          <w:p w14:paraId="46E6A190" w14:textId="77777777" w:rsidR="008931E9" w:rsidRPr="001A68E6" w:rsidRDefault="008931E9" w:rsidP="009D5565">
            <w:pPr>
              <w:pStyle w:val="Tabletext"/>
              <w:spacing w:before="60" w:after="60"/>
              <w:rPr>
                <w:rFonts w:ascii="Söhne Kräftig" w:hAnsi="Söhne Kräftig"/>
                <w:bCs w:val="0"/>
                <w:szCs w:val="16"/>
                <w:lang w:val="en-GB"/>
              </w:rPr>
            </w:pPr>
            <w:r w:rsidRPr="001A68E6">
              <w:rPr>
                <w:rFonts w:ascii="Söhne Kräftig" w:hAnsi="Söhne Kräftig"/>
                <w:bCs w:val="0"/>
                <w:lang w:val="en-GB"/>
              </w:rPr>
              <w:t>Purpose</w:t>
            </w:r>
          </w:p>
        </w:tc>
      </w:tr>
      <w:tr w:rsidR="008931E9" w:rsidRPr="001A68E6" w14:paraId="08EB93E9" w14:textId="77777777" w:rsidTr="004133B5">
        <w:trPr>
          <w:trHeight w:val="402"/>
          <w:tblHeader/>
          <w:jc w:val="center"/>
        </w:trPr>
        <w:tc>
          <w:tcPr>
            <w:tcW w:w="1411" w:type="dxa"/>
            <w:vMerge/>
            <w:vAlign w:val="center"/>
          </w:tcPr>
          <w:p w14:paraId="20F41330" w14:textId="77777777" w:rsidR="008931E9" w:rsidRPr="001A68E6" w:rsidRDefault="008931E9" w:rsidP="009D5565">
            <w:pPr>
              <w:pStyle w:val="TableHead"/>
              <w:spacing w:before="60" w:after="60"/>
              <w:jc w:val="both"/>
              <w:rPr>
                <w:rFonts w:ascii="Söhne Kräftig" w:hAnsi="Söhne Kräftig" w:cs="Arial"/>
                <w:sz w:val="16"/>
                <w:szCs w:val="16"/>
                <w:lang w:val="en-GB"/>
              </w:rPr>
            </w:pPr>
          </w:p>
        </w:tc>
        <w:tc>
          <w:tcPr>
            <w:tcW w:w="1134" w:type="dxa"/>
            <w:vAlign w:val="center"/>
          </w:tcPr>
          <w:p w14:paraId="4E90E23E"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Population freedom from infection</w:t>
            </w:r>
          </w:p>
        </w:tc>
        <w:tc>
          <w:tcPr>
            <w:tcW w:w="1418" w:type="dxa"/>
            <w:vAlign w:val="center"/>
          </w:tcPr>
          <w:p w14:paraId="27443B24"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Individual animal freedom from infection prior to movement</w:t>
            </w:r>
          </w:p>
        </w:tc>
        <w:tc>
          <w:tcPr>
            <w:tcW w:w="1275" w:type="dxa"/>
            <w:vAlign w:val="center"/>
          </w:tcPr>
          <w:p w14:paraId="7F9DAD04"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Contribute to eradication policies</w:t>
            </w:r>
          </w:p>
        </w:tc>
        <w:tc>
          <w:tcPr>
            <w:tcW w:w="1134" w:type="dxa"/>
            <w:vAlign w:val="center"/>
          </w:tcPr>
          <w:p w14:paraId="5F036398"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Confirmation of clinical cases</w:t>
            </w:r>
          </w:p>
        </w:tc>
        <w:tc>
          <w:tcPr>
            <w:tcW w:w="1134" w:type="dxa"/>
            <w:vAlign w:val="center"/>
          </w:tcPr>
          <w:p w14:paraId="2010A2DA"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Prevalence of infection – surveillance</w:t>
            </w:r>
          </w:p>
        </w:tc>
        <w:tc>
          <w:tcPr>
            <w:tcW w:w="1688" w:type="dxa"/>
            <w:vAlign w:val="center"/>
          </w:tcPr>
          <w:p w14:paraId="39443680" w14:textId="77777777" w:rsidR="008931E9" w:rsidRPr="001A68E6" w:rsidRDefault="008931E9" w:rsidP="009D5565">
            <w:pPr>
              <w:pStyle w:val="Tabletext"/>
              <w:spacing w:before="60" w:after="60"/>
              <w:rPr>
                <w:rFonts w:ascii="Söhne Kräftig" w:hAnsi="Söhne Kräftig"/>
                <w:szCs w:val="16"/>
                <w:lang w:val="en-GB"/>
              </w:rPr>
            </w:pPr>
            <w:r w:rsidRPr="001A68E6">
              <w:rPr>
                <w:rFonts w:ascii="Söhne Kräftig" w:hAnsi="Söhne Kräftig"/>
                <w:szCs w:val="16"/>
                <w:lang w:val="en-GB"/>
              </w:rPr>
              <w:t>Immune status in individual animals or populations post-vaccination</w:t>
            </w:r>
          </w:p>
        </w:tc>
      </w:tr>
      <w:tr w:rsidR="008931E9" w:rsidRPr="001A68E6" w14:paraId="26E7A115" w14:textId="77777777" w:rsidTr="004133B5">
        <w:trPr>
          <w:trHeight w:val="402"/>
          <w:jc w:val="center"/>
        </w:trPr>
        <w:tc>
          <w:tcPr>
            <w:tcW w:w="9194" w:type="dxa"/>
            <w:gridSpan w:val="7"/>
            <w:shd w:val="pct10" w:color="auto" w:fill="auto"/>
            <w:vAlign w:val="center"/>
          </w:tcPr>
          <w:p w14:paraId="50960917" w14:textId="5F8B5DD0" w:rsidR="008931E9" w:rsidRPr="001A68E6" w:rsidRDefault="002061CC" w:rsidP="00596AF4">
            <w:pPr>
              <w:pStyle w:val="Tabletext"/>
              <w:spacing w:before="60" w:after="60"/>
              <w:rPr>
                <w:rFonts w:ascii="Söhne Kräftig" w:hAnsi="Söhne Kräftig"/>
                <w:bCs w:val="0"/>
                <w:lang w:val="en-GB"/>
              </w:rPr>
            </w:pPr>
            <w:r w:rsidRPr="006D1D5A">
              <w:rPr>
                <w:rFonts w:ascii="Söhne Kräftig" w:hAnsi="Söhne Kräftig"/>
                <w:bCs w:val="0"/>
                <w:szCs w:val="16"/>
                <w:u w:val="double"/>
              </w:rPr>
              <w:t>Detection and</w:t>
            </w:r>
            <w:r>
              <w:rPr>
                <w:rFonts w:ascii="Söhne Kräftig" w:hAnsi="Söhne Kräftig"/>
                <w:bCs w:val="0"/>
                <w:szCs w:val="16"/>
              </w:rPr>
              <w:t xml:space="preserve"> </w:t>
            </w:r>
            <w:r w:rsidR="006D1D5A" w:rsidRPr="001A68E6">
              <w:rPr>
                <w:rFonts w:ascii="Söhne Kräftig" w:hAnsi="Söhne Kräftig"/>
                <w:bCs w:val="0"/>
                <w:szCs w:val="16"/>
              </w:rPr>
              <w:t xml:space="preserve">identification </w:t>
            </w:r>
            <w:r w:rsidR="000532C4" w:rsidRPr="001A68E6">
              <w:rPr>
                <w:rFonts w:ascii="Söhne Kräftig" w:hAnsi="Söhne Kräftig"/>
                <w:bCs w:val="0"/>
                <w:szCs w:val="16"/>
              </w:rPr>
              <w:t>of the agent</w:t>
            </w:r>
            <w:r w:rsidR="005D1CE5" w:rsidRPr="001A68E6">
              <w:rPr>
                <w:rFonts w:ascii="Söhne Kräftig" w:hAnsi="Söhne Kräftig"/>
                <w:bCs w:val="0"/>
                <w:szCs w:val="16"/>
                <w:vertAlign w:val="superscript"/>
              </w:rPr>
              <w:t>(a)</w:t>
            </w:r>
          </w:p>
        </w:tc>
      </w:tr>
      <w:tr w:rsidR="0009644C" w:rsidRPr="001A68E6" w14:paraId="210DD526" w14:textId="77777777" w:rsidTr="004133B5">
        <w:trPr>
          <w:trHeight w:val="402"/>
          <w:jc w:val="center"/>
        </w:trPr>
        <w:tc>
          <w:tcPr>
            <w:tcW w:w="1411" w:type="dxa"/>
            <w:vAlign w:val="center"/>
          </w:tcPr>
          <w:p w14:paraId="69809FC8" w14:textId="3824E544" w:rsidR="0009644C" w:rsidRPr="001A68E6" w:rsidRDefault="0009644C"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Histopathology</w:t>
            </w:r>
          </w:p>
        </w:tc>
        <w:tc>
          <w:tcPr>
            <w:tcW w:w="1134" w:type="dxa"/>
            <w:vAlign w:val="center"/>
          </w:tcPr>
          <w:p w14:paraId="067EB63E" w14:textId="58C6CF8F" w:rsidR="0009644C"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4622224B" w14:textId="5D9B7D69" w:rsidR="0009644C"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268A72CF" w14:textId="4F7AB31B" w:rsidR="0009644C"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286347B1" w14:textId="40DE1F15" w:rsidR="0009644C" w:rsidRPr="001A68E6" w:rsidRDefault="009F5C69" w:rsidP="009D5565">
            <w:pPr>
              <w:pStyle w:val="Tabletext"/>
              <w:spacing w:before="60" w:after="60"/>
              <w:rPr>
                <w:szCs w:val="16"/>
              </w:rPr>
            </w:pPr>
            <w:r w:rsidRPr="001A68E6">
              <w:rPr>
                <w:szCs w:val="16"/>
              </w:rPr>
              <w:t>+++</w:t>
            </w:r>
          </w:p>
        </w:tc>
        <w:tc>
          <w:tcPr>
            <w:tcW w:w="1134" w:type="dxa"/>
            <w:vAlign w:val="center"/>
          </w:tcPr>
          <w:p w14:paraId="03C218A3" w14:textId="303B127C" w:rsidR="0009644C" w:rsidRPr="001A68E6" w:rsidRDefault="009F5C69" w:rsidP="009D5565">
            <w:pPr>
              <w:pStyle w:val="Tabletext"/>
              <w:spacing w:before="60" w:after="60"/>
              <w:rPr>
                <w:szCs w:val="16"/>
                <w:lang w:val="en-GB"/>
              </w:rPr>
            </w:pPr>
            <w:r w:rsidRPr="001A68E6">
              <w:rPr>
                <w:szCs w:val="16"/>
                <w:lang w:val="en-GB"/>
              </w:rPr>
              <w:t>+</w:t>
            </w:r>
          </w:p>
        </w:tc>
        <w:tc>
          <w:tcPr>
            <w:tcW w:w="1688" w:type="dxa"/>
            <w:vAlign w:val="center"/>
          </w:tcPr>
          <w:p w14:paraId="4837D5B1" w14:textId="76F60DF0" w:rsidR="0009644C" w:rsidRPr="001A68E6" w:rsidRDefault="00AF6F93" w:rsidP="009D5565">
            <w:pPr>
              <w:pStyle w:val="Tabletext"/>
              <w:spacing w:before="60" w:after="60"/>
              <w:rPr>
                <w:szCs w:val="16"/>
                <w:lang w:val="en-GB"/>
              </w:rPr>
            </w:pPr>
            <w:r w:rsidRPr="001A68E6">
              <w:rPr>
                <w:szCs w:val="16"/>
                <w:lang w:val="en-GB"/>
              </w:rPr>
              <w:t>–</w:t>
            </w:r>
          </w:p>
        </w:tc>
      </w:tr>
      <w:tr w:rsidR="008931E9" w:rsidRPr="001A68E6" w14:paraId="5A0C65CA" w14:textId="77777777" w:rsidTr="004133B5">
        <w:trPr>
          <w:trHeight w:val="402"/>
          <w:jc w:val="center"/>
        </w:trPr>
        <w:tc>
          <w:tcPr>
            <w:tcW w:w="1411" w:type="dxa"/>
            <w:vAlign w:val="center"/>
          </w:tcPr>
          <w:p w14:paraId="1F1B616C" w14:textId="77777777" w:rsidR="008931E9" w:rsidRPr="001A68E6" w:rsidRDefault="008931E9"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Virus isolation</w:t>
            </w:r>
          </w:p>
        </w:tc>
        <w:tc>
          <w:tcPr>
            <w:tcW w:w="1134" w:type="dxa"/>
            <w:vAlign w:val="center"/>
          </w:tcPr>
          <w:p w14:paraId="787527F3" w14:textId="6E0781F4"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418A8C90" w14:textId="01A4267E"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7B3F50BE" w14:textId="2C109B80"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47098076" w14:textId="2378F749" w:rsidR="008931E9" w:rsidRPr="001A68E6" w:rsidRDefault="00CA2ADB" w:rsidP="009D5565">
            <w:pPr>
              <w:pStyle w:val="Tabletext"/>
              <w:spacing w:before="60" w:after="60"/>
              <w:rPr>
                <w:szCs w:val="16"/>
                <w:lang w:val="en-GB"/>
              </w:rPr>
            </w:pPr>
            <w:r w:rsidRPr="001A68E6">
              <w:rPr>
                <w:szCs w:val="16"/>
              </w:rPr>
              <w:t>+</w:t>
            </w:r>
          </w:p>
        </w:tc>
        <w:tc>
          <w:tcPr>
            <w:tcW w:w="1134" w:type="dxa"/>
            <w:vAlign w:val="center"/>
          </w:tcPr>
          <w:p w14:paraId="5291F706" w14:textId="3099795B" w:rsidR="008931E9" w:rsidRPr="001A68E6" w:rsidRDefault="004C6D9F" w:rsidP="009D5565">
            <w:pPr>
              <w:pStyle w:val="Tabletext"/>
              <w:spacing w:before="60" w:after="60"/>
              <w:rPr>
                <w:szCs w:val="16"/>
                <w:lang w:val="en-GB"/>
              </w:rPr>
            </w:pPr>
            <w:r w:rsidRPr="001A68E6">
              <w:rPr>
                <w:szCs w:val="16"/>
                <w:lang w:val="en-GB"/>
              </w:rPr>
              <w:t>–</w:t>
            </w:r>
          </w:p>
        </w:tc>
        <w:tc>
          <w:tcPr>
            <w:tcW w:w="1688" w:type="dxa"/>
            <w:vAlign w:val="center"/>
          </w:tcPr>
          <w:p w14:paraId="44BE77F2" w14:textId="601ECE97" w:rsidR="008931E9" w:rsidRPr="001A68E6" w:rsidRDefault="004C6D9F" w:rsidP="009D5565">
            <w:pPr>
              <w:pStyle w:val="Tabletext"/>
              <w:spacing w:before="60" w:after="60"/>
              <w:rPr>
                <w:szCs w:val="16"/>
                <w:lang w:val="en-GB"/>
              </w:rPr>
            </w:pPr>
            <w:r w:rsidRPr="001A68E6">
              <w:rPr>
                <w:szCs w:val="16"/>
                <w:lang w:val="en-GB"/>
              </w:rPr>
              <w:t>–</w:t>
            </w:r>
          </w:p>
        </w:tc>
      </w:tr>
      <w:tr w:rsidR="008931E9" w:rsidRPr="001A68E6" w14:paraId="43EE9EA0" w14:textId="77777777" w:rsidTr="004133B5">
        <w:trPr>
          <w:trHeight w:val="402"/>
          <w:jc w:val="center"/>
        </w:trPr>
        <w:tc>
          <w:tcPr>
            <w:tcW w:w="1411" w:type="dxa"/>
            <w:vAlign w:val="center"/>
          </w:tcPr>
          <w:p w14:paraId="28A9DF49" w14:textId="77777777" w:rsidR="008931E9" w:rsidRPr="001A68E6" w:rsidRDefault="008931E9"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Antigen detection</w:t>
            </w:r>
          </w:p>
        </w:tc>
        <w:tc>
          <w:tcPr>
            <w:tcW w:w="1134" w:type="dxa"/>
            <w:vAlign w:val="center"/>
          </w:tcPr>
          <w:p w14:paraId="17E7B263" w14:textId="6109C925"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2EB342A7" w14:textId="4EB5BA15"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2E10CD79" w14:textId="5584657E"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55A75566" w14:textId="21087C40" w:rsidR="008931E9" w:rsidRPr="001A68E6" w:rsidRDefault="00CA2ADB" w:rsidP="009D5565">
            <w:pPr>
              <w:pStyle w:val="Tabletext"/>
              <w:spacing w:before="60" w:after="60"/>
              <w:rPr>
                <w:szCs w:val="16"/>
                <w:lang w:val="en-GB"/>
              </w:rPr>
            </w:pPr>
            <w:r w:rsidRPr="001A68E6">
              <w:rPr>
                <w:szCs w:val="16"/>
              </w:rPr>
              <w:t>+</w:t>
            </w:r>
          </w:p>
        </w:tc>
        <w:tc>
          <w:tcPr>
            <w:tcW w:w="1134" w:type="dxa"/>
            <w:vAlign w:val="center"/>
          </w:tcPr>
          <w:p w14:paraId="0F841DF9" w14:textId="6F5EA7E3" w:rsidR="008931E9" w:rsidRPr="001A68E6" w:rsidRDefault="004C6D9F" w:rsidP="009D5565">
            <w:pPr>
              <w:pStyle w:val="Tabletext"/>
              <w:spacing w:before="60" w:after="60"/>
              <w:rPr>
                <w:szCs w:val="16"/>
                <w:lang w:val="en-GB"/>
              </w:rPr>
            </w:pPr>
            <w:r w:rsidRPr="001A68E6">
              <w:rPr>
                <w:szCs w:val="16"/>
                <w:lang w:val="en-GB"/>
              </w:rPr>
              <w:t>–</w:t>
            </w:r>
          </w:p>
        </w:tc>
        <w:tc>
          <w:tcPr>
            <w:tcW w:w="1688" w:type="dxa"/>
            <w:vAlign w:val="center"/>
          </w:tcPr>
          <w:p w14:paraId="5A7E8CDB" w14:textId="7344BEBD" w:rsidR="008931E9" w:rsidRPr="001A68E6" w:rsidRDefault="004C6D9F" w:rsidP="009D5565">
            <w:pPr>
              <w:pStyle w:val="Tabletext"/>
              <w:spacing w:before="60" w:after="60"/>
              <w:rPr>
                <w:szCs w:val="16"/>
                <w:lang w:val="en-GB"/>
              </w:rPr>
            </w:pPr>
            <w:r w:rsidRPr="001A68E6">
              <w:rPr>
                <w:szCs w:val="16"/>
                <w:lang w:val="en-GB"/>
              </w:rPr>
              <w:t>–</w:t>
            </w:r>
          </w:p>
        </w:tc>
      </w:tr>
      <w:tr w:rsidR="008931E9" w:rsidRPr="001A68E6" w14:paraId="564040E6" w14:textId="77777777" w:rsidTr="004133B5">
        <w:trPr>
          <w:trHeight w:val="402"/>
          <w:jc w:val="center"/>
        </w:trPr>
        <w:tc>
          <w:tcPr>
            <w:tcW w:w="1411" w:type="dxa"/>
            <w:vAlign w:val="center"/>
          </w:tcPr>
          <w:p w14:paraId="34483DA3" w14:textId="3B4322E6" w:rsidR="008931E9" w:rsidRPr="001A68E6" w:rsidRDefault="008931E9" w:rsidP="009D5565">
            <w:pPr>
              <w:spacing w:before="60" w:after="60" w:line="240" w:lineRule="auto"/>
              <w:jc w:val="center"/>
              <w:rPr>
                <w:rFonts w:ascii="Söhne Kräftig" w:hAnsi="Söhne Kräftig"/>
                <w:sz w:val="16"/>
                <w:szCs w:val="16"/>
              </w:rPr>
            </w:pPr>
            <w:r w:rsidRPr="006D1D5A">
              <w:rPr>
                <w:rFonts w:ascii="Söhne Kräftig" w:hAnsi="Söhne Kräftig"/>
                <w:strike/>
                <w:sz w:val="16"/>
                <w:szCs w:val="16"/>
              </w:rPr>
              <w:t xml:space="preserve">Real-time </w:t>
            </w:r>
            <w:r w:rsidRPr="006D1D5A">
              <w:rPr>
                <w:rFonts w:ascii="Söhne Kräftig" w:hAnsi="Söhne Kräftig"/>
                <w:strike/>
                <w:sz w:val="16"/>
                <w:szCs w:val="16"/>
              </w:rPr>
              <w:br/>
            </w:r>
            <w:r w:rsidR="00EC5F57" w:rsidRPr="001A68E6">
              <w:rPr>
                <w:rFonts w:ascii="Söhne Kräftig" w:hAnsi="Söhne Kräftig"/>
                <w:sz w:val="16"/>
                <w:szCs w:val="16"/>
              </w:rPr>
              <w:t>PCR</w:t>
            </w:r>
          </w:p>
        </w:tc>
        <w:tc>
          <w:tcPr>
            <w:tcW w:w="1134" w:type="dxa"/>
            <w:vAlign w:val="center"/>
          </w:tcPr>
          <w:p w14:paraId="52716411" w14:textId="1573E27B"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6318AF73" w14:textId="1847531F"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450FAF5C" w14:textId="1ADDC80A"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05C73B6F" w14:textId="0C4C8273" w:rsidR="008931E9" w:rsidRPr="001A68E6" w:rsidRDefault="00CA2ADB" w:rsidP="009D5565">
            <w:pPr>
              <w:pStyle w:val="Tabletext"/>
              <w:spacing w:before="60" w:after="60"/>
              <w:rPr>
                <w:szCs w:val="16"/>
                <w:lang w:val="en-GB"/>
              </w:rPr>
            </w:pPr>
            <w:r w:rsidRPr="001A68E6">
              <w:rPr>
                <w:szCs w:val="16"/>
              </w:rPr>
              <w:t>+</w:t>
            </w:r>
            <w:r w:rsidR="009F5C69" w:rsidRPr="001A68E6">
              <w:rPr>
                <w:szCs w:val="16"/>
              </w:rPr>
              <w:t>+</w:t>
            </w:r>
            <w:r w:rsidR="0017428D">
              <w:rPr>
                <w:szCs w:val="16"/>
              </w:rPr>
              <w:t xml:space="preserve"> </w:t>
            </w:r>
            <w:r w:rsidR="0017428D" w:rsidRPr="0017428D">
              <w:rPr>
                <w:strike/>
                <w:szCs w:val="16"/>
                <w:highlight w:val="yellow"/>
              </w:rPr>
              <w:t>+</w:t>
            </w:r>
          </w:p>
        </w:tc>
        <w:tc>
          <w:tcPr>
            <w:tcW w:w="1134" w:type="dxa"/>
            <w:vAlign w:val="center"/>
          </w:tcPr>
          <w:p w14:paraId="473FD117" w14:textId="356E976A" w:rsidR="008931E9" w:rsidRPr="001A68E6" w:rsidRDefault="005A2AC8" w:rsidP="009D5565">
            <w:pPr>
              <w:pStyle w:val="Tabletext"/>
              <w:spacing w:before="60" w:after="60"/>
              <w:rPr>
                <w:szCs w:val="16"/>
                <w:lang w:val="en-GB"/>
              </w:rPr>
            </w:pPr>
            <w:r w:rsidRPr="001A68E6">
              <w:rPr>
                <w:szCs w:val="16"/>
              </w:rPr>
              <w:t>+</w:t>
            </w:r>
          </w:p>
        </w:tc>
        <w:tc>
          <w:tcPr>
            <w:tcW w:w="1688" w:type="dxa"/>
            <w:vAlign w:val="center"/>
          </w:tcPr>
          <w:p w14:paraId="764528EF" w14:textId="186E75C3" w:rsidR="008931E9" w:rsidRPr="001A68E6" w:rsidRDefault="004C6D9F" w:rsidP="009D5565">
            <w:pPr>
              <w:pStyle w:val="Tabletext"/>
              <w:spacing w:before="60" w:after="60"/>
              <w:rPr>
                <w:szCs w:val="16"/>
                <w:lang w:val="en-GB"/>
              </w:rPr>
            </w:pPr>
            <w:r w:rsidRPr="001A68E6">
              <w:rPr>
                <w:szCs w:val="16"/>
                <w:lang w:val="en-GB"/>
              </w:rPr>
              <w:t>–</w:t>
            </w:r>
          </w:p>
        </w:tc>
      </w:tr>
      <w:tr w:rsidR="0017428D" w:rsidRPr="0017428D" w14:paraId="79635E35" w14:textId="77777777" w:rsidTr="004133B5">
        <w:trPr>
          <w:trHeight w:val="402"/>
          <w:jc w:val="center"/>
        </w:trPr>
        <w:tc>
          <w:tcPr>
            <w:tcW w:w="1411" w:type="dxa"/>
            <w:vAlign w:val="center"/>
          </w:tcPr>
          <w:p w14:paraId="5B76FE55" w14:textId="04CB1F4A" w:rsidR="0017428D" w:rsidRPr="0017428D" w:rsidRDefault="0017428D" w:rsidP="009D5565">
            <w:pPr>
              <w:spacing w:before="60" w:after="60" w:line="240" w:lineRule="auto"/>
              <w:jc w:val="center"/>
              <w:rPr>
                <w:rFonts w:ascii="Söhne Kräftig" w:hAnsi="Söhne Kräftig"/>
                <w:sz w:val="16"/>
                <w:szCs w:val="16"/>
                <w:highlight w:val="yellow"/>
                <w:u w:val="double"/>
              </w:rPr>
            </w:pPr>
            <w:r w:rsidRPr="0017428D">
              <w:rPr>
                <w:rFonts w:ascii="Söhne Kräftig" w:hAnsi="Söhne Kräftig"/>
                <w:sz w:val="16"/>
                <w:szCs w:val="16"/>
                <w:highlight w:val="yellow"/>
                <w:u w:val="double"/>
              </w:rPr>
              <w:t>Real-time PCR</w:t>
            </w:r>
          </w:p>
        </w:tc>
        <w:tc>
          <w:tcPr>
            <w:tcW w:w="1134" w:type="dxa"/>
            <w:vAlign w:val="center"/>
          </w:tcPr>
          <w:p w14:paraId="7F07E375" w14:textId="1EB9D5F0" w:rsidR="0017428D" w:rsidRPr="0017428D" w:rsidRDefault="0017428D" w:rsidP="009D5565">
            <w:pPr>
              <w:pStyle w:val="Tabletext"/>
              <w:spacing w:before="60" w:after="60"/>
              <w:rPr>
                <w:szCs w:val="16"/>
                <w:highlight w:val="yellow"/>
                <w:u w:val="double"/>
                <w:lang w:val="en-GB"/>
              </w:rPr>
            </w:pPr>
            <w:r w:rsidRPr="0017428D">
              <w:rPr>
                <w:szCs w:val="16"/>
                <w:highlight w:val="yellow"/>
                <w:u w:val="double"/>
                <w:lang w:val="en-GB"/>
              </w:rPr>
              <w:t>–</w:t>
            </w:r>
          </w:p>
        </w:tc>
        <w:tc>
          <w:tcPr>
            <w:tcW w:w="1418" w:type="dxa"/>
            <w:vAlign w:val="center"/>
          </w:tcPr>
          <w:p w14:paraId="6CAE04E0" w14:textId="5A510EF5" w:rsidR="0017428D" w:rsidRPr="0017428D" w:rsidRDefault="0017428D" w:rsidP="009D5565">
            <w:pPr>
              <w:pStyle w:val="Tabletext"/>
              <w:spacing w:before="60" w:after="60"/>
              <w:rPr>
                <w:szCs w:val="16"/>
                <w:highlight w:val="yellow"/>
                <w:u w:val="double"/>
                <w:lang w:val="en-GB"/>
              </w:rPr>
            </w:pPr>
            <w:r w:rsidRPr="0017428D">
              <w:rPr>
                <w:szCs w:val="16"/>
                <w:highlight w:val="yellow"/>
                <w:u w:val="double"/>
                <w:lang w:val="en-GB"/>
              </w:rPr>
              <w:t>–</w:t>
            </w:r>
          </w:p>
        </w:tc>
        <w:tc>
          <w:tcPr>
            <w:tcW w:w="1275" w:type="dxa"/>
            <w:vAlign w:val="center"/>
          </w:tcPr>
          <w:p w14:paraId="6AFDEB80" w14:textId="72B7C4BD" w:rsidR="0017428D" w:rsidRPr="0017428D" w:rsidRDefault="0017428D" w:rsidP="009D5565">
            <w:pPr>
              <w:pStyle w:val="Tabletext"/>
              <w:spacing w:before="60" w:after="60"/>
              <w:rPr>
                <w:szCs w:val="16"/>
                <w:highlight w:val="yellow"/>
                <w:u w:val="double"/>
                <w:lang w:val="en-GB"/>
              </w:rPr>
            </w:pPr>
            <w:r w:rsidRPr="0017428D">
              <w:rPr>
                <w:szCs w:val="16"/>
                <w:highlight w:val="yellow"/>
                <w:u w:val="double"/>
                <w:lang w:val="en-GB"/>
              </w:rPr>
              <w:t>–</w:t>
            </w:r>
          </w:p>
        </w:tc>
        <w:tc>
          <w:tcPr>
            <w:tcW w:w="1134" w:type="dxa"/>
            <w:vAlign w:val="center"/>
          </w:tcPr>
          <w:p w14:paraId="2A407D85" w14:textId="56181E98" w:rsidR="0017428D" w:rsidRPr="0017428D" w:rsidRDefault="0017428D" w:rsidP="009D5565">
            <w:pPr>
              <w:pStyle w:val="Tabletext"/>
              <w:spacing w:before="60" w:after="60"/>
              <w:rPr>
                <w:szCs w:val="16"/>
                <w:highlight w:val="yellow"/>
                <w:u w:val="double"/>
              </w:rPr>
            </w:pPr>
            <w:r w:rsidRPr="0017428D">
              <w:rPr>
                <w:szCs w:val="16"/>
                <w:highlight w:val="yellow"/>
                <w:u w:val="double"/>
              </w:rPr>
              <w:t>+++</w:t>
            </w:r>
          </w:p>
        </w:tc>
        <w:tc>
          <w:tcPr>
            <w:tcW w:w="1134" w:type="dxa"/>
            <w:vAlign w:val="center"/>
          </w:tcPr>
          <w:p w14:paraId="071C2013" w14:textId="765A8329" w:rsidR="0017428D" w:rsidRPr="0017428D" w:rsidRDefault="0017428D" w:rsidP="009D5565">
            <w:pPr>
              <w:pStyle w:val="Tabletext"/>
              <w:spacing w:before="60" w:after="60"/>
              <w:rPr>
                <w:szCs w:val="16"/>
                <w:highlight w:val="yellow"/>
                <w:u w:val="double"/>
              </w:rPr>
            </w:pPr>
            <w:r w:rsidRPr="0017428D">
              <w:rPr>
                <w:szCs w:val="16"/>
                <w:highlight w:val="yellow"/>
                <w:u w:val="double"/>
              </w:rPr>
              <w:t>+</w:t>
            </w:r>
          </w:p>
        </w:tc>
        <w:tc>
          <w:tcPr>
            <w:tcW w:w="1688" w:type="dxa"/>
            <w:vAlign w:val="center"/>
          </w:tcPr>
          <w:p w14:paraId="5D073AB0" w14:textId="0966A2DA" w:rsidR="0017428D" w:rsidRPr="0017428D" w:rsidRDefault="0017428D" w:rsidP="009D5565">
            <w:pPr>
              <w:pStyle w:val="Tabletext"/>
              <w:spacing w:before="60" w:after="60"/>
              <w:rPr>
                <w:szCs w:val="16"/>
                <w:u w:val="double"/>
                <w:lang w:val="en-GB"/>
              </w:rPr>
            </w:pPr>
            <w:r w:rsidRPr="0017428D">
              <w:rPr>
                <w:szCs w:val="16"/>
                <w:highlight w:val="yellow"/>
                <w:u w:val="double"/>
                <w:lang w:val="en-GB"/>
              </w:rPr>
              <w:t>–</w:t>
            </w:r>
          </w:p>
        </w:tc>
      </w:tr>
      <w:tr w:rsidR="003353EE" w:rsidRPr="001A68E6" w14:paraId="3E61B074" w14:textId="77777777" w:rsidTr="004133B5">
        <w:trPr>
          <w:trHeight w:val="402"/>
          <w:jc w:val="center"/>
        </w:trPr>
        <w:tc>
          <w:tcPr>
            <w:tcW w:w="1411" w:type="dxa"/>
            <w:vAlign w:val="center"/>
          </w:tcPr>
          <w:p w14:paraId="4DED34B7" w14:textId="68486397" w:rsidR="003353EE" w:rsidRPr="001A68E6" w:rsidRDefault="003353EE" w:rsidP="003353EE">
            <w:pPr>
              <w:spacing w:before="60" w:after="60" w:line="240" w:lineRule="auto"/>
              <w:jc w:val="center"/>
              <w:rPr>
                <w:rFonts w:ascii="Söhne Kräftig" w:hAnsi="Söhne Kräftig"/>
                <w:sz w:val="16"/>
                <w:szCs w:val="16"/>
                <w:u w:val="double"/>
              </w:rPr>
            </w:pPr>
            <w:r w:rsidRPr="001A68E6">
              <w:rPr>
                <w:rFonts w:ascii="Söhne Kräftig" w:hAnsi="Söhne Kräftig"/>
                <w:sz w:val="16"/>
                <w:szCs w:val="16"/>
                <w:u w:val="double"/>
              </w:rPr>
              <w:lastRenderedPageBreak/>
              <w:t>LAMP</w:t>
            </w:r>
          </w:p>
        </w:tc>
        <w:tc>
          <w:tcPr>
            <w:tcW w:w="1134" w:type="dxa"/>
            <w:vAlign w:val="center"/>
          </w:tcPr>
          <w:p w14:paraId="200C1DBC" w14:textId="5DD10432" w:rsidR="003353EE" w:rsidRPr="001A68E6" w:rsidRDefault="003353EE" w:rsidP="003353EE">
            <w:pPr>
              <w:pStyle w:val="Tabletext"/>
              <w:spacing w:before="60" w:after="60"/>
              <w:rPr>
                <w:szCs w:val="16"/>
                <w:u w:val="double"/>
                <w:lang w:val="en-GB"/>
              </w:rPr>
            </w:pPr>
            <w:r w:rsidRPr="001A68E6">
              <w:rPr>
                <w:szCs w:val="16"/>
                <w:u w:val="double"/>
                <w:lang w:val="en-GB"/>
              </w:rPr>
              <w:t>–</w:t>
            </w:r>
          </w:p>
        </w:tc>
        <w:tc>
          <w:tcPr>
            <w:tcW w:w="1418" w:type="dxa"/>
            <w:vAlign w:val="center"/>
          </w:tcPr>
          <w:p w14:paraId="0BDD7331" w14:textId="369AD7FE" w:rsidR="003353EE" w:rsidRPr="001A68E6" w:rsidRDefault="003353EE" w:rsidP="003353EE">
            <w:pPr>
              <w:pStyle w:val="Tabletext"/>
              <w:spacing w:before="60" w:after="60"/>
              <w:rPr>
                <w:szCs w:val="16"/>
                <w:u w:val="double"/>
                <w:lang w:val="en-GB"/>
              </w:rPr>
            </w:pPr>
            <w:r w:rsidRPr="001A68E6">
              <w:rPr>
                <w:szCs w:val="16"/>
                <w:u w:val="double"/>
                <w:lang w:val="en-GB"/>
              </w:rPr>
              <w:t>–</w:t>
            </w:r>
          </w:p>
        </w:tc>
        <w:tc>
          <w:tcPr>
            <w:tcW w:w="1275" w:type="dxa"/>
            <w:vAlign w:val="center"/>
          </w:tcPr>
          <w:p w14:paraId="4998D3A0" w14:textId="6D5CFF57" w:rsidR="003353EE" w:rsidRPr="001A68E6" w:rsidRDefault="003353EE" w:rsidP="003353EE">
            <w:pPr>
              <w:pStyle w:val="Tabletext"/>
              <w:spacing w:before="60" w:after="60"/>
              <w:rPr>
                <w:szCs w:val="16"/>
                <w:u w:val="double"/>
                <w:lang w:val="en-GB"/>
              </w:rPr>
            </w:pPr>
            <w:r w:rsidRPr="001A68E6">
              <w:rPr>
                <w:szCs w:val="16"/>
                <w:u w:val="double"/>
                <w:lang w:val="en-GB"/>
              </w:rPr>
              <w:t>–</w:t>
            </w:r>
          </w:p>
        </w:tc>
        <w:tc>
          <w:tcPr>
            <w:tcW w:w="1134" w:type="dxa"/>
            <w:vAlign w:val="center"/>
          </w:tcPr>
          <w:p w14:paraId="06FB7D24" w14:textId="6775A338" w:rsidR="003353EE" w:rsidRPr="001A68E6" w:rsidRDefault="003353EE" w:rsidP="003353EE">
            <w:pPr>
              <w:pStyle w:val="Tabletext"/>
              <w:spacing w:before="60" w:after="60"/>
              <w:rPr>
                <w:szCs w:val="16"/>
                <w:u w:val="double"/>
              </w:rPr>
            </w:pPr>
            <w:r w:rsidRPr="001A68E6">
              <w:rPr>
                <w:szCs w:val="16"/>
                <w:u w:val="double"/>
              </w:rPr>
              <w:t>++</w:t>
            </w:r>
          </w:p>
        </w:tc>
        <w:tc>
          <w:tcPr>
            <w:tcW w:w="1134" w:type="dxa"/>
            <w:vAlign w:val="center"/>
          </w:tcPr>
          <w:p w14:paraId="78FC83A6" w14:textId="023F44D3" w:rsidR="003353EE" w:rsidRPr="001A68E6" w:rsidRDefault="003353EE" w:rsidP="003353EE">
            <w:pPr>
              <w:pStyle w:val="Tabletext"/>
              <w:spacing w:before="60" w:after="60"/>
              <w:rPr>
                <w:szCs w:val="16"/>
                <w:u w:val="double"/>
              </w:rPr>
            </w:pPr>
            <w:r w:rsidRPr="001A68E6">
              <w:rPr>
                <w:szCs w:val="16"/>
                <w:u w:val="double"/>
              </w:rPr>
              <w:t>+</w:t>
            </w:r>
          </w:p>
        </w:tc>
        <w:tc>
          <w:tcPr>
            <w:tcW w:w="1688" w:type="dxa"/>
            <w:vAlign w:val="center"/>
          </w:tcPr>
          <w:p w14:paraId="0A5372A4" w14:textId="4A0D672A" w:rsidR="003353EE" w:rsidRPr="001A68E6" w:rsidRDefault="006E722D" w:rsidP="003353EE">
            <w:pPr>
              <w:pStyle w:val="Tabletext"/>
              <w:spacing w:before="60" w:after="60"/>
              <w:rPr>
                <w:szCs w:val="16"/>
                <w:u w:val="double"/>
                <w:lang w:val="en-GB"/>
              </w:rPr>
            </w:pPr>
            <w:r w:rsidRPr="001A68E6">
              <w:rPr>
                <w:szCs w:val="16"/>
                <w:u w:val="double"/>
                <w:lang w:val="en-GB"/>
              </w:rPr>
              <w:t>–</w:t>
            </w:r>
          </w:p>
        </w:tc>
      </w:tr>
      <w:tr w:rsidR="008931E9" w:rsidRPr="001A68E6" w14:paraId="6ABF4D72" w14:textId="77777777" w:rsidTr="004133B5">
        <w:trPr>
          <w:trHeight w:val="402"/>
          <w:jc w:val="center"/>
        </w:trPr>
        <w:tc>
          <w:tcPr>
            <w:tcW w:w="9194" w:type="dxa"/>
            <w:gridSpan w:val="7"/>
            <w:shd w:val="pct10" w:color="auto" w:fill="auto"/>
            <w:vAlign w:val="center"/>
          </w:tcPr>
          <w:p w14:paraId="7A069CEE" w14:textId="77777777" w:rsidR="008931E9" w:rsidRPr="001A68E6" w:rsidRDefault="008931E9" w:rsidP="00596AF4">
            <w:pPr>
              <w:pStyle w:val="Tabletext"/>
              <w:spacing w:before="60" w:after="60"/>
              <w:rPr>
                <w:rFonts w:ascii="Söhne Kräftig" w:hAnsi="Söhne Kräftig"/>
                <w:bCs w:val="0"/>
                <w:lang w:val="en-GB"/>
              </w:rPr>
            </w:pPr>
            <w:r w:rsidRPr="001A68E6">
              <w:rPr>
                <w:rFonts w:ascii="Söhne Kräftig" w:hAnsi="Söhne Kräftig"/>
                <w:bCs w:val="0"/>
                <w:szCs w:val="16"/>
              </w:rPr>
              <w:t>Detection of immune response</w:t>
            </w:r>
          </w:p>
        </w:tc>
      </w:tr>
      <w:tr w:rsidR="008931E9" w:rsidRPr="001A68E6" w14:paraId="03FD0BF3" w14:textId="77777777" w:rsidTr="004133B5">
        <w:trPr>
          <w:trHeight w:val="402"/>
          <w:jc w:val="center"/>
        </w:trPr>
        <w:tc>
          <w:tcPr>
            <w:tcW w:w="1411" w:type="dxa"/>
            <w:vAlign w:val="center"/>
          </w:tcPr>
          <w:p w14:paraId="480AF956" w14:textId="77777777" w:rsidR="008931E9" w:rsidRPr="001A68E6" w:rsidRDefault="008931E9"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AGID</w:t>
            </w:r>
          </w:p>
        </w:tc>
        <w:tc>
          <w:tcPr>
            <w:tcW w:w="1134" w:type="dxa"/>
            <w:vAlign w:val="center"/>
          </w:tcPr>
          <w:p w14:paraId="680C39CC" w14:textId="541BDE3F"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381233FB" w14:textId="26DBD8A8"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2D60FB1A" w14:textId="5C322DFB"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7C8DE2E4" w14:textId="6B887E63" w:rsidR="008931E9" w:rsidRPr="001A68E6" w:rsidRDefault="004C6D9F" w:rsidP="009D5565">
            <w:pPr>
              <w:pStyle w:val="Tabletext"/>
              <w:spacing w:before="60" w:after="60"/>
              <w:rPr>
                <w:szCs w:val="16"/>
                <w:lang w:val="en-GB"/>
              </w:rPr>
            </w:pPr>
            <w:r w:rsidRPr="001A68E6">
              <w:rPr>
                <w:szCs w:val="16"/>
                <w:lang w:val="en-GB"/>
              </w:rPr>
              <w:t>–</w:t>
            </w:r>
          </w:p>
        </w:tc>
        <w:tc>
          <w:tcPr>
            <w:tcW w:w="1134" w:type="dxa"/>
            <w:vAlign w:val="center"/>
          </w:tcPr>
          <w:p w14:paraId="6A464BD9" w14:textId="464C0E9B" w:rsidR="008931E9" w:rsidRPr="001A68E6" w:rsidRDefault="005A2AC8" w:rsidP="009D5565">
            <w:pPr>
              <w:pStyle w:val="Tabletext"/>
              <w:spacing w:before="60" w:after="60"/>
              <w:rPr>
                <w:szCs w:val="16"/>
                <w:lang w:val="en-GB"/>
              </w:rPr>
            </w:pPr>
            <w:r w:rsidRPr="001A68E6">
              <w:rPr>
                <w:szCs w:val="16"/>
              </w:rPr>
              <w:t>+</w:t>
            </w:r>
          </w:p>
        </w:tc>
        <w:tc>
          <w:tcPr>
            <w:tcW w:w="1688" w:type="dxa"/>
            <w:vAlign w:val="center"/>
          </w:tcPr>
          <w:p w14:paraId="25D8A9F6" w14:textId="371B6E99" w:rsidR="008931E9" w:rsidRPr="001A68E6" w:rsidRDefault="003E6F88" w:rsidP="009D5565">
            <w:pPr>
              <w:pStyle w:val="Tabletext"/>
              <w:spacing w:before="60" w:after="60"/>
              <w:rPr>
                <w:szCs w:val="16"/>
                <w:lang w:val="en-GB"/>
              </w:rPr>
            </w:pPr>
            <w:r w:rsidRPr="001A68E6">
              <w:rPr>
                <w:szCs w:val="16"/>
              </w:rPr>
              <w:t>+</w:t>
            </w:r>
          </w:p>
        </w:tc>
      </w:tr>
      <w:tr w:rsidR="008931E9" w:rsidRPr="001A68E6" w14:paraId="00B3534B" w14:textId="77777777" w:rsidTr="004133B5">
        <w:trPr>
          <w:trHeight w:val="402"/>
          <w:jc w:val="center"/>
        </w:trPr>
        <w:tc>
          <w:tcPr>
            <w:tcW w:w="1411" w:type="dxa"/>
            <w:vAlign w:val="center"/>
          </w:tcPr>
          <w:p w14:paraId="7791824B" w14:textId="679F6AF7" w:rsidR="008931E9" w:rsidRPr="001A68E6" w:rsidRDefault="008D38CF" w:rsidP="009D5565">
            <w:pPr>
              <w:spacing w:before="60" w:after="60" w:line="240" w:lineRule="auto"/>
              <w:jc w:val="center"/>
              <w:rPr>
                <w:rFonts w:ascii="Söhne Kräftig" w:hAnsi="Söhne Kräftig"/>
                <w:sz w:val="16"/>
                <w:szCs w:val="16"/>
              </w:rPr>
            </w:pPr>
            <w:r w:rsidRPr="001A68E6">
              <w:rPr>
                <w:rFonts w:ascii="Söhne Kräftig" w:hAnsi="Söhne Kräftig"/>
                <w:sz w:val="16"/>
                <w:szCs w:val="16"/>
              </w:rPr>
              <w:t>IFA</w:t>
            </w:r>
          </w:p>
        </w:tc>
        <w:tc>
          <w:tcPr>
            <w:tcW w:w="1134" w:type="dxa"/>
            <w:vAlign w:val="center"/>
          </w:tcPr>
          <w:p w14:paraId="24407966" w14:textId="731DE69F" w:rsidR="008931E9" w:rsidRPr="001A68E6" w:rsidRDefault="009552A3" w:rsidP="009D5565">
            <w:pPr>
              <w:pStyle w:val="Tabletext"/>
              <w:spacing w:before="60" w:after="60"/>
              <w:rPr>
                <w:szCs w:val="16"/>
                <w:lang w:val="en-GB"/>
              </w:rPr>
            </w:pPr>
            <w:r w:rsidRPr="001A68E6">
              <w:rPr>
                <w:szCs w:val="16"/>
                <w:lang w:val="en-GB"/>
              </w:rPr>
              <w:t>–</w:t>
            </w:r>
          </w:p>
        </w:tc>
        <w:tc>
          <w:tcPr>
            <w:tcW w:w="1418" w:type="dxa"/>
            <w:vAlign w:val="center"/>
          </w:tcPr>
          <w:p w14:paraId="587E0529" w14:textId="5FE0A604" w:rsidR="008931E9" w:rsidRPr="001A68E6" w:rsidRDefault="009552A3" w:rsidP="009D5565">
            <w:pPr>
              <w:pStyle w:val="Tabletext"/>
              <w:spacing w:before="60" w:after="60"/>
              <w:rPr>
                <w:szCs w:val="16"/>
                <w:lang w:val="en-GB"/>
              </w:rPr>
            </w:pPr>
            <w:r w:rsidRPr="001A68E6">
              <w:rPr>
                <w:szCs w:val="16"/>
                <w:lang w:val="en-GB"/>
              </w:rPr>
              <w:t>–</w:t>
            </w:r>
          </w:p>
        </w:tc>
        <w:tc>
          <w:tcPr>
            <w:tcW w:w="1275" w:type="dxa"/>
            <w:vAlign w:val="center"/>
          </w:tcPr>
          <w:p w14:paraId="7598DE31" w14:textId="626B8E45" w:rsidR="008931E9" w:rsidRPr="001A68E6" w:rsidRDefault="009552A3" w:rsidP="009D5565">
            <w:pPr>
              <w:pStyle w:val="Tabletext"/>
              <w:spacing w:before="60" w:after="60"/>
              <w:rPr>
                <w:szCs w:val="16"/>
                <w:lang w:val="en-GB"/>
              </w:rPr>
            </w:pPr>
            <w:r w:rsidRPr="001A68E6">
              <w:rPr>
                <w:szCs w:val="16"/>
                <w:lang w:val="en-GB"/>
              </w:rPr>
              <w:t>–</w:t>
            </w:r>
          </w:p>
        </w:tc>
        <w:tc>
          <w:tcPr>
            <w:tcW w:w="1134" w:type="dxa"/>
            <w:vAlign w:val="center"/>
          </w:tcPr>
          <w:p w14:paraId="0490F803" w14:textId="1262B14E" w:rsidR="008931E9" w:rsidRPr="001A68E6" w:rsidRDefault="004C6D9F" w:rsidP="009D5565">
            <w:pPr>
              <w:pStyle w:val="Tabletext"/>
              <w:spacing w:before="60" w:after="60"/>
              <w:rPr>
                <w:szCs w:val="16"/>
                <w:lang w:val="en-GB"/>
              </w:rPr>
            </w:pPr>
            <w:r w:rsidRPr="001A68E6">
              <w:rPr>
                <w:szCs w:val="16"/>
                <w:lang w:val="en-GB"/>
              </w:rPr>
              <w:t>–</w:t>
            </w:r>
          </w:p>
        </w:tc>
        <w:tc>
          <w:tcPr>
            <w:tcW w:w="1134" w:type="dxa"/>
            <w:vAlign w:val="center"/>
          </w:tcPr>
          <w:p w14:paraId="48874875" w14:textId="01426F92" w:rsidR="008931E9" w:rsidRPr="001A68E6" w:rsidRDefault="008D38CF" w:rsidP="009D5565">
            <w:pPr>
              <w:pStyle w:val="Tabletext"/>
              <w:spacing w:before="60" w:after="60"/>
              <w:rPr>
                <w:szCs w:val="16"/>
                <w:lang w:val="en-GB"/>
              </w:rPr>
            </w:pPr>
            <w:r w:rsidRPr="001A68E6">
              <w:rPr>
                <w:szCs w:val="16"/>
                <w:lang w:val="en-GB"/>
              </w:rPr>
              <w:t>+</w:t>
            </w:r>
          </w:p>
        </w:tc>
        <w:tc>
          <w:tcPr>
            <w:tcW w:w="1688" w:type="dxa"/>
            <w:vAlign w:val="center"/>
          </w:tcPr>
          <w:p w14:paraId="08F38148" w14:textId="765C9437" w:rsidR="008931E9" w:rsidRPr="001A68E6" w:rsidRDefault="003E6F88" w:rsidP="009D5565">
            <w:pPr>
              <w:pStyle w:val="Tabletext"/>
              <w:spacing w:before="60" w:after="60"/>
              <w:rPr>
                <w:szCs w:val="16"/>
                <w:lang w:val="en-GB"/>
              </w:rPr>
            </w:pPr>
            <w:r w:rsidRPr="001A68E6">
              <w:rPr>
                <w:szCs w:val="16"/>
              </w:rPr>
              <w:t>+</w:t>
            </w:r>
          </w:p>
        </w:tc>
      </w:tr>
    </w:tbl>
    <w:p w14:paraId="13DB11AE" w14:textId="4DC360A2" w:rsidR="008931E9" w:rsidRPr="001A68E6" w:rsidRDefault="003C3507" w:rsidP="005A2AC8">
      <w:pPr>
        <w:pStyle w:val="PlainText"/>
        <w:spacing w:before="120" w:after="240"/>
        <w:jc w:val="center"/>
        <w:rPr>
          <w:rFonts w:ascii="Söhne" w:hAnsi="Söhne" w:cs="Arial"/>
          <w:sz w:val="16"/>
          <w:szCs w:val="16"/>
        </w:rPr>
      </w:pPr>
      <w:bookmarkStart w:id="3" w:name="_Hlk87004624"/>
      <w:bookmarkStart w:id="4" w:name="_Hlk87005274"/>
      <w:r w:rsidRPr="001A68E6">
        <w:rPr>
          <w:rFonts w:ascii="Söhne" w:hAnsi="Söhne" w:cs="Arial"/>
          <w:color w:val="000000"/>
          <w:sz w:val="16"/>
          <w:szCs w:val="16"/>
        </w:rPr>
        <w:t xml:space="preserve">Key: +++ = recommended for this purpose; ++ recommended but has limitations; </w:t>
      </w:r>
      <w:r w:rsidRPr="001A68E6">
        <w:rPr>
          <w:rFonts w:ascii="Söhne" w:hAnsi="Söhne" w:cs="Arial"/>
          <w:color w:val="000000"/>
          <w:sz w:val="16"/>
          <w:szCs w:val="16"/>
        </w:rPr>
        <w:br/>
        <w:t>+ = suitable in very limited circumstances</w:t>
      </w:r>
      <w:r w:rsidRPr="001A68E6">
        <w:rPr>
          <w:rFonts w:ascii="Söhne" w:hAnsi="Söhne" w:cs="Arial"/>
          <w:sz w:val="16"/>
          <w:szCs w:val="16"/>
        </w:rPr>
        <w:t xml:space="preserve">; </w:t>
      </w:r>
      <w:r w:rsidRPr="001A68E6">
        <w:rPr>
          <w:rFonts w:ascii="Söhne" w:hAnsi="Söhne" w:cs="Arial"/>
          <w:color w:val="000000"/>
          <w:sz w:val="16"/>
          <w:szCs w:val="16"/>
        </w:rPr>
        <w:t>– = not appropriate for this purpose</w:t>
      </w:r>
      <w:bookmarkEnd w:id="3"/>
      <w:r w:rsidRPr="001A68E6">
        <w:rPr>
          <w:rFonts w:ascii="Söhne" w:hAnsi="Söhne" w:cs="Arial"/>
          <w:color w:val="000000"/>
          <w:sz w:val="16"/>
          <w:szCs w:val="16"/>
        </w:rPr>
        <w:t>.</w:t>
      </w:r>
      <w:bookmarkEnd w:id="4"/>
      <w:r w:rsidR="005A2AC8" w:rsidRPr="001A68E6">
        <w:rPr>
          <w:rFonts w:ascii="Söhne" w:hAnsi="Söhne" w:cs="Arial"/>
          <w:color w:val="000000"/>
          <w:sz w:val="16"/>
          <w:szCs w:val="16"/>
        </w:rPr>
        <w:br/>
      </w:r>
      <w:r w:rsidR="008931E9" w:rsidRPr="001A68E6">
        <w:rPr>
          <w:rFonts w:ascii="Söhne" w:hAnsi="Söhne" w:cs="Arial"/>
          <w:sz w:val="16"/>
          <w:szCs w:val="16"/>
        </w:rPr>
        <w:t xml:space="preserve">PCR = polymerase chain reaction; </w:t>
      </w:r>
      <w:r w:rsidR="00D14C8F" w:rsidRPr="00517E65">
        <w:rPr>
          <w:rFonts w:ascii="Söhne" w:hAnsi="Söhne" w:cs="Arial"/>
          <w:sz w:val="16"/>
          <w:szCs w:val="16"/>
          <w:u w:val="double"/>
        </w:rPr>
        <w:t>LAMP = Loop-mediated isothermal amplification</w:t>
      </w:r>
      <w:r w:rsidR="005D1CE5" w:rsidRPr="001A68E6">
        <w:rPr>
          <w:rFonts w:ascii="Söhne" w:hAnsi="Söhne" w:cs="Arial"/>
          <w:sz w:val="16"/>
          <w:szCs w:val="16"/>
        </w:rPr>
        <w:t>;</w:t>
      </w:r>
      <w:r w:rsidR="005D1CE5" w:rsidRPr="001A68E6">
        <w:rPr>
          <w:rFonts w:ascii="Söhne" w:hAnsi="Söhne" w:cs="Arial"/>
          <w:sz w:val="16"/>
          <w:szCs w:val="16"/>
        </w:rPr>
        <w:br/>
      </w:r>
      <w:r w:rsidR="00D14C8F" w:rsidRPr="001A68E6">
        <w:rPr>
          <w:rFonts w:ascii="Söhne" w:hAnsi="Söhne" w:cs="Arial"/>
          <w:sz w:val="16"/>
          <w:szCs w:val="16"/>
        </w:rPr>
        <w:t xml:space="preserve"> </w:t>
      </w:r>
      <w:r w:rsidR="008931E9" w:rsidRPr="001A68E6">
        <w:rPr>
          <w:rFonts w:ascii="Söhne" w:hAnsi="Söhne" w:cs="Arial"/>
          <w:sz w:val="16"/>
          <w:szCs w:val="16"/>
        </w:rPr>
        <w:t xml:space="preserve">AGID = </w:t>
      </w:r>
      <w:r w:rsidR="000F55AC" w:rsidRPr="001A68E6">
        <w:rPr>
          <w:rFonts w:ascii="Söhne" w:hAnsi="Söhne" w:cs="Arial"/>
          <w:sz w:val="16"/>
          <w:szCs w:val="16"/>
        </w:rPr>
        <w:t>a</w:t>
      </w:r>
      <w:r w:rsidR="008931E9" w:rsidRPr="001A68E6">
        <w:rPr>
          <w:rFonts w:ascii="Söhne" w:hAnsi="Söhne" w:cs="Arial"/>
          <w:sz w:val="16"/>
          <w:szCs w:val="16"/>
        </w:rPr>
        <w:t xml:space="preserve">gar gel immunodiffusion; </w:t>
      </w:r>
      <w:r w:rsidR="00A04843" w:rsidRPr="001A68E6">
        <w:rPr>
          <w:rFonts w:ascii="Söhne" w:hAnsi="Söhne" w:cs="Arial"/>
          <w:sz w:val="16"/>
          <w:szCs w:val="16"/>
        </w:rPr>
        <w:t>IFA</w:t>
      </w:r>
      <w:r w:rsidR="008931E9" w:rsidRPr="001A68E6">
        <w:rPr>
          <w:rFonts w:ascii="Söhne" w:hAnsi="Söhne" w:cs="Arial"/>
          <w:sz w:val="16"/>
          <w:szCs w:val="16"/>
        </w:rPr>
        <w:t xml:space="preserve"> = </w:t>
      </w:r>
      <w:r w:rsidR="000532C4" w:rsidRPr="001A68E6">
        <w:rPr>
          <w:rFonts w:ascii="Söhne" w:hAnsi="Söhne" w:cs="Arial"/>
          <w:sz w:val="16"/>
          <w:szCs w:val="16"/>
        </w:rPr>
        <w:t xml:space="preserve">indirect </w:t>
      </w:r>
      <w:r w:rsidR="00A04843" w:rsidRPr="001A68E6">
        <w:rPr>
          <w:rFonts w:ascii="Söhne" w:hAnsi="Söhne" w:cs="Arial"/>
          <w:sz w:val="16"/>
          <w:szCs w:val="16"/>
        </w:rPr>
        <w:t>fluorescent antibody</w:t>
      </w:r>
      <w:r w:rsidR="005A2AC8" w:rsidRPr="001A68E6">
        <w:rPr>
          <w:rFonts w:ascii="Söhne" w:hAnsi="Söhne" w:cs="Arial"/>
          <w:sz w:val="16"/>
          <w:szCs w:val="16"/>
        </w:rPr>
        <w:t>.</w:t>
      </w:r>
      <w:r w:rsidR="005D1CE5" w:rsidRPr="001A68E6">
        <w:rPr>
          <w:rFonts w:ascii="Söhne" w:hAnsi="Söhne" w:cs="Arial"/>
          <w:sz w:val="16"/>
          <w:szCs w:val="16"/>
        </w:rPr>
        <w:br/>
      </w:r>
      <w:r w:rsidR="005D1CE5" w:rsidRPr="001A68E6">
        <w:rPr>
          <w:rFonts w:ascii="Söhne" w:hAnsi="Söhne" w:cs="Arial"/>
          <w:sz w:val="16"/>
          <w:szCs w:val="16"/>
          <w:vertAlign w:val="superscript"/>
        </w:rPr>
        <w:t>(a)</w:t>
      </w:r>
      <w:r w:rsidR="005D1CE5" w:rsidRPr="001A68E6">
        <w:rPr>
          <w:rFonts w:ascii="Söhne" w:hAnsi="Söhne" w:cs="Arial"/>
          <w:sz w:val="16"/>
          <w:szCs w:val="16"/>
        </w:rPr>
        <w:t xml:space="preserve">A combination of agent </w:t>
      </w:r>
      <w:r w:rsidR="005D1CE5" w:rsidRPr="004133B5">
        <w:rPr>
          <w:rFonts w:ascii="Söhne" w:hAnsi="Söhne" w:cs="Arial"/>
          <w:strike/>
          <w:sz w:val="16"/>
          <w:szCs w:val="16"/>
          <w:highlight w:val="yellow"/>
        </w:rPr>
        <w:t xml:space="preserve">identification </w:t>
      </w:r>
      <w:r w:rsidR="00074416" w:rsidRPr="004133B5">
        <w:rPr>
          <w:rFonts w:ascii="Söhne" w:hAnsi="Söhne" w:cs="Arial"/>
          <w:sz w:val="16"/>
          <w:szCs w:val="16"/>
          <w:highlight w:val="yellow"/>
          <w:u w:val="double"/>
        </w:rPr>
        <w:t>detection</w:t>
      </w:r>
      <w:r w:rsidR="004133B5">
        <w:rPr>
          <w:rFonts w:ascii="Söhne" w:hAnsi="Söhne" w:cs="Arial"/>
          <w:sz w:val="16"/>
          <w:szCs w:val="16"/>
        </w:rPr>
        <w:t xml:space="preserve"> </w:t>
      </w:r>
      <w:r w:rsidR="005D1CE5" w:rsidRPr="001A68E6">
        <w:rPr>
          <w:rFonts w:ascii="Söhne" w:hAnsi="Söhne" w:cs="Arial"/>
          <w:sz w:val="16"/>
          <w:szCs w:val="16"/>
        </w:rPr>
        <w:t>methods applied on the same clinical sample is recommended.</w:t>
      </w:r>
    </w:p>
    <w:p w14:paraId="3C67CA83" w14:textId="643A20F8" w:rsidR="00380A5C" w:rsidRPr="001A68E6" w:rsidRDefault="00380A5C" w:rsidP="00380A5C">
      <w:pPr>
        <w:pStyle w:val="1"/>
      </w:pPr>
      <w:r w:rsidRPr="001A68E6">
        <w:t>1.</w:t>
      </w:r>
      <w:r w:rsidRPr="001A68E6">
        <w:tab/>
      </w:r>
      <w:r w:rsidR="00A9027E" w:rsidRPr="001A68E6">
        <w:rPr>
          <w:strike/>
        </w:rPr>
        <w:t xml:space="preserve">Identification </w:t>
      </w:r>
      <w:r w:rsidR="005F1DEA" w:rsidRPr="001417D6">
        <w:rPr>
          <w:u w:val="double"/>
        </w:rPr>
        <w:t xml:space="preserve">Detection </w:t>
      </w:r>
      <w:r w:rsidR="00343A28" w:rsidRPr="001417D6">
        <w:rPr>
          <w:highlight w:val="yellow"/>
          <w:u w:val="double"/>
        </w:rPr>
        <w:t>and identification</w:t>
      </w:r>
      <w:r w:rsidR="001417D6">
        <w:t xml:space="preserve"> </w:t>
      </w:r>
      <w:r w:rsidRPr="001A68E6">
        <w:t>of the agent</w:t>
      </w:r>
    </w:p>
    <w:p w14:paraId="74D0E824" w14:textId="58AD5A54" w:rsidR="00BE1A3C" w:rsidRPr="001A68E6" w:rsidRDefault="00F51679" w:rsidP="00F51679">
      <w:pPr>
        <w:pStyle w:val="11"/>
      </w:pPr>
      <w:r w:rsidRPr="001A68E6">
        <w:t>1.1.</w:t>
      </w:r>
      <w:r w:rsidR="00BE1A3C" w:rsidRPr="001A68E6">
        <w:tab/>
      </w:r>
      <w:r w:rsidR="005F1DEA" w:rsidRPr="001A68E6">
        <w:rPr>
          <w:u w:val="double"/>
        </w:rPr>
        <w:t>Cell culture for</w:t>
      </w:r>
      <w:r w:rsidR="005F1DEA" w:rsidRPr="001A68E6">
        <w:t xml:space="preserve"> virus </w:t>
      </w:r>
      <w:r w:rsidR="00BE1A3C" w:rsidRPr="001A68E6">
        <w:t>isolation</w:t>
      </w:r>
    </w:p>
    <w:p w14:paraId="0D66A425" w14:textId="7665C2A3" w:rsidR="00380A5C" w:rsidRPr="001A68E6" w:rsidRDefault="00380A5C" w:rsidP="00F51679">
      <w:pPr>
        <w:pStyle w:val="11Para"/>
      </w:pPr>
      <w:r w:rsidRPr="001A68E6">
        <w:t xml:space="preserve">Infection by MDV in a flock may be detected by isolating the virus from the tissues of infected chickens. </w:t>
      </w:r>
      <w:r w:rsidR="00C7020C" w:rsidRPr="001A68E6">
        <w:t xml:space="preserve">However, the </w:t>
      </w:r>
      <w:r w:rsidRPr="001A68E6">
        <w:t xml:space="preserve">ubiquitous nature of MDV must be </w:t>
      </w:r>
      <w:r w:rsidR="00C7020C" w:rsidRPr="001A68E6">
        <w:t>taken into consideration</w:t>
      </w:r>
      <w:r w:rsidR="005935AC" w:rsidRPr="001A68E6">
        <w:t xml:space="preserve"> </w:t>
      </w:r>
      <w:r w:rsidRPr="001A68E6">
        <w:t>and the diagnosis of MD should be based on a combination of MDV isolation</w:t>
      </w:r>
      <w:r w:rsidR="004D1DD5" w:rsidRPr="001A68E6">
        <w:t xml:space="preserve"> or detection of the genome and</w:t>
      </w:r>
      <w:r w:rsidRPr="001A68E6">
        <w:t xml:space="preserve"> </w:t>
      </w:r>
      <w:r w:rsidR="00FA2442" w:rsidRPr="001A68E6">
        <w:t xml:space="preserve">the occurrence of </w:t>
      </w:r>
      <w:r w:rsidRPr="001A68E6">
        <w:t>clinical disease. Commonly used sources are buffy coat cells from heparinised blood samples, or suspensions of lymphoma cells or spleen cells. When these samples are collected in the field, it is suggested that they be transported to the laboratory under chilled conditions</w:t>
      </w:r>
      <w:r w:rsidR="008B7C52" w:rsidRPr="001A68E6">
        <w:t xml:space="preserve"> but not frozen</w:t>
      </w:r>
      <w:r w:rsidRPr="001A68E6">
        <w:t>. As MDV is highly cell</w:t>
      </w:r>
      <w:r w:rsidR="00A552BE">
        <w:t>-</w:t>
      </w:r>
      <w:r w:rsidRPr="001A68E6">
        <w:t xml:space="preserve">associated, it is essential that these cell suspensions contain viable cells. The cell suspensions are inoculated into monolayer cultures of chicken kidney cells or duck embryo fibroblasts (chicken embryo fibroblasts </w:t>
      </w:r>
      <w:r w:rsidR="009B020C" w:rsidRPr="001A68E6">
        <w:t xml:space="preserve">(CEF) </w:t>
      </w:r>
      <w:r w:rsidRPr="001A68E6">
        <w:t>are less sensitive for primary virus isolation). Serotype 2 and 3</w:t>
      </w:r>
      <w:r w:rsidR="0084683F" w:rsidRPr="001A68E6">
        <w:t> </w:t>
      </w:r>
      <w:r w:rsidRPr="001A68E6">
        <w:t>viruses (see Section C.</w:t>
      </w:r>
      <w:r w:rsidR="000F55AC" w:rsidRPr="001A68E6">
        <w:t xml:space="preserve">2.1 </w:t>
      </w:r>
      <w:r w:rsidR="000F55AC" w:rsidRPr="001A68E6">
        <w:rPr>
          <w:i/>
        </w:rPr>
        <w:t>Characteristics of the seed</w:t>
      </w:r>
      <w:r w:rsidRPr="001A68E6">
        <w:t xml:space="preserve">) are more easily isolated in </w:t>
      </w:r>
      <w:r w:rsidR="009B020C" w:rsidRPr="001A68E6">
        <w:t>CEF</w:t>
      </w:r>
      <w:r w:rsidRPr="001A68E6">
        <w:t xml:space="preserve"> than in chicken kidney cells. </w:t>
      </w:r>
      <w:r w:rsidR="00DB43AF" w:rsidRPr="001A68E6">
        <w:t>Usually</w:t>
      </w:r>
      <w:r w:rsidR="00DB43AF" w:rsidRPr="001A68E6">
        <w:rPr>
          <w:u w:val="double"/>
        </w:rPr>
        <w:t>,</w:t>
      </w:r>
      <w:r w:rsidRPr="001A68E6">
        <w:t xml:space="preserve"> a 0.2 ml suspension containing from 10</w:t>
      </w:r>
      <w:r w:rsidRPr="001A68E6">
        <w:rPr>
          <w:vertAlign w:val="superscript"/>
        </w:rPr>
        <w:t xml:space="preserve">6 </w:t>
      </w:r>
      <w:r w:rsidRPr="001A68E6">
        <w:t>to 10</w:t>
      </w:r>
      <w:r w:rsidRPr="001A68E6">
        <w:rPr>
          <w:vertAlign w:val="superscript"/>
        </w:rPr>
        <w:t xml:space="preserve">7 </w:t>
      </w:r>
      <w:r w:rsidRPr="001A68E6">
        <w:t>live cells is inoculated into duplicate monolayers grown in plastic cell culture dishes (60 mm in diameter). Inoculated and uninoculated control cultures are incubated at 3</w:t>
      </w:r>
      <w:r w:rsidR="005D5890" w:rsidRPr="001A68E6">
        <w:t>7</w:t>
      </w:r>
      <w:r w:rsidRPr="001A68E6">
        <w:t>°C in a humid incubator containing 5% CO</w:t>
      </w:r>
      <w:r w:rsidRPr="001A68E6">
        <w:rPr>
          <w:vertAlign w:val="subscript"/>
        </w:rPr>
        <w:t>2</w:t>
      </w:r>
      <w:r w:rsidRPr="001A68E6">
        <w:t>. Alternatively, closed culture vessels may be used. Culture medium is replaced at 2-day intervals. Areas of cytopathic effects, termed plaques, appear within 3–5 days and can be enumerated at about 7–10</w:t>
      </w:r>
      <w:r w:rsidR="00A367F0" w:rsidRPr="001A68E6">
        <w:t> </w:t>
      </w:r>
      <w:r w:rsidRPr="001A68E6">
        <w:t>days.</w:t>
      </w:r>
    </w:p>
    <w:p w14:paraId="35B3C4AF" w14:textId="25CE9C77" w:rsidR="00946E8A" w:rsidRPr="001A68E6" w:rsidRDefault="00946E8A" w:rsidP="00F51679">
      <w:pPr>
        <w:pStyle w:val="11Para"/>
      </w:pPr>
      <w:r w:rsidRPr="001A68E6">
        <w:t>Another, less commonly used source of MDV for diagnostic purposes is feather tips</w:t>
      </w:r>
      <w:r w:rsidR="00A9027E" w:rsidRPr="001A68E6">
        <w:rPr>
          <w:strike/>
        </w:rPr>
        <w:t>, from which cell-free MDV can be extracted</w:t>
      </w:r>
      <w:r w:rsidR="009352AB" w:rsidRPr="001A68E6">
        <w:t xml:space="preserve">. </w:t>
      </w:r>
      <w:r w:rsidR="009352AB" w:rsidRPr="001A68E6">
        <w:rPr>
          <w:u w:val="double"/>
        </w:rPr>
        <w:t>While this is more commonly used for PCR-based diagnosis</w:t>
      </w:r>
      <w:r w:rsidRPr="001A68E6">
        <w:rPr>
          <w:u w:val="double"/>
        </w:rPr>
        <w:t xml:space="preserve">, </w:t>
      </w:r>
      <w:r w:rsidR="009352AB" w:rsidRPr="001A68E6">
        <w:rPr>
          <w:u w:val="double"/>
        </w:rPr>
        <w:t xml:space="preserve">feather tips can also be useful for </w:t>
      </w:r>
      <w:r w:rsidR="000A3E69" w:rsidRPr="001A68E6">
        <w:rPr>
          <w:u w:val="double"/>
        </w:rPr>
        <w:t>prepar</w:t>
      </w:r>
      <w:r w:rsidR="009352AB" w:rsidRPr="001A68E6">
        <w:rPr>
          <w:u w:val="double"/>
        </w:rPr>
        <w:t>ing</w:t>
      </w:r>
      <w:r w:rsidR="000F6E0B" w:rsidRPr="001A68E6">
        <w:rPr>
          <w:u w:val="double"/>
        </w:rPr>
        <w:t xml:space="preserve"> cell-free MDV</w:t>
      </w:r>
      <w:r w:rsidRPr="001A68E6">
        <w:rPr>
          <w:u w:val="double"/>
        </w:rPr>
        <w:t>.</w:t>
      </w:r>
      <w:r w:rsidRPr="001A68E6">
        <w:t xml:space="preserve"> Tips about 5</w:t>
      </w:r>
      <w:r w:rsidR="009B020C" w:rsidRPr="001A68E6">
        <w:t xml:space="preserve"> </w:t>
      </w:r>
      <w:r w:rsidRPr="001A68E6">
        <w:t>mm long, or minced tracts of skin containing feather tips, are suspended in an SPGA/EDTA (sucrose, phosphate,</w:t>
      </w:r>
      <w:r w:rsidR="00DA79B8" w:rsidRPr="001A68E6">
        <w:t xml:space="preserve"> glutamate and albumin/</w:t>
      </w:r>
      <w:r w:rsidR="00A9027E" w:rsidRPr="001A68E6">
        <w:t xml:space="preserve"> </w:t>
      </w:r>
      <w:r w:rsidR="00DA79B8" w:rsidRPr="001A68E6">
        <w:t>ethylene</w:t>
      </w:r>
      <w:r w:rsidRPr="001A68E6">
        <w:t xml:space="preserve">diamine tetra-acetic acid) buffer for extraction </w:t>
      </w:r>
      <w:r w:rsidR="00C77337" w:rsidRPr="001A68E6">
        <w:t>and titration of cell-free MDV</w:t>
      </w:r>
      <w:r w:rsidR="00E86F0D" w:rsidRPr="001A68E6">
        <w:t xml:space="preserve"> (</w:t>
      </w:r>
      <w:r w:rsidR="00F001F1" w:rsidRPr="001A68E6">
        <w:t xml:space="preserve">Calnek </w:t>
      </w:r>
      <w:r w:rsidR="00F001F1" w:rsidRPr="001A68E6">
        <w:rPr>
          <w:i/>
        </w:rPr>
        <w:t>et al.,</w:t>
      </w:r>
      <w:r w:rsidR="00F001F1" w:rsidRPr="001A68E6">
        <w:t xml:space="preserve"> 1970</w:t>
      </w:r>
      <w:r w:rsidR="00E86F0D" w:rsidRPr="001A68E6">
        <w:t>)</w:t>
      </w:r>
      <w:r w:rsidRPr="001A68E6">
        <w:t>. The buffer is made as follows: 0.2180</w:t>
      </w:r>
      <w:r w:rsidR="003E008D" w:rsidRPr="001A68E6">
        <w:t> </w:t>
      </w:r>
      <w:r w:rsidRPr="001A68E6">
        <w:t>M sucrose (7.462</w:t>
      </w:r>
      <w:r w:rsidR="003E008D" w:rsidRPr="001A68E6">
        <w:t> </w:t>
      </w:r>
      <w:r w:rsidRPr="001A68E6">
        <w:t>g); 0.0038</w:t>
      </w:r>
      <w:r w:rsidR="003E008D" w:rsidRPr="001A68E6">
        <w:t> </w:t>
      </w:r>
      <w:r w:rsidRPr="001A68E6">
        <w:t>M monopotassium phosphate (0.052</w:t>
      </w:r>
      <w:r w:rsidR="003E008D" w:rsidRPr="001A68E6">
        <w:t> </w:t>
      </w:r>
      <w:r w:rsidRPr="001A68E6">
        <w:t>g); 0.0072</w:t>
      </w:r>
      <w:r w:rsidR="003E008D" w:rsidRPr="001A68E6">
        <w:t> </w:t>
      </w:r>
      <w:r w:rsidRPr="001A68E6">
        <w:t>M dipotassium phosphate (0.125</w:t>
      </w:r>
      <w:r w:rsidR="003E008D" w:rsidRPr="001A68E6">
        <w:t> </w:t>
      </w:r>
      <w:r w:rsidRPr="001A68E6">
        <w:t xml:space="preserve">g); 0.0049 M </w:t>
      </w:r>
      <w:r w:rsidRPr="001A68E6">
        <w:rPr>
          <w:smallCaps/>
        </w:rPr>
        <w:t>l</w:t>
      </w:r>
      <w:r w:rsidRPr="001A68E6">
        <w:t>-monosodium glutamate (0.083</w:t>
      </w:r>
      <w:r w:rsidR="003E008D" w:rsidRPr="001A68E6">
        <w:t> </w:t>
      </w:r>
      <w:r w:rsidRPr="001A68E6">
        <w:t>g); 1.0% bovine albumin powder (1.000</w:t>
      </w:r>
      <w:r w:rsidR="003E008D" w:rsidRPr="001A68E6">
        <w:t> </w:t>
      </w:r>
      <w:r w:rsidRPr="001A68E6">
        <w:t>g); 0.2% EDTA (0.200</w:t>
      </w:r>
      <w:r w:rsidR="003E008D" w:rsidRPr="001A68E6">
        <w:t> </w:t>
      </w:r>
      <w:r w:rsidRPr="001A68E6">
        <w:t>g); and distilled water (100</w:t>
      </w:r>
      <w:r w:rsidR="003E008D" w:rsidRPr="001A68E6">
        <w:t> </w:t>
      </w:r>
      <w:r w:rsidRPr="001A68E6">
        <w:t>ml). The buffer is sterilised by filtration and should be at approximately pH</w:t>
      </w:r>
      <w:r w:rsidR="003E008D" w:rsidRPr="001A68E6">
        <w:t> </w:t>
      </w:r>
      <w:r w:rsidRPr="001A68E6">
        <w:t>6.5.</w:t>
      </w:r>
    </w:p>
    <w:p w14:paraId="4C8D2B9D" w14:textId="5B598A9D" w:rsidR="00946E8A" w:rsidRPr="001A68E6" w:rsidRDefault="00C77337" w:rsidP="00F51679">
      <w:pPr>
        <w:pStyle w:val="11Para"/>
      </w:pPr>
      <w:r w:rsidRPr="001A68E6">
        <w:t xml:space="preserve">This suspension is </w:t>
      </w:r>
      <w:r w:rsidR="00946E8A" w:rsidRPr="001A68E6">
        <w:t>sonicated and then filtered through a 0.45 µm membrane filter for inoculation on to 24-hour-old chicken kidney cell monolayers</w:t>
      </w:r>
      <w:r w:rsidR="005D5890" w:rsidRPr="001A68E6">
        <w:t xml:space="preserve"> from which the medium has been drained</w:t>
      </w:r>
      <w:r w:rsidR="00946E8A" w:rsidRPr="001A68E6">
        <w:t>. After absorption for 40 minutes, the medium is added, and cultures are incubated as above for 7–10 days.</w:t>
      </w:r>
    </w:p>
    <w:p w14:paraId="5ECF0F28" w14:textId="6C7352F7" w:rsidR="00946E8A" w:rsidRPr="001A68E6" w:rsidRDefault="00946E8A" w:rsidP="00F51679">
      <w:pPr>
        <w:pStyle w:val="11Para"/>
      </w:pPr>
      <w:r w:rsidRPr="001A68E6">
        <w:t xml:space="preserve">Using these methods, MDV of serotypes 1 and 2 may be isolated, together with HVT (serotype 3), if it is present as a result of vaccination. With experience, </w:t>
      </w:r>
      <w:r w:rsidR="00301BF4" w:rsidRPr="001A68E6">
        <w:rPr>
          <w:u w:val="double"/>
        </w:rPr>
        <w:t>cytopathic effects and</w:t>
      </w:r>
      <w:r w:rsidR="00301BF4" w:rsidRPr="001A68E6">
        <w:t xml:space="preserve"> </w:t>
      </w:r>
      <w:r w:rsidRPr="001A68E6">
        <w:t>plaques caused by the different virus serotypes can be differentiated fairly accurately on the basis of time of appearance, rate of development, and plaque morphology. HVT plaques appear earlier and are larger than serotype</w:t>
      </w:r>
      <w:r w:rsidR="000F55AC" w:rsidRPr="001A68E6">
        <w:t> </w:t>
      </w:r>
      <w:r w:rsidRPr="001A68E6">
        <w:t>1 pl</w:t>
      </w:r>
      <w:r w:rsidR="009F3B96" w:rsidRPr="001A68E6">
        <w:t>aques, whereas serotype 2 </w:t>
      </w:r>
      <w:r w:rsidRPr="001A68E6">
        <w:t>plaques appear later and are smaller than serotype 1 plaques.</w:t>
      </w:r>
    </w:p>
    <w:p w14:paraId="409C8100" w14:textId="77777777" w:rsidR="003B23ED" w:rsidRPr="001A68E6" w:rsidRDefault="003B23ED" w:rsidP="003B23ED">
      <w:pPr>
        <w:pStyle w:val="11Para"/>
        <w:rPr>
          <w:strike/>
        </w:rPr>
      </w:pPr>
      <w:r w:rsidRPr="001A68E6">
        <w:rPr>
          <w:strike/>
        </w:rPr>
        <w:t xml:space="preserve">MDV and HVT plaques may be identified as such using specific antibodies raised in chickens. Monoclonal antibodies may be used to differentiate serotypes (Lee </w:t>
      </w:r>
      <w:r w:rsidRPr="001A68E6">
        <w:rPr>
          <w:i/>
          <w:strike/>
        </w:rPr>
        <w:t>et al.,</w:t>
      </w:r>
      <w:r w:rsidRPr="001A68E6">
        <w:rPr>
          <w:strike/>
        </w:rPr>
        <w:t xml:space="preserve"> 1983).</w:t>
      </w:r>
    </w:p>
    <w:p w14:paraId="41803572" w14:textId="5A72AA29" w:rsidR="00BE1A3C" w:rsidRPr="001A68E6" w:rsidRDefault="00F51679" w:rsidP="00F51679">
      <w:pPr>
        <w:pStyle w:val="11"/>
        <w:rPr>
          <w:b/>
          <w:bCs/>
        </w:rPr>
      </w:pPr>
      <w:r w:rsidRPr="001A68E6">
        <w:t>1.2.</w:t>
      </w:r>
      <w:r w:rsidR="00BE1A3C" w:rsidRPr="001A68E6">
        <w:tab/>
        <w:t>Antigen detection</w:t>
      </w:r>
      <w:r w:rsidR="000E1BC7" w:rsidRPr="001A68E6">
        <w:t xml:space="preserve"> </w:t>
      </w:r>
      <w:r w:rsidR="000E1BC7" w:rsidRPr="001A68E6">
        <w:rPr>
          <w:u w:val="double"/>
        </w:rPr>
        <w:t>– immunolabelling techniques</w:t>
      </w:r>
    </w:p>
    <w:p w14:paraId="6E8F2456" w14:textId="0D59A3EA" w:rsidR="00CE2C59" w:rsidRPr="001A68E6" w:rsidRDefault="00CE2C59" w:rsidP="00F51679">
      <w:pPr>
        <w:pStyle w:val="11Para"/>
      </w:pPr>
      <w:r w:rsidRPr="001A68E6">
        <w:lastRenderedPageBreak/>
        <w:t xml:space="preserve">A variation of the </w:t>
      </w:r>
      <w:r w:rsidR="000F55AC" w:rsidRPr="001A68E6">
        <w:t xml:space="preserve">agar gel immunodiffusion (AGID) </w:t>
      </w:r>
      <w:r w:rsidRPr="001A68E6">
        <w:t xml:space="preserve">test used for serology (see below) may be used to detect MDV antigen in feather tips as an indication of infection by MDV. Glass slides are prepared with a coating of 0.7% agarose (e.g. A37) in 8% sodium chloride, containing MDV antiserum. Tips of small feathers </w:t>
      </w:r>
      <w:r w:rsidR="007D193E" w:rsidRPr="004133B5">
        <w:rPr>
          <w:highlight w:val="yellow"/>
          <w:u w:val="double"/>
        </w:rPr>
        <w:t>(ideally blood feathers)</w:t>
      </w:r>
      <w:r w:rsidR="000561C0">
        <w:t xml:space="preserve"> </w:t>
      </w:r>
      <w:r w:rsidRPr="001A68E6">
        <w:t xml:space="preserve">are taken from the birds to be examined and are inserted vertically into the agar, and the slides are maintained as described </w:t>
      </w:r>
      <w:r w:rsidR="00BE1A3C" w:rsidRPr="001A68E6">
        <w:t>below</w:t>
      </w:r>
      <w:r w:rsidRPr="001A68E6">
        <w:t>. The development of radial zones of precipitation around the feather tips denotes the presence in the feather of MDV antigen and hence of infection in the bird.</w:t>
      </w:r>
    </w:p>
    <w:p w14:paraId="0D5A803F" w14:textId="02F21433" w:rsidR="000E1BC7" w:rsidRPr="001A68E6" w:rsidRDefault="005D373B" w:rsidP="000E1BC7">
      <w:pPr>
        <w:pStyle w:val="11Para"/>
        <w:rPr>
          <w:u w:val="double"/>
        </w:rPr>
      </w:pPr>
      <w:r w:rsidRPr="001A68E6">
        <w:rPr>
          <w:u w:val="double"/>
        </w:rPr>
        <w:t>Antigen</w:t>
      </w:r>
      <w:r w:rsidR="00E152C8" w:rsidRPr="001A68E6">
        <w:rPr>
          <w:u w:val="double"/>
        </w:rPr>
        <w:t xml:space="preserve"> detection can be</w:t>
      </w:r>
      <w:r w:rsidR="00633F0E" w:rsidRPr="001A68E6">
        <w:rPr>
          <w:u w:val="double"/>
        </w:rPr>
        <w:t xml:space="preserve"> especially</w:t>
      </w:r>
      <w:r w:rsidR="003E0701" w:rsidRPr="001A68E6">
        <w:rPr>
          <w:u w:val="double"/>
        </w:rPr>
        <w:t xml:space="preserve"> helpful</w:t>
      </w:r>
      <w:r w:rsidR="00633F0E" w:rsidRPr="001A68E6">
        <w:rPr>
          <w:u w:val="double"/>
        </w:rPr>
        <w:t xml:space="preserve"> in </w:t>
      </w:r>
      <w:r w:rsidR="008E19E6" w:rsidRPr="001A68E6">
        <w:rPr>
          <w:u w:val="double"/>
        </w:rPr>
        <w:t>differentiating a MD tumour from other lymphoid tumours</w:t>
      </w:r>
      <w:r w:rsidR="003E0701" w:rsidRPr="001A68E6">
        <w:rPr>
          <w:u w:val="double"/>
        </w:rPr>
        <w:t xml:space="preserve">. </w:t>
      </w:r>
      <w:r w:rsidR="004A3791" w:rsidRPr="001A68E6">
        <w:rPr>
          <w:u w:val="double"/>
        </w:rPr>
        <w:t>In addition to confirming</w:t>
      </w:r>
      <w:r w:rsidR="006064B6" w:rsidRPr="001A68E6">
        <w:rPr>
          <w:u w:val="double"/>
        </w:rPr>
        <w:t xml:space="preserve"> the tumour as </w:t>
      </w:r>
      <w:r w:rsidR="000247C5" w:rsidRPr="001A68E6">
        <w:rPr>
          <w:u w:val="double"/>
        </w:rPr>
        <w:t>T-cell</w:t>
      </w:r>
      <w:r w:rsidR="006064B6" w:rsidRPr="001A68E6">
        <w:rPr>
          <w:u w:val="double"/>
        </w:rPr>
        <w:t xml:space="preserve"> lymphoma, immunolabel</w:t>
      </w:r>
      <w:r w:rsidR="003D2D92" w:rsidRPr="001A68E6">
        <w:rPr>
          <w:u w:val="double"/>
        </w:rPr>
        <w:t>l</w:t>
      </w:r>
      <w:r w:rsidR="006064B6" w:rsidRPr="001A68E6">
        <w:rPr>
          <w:u w:val="double"/>
        </w:rPr>
        <w:t xml:space="preserve">ing </w:t>
      </w:r>
      <w:r w:rsidR="009E21F2" w:rsidRPr="001A68E6">
        <w:rPr>
          <w:u w:val="double"/>
        </w:rPr>
        <w:t xml:space="preserve">with monoclonal or polyclonal antibodies </w:t>
      </w:r>
      <w:r w:rsidR="006064B6" w:rsidRPr="001A68E6">
        <w:rPr>
          <w:u w:val="double"/>
        </w:rPr>
        <w:t xml:space="preserve">can </w:t>
      </w:r>
      <w:r w:rsidR="00C760F2" w:rsidRPr="001A68E6">
        <w:rPr>
          <w:u w:val="double"/>
        </w:rPr>
        <w:t>be used to confirm expression</w:t>
      </w:r>
      <w:r w:rsidR="006F0699">
        <w:rPr>
          <w:u w:val="double"/>
        </w:rPr>
        <w:t xml:space="preserve"> of </w:t>
      </w:r>
      <w:r w:rsidR="006F0699" w:rsidRPr="001A68E6">
        <w:rPr>
          <w:u w:val="double"/>
        </w:rPr>
        <w:t>Meq</w:t>
      </w:r>
      <w:r w:rsidR="00C760F2" w:rsidRPr="001A68E6">
        <w:rPr>
          <w:u w:val="double"/>
        </w:rPr>
        <w:t xml:space="preserve">, which is </w:t>
      </w:r>
      <w:r w:rsidR="00836EC3" w:rsidRPr="001A68E6">
        <w:rPr>
          <w:u w:val="double"/>
        </w:rPr>
        <w:t xml:space="preserve">the </w:t>
      </w:r>
      <w:r w:rsidR="00434BF5" w:rsidRPr="001A68E6">
        <w:rPr>
          <w:u w:val="double"/>
        </w:rPr>
        <w:t>primary MDV oncogene</w:t>
      </w:r>
      <w:r w:rsidR="00A646E8" w:rsidRPr="001A68E6">
        <w:rPr>
          <w:u w:val="double"/>
        </w:rPr>
        <w:t xml:space="preserve"> (</w:t>
      </w:r>
      <w:r w:rsidR="003D2D92" w:rsidRPr="001A68E6">
        <w:rPr>
          <w:u w:val="double"/>
        </w:rPr>
        <w:t xml:space="preserve">Ahmed </w:t>
      </w:r>
      <w:r w:rsidR="003D2D92" w:rsidRPr="001A68E6">
        <w:rPr>
          <w:i/>
          <w:iCs/>
          <w:u w:val="double"/>
        </w:rPr>
        <w:t>et al.</w:t>
      </w:r>
      <w:r w:rsidR="003D2D92" w:rsidRPr="001A68E6">
        <w:rPr>
          <w:u w:val="double"/>
        </w:rPr>
        <w:t xml:space="preserve">, 2018; </w:t>
      </w:r>
      <w:r w:rsidR="00242EC5" w:rsidRPr="001A68E6">
        <w:rPr>
          <w:u w:val="double"/>
        </w:rPr>
        <w:t xml:space="preserve">Gimeno </w:t>
      </w:r>
      <w:r w:rsidR="00242EC5" w:rsidRPr="001A68E6">
        <w:rPr>
          <w:i/>
          <w:u w:val="double"/>
        </w:rPr>
        <w:t>et al.,</w:t>
      </w:r>
      <w:r w:rsidR="00242EC5" w:rsidRPr="001A68E6">
        <w:rPr>
          <w:u w:val="double"/>
        </w:rPr>
        <w:t xml:space="preserve"> 2014</w:t>
      </w:r>
      <w:r w:rsidR="00A646E8" w:rsidRPr="001A68E6">
        <w:rPr>
          <w:u w:val="double"/>
        </w:rPr>
        <w:t>).</w:t>
      </w:r>
      <w:r w:rsidR="008E19E6" w:rsidRPr="001A68E6">
        <w:rPr>
          <w:u w:val="double"/>
        </w:rPr>
        <w:t xml:space="preserve"> </w:t>
      </w:r>
      <w:r w:rsidR="000E1BC7" w:rsidRPr="001A68E6">
        <w:rPr>
          <w:u w:val="double"/>
        </w:rPr>
        <w:t xml:space="preserve">MDV and HVT </w:t>
      </w:r>
      <w:r w:rsidR="00836EC3" w:rsidRPr="001A68E6">
        <w:rPr>
          <w:u w:val="double"/>
        </w:rPr>
        <w:t xml:space="preserve">cell culture </w:t>
      </w:r>
      <w:r w:rsidR="000E1BC7" w:rsidRPr="001A68E6">
        <w:rPr>
          <w:u w:val="double"/>
        </w:rPr>
        <w:t xml:space="preserve">plaques may </w:t>
      </w:r>
      <w:r w:rsidR="00836EC3" w:rsidRPr="001A68E6">
        <w:rPr>
          <w:u w:val="double"/>
        </w:rPr>
        <w:t xml:space="preserve">also </w:t>
      </w:r>
      <w:r w:rsidR="000E1BC7" w:rsidRPr="001A68E6">
        <w:rPr>
          <w:u w:val="double"/>
        </w:rPr>
        <w:t xml:space="preserve">be identified as such using specific antibodies raised in chickens. Monoclonal antibodies may be used to differentiate serotypes (Lee </w:t>
      </w:r>
      <w:r w:rsidR="000E1BC7" w:rsidRPr="001A68E6">
        <w:rPr>
          <w:i/>
          <w:u w:val="double"/>
        </w:rPr>
        <w:t>et al.,</w:t>
      </w:r>
      <w:r w:rsidR="000E1BC7" w:rsidRPr="001A68E6">
        <w:rPr>
          <w:u w:val="double"/>
        </w:rPr>
        <w:t xml:space="preserve"> 1983).</w:t>
      </w:r>
    </w:p>
    <w:p w14:paraId="0471F3DA" w14:textId="22D5194C" w:rsidR="00946E8A" w:rsidRPr="001A68E6" w:rsidRDefault="00F51679" w:rsidP="00F51679">
      <w:pPr>
        <w:pStyle w:val="11"/>
      </w:pPr>
      <w:r w:rsidRPr="001A68E6">
        <w:t>1.3.</w:t>
      </w:r>
      <w:r w:rsidR="0084683F" w:rsidRPr="001A68E6">
        <w:tab/>
      </w:r>
      <w:r w:rsidR="003B23ED" w:rsidRPr="001A68E6">
        <w:rPr>
          <w:strike/>
        </w:rPr>
        <w:t xml:space="preserve">Polymerase chain reaction (PCR) </w:t>
      </w:r>
      <w:bookmarkStart w:id="5" w:name="_Hlk127262835"/>
      <w:r w:rsidR="00163F9E" w:rsidRPr="001A68E6">
        <w:rPr>
          <w:u w:val="double"/>
        </w:rPr>
        <w:t>Molecular methods – detection of nucleic acids</w:t>
      </w:r>
      <w:r w:rsidR="00163F9E" w:rsidRPr="001A68E6">
        <w:t xml:space="preserve"> </w:t>
      </w:r>
      <w:bookmarkEnd w:id="5"/>
    </w:p>
    <w:p w14:paraId="22A4A85F" w14:textId="2490AABF" w:rsidR="00946E8A" w:rsidRPr="004133B5" w:rsidRDefault="002F4DB8" w:rsidP="003577E0">
      <w:pPr>
        <w:pStyle w:val="11Para"/>
      </w:pPr>
      <w:r w:rsidRPr="001A68E6">
        <w:t xml:space="preserve">The genomes </w:t>
      </w:r>
      <w:r w:rsidR="00946E8A" w:rsidRPr="001A68E6">
        <w:t xml:space="preserve">of all three serotypes have been </w:t>
      </w:r>
      <w:r w:rsidR="004D029A" w:rsidRPr="001A68E6">
        <w:t xml:space="preserve">completely </w:t>
      </w:r>
      <w:r w:rsidR="00946E8A" w:rsidRPr="001A68E6">
        <w:t>sequenced (</w:t>
      </w:r>
      <w:r w:rsidR="00A02924" w:rsidRPr="001A68E6">
        <w:t xml:space="preserve">Afonso </w:t>
      </w:r>
      <w:r w:rsidR="00A02924" w:rsidRPr="001A68E6">
        <w:rPr>
          <w:i/>
        </w:rPr>
        <w:t>et al.,</w:t>
      </w:r>
      <w:r w:rsidR="00A02924" w:rsidRPr="001A68E6">
        <w:t xml:space="preserve"> 2001;</w:t>
      </w:r>
      <w:r w:rsidR="00884184" w:rsidRPr="001A68E6">
        <w:t xml:space="preserve"> Lee </w:t>
      </w:r>
      <w:r w:rsidR="00884184" w:rsidRPr="001A68E6">
        <w:rPr>
          <w:i/>
        </w:rPr>
        <w:t>et al.,</w:t>
      </w:r>
      <w:r w:rsidR="00884184" w:rsidRPr="001A68E6">
        <w:t xml:space="preserve"> 2000</w:t>
      </w:r>
      <w:r w:rsidR="00946E8A" w:rsidRPr="001A68E6">
        <w:t>). PCR tests</w:t>
      </w:r>
      <w:r w:rsidR="00716459" w:rsidRPr="001A68E6">
        <w:t xml:space="preserve"> have been developed for the diagnosis</w:t>
      </w:r>
      <w:r w:rsidR="007A52AC" w:rsidRPr="001A68E6">
        <w:t xml:space="preserve"> of</w:t>
      </w:r>
      <w:r w:rsidR="00716459" w:rsidRPr="001A68E6">
        <w:t xml:space="preserve"> MD</w:t>
      </w:r>
      <w:r w:rsidR="00D20045" w:rsidRPr="001A68E6">
        <w:t xml:space="preserve"> </w:t>
      </w:r>
      <w:r w:rsidR="00D20045" w:rsidRPr="001A68E6">
        <w:rPr>
          <w:u w:val="double"/>
        </w:rPr>
        <w:t>using specific primer sets that amplif</w:t>
      </w:r>
      <w:r w:rsidRPr="001A68E6">
        <w:rPr>
          <w:u w:val="double"/>
        </w:rPr>
        <w:t>y</w:t>
      </w:r>
      <w:r w:rsidR="00D20045" w:rsidRPr="001A68E6">
        <w:rPr>
          <w:u w:val="double"/>
        </w:rPr>
        <w:t xml:space="preserve"> specific MDV genes (Table 3)</w:t>
      </w:r>
      <w:r w:rsidR="00C63E3B" w:rsidRPr="001A68E6">
        <w:t>.</w:t>
      </w:r>
      <w:r w:rsidR="005935AC" w:rsidRPr="001A68E6">
        <w:t xml:space="preserve"> </w:t>
      </w:r>
      <w:r w:rsidR="00C63E3B" w:rsidRPr="001A68E6">
        <w:t>R</w:t>
      </w:r>
      <w:r w:rsidR="00716459" w:rsidRPr="001A68E6">
        <w:t>eal</w:t>
      </w:r>
      <w:r w:rsidR="0084683F" w:rsidRPr="001A68E6">
        <w:t>-time</w:t>
      </w:r>
      <w:r w:rsidR="005935AC" w:rsidRPr="001A68E6">
        <w:t xml:space="preserve"> </w:t>
      </w:r>
      <w:r w:rsidR="00716459" w:rsidRPr="001A68E6">
        <w:t>PCR</w:t>
      </w:r>
      <w:r w:rsidR="00C63E3B" w:rsidRPr="001A68E6">
        <w:t xml:space="preserve"> </w:t>
      </w:r>
      <w:r w:rsidR="00CF0E36" w:rsidRPr="001A68E6">
        <w:t>to</w:t>
      </w:r>
      <w:r w:rsidR="00C63E3B" w:rsidRPr="001A68E6">
        <w:t xml:space="preserve"> quanti</w:t>
      </w:r>
      <w:r w:rsidR="00CF0E36" w:rsidRPr="001A68E6">
        <w:t>fy</w:t>
      </w:r>
      <w:r w:rsidR="00C63E3B" w:rsidRPr="001A68E6">
        <w:t xml:space="preserve"> MDV genome copies </w:t>
      </w:r>
      <w:r w:rsidR="00716459" w:rsidRPr="001A68E6">
        <w:t>has</w:t>
      </w:r>
      <w:r w:rsidR="00C63E3B" w:rsidRPr="001A68E6">
        <w:t xml:space="preserve"> also</w:t>
      </w:r>
      <w:r w:rsidR="00716459" w:rsidRPr="001A68E6">
        <w:t xml:space="preserve"> been described (</w:t>
      </w:r>
      <w:hyperlink r:id="rId11" w:history="1">
        <w:r w:rsidR="00A02924" w:rsidRPr="006927BC">
          <w:rPr>
            <w:rStyle w:val="Hyperlink"/>
            <w:strike/>
            <w:color w:val="auto"/>
            <w:u w:val="none"/>
          </w:rPr>
          <w:t xml:space="preserve">Abdul-Careem </w:t>
        </w:r>
        <w:r w:rsidR="00A02924" w:rsidRPr="006927BC">
          <w:rPr>
            <w:rStyle w:val="Hyperlink"/>
            <w:i/>
            <w:strike/>
            <w:color w:val="auto"/>
            <w:u w:val="none"/>
          </w:rPr>
          <w:t>et al.</w:t>
        </w:r>
        <w:r w:rsidR="00A02924" w:rsidRPr="006927BC">
          <w:rPr>
            <w:rStyle w:val="Hyperlink"/>
            <w:strike/>
            <w:color w:val="auto"/>
            <w:u w:val="none"/>
          </w:rPr>
          <w:t>, 2006;</w:t>
        </w:r>
      </w:hyperlink>
      <w:r w:rsidR="00CD164B" w:rsidRPr="006927BC">
        <w:rPr>
          <w:strike/>
        </w:rPr>
        <w:t xml:space="preserve"> </w:t>
      </w:r>
      <w:r w:rsidR="00A02924" w:rsidRPr="001A68E6">
        <w:t xml:space="preserve">Baigent </w:t>
      </w:r>
      <w:r w:rsidR="00A02924" w:rsidRPr="001A68E6">
        <w:rPr>
          <w:i/>
        </w:rPr>
        <w:t>et al.</w:t>
      </w:r>
      <w:r w:rsidR="00D463E2" w:rsidRPr="001A68E6">
        <w:rPr>
          <w:i/>
        </w:rPr>
        <w:t>,</w:t>
      </w:r>
      <w:r w:rsidR="00A02924" w:rsidRPr="001A68E6">
        <w:t xml:space="preserve"> 2005; </w:t>
      </w:r>
      <w:r w:rsidR="005D1CE5" w:rsidRPr="001A68E6">
        <w:rPr>
          <w:u w:val="double"/>
        </w:rPr>
        <w:t xml:space="preserve">Gimeno </w:t>
      </w:r>
      <w:r w:rsidR="005D1CE5" w:rsidRPr="001A68E6">
        <w:rPr>
          <w:i/>
          <w:iCs/>
          <w:u w:val="double"/>
        </w:rPr>
        <w:t>et al.</w:t>
      </w:r>
      <w:r w:rsidR="005D1CE5" w:rsidRPr="001A68E6">
        <w:rPr>
          <w:u w:val="double"/>
        </w:rPr>
        <w:t>, 2005;</w:t>
      </w:r>
      <w:r w:rsidR="005D1CE5" w:rsidRPr="001A68E6">
        <w:t xml:space="preserve"> </w:t>
      </w:r>
      <w:r w:rsidR="00463565" w:rsidRPr="001A68E6">
        <w:t xml:space="preserve">Islam </w:t>
      </w:r>
      <w:r w:rsidR="00463565" w:rsidRPr="001A68E6">
        <w:rPr>
          <w:i/>
        </w:rPr>
        <w:t>et al.,</w:t>
      </w:r>
      <w:r w:rsidR="00463565" w:rsidRPr="001A68E6">
        <w:t xml:space="preserve"> 2004</w:t>
      </w:r>
      <w:r w:rsidR="00716459" w:rsidRPr="001A68E6">
        <w:t>)</w:t>
      </w:r>
      <w:r w:rsidR="00CD164B" w:rsidRPr="001A68E6">
        <w:t>.</w:t>
      </w:r>
      <w:r w:rsidR="00716459" w:rsidRPr="001A68E6">
        <w:t xml:space="preserve"> </w:t>
      </w:r>
      <w:r w:rsidR="0017428D" w:rsidRPr="001331D9">
        <w:rPr>
          <w:highlight w:val="yellow"/>
          <w:u w:val="double"/>
        </w:rPr>
        <w:t xml:space="preserve">MD lymphomas have relatively high levels of MDV DNA compared </w:t>
      </w:r>
      <w:r w:rsidR="0017428D">
        <w:rPr>
          <w:highlight w:val="yellow"/>
          <w:u w:val="double"/>
        </w:rPr>
        <w:t>with</w:t>
      </w:r>
      <w:r w:rsidR="0017428D" w:rsidRPr="001331D9">
        <w:rPr>
          <w:highlight w:val="yellow"/>
          <w:u w:val="double"/>
        </w:rPr>
        <w:t xml:space="preserve"> </w:t>
      </w:r>
      <w:r w:rsidR="0017428D">
        <w:rPr>
          <w:highlight w:val="yellow"/>
          <w:u w:val="double"/>
        </w:rPr>
        <w:t>latently</w:t>
      </w:r>
      <w:r w:rsidR="0017428D" w:rsidRPr="001331D9">
        <w:rPr>
          <w:highlight w:val="yellow"/>
          <w:u w:val="double"/>
        </w:rPr>
        <w:t xml:space="preserve"> infected tissues and can be differentiated using </w:t>
      </w:r>
      <w:r w:rsidR="0017428D">
        <w:rPr>
          <w:highlight w:val="yellow"/>
          <w:u w:val="double"/>
        </w:rPr>
        <w:t xml:space="preserve">defined </w:t>
      </w:r>
      <w:r w:rsidR="00F83A3D">
        <w:rPr>
          <w:highlight w:val="yellow"/>
          <w:u w:val="double"/>
        </w:rPr>
        <w:t>cycle threshold</w:t>
      </w:r>
      <w:r w:rsidR="0017428D">
        <w:rPr>
          <w:highlight w:val="yellow"/>
          <w:u w:val="double"/>
        </w:rPr>
        <w:t xml:space="preserve"> ratio </w:t>
      </w:r>
      <w:r w:rsidR="0017428D" w:rsidRPr="001331D9">
        <w:rPr>
          <w:highlight w:val="yellow"/>
          <w:u w:val="double"/>
        </w:rPr>
        <w:t>cut</w:t>
      </w:r>
      <w:r w:rsidR="0017428D">
        <w:rPr>
          <w:highlight w:val="yellow"/>
          <w:u w:val="double"/>
        </w:rPr>
        <w:t>-</w:t>
      </w:r>
      <w:r w:rsidR="0017428D" w:rsidRPr="001331D9">
        <w:rPr>
          <w:highlight w:val="yellow"/>
          <w:u w:val="double"/>
        </w:rPr>
        <w:t>off</w:t>
      </w:r>
      <w:r w:rsidR="0017428D">
        <w:rPr>
          <w:highlight w:val="yellow"/>
          <w:u w:val="double"/>
        </w:rPr>
        <w:t xml:space="preserve"> levels</w:t>
      </w:r>
      <w:r w:rsidR="0017428D" w:rsidRPr="001331D9">
        <w:rPr>
          <w:highlight w:val="yellow"/>
          <w:u w:val="double"/>
        </w:rPr>
        <w:t xml:space="preserve"> (Gimeno </w:t>
      </w:r>
      <w:r w:rsidR="0017428D" w:rsidRPr="001331D9">
        <w:rPr>
          <w:i/>
          <w:iCs/>
          <w:highlight w:val="yellow"/>
          <w:u w:val="double"/>
        </w:rPr>
        <w:t>et al.</w:t>
      </w:r>
      <w:r w:rsidR="0017428D" w:rsidRPr="001331D9">
        <w:rPr>
          <w:highlight w:val="yellow"/>
          <w:u w:val="double"/>
        </w:rPr>
        <w:t>, 2005).</w:t>
      </w:r>
      <w:r w:rsidR="0017428D">
        <w:t xml:space="preserve"> </w:t>
      </w:r>
      <w:r w:rsidR="00716459" w:rsidRPr="001A68E6">
        <w:t>In add</w:t>
      </w:r>
      <w:r w:rsidR="00380A5C" w:rsidRPr="001A68E6">
        <w:t>i</w:t>
      </w:r>
      <w:r w:rsidR="00716459" w:rsidRPr="001A68E6">
        <w:t>tion</w:t>
      </w:r>
      <w:r w:rsidR="00C63E3B" w:rsidRPr="001A68E6">
        <w:t>, PCR tests that enable</w:t>
      </w:r>
      <w:r w:rsidR="00946E8A" w:rsidRPr="001A68E6">
        <w:t xml:space="preserve"> differentiation </w:t>
      </w:r>
      <w:r w:rsidR="00C63E3B" w:rsidRPr="001A68E6">
        <w:t>of</w:t>
      </w:r>
      <w:r w:rsidR="005935AC" w:rsidRPr="001A68E6">
        <w:t xml:space="preserve"> </w:t>
      </w:r>
      <w:r w:rsidR="00946E8A" w:rsidRPr="001A68E6">
        <w:t>oncogenic and non</w:t>
      </w:r>
      <w:r w:rsidR="00705AF8" w:rsidRPr="001A68E6">
        <w:t>-</w:t>
      </w:r>
      <w:r w:rsidR="00946E8A" w:rsidRPr="001A68E6">
        <w:t>oncogenic strains of serotype 1 MDV, and of MDV vaccine strains of serotypes 2 and 3 (</w:t>
      </w:r>
      <w:r w:rsidR="00A02924" w:rsidRPr="001A68E6">
        <w:t xml:space="preserve">Becker </w:t>
      </w:r>
      <w:r w:rsidR="00A02924" w:rsidRPr="001A68E6">
        <w:rPr>
          <w:i/>
        </w:rPr>
        <w:t>et al.,</w:t>
      </w:r>
      <w:r w:rsidR="00A02924" w:rsidRPr="001A68E6">
        <w:t xml:space="preserve"> 1992;</w:t>
      </w:r>
      <w:r w:rsidR="00946E8A" w:rsidRPr="001A68E6">
        <w:t xml:space="preserve"> </w:t>
      </w:r>
      <w:r w:rsidR="00F001F1" w:rsidRPr="001A68E6">
        <w:t xml:space="preserve">Bumstead </w:t>
      </w:r>
      <w:r w:rsidR="00F001F1" w:rsidRPr="001A68E6">
        <w:rPr>
          <w:i/>
        </w:rPr>
        <w:t>et al.,</w:t>
      </w:r>
      <w:r w:rsidR="00F001F1" w:rsidRPr="001A68E6">
        <w:t xml:space="preserve"> 1997;</w:t>
      </w:r>
      <w:r w:rsidR="00946E8A" w:rsidRPr="001A68E6">
        <w:t xml:space="preserve"> </w:t>
      </w:r>
      <w:r w:rsidR="00463565" w:rsidRPr="006927BC">
        <w:rPr>
          <w:strike/>
        </w:rPr>
        <w:t xml:space="preserve">Handberg </w:t>
      </w:r>
      <w:r w:rsidR="00463565" w:rsidRPr="006927BC">
        <w:rPr>
          <w:i/>
          <w:strike/>
        </w:rPr>
        <w:t>et al.,</w:t>
      </w:r>
      <w:r w:rsidR="00463565" w:rsidRPr="006927BC">
        <w:rPr>
          <w:strike/>
        </w:rPr>
        <w:t xml:space="preserve"> 2001;</w:t>
      </w:r>
      <w:r w:rsidR="00A915FA" w:rsidRPr="006927BC">
        <w:rPr>
          <w:strike/>
        </w:rPr>
        <w:t xml:space="preserve"> </w:t>
      </w:r>
      <w:r w:rsidR="00546E5D" w:rsidRPr="006927BC">
        <w:rPr>
          <w:strike/>
        </w:rPr>
        <w:t xml:space="preserve">Silva, 1992; </w:t>
      </w:r>
      <w:r w:rsidR="00546E5D" w:rsidRPr="001A68E6">
        <w:t xml:space="preserve">Zhu </w:t>
      </w:r>
      <w:r w:rsidR="00546E5D" w:rsidRPr="001A68E6">
        <w:rPr>
          <w:i/>
        </w:rPr>
        <w:t>et al.,</w:t>
      </w:r>
      <w:r w:rsidR="00546E5D" w:rsidRPr="001A68E6">
        <w:t xml:space="preserve"> 1992</w:t>
      </w:r>
      <w:r w:rsidR="00946E8A" w:rsidRPr="001A68E6">
        <w:t>)</w:t>
      </w:r>
      <w:r w:rsidR="00E86F0D" w:rsidRPr="001A68E6">
        <w:t xml:space="preserve"> have been described</w:t>
      </w:r>
      <w:r w:rsidR="00946E8A" w:rsidRPr="001A68E6">
        <w:t xml:space="preserve">. </w:t>
      </w:r>
      <w:r w:rsidR="003B23ED" w:rsidRPr="001A68E6">
        <w:rPr>
          <w:strike/>
        </w:rPr>
        <w:t xml:space="preserve">Two methodologies </w:t>
      </w:r>
      <w:r w:rsidR="003D74EC" w:rsidRPr="001A68E6">
        <w:rPr>
          <w:u w:val="double"/>
        </w:rPr>
        <w:t>Different studies</w:t>
      </w:r>
      <w:r w:rsidR="003D74EC" w:rsidRPr="001A68E6">
        <w:t xml:space="preserve"> </w:t>
      </w:r>
      <w:r w:rsidR="00846E95" w:rsidRPr="001A68E6">
        <w:t xml:space="preserve">have also </w:t>
      </w:r>
      <w:r w:rsidR="00846E95" w:rsidRPr="001A68E6">
        <w:rPr>
          <w:strike/>
        </w:rPr>
        <w:t>been</w:t>
      </w:r>
      <w:r w:rsidR="00846E95" w:rsidRPr="001A68E6">
        <w:t xml:space="preserve"> described </w:t>
      </w:r>
      <w:r w:rsidR="00846E95" w:rsidRPr="001A68E6">
        <w:rPr>
          <w:strike/>
        </w:rPr>
        <w:t xml:space="preserve">for </w:t>
      </w:r>
      <w:r w:rsidRPr="001A68E6">
        <w:rPr>
          <w:u w:val="double"/>
        </w:rPr>
        <w:t>the</w:t>
      </w:r>
      <w:r w:rsidRPr="001A68E6">
        <w:t xml:space="preserve"> </w:t>
      </w:r>
      <w:r w:rsidR="00846E95" w:rsidRPr="001A68E6">
        <w:t xml:space="preserve">differentiation </w:t>
      </w:r>
      <w:r w:rsidR="000F55AC" w:rsidRPr="001A68E6">
        <w:t>of</w:t>
      </w:r>
      <w:r w:rsidR="00846E95" w:rsidRPr="001A68E6">
        <w:t xml:space="preserve"> oncogenic and </w:t>
      </w:r>
      <w:r w:rsidR="003B23ED" w:rsidRPr="001A68E6">
        <w:rPr>
          <w:strike/>
        </w:rPr>
        <w:t xml:space="preserve">non-oncogenic strains of serotype 1 MDV by </w:t>
      </w:r>
      <w:r w:rsidR="003B23ED" w:rsidRPr="001A68E6">
        <w:rPr>
          <w:rFonts w:cstheme="minorHAnsi"/>
          <w:strike/>
        </w:rPr>
        <w:t xml:space="preserve">real-time </w:t>
      </w:r>
      <w:r w:rsidR="003B23ED" w:rsidRPr="001A68E6">
        <w:rPr>
          <w:strike/>
        </w:rPr>
        <w:t xml:space="preserve">PCR </w:t>
      </w:r>
      <w:r w:rsidR="003D74EC" w:rsidRPr="001A68E6">
        <w:rPr>
          <w:u w:val="double"/>
        </w:rPr>
        <w:t>vaccine strain</w:t>
      </w:r>
      <w:r w:rsidR="00E80ED7" w:rsidRPr="001A68E6">
        <w:rPr>
          <w:u w:val="double"/>
        </w:rPr>
        <w:t>s</w:t>
      </w:r>
      <w:r w:rsidR="00846E95" w:rsidRPr="001A68E6">
        <w:t xml:space="preserve"> (</w:t>
      </w:r>
      <w:r w:rsidR="004D1DD5" w:rsidRPr="001A68E6">
        <w:t xml:space="preserve">Baigent </w:t>
      </w:r>
      <w:r w:rsidR="004D1DD5" w:rsidRPr="001A68E6">
        <w:rPr>
          <w:i/>
        </w:rPr>
        <w:t>et al.,</w:t>
      </w:r>
      <w:r w:rsidR="004D1DD5" w:rsidRPr="001A68E6">
        <w:t xml:space="preserve"> 2016; </w:t>
      </w:r>
      <w:r w:rsidR="00846E95" w:rsidRPr="001A68E6">
        <w:t xml:space="preserve">Gimeno </w:t>
      </w:r>
      <w:r w:rsidR="00846E95" w:rsidRPr="001A68E6">
        <w:rPr>
          <w:i/>
        </w:rPr>
        <w:t>et al.</w:t>
      </w:r>
      <w:r w:rsidR="004D1DD5" w:rsidRPr="001A68E6">
        <w:rPr>
          <w:i/>
        </w:rPr>
        <w:t>,</w:t>
      </w:r>
      <w:r w:rsidR="00846E95" w:rsidRPr="001A68E6">
        <w:t xml:space="preserve"> 2014</w:t>
      </w:r>
      <w:r w:rsidR="003D74EC" w:rsidRPr="001A68E6">
        <w:rPr>
          <w:u w:val="double"/>
        </w:rPr>
        <w:t xml:space="preserve">; </w:t>
      </w:r>
      <w:r w:rsidR="00D25BFE" w:rsidRPr="001A68E6">
        <w:rPr>
          <w:u w:val="double"/>
        </w:rPr>
        <w:t xml:space="preserve">Renz </w:t>
      </w:r>
      <w:r w:rsidR="00D25BFE" w:rsidRPr="001A68E6">
        <w:rPr>
          <w:i/>
          <w:iCs/>
          <w:u w:val="double"/>
        </w:rPr>
        <w:t>et al</w:t>
      </w:r>
      <w:r w:rsidR="00D25BFE" w:rsidRPr="001A68E6">
        <w:rPr>
          <w:u w:val="double"/>
        </w:rPr>
        <w:t>., 2006</w:t>
      </w:r>
      <w:r w:rsidR="00846E95" w:rsidRPr="001A68E6">
        <w:rPr>
          <w:u w:val="double"/>
        </w:rPr>
        <w:t xml:space="preserve">) </w:t>
      </w:r>
      <w:r w:rsidR="003D74EC" w:rsidRPr="001A68E6">
        <w:rPr>
          <w:u w:val="double"/>
        </w:rPr>
        <w:t xml:space="preserve">by </w:t>
      </w:r>
      <w:r w:rsidR="003D74EC" w:rsidRPr="001A68E6">
        <w:rPr>
          <w:rFonts w:cstheme="minorHAnsi"/>
          <w:u w:val="double"/>
        </w:rPr>
        <w:t xml:space="preserve">real-time </w:t>
      </w:r>
      <w:r w:rsidR="003D74EC" w:rsidRPr="001A68E6">
        <w:rPr>
          <w:u w:val="double"/>
        </w:rPr>
        <w:t xml:space="preserve">PCR using specific primer and probe sets (Table </w:t>
      </w:r>
      <w:r w:rsidR="00AA3A78" w:rsidRPr="001A68E6">
        <w:rPr>
          <w:u w:val="double"/>
        </w:rPr>
        <w:t>4</w:t>
      </w:r>
      <w:r w:rsidR="003D74EC" w:rsidRPr="001A68E6">
        <w:rPr>
          <w:u w:val="double"/>
        </w:rPr>
        <w:t>)</w:t>
      </w:r>
      <w:r w:rsidR="00D25BFE" w:rsidRPr="001A68E6">
        <w:rPr>
          <w:u w:val="double"/>
        </w:rPr>
        <w:t>.</w:t>
      </w:r>
      <w:r w:rsidR="003D74EC" w:rsidRPr="001A68E6">
        <w:rPr>
          <w:u w:val="double"/>
        </w:rPr>
        <w:t xml:space="preserve"> </w:t>
      </w:r>
      <w:r w:rsidR="00794029" w:rsidRPr="001A68E6">
        <w:rPr>
          <w:u w:val="double"/>
        </w:rPr>
        <w:t xml:space="preserve">Real-time PCR tests to distinguish virulent MDV-1 strains from </w:t>
      </w:r>
      <w:r w:rsidR="008D2321">
        <w:rPr>
          <w:u w:val="double"/>
        </w:rPr>
        <w:t>CVI</w:t>
      </w:r>
      <w:r w:rsidR="008D2321" w:rsidRPr="000561C0">
        <w:rPr>
          <w:highlight w:val="yellow"/>
          <w:u w:val="double"/>
        </w:rPr>
        <w:t>-</w:t>
      </w:r>
      <w:r w:rsidR="008D2321">
        <w:rPr>
          <w:u w:val="double"/>
        </w:rPr>
        <w:t>988</w:t>
      </w:r>
      <w:r w:rsidR="00794029" w:rsidRPr="001A68E6">
        <w:rPr>
          <w:u w:val="double"/>
        </w:rPr>
        <w:t xml:space="preserve">/Rispens vaccine are based on a single nucleotide polymorphism in the pp38 gene. Because of this constraint, there can be low-level cross reactivity </w:t>
      </w:r>
      <w:r w:rsidR="00241CBA" w:rsidRPr="001A68E6">
        <w:rPr>
          <w:u w:val="double"/>
        </w:rPr>
        <w:t xml:space="preserve">between the virulent MDV-specific probe and </w:t>
      </w:r>
      <w:r w:rsidR="008D2321">
        <w:rPr>
          <w:u w:val="double"/>
        </w:rPr>
        <w:t>CVI</w:t>
      </w:r>
      <w:r w:rsidR="008D2321" w:rsidRPr="000561C0">
        <w:rPr>
          <w:highlight w:val="yellow"/>
          <w:u w:val="double"/>
        </w:rPr>
        <w:t>-</w:t>
      </w:r>
      <w:r w:rsidR="008D2321">
        <w:rPr>
          <w:u w:val="double"/>
        </w:rPr>
        <w:t>988</w:t>
      </w:r>
      <w:r w:rsidR="00241CBA" w:rsidRPr="001A68E6">
        <w:rPr>
          <w:u w:val="double"/>
        </w:rPr>
        <w:t xml:space="preserve"> DNA</w:t>
      </w:r>
      <w:r w:rsidR="00794029" w:rsidRPr="001A68E6">
        <w:rPr>
          <w:u w:val="double"/>
        </w:rPr>
        <w:t>.</w:t>
      </w:r>
      <w:r w:rsidR="00241CBA" w:rsidRPr="001A68E6">
        <w:rPr>
          <w:u w:val="double"/>
        </w:rPr>
        <w:t xml:space="preserve"> This can be overcome by inclusion of </w:t>
      </w:r>
      <w:r w:rsidR="008D2321">
        <w:rPr>
          <w:u w:val="double"/>
        </w:rPr>
        <w:t>CVI</w:t>
      </w:r>
      <w:r w:rsidR="008D2321" w:rsidRPr="000561C0">
        <w:rPr>
          <w:highlight w:val="yellow"/>
          <w:u w:val="double"/>
        </w:rPr>
        <w:t>-</w:t>
      </w:r>
      <w:r w:rsidR="008D2321">
        <w:rPr>
          <w:u w:val="double"/>
        </w:rPr>
        <w:t>988</w:t>
      </w:r>
      <w:r w:rsidR="00241CBA" w:rsidRPr="001A68E6">
        <w:rPr>
          <w:u w:val="double"/>
        </w:rPr>
        <w:t xml:space="preserve"> DNA as a negative control in the PCR</w:t>
      </w:r>
      <w:r w:rsidRPr="001A68E6">
        <w:rPr>
          <w:u w:val="double"/>
        </w:rPr>
        <w:t xml:space="preserve">: </w:t>
      </w:r>
      <w:r w:rsidR="00556B1C" w:rsidRPr="001A68E6">
        <w:rPr>
          <w:u w:val="double"/>
        </w:rPr>
        <w:t xml:space="preserve">in this case </w:t>
      </w:r>
      <w:r w:rsidR="00241CBA" w:rsidRPr="001A68E6">
        <w:rPr>
          <w:u w:val="double"/>
        </w:rPr>
        <w:t xml:space="preserve">the reaction threshold must be set above the amplification signal of this </w:t>
      </w:r>
      <w:r w:rsidR="008D2321">
        <w:rPr>
          <w:u w:val="double"/>
        </w:rPr>
        <w:t>CVI</w:t>
      </w:r>
      <w:r w:rsidR="008D2321" w:rsidRPr="000561C0">
        <w:rPr>
          <w:highlight w:val="yellow"/>
          <w:u w:val="double"/>
        </w:rPr>
        <w:t>-</w:t>
      </w:r>
      <w:r w:rsidR="008D2321">
        <w:rPr>
          <w:u w:val="double"/>
        </w:rPr>
        <w:t>988</w:t>
      </w:r>
      <w:r w:rsidR="00241CBA" w:rsidRPr="001A68E6">
        <w:rPr>
          <w:u w:val="double"/>
        </w:rPr>
        <w:t xml:space="preserve"> negative control. Consideration must also be given </w:t>
      </w:r>
      <w:r w:rsidRPr="001A68E6">
        <w:rPr>
          <w:u w:val="double"/>
        </w:rPr>
        <w:t>to</w:t>
      </w:r>
      <w:r w:rsidR="00241CBA" w:rsidRPr="001A68E6">
        <w:rPr>
          <w:u w:val="double"/>
        </w:rPr>
        <w:t xml:space="preserve"> the possibility of </w:t>
      </w:r>
      <w:r w:rsidR="00556B1C" w:rsidRPr="001A68E6">
        <w:rPr>
          <w:u w:val="double"/>
        </w:rPr>
        <w:t xml:space="preserve">the </w:t>
      </w:r>
      <w:r w:rsidR="00241CBA" w:rsidRPr="001A68E6">
        <w:rPr>
          <w:u w:val="double"/>
        </w:rPr>
        <w:t xml:space="preserve">emergence of virulent MDV strains with </w:t>
      </w:r>
      <w:r w:rsidRPr="001A68E6">
        <w:rPr>
          <w:u w:val="double"/>
        </w:rPr>
        <w:t xml:space="preserve">a </w:t>
      </w:r>
      <w:r w:rsidR="00241CBA" w:rsidRPr="001A68E6">
        <w:rPr>
          <w:u w:val="double"/>
        </w:rPr>
        <w:t>similar mutation</w:t>
      </w:r>
      <w:r w:rsidR="00556B1C" w:rsidRPr="001A68E6">
        <w:rPr>
          <w:u w:val="double"/>
        </w:rPr>
        <w:t xml:space="preserve"> but on</w:t>
      </w:r>
      <w:r w:rsidR="00262934">
        <w:rPr>
          <w:u w:val="double"/>
        </w:rPr>
        <w:t>e</w:t>
      </w:r>
      <w:r w:rsidRPr="001A68E6">
        <w:rPr>
          <w:u w:val="double"/>
        </w:rPr>
        <w:t xml:space="preserve"> that</w:t>
      </w:r>
      <w:r w:rsidR="00241CBA" w:rsidRPr="001A68E6">
        <w:rPr>
          <w:u w:val="double"/>
        </w:rPr>
        <w:t xml:space="preserve"> cannot be </w:t>
      </w:r>
      <w:r w:rsidR="003577E0" w:rsidRPr="001A68E6">
        <w:rPr>
          <w:u w:val="double"/>
        </w:rPr>
        <w:t xml:space="preserve">distinguished from </w:t>
      </w:r>
      <w:r w:rsidR="008D2321" w:rsidRPr="00FB680C">
        <w:rPr>
          <w:u w:val="double"/>
        </w:rPr>
        <w:t>CVI</w:t>
      </w:r>
      <w:r w:rsidR="008D2321" w:rsidRPr="00FB680C">
        <w:rPr>
          <w:highlight w:val="yellow"/>
          <w:u w:val="double"/>
        </w:rPr>
        <w:t>-</w:t>
      </w:r>
      <w:r w:rsidR="008D2321" w:rsidRPr="00FB680C">
        <w:rPr>
          <w:u w:val="double"/>
        </w:rPr>
        <w:t>988</w:t>
      </w:r>
      <w:r w:rsidR="006E1743">
        <w:rPr>
          <w:u w:val="double"/>
        </w:rPr>
        <w:t>.</w:t>
      </w:r>
      <w:r w:rsidR="003577E0" w:rsidRPr="00FB680C">
        <w:rPr>
          <w:u w:val="double"/>
        </w:rPr>
        <w:t xml:space="preserve"> </w:t>
      </w:r>
      <w:r w:rsidR="0088291F" w:rsidRPr="00FB680C">
        <w:rPr>
          <w:highlight w:val="yellow"/>
          <w:u w:val="double"/>
        </w:rPr>
        <w:t xml:space="preserve">For </w:t>
      </w:r>
      <w:r w:rsidR="0088291F" w:rsidRPr="004133B5">
        <w:rPr>
          <w:highlight w:val="yellow"/>
          <w:u w:val="double"/>
        </w:rPr>
        <w:t>the emerging MDV gene</w:t>
      </w:r>
      <w:r w:rsidR="006E1743">
        <w:rPr>
          <w:highlight w:val="yellow"/>
          <w:u w:val="double"/>
        </w:rPr>
        <w:t>-</w:t>
      </w:r>
      <w:r w:rsidR="0088291F" w:rsidRPr="004133B5">
        <w:rPr>
          <w:highlight w:val="yellow"/>
          <w:u w:val="double"/>
        </w:rPr>
        <w:t>delet</w:t>
      </w:r>
      <w:r w:rsidR="000B54FA" w:rsidRPr="004133B5">
        <w:rPr>
          <w:highlight w:val="yellow"/>
          <w:u w:val="double"/>
        </w:rPr>
        <w:t>ed</w:t>
      </w:r>
      <w:r w:rsidR="0088291F" w:rsidRPr="004133B5">
        <w:rPr>
          <w:highlight w:val="yellow"/>
          <w:u w:val="double"/>
        </w:rPr>
        <w:t xml:space="preserve"> vaccines</w:t>
      </w:r>
      <w:r w:rsidR="002E01B1">
        <w:rPr>
          <w:highlight w:val="yellow"/>
          <w:u w:val="double"/>
        </w:rPr>
        <w:t xml:space="preserve"> </w:t>
      </w:r>
      <w:r w:rsidR="002E01B1" w:rsidRPr="00FB680C">
        <w:rPr>
          <w:highlight w:val="yellow"/>
          <w:u w:val="double"/>
        </w:rPr>
        <w:t xml:space="preserve">(Zhang </w:t>
      </w:r>
      <w:r w:rsidR="002E01B1" w:rsidRPr="00FB680C">
        <w:rPr>
          <w:i/>
          <w:iCs/>
          <w:highlight w:val="yellow"/>
          <w:u w:val="double"/>
        </w:rPr>
        <w:t>et al.,</w:t>
      </w:r>
      <w:r w:rsidR="002E01B1" w:rsidRPr="00FB680C">
        <w:rPr>
          <w:highlight w:val="yellow"/>
          <w:u w:val="double"/>
        </w:rPr>
        <w:t xml:space="preserve"> 2017)</w:t>
      </w:r>
      <w:r w:rsidR="006E1743">
        <w:rPr>
          <w:highlight w:val="yellow"/>
          <w:u w:val="double"/>
        </w:rPr>
        <w:t>, t</w:t>
      </w:r>
      <w:r w:rsidR="0088291F" w:rsidRPr="004133B5">
        <w:rPr>
          <w:highlight w:val="yellow"/>
          <w:u w:val="double"/>
        </w:rPr>
        <w:t>he tumorigenic strain</w:t>
      </w:r>
      <w:r w:rsidR="00B26783" w:rsidRPr="004133B5">
        <w:rPr>
          <w:highlight w:val="yellow"/>
          <w:u w:val="double"/>
        </w:rPr>
        <w:t xml:space="preserve"> can be differentiated</w:t>
      </w:r>
      <w:r w:rsidR="0088291F" w:rsidRPr="004133B5">
        <w:rPr>
          <w:highlight w:val="yellow"/>
          <w:u w:val="double"/>
        </w:rPr>
        <w:t xml:space="preserve"> from the vaccine strain by PCR </w:t>
      </w:r>
      <w:r w:rsidR="00CA25A9" w:rsidRPr="004133B5">
        <w:rPr>
          <w:highlight w:val="yellow"/>
          <w:u w:val="double"/>
        </w:rPr>
        <w:t>for</w:t>
      </w:r>
      <w:r w:rsidR="0088291F" w:rsidRPr="004133B5">
        <w:rPr>
          <w:highlight w:val="yellow"/>
          <w:u w:val="double"/>
        </w:rPr>
        <w:t xml:space="preserve"> the specific gene deletion fragment.</w:t>
      </w:r>
      <w:r w:rsidR="000561C0" w:rsidRPr="004133B5">
        <w:rPr>
          <w:i/>
          <w:iCs/>
        </w:rPr>
        <w:t xml:space="preserve"> </w:t>
      </w:r>
      <w:r w:rsidR="00946E8A" w:rsidRPr="004133B5">
        <w:t>PCR may also be used to quantitate virus load in tissues (</w:t>
      </w:r>
      <w:r w:rsidR="00A02924" w:rsidRPr="004133B5">
        <w:t xml:space="preserve">Baigent </w:t>
      </w:r>
      <w:r w:rsidR="00A02924" w:rsidRPr="004133B5">
        <w:rPr>
          <w:i/>
        </w:rPr>
        <w:t>et al.,</w:t>
      </w:r>
      <w:r w:rsidR="00A02924" w:rsidRPr="004133B5">
        <w:t xml:space="preserve"> 2005;</w:t>
      </w:r>
      <w:r w:rsidR="00A915FA" w:rsidRPr="004133B5">
        <w:t xml:space="preserve"> </w:t>
      </w:r>
      <w:r w:rsidR="00F001F1" w:rsidRPr="004133B5">
        <w:t xml:space="preserve">Bumstead </w:t>
      </w:r>
      <w:r w:rsidR="00F001F1" w:rsidRPr="004133B5">
        <w:rPr>
          <w:i/>
        </w:rPr>
        <w:t>et al.,</w:t>
      </w:r>
      <w:r w:rsidR="00F001F1" w:rsidRPr="004133B5">
        <w:t xml:space="preserve"> 1997;</w:t>
      </w:r>
      <w:r w:rsidR="00946E8A" w:rsidRPr="004133B5">
        <w:t xml:space="preserve"> </w:t>
      </w:r>
      <w:r w:rsidR="00F001F1" w:rsidRPr="004133B5">
        <w:t>Burgess &amp; Davison, 1999</w:t>
      </w:r>
      <w:r w:rsidR="00F001F1" w:rsidRPr="004133B5">
        <w:rPr>
          <w:strike/>
        </w:rPr>
        <w:t xml:space="preserve">; </w:t>
      </w:r>
      <w:r w:rsidR="00C9275D" w:rsidRPr="004133B5">
        <w:rPr>
          <w:strike/>
        </w:rPr>
        <w:t xml:space="preserve">Reddy </w:t>
      </w:r>
      <w:r w:rsidR="00C9275D" w:rsidRPr="004133B5">
        <w:rPr>
          <w:i/>
          <w:strike/>
        </w:rPr>
        <w:t>et al.</w:t>
      </w:r>
      <w:r w:rsidR="00C9275D" w:rsidRPr="004133B5">
        <w:rPr>
          <w:strike/>
        </w:rPr>
        <w:t>, 2000</w:t>
      </w:r>
      <w:r w:rsidR="00946E8A" w:rsidRPr="004133B5">
        <w:t>) or differentially detect MDV and HVT in the blood or feather tips (</w:t>
      </w:r>
      <w:r w:rsidR="00A02924" w:rsidRPr="004133B5">
        <w:t xml:space="preserve">Baigent </w:t>
      </w:r>
      <w:r w:rsidR="00A02924" w:rsidRPr="004133B5">
        <w:rPr>
          <w:i/>
        </w:rPr>
        <w:t>et al.,</w:t>
      </w:r>
      <w:r w:rsidR="00A02924" w:rsidRPr="004133B5">
        <w:t xml:space="preserve"> 2005;</w:t>
      </w:r>
      <w:r w:rsidR="00E86F0D" w:rsidRPr="004133B5">
        <w:t xml:space="preserve"> </w:t>
      </w:r>
      <w:r w:rsidR="00463565" w:rsidRPr="004133B5">
        <w:t>Davidson &amp; Borenshtain, 2002</w:t>
      </w:r>
      <w:r w:rsidR="00946E8A" w:rsidRPr="004133B5">
        <w:t>).</w:t>
      </w:r>
      <w:r w:rsidR="00FA2442" w:rsidRPr="004133B5">
        <w:t xml:space="preserve"> </w:t>
      </w:r>
      <w:r w:rsidR="000F55AC" w:rsidRPr="004133B5">
        <w:t>A m</w:t>
      </w:r>
      <w:r w:rsidR="00434479" w:rsidRPr="004133B5">
        <w:t>odification of the PCR test, designated LAMP (loop-mediated isothermal amplification), has also been used</w:t>
      </w:r>
      <w:r w:rsidR="008E5762" w:rsidRPr="004133B5">
        <w:t xml:space="preserve"> for the detection and differentiation of MDV serotypes (Wozniakowski </w:t>
      </w:r>
      <w:r w:rsidR="008E5762" w:rsidRPr="004133B5">
        <w:rPr>
          <w:i/>
        </w:rPr>
        <w:t>et al</w:t>
      </w:r>
      <w:r w:rsidR="004D1DD5" w:rsidRPr="004133B5">
        <w:t>.,</w:t>
      </w:r>
      <w:r w:rsidR="008E5762" w:rsidRPr="004133B5">
        <w:t xml:space="preserve"> 2013)</w:t>
      </w:r>
      <w:r w:rsidR="00B75634" w:rsidRPr="004133B5">
        <w:t xml:space="preserve">. </w:t>
      </w:r>
    </w:p>
    <w:p w14:paraId="51CDC576" w14:textId="0C1097D5" w:rsidR="000A2D9D" w:rsidRPr="001A68E6" w:rsidRDefault="000A2D9D" w:rsidP="001F246B">
      <w:pPr>
        <w:pStyle w:val="Tabletitle"/>
      </w:pPr>
      <w:r w:rsidRPr="001A68E6">
        <w:t xml:space="preserve">Table 3. </w:t>
      </w:r>
      <w:r w:rsidRPr="00262934">
        <w:rPr>
          <w:b w:val="0"/>
          <w:bCs w:val="0"/>
        </w:rPr>
        <w:t xml:space="preserve">Example </w:t>
      </w:r>
      <w:r w:rsidR="00FD5747" w:rsidRPr="00262934">
        <w:rPr>
          <w:b w:val="0"/>
          <w:bCs w:val="0"/>
        </w:rPr>
        <w:t xml:space="preserve">PCR </w:t>
      </w:r>
      <w:r w:rsidRPr="00262934">
        <w:rPr>
          <w:b w:val="0"/>
          <w:bCs w:val="0"/>
        </w:rPr>
        <w:t>primer sets used for identification of MDV</w:t>
      </w:r>
    </w:p>
    <w:tbl>
      <w:tblPr>
        <w:tblW w:w="8558" w:type="dxa"/>
        <w:tblInd w:w="567" w:type="dxa"/>
        <w:tblLayout w:type="fixed"/>
        <w:tblCellMar>
          <w:left w:w="120" w:type="dxa"/>
          <w:right w:w="120" w:type="dxa"/>
        </w:tblCellMar>
        <w:tblLook w:val="0000" w:firstRow="0" w:lastRow="0" w:firstColumn="0" w:lastColumn="0" w:noHBand="0" w:noVBand="0"/>
      </w:tblPr>
      <w:tblGrid>
        <w:gridCol w:w="1701"/>
        <w:gridCol w:w="3635"/>
        <w:gridCol w:w="1396"/>
        <w:gridCol w:w="1826"/>
      </w:tblGrid>
      <w:tr w:rsidR="00BF555A" w:rsidRPr="00262934" w14:paraId="4D5B57CF" w14:textId="77777777" w:rsidTr="00262934">
        <w:trPr>
          <w:cantSplit/>
          <w:tblHeader/>
        </w:trPr>
        <w:tc>
          <w:tcPr>
            <w:tcW w:w="1701" w:type="dxa"/>
            <w:tcBorders>
              <w:top w:val="single" w:sz="6" w:space="0" w:color="auto"/>
              <w:bottom w:val="single" w:sz="6" w:space="0" w:color="auto"/>
            </w:tcBorders>
          </w:tcPr>
          <w:p w14:paraId="68A44E2F" w14:textId="05D95E09" w:rsidR="000A2D9D" w:rsidRPr="00262934" w:rsidRDefault="000A2D9D" w:rsidP="000A2D9D">
            <w:pPr>
              <w:spacing w:before="120" w:after="120" w:line="240" w:lineRule="auto"/>
              <w:jc w:val="left"/>
              <w:rPr>
                <w:rFonts w:ascii="Söhne Kräftig" w:hAnsi="Söhne Kräftig"/>
                <w:bCs/>
              </w:rPr>
            </w:pPr>
            <w:r w:rsidRPr="00262934">
              <w:rPr>
                <w:rFonts w:ascii="Söhne Kräftig" w:hAnsi="Söhne Kräftig"/>
                <w:bCs/>
              </w:rPr>
              <w:t>MDV specificity</w:t>
            </w:r>
          </w:p>
        </w:tc>
        <w:tc>
          <w:tcPr>
            <w:tcW w:w="3635" w:type="dxa"/>
            <w:tcBorders>
              <w:top w:val="single" w:sz="6" w:space="0" w:color="auto"/>
              <w:bottom w:val="single" w:sz="6" w:space="0" w:color="auto"/>
            </w:tcBorders>
          </w:tcPr>
          <w:p w14:paraId="02584C27" w14:textId="6789DA9F" w:rsidR="000A2D9D" w:rsidRPr="00262934" w:rsidRDefault="00BF555A" w:rsidP="000A2D9D">
            <w:pPr>
              <w:spacing w:before="120" w:after="120" w:line="240" w:lineRule="auto"/>
              <w:jc w:val="left"/>
              <w:rPr>
                <w:rFonts w:ascii="Söhne Kräftig" w:hAnsi="Söhne Kräftig"/>
                <w:bCs/>
              </w:rPr>
            </w:pPr>
            <w:r w:rsidRPr="00262934">
              <w:rPr>
                <w:rFonts w:ascii="Söhne Kräftig" w:hAnsi="Söhne Kräftig"/>
                <w:bCs/>
              </w:rPr>
              <w:t>P</w:t>
            </w:r>
            <w:r w:rsidR="000A2D9D" w:rsidRPr="00262934">
              <w:rPr>
                <w:rFonts w:ascii="Söhne Kräftig" w:hAnsi="Söhne Kräftig"/>
                <w:bCs/>
              </w:rPr>
              <w:t>rimer</w:t>
            </w:r>
            <w:r w:rsidRPr="00262934">
              <w:rPr>
                <w:rFonts w:ascii="Söhne Kräftig" w:hAnsi="Söhne Kräftig"/>
                <w:bCs/>
              </w:rPr>
              <w:t xml:space="preserve"> set</w:t>
            </w:r>
            <w:r w:rsidR="00631EB4" w:rsidRPr="00262934">
              <w:rPr>
                <w:rFonts w:ascii="Söhne Kräftig" w:hAnsi="Söhne Kräftig"/>
                <w:bCs/>
              </w:rPr>
              <w:t xml:space="preserve"> </w:t>
            </w:r>
            <w:bookmarkStart w:id="6" w:name="_Hlk101969163"/>
            <w:r w:rsidR="00631EB4" w:rsidRPr="00262934">
              <w:rPr>
                <w:rFonts w:ascii="Söhne Kräftig" w:hAnsi="Söhne Kräftig"/>
                <w:bCs/>
              </w:rPr>
              <w:t>(5’</w:t>
            </w:r>
            <w:r w:rsidR="00413C72" w:rsidRPr="00262934">
              <w:rPr>
                <w:rFonts w:ascii="Söhne Kräftig" w:hAnsi="Söhne Kräftig"/>
                <w:bCs/>
              </w:rPr>
              <w:t xml:space="preserve"> </w:t>
            </w:r>
            <w:r w:rsidR="00413C72" w:rsidRPr="00262934">
              <w:rPr>
                <w:rFonts w:ascii="Söhne Kräftig" w:hAnsi="Söhne Kräftig"/>
                <w:lang w:eastAsia="en-GB"/>
              </w:rPr>
              <w:t>→</w:t>
            </w:r>
            <w:r w:rsidR="00413C72" w:rsidRPr="00262934">
              <w:rPr>
                <w:rFonts w:ascii="Söhne Kräftig" w:eastAsia="Calibri" w:hAnsi="Söhne Kräftig"/>
                <w:b/>
                <w:bCs/>
                <w:kern w:val="24"/>
                <w:lang w:eastAsia="en-GB"/>
              </w:rPr>
              <w:t xml:space="preserve"> </w:t>
            </w:r>
            <w:r w:rsidR="00631EB4" w:rsidRPr="00262934">
              <w:rPr>
                <w:rFonts w:ascii="Söhne Kräftig" w:hAnsi="Söhne Kräftig"/>
                <w:bCs/>
              </w:rPr>
              <w:t>3’)</w:t>
            </w:r>
            <w:bookmarkEnd w:id="6"/>
          </w:p>
        </w:tc>
        <w:tc>
          <w:tcPr>
            <w:tcW w:w="1396" w:type="dxa"/>
            <w:tcBorders>
              <w:top w:val="single" w:sz="6" w:space="0" w:color="auto"/>
              <w:bottom w:val="single" w:sz="6" w:space="0" w:color="auto"/>
            </w:tcBorders>
          </w:tcPr>
          <w:p w14:paraId="106E16F0" w14:textId="73CB7FC5" w:rsidR="000A2D9D" w:rsidRPr="00262934" w:rsidRDefault="000A2D9D" w:rsidP="000A2D9D">
            <w:pPr>
              <w:spacing w:before="120" w:after="120" w:line="240" w:lineRule="auto"/>
              <w:jc w:val="left"/>
              <w:rPr>
                <w:rFonts w:ascii="Söhne Kräftig" w:hAnsi="Söhne Kräftig"/>
                <w:bCs/>
              </w:rPr>
            </w:pPr>
            <w:r w:rsidRPr="00262934">
              <w:rPr>
                <w:rFonts w:ascii="Söhne Kräftig" w:hAnsi="Söhne Kräftig"/>
                <w:bCs/>
              </w:rPr>
              <w:t>Product size</w:t>
            </w:r>
          </w:p>
        </w:tc>
        <w:tc>
          <w:tcPr>
            <w:tcW w:w="1826" w:type="dxa"/>
            <w:tcBorders>
              <w:top w:val="single" w:sz="6" w:space="0" w:color="auto"/>
              <w:bottom w:val="single" w:sz="6" w:space="0" w:color="auto"/>
            </w:tcBorders>
          </w:tcPr>
          <w:p w14:paraId="6A72B374" w14:textId="01745341" w:rsidR="000A2D9D" w:rsidRPr="00262934" w:rsidRDefault="000A2D9D" w:rsidP="000A2D9D">
            <w:pPr>
              <w:spacing w:before="120" w:after="120" w:line="240" w:lineRule="auto"/>
              <w:jc w:val="left"/>
              <w:rPr>
                <w:rFonts w:ascii="Söhne Kräftig" w:hAnsi="Söhne Kräftig"/>
                <w:bCs/>
              </w:rPr>
            </w:pPr>
            <w:r w:rsidRPr="00262934">
              <w:rPr>
                <w:rFonts w:ascii="Söhne Kräftig" w:hAnsi="Söhne Kräftig"/>
                <w:bCs/>
              </w:rPr>
              <w:t>Reference</w:t>
            </w:r>
          </w:p>
        </w:tc>
      </w:tr>
      <w:tr w:rsidR="00BF555A" w:rsidRPr="001A68E6" w14:paraId="60AFF35D" w14:textId="77777777" w:rsidTr="00262934">
        <w:tblPrEx>
          <w:tblCellMar>
            <w:left w:w="70" w:type="dxa"/>
            <w:right w:w="70" w:type="dxa"/>
          </w:tblCellMar>
        </w:tblPrEx>
        <w:trPr>
          <w:cantSplit/>
        </w:trPr>
        <w:tc>
          <w:tcPr>
            <w:tcW w:w="1701" w:type="dxa"/>
            <w:tcBorders>
              <w:top w:val="single" w:sz="6" w:space="0" w:color="auto"/>
              <w:bottom w:val="single" w:sz="4" w:space="0" w:color="auto"/>
            </w:tcBorders>
          </w:tcPr>
          <w:p w14:paraId="444484E7" w14:textId="1E601ECA" w:rsidR="000A2D9D" w:rsidRPr="001A68E6" w:rsidRDefault="000A2D9D" w:rsidP="00AA3A78">
            <w:pPr>
              <w:pStyle w:val="para1"/>
              <w:spacing w:before="100" w:after="100"/>
              <w:jc w:val="left"/>
              <w:rPr>
                <w:sz w:val="16"/>
                <w:szCs w:val="16"/>
              </w:rPr>
            </w:pPr>
            <w:r w:rsidRPr="001A68E6">
              <w:rPr>
                <w:sz w:val="16"/>
                <w:szCs w:val="16"/>
              </w:rPr>
              <w:t>pp38</w:t>
            </w:r>
          </w:p>
        </w:tc>
        <w:tc>
          <w:tcPr>
            <w:tcW w:w="3635" w:type="dxa"/>
            <w:tcBorders>
              <w:top w:val="single" w:sz="6" w:space="0" w:color="auto"/>
              <w:bottom w:val="single" w:sz="4" w:space="0" w:color="auto"/>
            </w:tcBorders>
          </w:tcPr>
          <w:p w14:paraId="13AB708E" w14:textId="23908A9B" w:rsidR="000A2D9D" w:rsidRPr="001A68E6" w:rsidRDefault="00BF555A" w:rsidP="00262934">
            <w:pPr>
              <w:pStyle w:val="para1"/>
              <w:spacing w:before="100" w:after="100"/>
              <w:jc w:val="left"/>
              <w:rPr>
                <w:sz w:val="16"/>
                <w:szCs w:val="16"/>
              </w:rPr>
            </w:pPr>
            <w:r w:rsidRPr="001A68E6">
              <w:rPr>
                <w:color w:val="000000"/>
                <w:sz w:val="16"/>
                <w:szCs w:val="16"/>
              </w:rPr>
              <w:t xml:space="preserve">Fwd: </w:t>
            </w:r>
            <w:r w:rsidR="00DD35E2" w:rsidRPr="001A68E6">
              <w:rPr>
                <w:color w:val="000000"/>
                <w:sz w:val="16"/>
                <w:szCs w:val="16"/>
              </w:rPr>
              <w:t>GTG</w:t>
            </w:r>
            <w:r w:rsidR="00A04843" w:rsidRPr="001A68E6">
              <w:rPr>
                <w:color w:val="000000"/>
                <w:sz w:val="16"/>
                <w:szCs w:val="16"/>
              </w:rPr>
              <w:t>-</w:t>
            </w:r>
            <w:r w:rsidR="00DD35E2" w:rsidRPr="001A68E6">
              <w:rPr>
                <w:color w:val="000000"/>
                <w:sz w:val="16"/>
                <w:szCs w:val="16"/>
              </w:rPr>
              <w:t>ATG</w:t>
            </w:r>
            <w:r w:rsidR="00A04843" w:rsidRPr="001A68E6">
              <w:rPr>
                <w:color w:val="000000"/>
                <w:sz w:val="16"/>
                <w:szCs w:val="16"/>
              </w:rPr>
              <w:t>-</w:t>
            </w:r>
            <w:r w:rsidR="00DD35E2" w:rsidRPr="001A68E6">
              <w:rPr>
                <w:color w:val="000000"/>
                <w:sz w:val="16"/>
                <w:szCs w:val="16"/>
              </w:rPr>
              <w:t>GGA</w:t>
            </w:r>
            <w:r w:rsidR="00A04843" w:rsidRPr="001A68E6">
              <w:rPr>
                <w:color w:val="000000"/>
                <w:sz w:val="16"/>
                <w:szCs w:val="16"/>
              </w:rPr>
              <w:t>-</w:t>
            </w:r>
            <w:r w:rsidR="00DD35E2" w:rsidRPr="001A68E6">
              <w:rPr>
                <w:color w:val="000000"/>
                <w:sz w:val="16"/>
                <w:szCs w:val="16"/>
              </w:rPr>
              <w:t>AGG</w:t>
            </w:r>
            <w:r w:rsidR="00A04843" w:rsidRPr="001A68E6">
              <w:rPr>
                <w:color w:val="000000"/>
                <w:sz w:val="16"/>
                <w:szCs w:val="16"/>
              </w:rPr>
              <w:t>-</w:t>
            </w:r>
            <w:r w:rsidR="00DD35E2" w:rsidRPr="001A68E6">
              <w:rPr>
                <w:color w:val="000000"/>
                <w:sz w:val="16"/>
                <w:szCs w:val="16"/>
              </w:rPr>
              <w:t>CGA</w:t>
            </w:r>
            <w:r w:rsidR="00A04843" w:rsidRPr="001A68E6">
              <w:rPr>
                <w:color w:val="000000"/>
                <w:sz w:val="16"/>
                <w:szCs w:val="16"/>
              </w:rPr>
              <w:t>-</w:t>
            </w:r>
            <w:r w:rsidR="00DD35E2" w:rsidRPr="001A68E6">
              <w:rPr>
                <w:color w:val="000000"/>
                <w:sz w:val="16"/>
                <w:szCs w:val="16"/>
              </w:rPr>
              <w:t>TAG</w:t>
            </w:r>
            <w:r w:rsidR="00A04843" w:rsidRPr="001A68E6">
              <w:rPr>
                <w:color w:val="000000"/>
                <w:sz w:val="16"/>
                <w:szCs w:val="16"/>
              </w:rPr>
              <w:t>-</w:t>
            </w:r>
            <w:r w:rsidR="00DD35E2" w:rsidRPr="001A68E6">
              <w:rPr>
                <w:color w:val="000000"/>
                <w:sz w:val="16"/>
                <w:szCs w:val="16"/>
              </w:rPr>
              <w:t>AA</w:t>
            </w:r>
            <w:r w:rsidR="00262934">
              <w:rPr>
                <w:color w:val="000000"/>
                <w:sz w:val="16"/>
                <w:szCs w:val="16"/>
              </w:rPr>
              <w:br/>
            </w:r>
            <w:r w:rsidRPr="001A68E6">
              <w:rPr>
                <w:color w:val="000000"/>
                <w:sz w:val="16"/>
                <w:szCs w:val="16"/>
              </w:rPr>
              <w:t xml:space="preserve">Rev: </w:t>
            </w:r>
            <w:r w:rsidR="000A2D9D" w:rsidRPr="001A68E6">
              <w:rPr>
                <w:color w:val="000000"/>
                <w:sz w:val="16"/>
                <w:szCs w:val="16"/>
              </w:rPr>
              <w:t>TCC</w:t>
            </w:r>
            <w:r w:rsidR="00A04843" w:rsidRPr="001A68E6">
              <w:rPr>
                <w:color w:val="000000"/>
                <w:sz w:val="16"/>
                <w:szCs w:val="16"/>
              </w:rPr>
              <w:t>-</w:t>
            </w:r>
            <w:r w:rsidR="000A2D9D" w:rsidRPr="001A68E6">
              <w:rPr>
                <w:color w:val="000000"/>
                <w:sz w:val="16"/>
                <w:szCs w:val="16"/>
              </w:rPr>
              <w:t>GCA</w:t>
            </w:r>
            <w:r w:rsidR="00A04843" w:rsidRPr="001A68E6">
              <w:rPr>
                <w:color w:val="000000"/>
                <w:sz w:val="16"/>
                <w:szCs w:val="16"/>
              </w:rPr>
              <w:t>-</w:t>
            </w:r>
            <w:r w:rsidR="000A2D9D" w:rsidRPr="001A68E6">
              <w:rPr>
                <w:color w:val="000000"/>
                <w:sz w:val="16"/>
                <w:szCs w:val="16"/>
              </w:rPr>
              <w:t>TAT</w:t>
            </w:r>
            <w:r w:rsidR="00A04843" w:rsidRPr="001A68E6">
              <w:rPr>
                <w:color w:val="000000"/>
                <w:sz w:val="16"/>
                <w:szCs w:val="16"/>
              </w:rPr>
              <w:t>-</w:t>
            </w:r>
            <w:r w:rsidR="000A2D9D" w:rsidRPr="001A68E6">
              <w:rPr>
                <w:color w:val="000000"/>
                <w:sz w:val="16"/>
                <w:szCs w:val="16"/>
              </w:rPr>
              <w:t>GTT</w:t>
            </w:r>
            <w:r w:rsidR="00A04843" w:rsidRPr="001A68E6">
              <w:rPr>
                <w:color w:val="000000"/>
                <w:sz w:val="16"/>
                <w:szCs w:val="16"/>
              </w:rPr>
              <w:t>-</w:t>
            </w:r>
            <w:r w:rsidR="000A2D9D" w:rsidRPr="001A68E6">
              <w:rPr>
                <w:color w:val="000000"/>
                <w:sz w:val="16"/>
                <w:szCs w:val="16"/>
              </w:rPr>
              <w:t>CCT</w:t>
            </w:r>
            <w:r w:rsidR="00A04843" w:rsidRPr="001A68E6">
              <w:rPr>
                <w:color w:val="000000"/>
                <w:sz w:val="16"/>
                <w:szCs w:val="16"/>
              </w:rPr>
              <w:t>-</w:t>
            </w:r>
            <w:r w:rsidR="000A2D9D" w:rsidRPr="001A68E6">
              <w:rPr>
                <w:color w:val="000000"/>
                <w:sz w:val="16"/>
                <w:szCs w:val="16"/>
              </w:rPr>
              <w:t>CCT</w:t>
            </w:r>
            <w:r w:rsidR="00A04843" w:rsidRPr="001A68E6">
              <w:rPr>
                <w:color w:val="000000"/>
                <w:sz w:val="16"/>
                <w:szCs w:val="16"/>
              </w:rPr>
              <w:t>-</w:t>
            </w:r>
            <w:r w:rsidR="000A2D9D" w:rsidRPr="001A68E6">
              <w:rPr>
                <w:color w:val="000000"/>
                <w:sz w:val="16"/>
                <w:szCs w:val="16"/>
              </w:rPr>
              <w:t>TC</w:t>
            </w:r>
          </w:p>
        </w:tc>
        <w:tc>
          <w:tcPr>
            <w:tcW w:w="1396" w:type="dxa"/>
            <w:tcBorders>
              <w:top w:val="single" w:sz="6" w:space="0" w:color="auto"/>
              <w:bottom w:val="single" w:sz="4" w:space="0" w:color="auto"/>
            </w:tcBorders>
          </w:tcPr>
          <w:p w14:paraId="3309BADF" w14:textId="032B8557" w:rsidR="000A2D9D" w:rsidRPr="001A68E6" w:rsidRDefault="00BF555A" w:rsidP="00AA3A78">
            <w:pPr>
              <w:pStyle w:val="para1"/>
              <w:spacing w:before="100" w:after="100"/>
              <w:jc w:val="left"/>
              <w:rPr>
                <w:sz w:val="16"/>
                <w:szCs w:val="16"/>
              </w:rPr>
            </w:pPr>
            <w:r w:rsidRPr="001A68E6">
              <w:rPr>
                <w:color w:val="000000"/>
                <w:sz w:val="16"/>
                <w:szCs w:val="16"/>
              </w:rPr>
              <w:t>225 bp</w:t>
            </w:r>
          </w:p>
        </w:tc>
        <w:tc>
          <w:tcPr>
            <w:tcW w:w="1826" w:type="dxa"/>
            <w:tcBorders>
              <w:top w:val="single" w:sz="6" w:space="0" w:color="auto"/>
              <w:bottom w:val="single" w:sz="4" w:space="0" w:color="auto"/>
            </w:tcBorders>
          </w:tcPr>
          <w:p w14:paraId="1752DB33" w14:textId="709BDA6B" w:rsidR="000A2D9D" w:rsidRPr="001A68E6" w:rsidRDefault="00FD5747" w:rsidP="00AA3A78">
            <w:pPr>
              <w:pStyle w:val="para1"/>
              <w:spacing w:before="100" w:after="100"/>
              <w:jc w:val="left"/>
              <w:rPr>
                <w:sz w:val="16"/>
                <w:szCs w:val="16"/>
              </w:rPr>
            </w:pPr>
            <w:r w:rsidRPr="001A68E6">
              <w:rPr>
                <w:sz w:val="16"/>
                <w:szCs w:val="16"/>
              </w:rPr>
              <w:t>Cao</w:t>
            </w:r>
            <w:r w:rsidR="00BF555A" w:rsidRPr="001A68E6">
              <w:rPr>
                <w:sz w:val="16"/>
                <w:szCs w:val="16"/>
              </w:rPr>
              <w:t xml:space="preserve"> </w:t>
            </w:r>
            <w:r w:rsidR="00BF555A" w:rsidRPr="001A68E6">
              <w:rPr>
                <w:i/>
                <w:sz w:val="16"/>
                <w:szCs w:val="16"/>
              </w:rPr>
              <w:t>et al</w:t>
            </w:r>
            <w:r w:rsidR="00BF555A" w:rsidRPr="001A68E6">
              <w:rPr>
                <w:sz w:val="16"/>
                <w:szCs w:val="16"/>
              </w:rPr>
              <w:t>., 20</w:t>
            </w:r>
            <w:r w:rsidR="00DD35E2" w:rsidRPr="001A68E6">
              <w:rPr>
                <w:sz w:val="16"/>
                <w:szCs w:val="16"/>
              </w:rPr>
              <w:t>1</w:t>
            </w:r>
            <w:r w:rsidRPr="001A68E6">
              <w:rPr>
                <w:sz w:val="16"/>
                <w:szCs w:val="16"/>
              </w:rPr>
              <w:t>3</w:t>
            </w:r>
          </w:p>
        </w:tc>
      </w:tr>
      <w:tr w:rsidR="00BF555A" w:rsidRPr="001A68E6" w14:paraId="7B70AC7D" w14:textId="77777777" w:rsidTr="00262934">
        <w:tblPrEx>
          <w:tblCellMar>
            <w:left w:w="70" w:type="dxa"/>
            <w:right w:w="70" w:type="dxa"/>
          </w:tblCellMar>
        </w:tblPrEx>
        <w:trPr>
          <w:cantSplit/>
        </w:trPr>
        <w:tc>
          <w:tcPr>
            <w:tcW w:w="1701" w:type="dxa"/>
            <w:tcBorders>
              <w:top w:val="single" w:sz="4" w:space="0" w:color="auto"/>
              <w:bottom w:val="single" w:sz="4" w:space="0" w:color="auto"/>
            </w:tcBorders>
          </w:tcPr>
          <w:p w14:paraId="59182DB2" w14:textId="1FC095CB" w:rsidR="000A2D9D" w:rsidRPr="001A68E6" w:rsidRDefault="00BF555A" w:rsidP="00AA3A78">
            <w:pPr>
              <w:pStyle w:val="para1"/>
              <w:spacing w:before="100" w:after="100"/>
              <w:jc w:val="left"/>
              <w:rPr>
                <w:sz w:val="16"/>
                <w:szCs w:val="16"/>
              </w:rPr>
            </w:pPr>
            <w:r w:rsidRPr="001A68E6">
              <w:rPr>
                <w:sz w:val="16"/>
                <w:szCs w:val="16"/>
              </w:rPr>
              <w:t>gB</w:t>
            </w:r>
          </w:p>
        </w:tc>
        <w:tc>
          <w:tcPr>
            <w:tcW w:w="3635" w:type="dxa"/>
            <w:tcBorders>
              <w:top w:val="single" w:sz="4" w:space="0" w:color="auto"/>
              <w:bottom w:val="single" w:sz="4" w:space="0" w:color="auto"/>
            </w:tcBorders>
          </w:tcPr>
          <w:p w14:paraId="0F9DE99F" w14:textId="2967DDA6" w:rsidR="00BF555A" w:rsidRPr="001A68E6" w:rsidRDefault="00BF555A" w:rsidP="00262934">
            <w:pPr>
              <w:pStyle w:val="para1"/>
              <w:spacing w:before="100" w:after="100"/>
              <w:jc w:val="left"/>
              <w:rPr>
                <w:sz w:val="16"/>
                <w:szCs w:val="16"/>
              </w:rPr>
            </w:pPr>
            <w:r w:rsidRPr="001A68E6">
              <w:rPr>
                <w:color w:val="000000"/>
                <w:sz w:val="16"/>
                <w:szCs w:val="16"/>
              </w:rPr>
              <w:t>Fwd: CGG</w:t>
            </w:r>
            <w:r w:rsidR="00A04843" w:rsidRPr="001A68E6">
              <w:rPr>
                <w:color w:val="000000"/>
                <w:sz w:val="16"/>
                <w:szCs w:val="16"/>
              </w:rPr>
              <w:t>-</w:t>
            </w:r>
            <w:r w:rsidRPr="001A68E6">
              <w:rPr>
                <w:color w:val="000000"/>
                <w:sz w:val="16"/>
                <w:szCs w:val="16"/>
              </w:rPr>
              <w:t>TGG</w:t>
            </w:r>
            <w:r w:rsidR="00A04843" w:rsidRPr="001A68E6">
              <w:rPr>
                <w:color w:val="000000"/>
                <w:sz w:val="16"/>
                <w:szCs w:val="16"/>
              </w:rPr>
              <w:t>-</w:t>
            </w:r>
            <w:r w:rsidRPr="001A68E6">
              <w:rPr>
                <w:color w:val="000000"/>
                <w:sz w:val="16"/>
                <w:szCs w:val="16"/>
              </w:rPr>
              <w:t>CTT</w:t>
            </w:r>
            <w:r w:rsidR="00A04843" w:rsidRPr="001A68E6">
              <w:rPr>
                <w:color w:val="000000"/>
                <w:sz w:val="16"/>
                <w:szCs w:val="16"/>
              </w:rPr>
              <w:t>-</w:t>
            </w:r>
            <w:r w:rsidRPr="001A68E6">
              <w:rPr>
                <w:color w:val="000000"/>
                <w:sz w:val="16"/>
                <w:szCs w:val="16"/>
              </w:rPr>
              <w:t>TTC</w:t>
            </w:r>
            <w:r w:rsidR="00A04843" w:rsidRPr="001A68E6">
              <w:rPr>
                <w:color w:val="000000"/>
                <w:sz w:val="16"/>
                <w:szCs w:val="16"/>
              </w:rPr>
              <w:t>-</w:t>
            </w:r>
            <w:r w:rsidRPr="001A68E6">
              <w:rPr>
                <w:color w:val="000000"/>
                <w:sz w:val="16"/>
                <w:szCs w:val="16"/>
              </w:rPr>
              <w:t>TAG</w:t>
            </w:r>
            <w:r w:rsidR="00A04843" w:rsidRPr="001A68E6">
              <w:rPr>
                <w:color w:val="000000"/>
                <w:sz w:val="16"/>
                <w:szCs w:val="16"/>
              </w:rPr>
              <w:t>-</w:t>
            </w:r>
            <w:r w:rsidRPr="001A68E6">
              <w:rPr>
                <w:color w:val="000000"/>
                <w:sz w:val="16"/>
                <w:szCs w:val="16"/>
              </w:rPr>
              <w:t>GTT</w:t>
            </w:r>
            <w:r w:rsidR="00A04843" w:rsidRPr="001A68E6">
              <w:rPr>
                <w:color w:val="000000"/>
                <w:sz w:val="16"/>
                <w:szCs w:val="16"/>
              </w:rPr>
              <w:t>-</w:t>
            </w:r>
            <w:r w:rsidRPr="001A68E6">
              <w:rPr>
                <w:color w:val="000000"/>
                <w:sz w:val="16"/>
                <w:szCs w:val="16"/>
              </w:rPr>
              <w:t>CG</w:t>
            </w:r>
            <w:r w:rsidR="00262934">
              <w:rPr>
                <w:color w:val="000000"/>
                <w:sz w:val="16"/>
                <w:szCs w:val="16"/>
              </w:rPr>
              <w:br/>
            </w:r>
            <w:r w:rsidRPr="001A68E6">
              <w:rPr>
                <w:color w:val="000000"/>
                <w:sz w:val="16"/>
                <w:szCs w:val="16"/>
              </w:rPr>
              <w:t>Rev: CCA</w:t>
            </w:r>
            <w:r w:rsidR="00A04843" w:rsidRPr="001A68E6">
              <w:rPr>
                <w:color w:val="000000"/>
                <w:sz w:val="16"/>
                <w:szCs w:val="16"/>
              </w:rPr>
              <w:t>-</w:t>
            </w:r>
            <w:r w:rsidRPr="001A68E6">
              <w:rPr>
                <w:color w:val="000000"/>
                <w:sz w:val="16"/>
                <w:szCs w:val="16"/>
              </w:rPr>
              <w:t>GTG</w:t>
            </w:r>
            <w:r w:rsidR="00A04843" w:rsidRPr="001A68E6">
              <w:rPr>
                <w:color w:val="000000"/>
                <w:sz w:val="16"/>
                <w:szCs w:val="16"/>
              </w:rPr>
              <w:t>-</w:t>
            </w:r>
            <w:r w:rsidRPr="001A68E6">
              <w:rPr>
                <w:color w:val="000000"/>
                <w:sz w:val="16"/>
                <w:szCs w:val="16"/>
              </w:rPr>
              <w:t>GGT</w:t>
            </w:r>
            <w:r w:rsidR="00A04843" w:rsidRPr="001A68E6">
              <w:rPr>
                <w:color w:val="000000"/>
                <w:sz w:val="16"/>
                <w:szCs w:val="16"/>
              </w:rPr>
              <w:t>-</w:t>
            </w:r>
            <w:r w:rsidRPr="001A68E6">
              <w:rPr>
                <w:color w:val="000000"/>
                <w:sz w:val="16"/>
                <w:szCs w:val="16"/>
              </w:rPr>
              <w:t>TCA</w:t>
            </w:r>
            <w:r w:rsidR="00A04843" w:rsidRPr="001A68E6">
              <w:rPr>
                <w:color w:val="000000"/>
                <w:sz w:val="16"/>
                <w:szCs w:val="16"/>
              </w:rPr>
              <w:t>-</w:t>
            </w:r>
            <w:r w:rsidRPr="001A68E6">
              <w:rPr>
                <w:color w:val="000000"/>
                <w:sz w:val="16"/>
                <w:szCs w:val="16"/>
              </w:rPr>
              <w:t>ACC</w:t>
            </w:r>
            <w:r w:rsidR="00A04843" w:rsidRPr="001A68E6">
              <w:rPr>
                <w:color w:val="000000"/>
                <w:sz w:val="16"/>
                <w:szCs w:val="16"/>
              </w:rPr>
              <w:t>-</w:t>
            </w:r>
            <w:r w:rsidRPr="001A68E6">
              <w:rPr>
                <w:color w:val="000000"/>
                <w:sz w:val="16"/>
                <w:szCs w:val="16"/>
              </w:rPr>
              <w:t>GTG</w:t>
            </w:r>
            <w:r w:rsidR="00A04843" w:rsidRPr="001A68E6">
              <w:rPr>
                <w:color w:val="000000"/>
                <w:sz w:val="16"/>
                <w:szCs w:val="16"/>
              </w:rPr>
              <w:t>-</w:t>
            </w:r>
            <w:r w:rsidRPr="001A68E6">
              <w:rPr>
                <w:color w:val="000000"/>
                <w:sz w:val="16"/>
                <w:szCs w:val="16"/>
              </w:rPr>
              <w:t>A</w:t>
            </w:r>
          </w:p>
        </w:tc>
        <w:tc>
          <w:tcPr>
            <w:tcW w:w="1396" w:type="dxa"/>
            <w:tcBorders>
              <w:top w:val="single" w:sz="4" w:space="0" w:color="auto"/>
              <w:bottom w:val="single" w:sz="4" w:space="0" w:color="auto"/>
            </w:tcBorders>
          </w:tcPr>
          <w:p w14:paraId="38183814" w14:textId="1B3F13AB" w:rsidR="000A2D9D" w:rsidRPr="001A68E6" w:rsidRDefault="00BF555A" w:rsidP="00AA3A78">
            <w:pPr>
              <w:pStyle w:val="para1"/>
              <w:spacing w:before="100" w:after="100"/>
              <w:jc w:val="left"/>
              <w:rPr>
                <w:sz w:val="16"/>
                <w:szCs w:val="16"/>
              </w:rPr>
            </w:pPr>
            <w:r w:rsidRPr="001A68E6">
              <w:rPr>
                <w:sz w:val="16"/>
                <w:szCs w:val="16"/>
              </w:rPr>
              <w:t>66 bp</w:t>
            </w:r>
          </w:p>
        </w:tc>
        <w:tc>
          <w:tcPr>
            <w:tcW w:w="1826" w:type="dxa"/>
            <w:tcBorders>
              <w:top w:val="single" w:sz="4" w:space="0" w:color="auto"/>
              <w:bottom w:val="single" w:sz="4" w:space="0" w:color="auto"/>
            </w:tcBorders>
          </w:tcPr>
          <w:p w14:paraId="142C1D67" w14:textId="2B8B6149" w:rsidR="000A2D9D" w:rsidRPr="001A68E6" w:rsidRDefault="00DD35E2" w:rsidP="00AA3A78">
            <w:pPr>
              <w:pStyle w:val="para1"/>
              <w:spacing w:before="100" w:after="100"/>
              <w:jc w:val="left"/>
              <w:rPr>
                <w:sz w:val="16"/>
                <w:szCs w:val="16"/>
              </w:rPr>
            </w:pPr>
            <w:r w:rsidRPr="001A68E6">
              <w:rPr>
                <w:sz w:val="16"/>
                <w:szCs w:val="16"/>
              </w:rPr>
              <w:t xml:space="preserve">Gimeno </w:t>
            </w:r>
            <w:r w:rsidRPr="001A68E6">
              <w:rPr>
                <w:i/>
                <w:sz w:val="16"/>
                <w:szCs w:val="16"/>
              </w:rPr>
              <w:t>et al</w:t>
            </w:r>
            <w:r w:rsidRPr="001A68E6">
              <w:rPr>
                <w:sz w:val="16"/>
                <w:szCs w:val="16"/>
              </w:rPr>
              <w:t>., 2005</w:t>
            </w:r>
          </w:p>
        </w:tc>
      </w:tr>
      <w:tr w:rsidR="00BF555A" w:rsidRPr="001A68E6" w14:paraId="2757FBAB" w14:textId="77777777" w:rsidTr="00262934">
        <w:tblPrEx>
          <w:tblCellMar>
            <w:left w:w="70" w:type="dxa"/>
            <w:right w:w="70" w:type="dxa"/>
          </w:tblCellMar>
        </w:tblPrEx>
        <w:trPr>
          <w:cantSplit/>
        </w:trPr>
        <w:tc>
          <w:tcPr>
            <w:tcW w:w="1701" w:type="dxa"/>
            <w:tcBorders>
              <w:top w:val="single" w:sz="4" w:space="0" w:color="auto"/>
              <w:bottom w:val="single" w:sz="4" w:space="0" w:color="auto"/>
            </w:tcBorders>
          </w:tcPr>
          <w:p w14:paraId="2C9640D5" w14:textId="0230EB6B" w:rsidR="000A2D9D" w:rsidRPr="001A68E6" w:rsidRDefault="00BF555A" w:rsidP="00AA3A78">
            <w:pPr>
              <w:pStyle w:val="para1"/>
              <w:spacing w:before="100" w:after="100"/>
              <w:jc w:val="left"/>
              <w:rPr>
                <w:sz w:val="16"/>
                <w:szCs w:val="16"/>
              </w:rPr>
            </w:pPr>
            <w:r w:rsidRPr="001A68E6">
              <w:rPr>
                <w:sz w:val="16"/>
                <w:szCs w:val="16"/>
              </w:rPr>
              <w:t>Meq</w:t>
            </w:r>
          </w:p>
        </w:tc>
        <w:tc>
          <w:tcPr>
            <w:tcW w:w="3635" w:type="dxa"/>
            <w:tcBorders>
              <w:top w:val="single" w:sz="4" w:space="0" w:color="auto"/>
              <w:bottom w:val="single" w:sz="4" w:space="0" w:color="auto"/>
            </w:tcBorders>
          </w:tcPr>
          <w:p w14:paraId="1B41E3F4" w14:textId="78332FFE" w:rsidR="000A2D9D" w:rsidRPr="001A68E6" w:rsidRDefault="00BF555A" w:rsidP="00262934">
            <w:pPr>
              <w:pStyle w:val="para1"/>
              <w:spacing w:before="100" w:after="100"/>
              <w:jc w:val="left"/>
              <w:rPr>
                <w:sz w:val="16"/>
                <w:szCs w:val="16"/>
              </w:rPr>
            </w:pPr>
            <w:r w:rsidRPr="001A68E6">
              <w:rPr>
                <w:color w:val="000000"/>
                <w:sz w:val="16"/>
                <w:szCs w:val="16"/>
              </w:rPr>
              <w:t>Fwd: GAG</w:t>
            </w:r>
            <w:r w:rsidR="00A04843" w:rsidRPr="001A68E6">
              <w:rPr>
                <w:color w:val="000000"/>
                <w:sz w:val="16"/>
                <w:szCs w:val="16"/>
              </w:rPr>
              <w:t>-</w:t>
            </w:r>
            <w:r w:rsidRPr="001A68E6">
              <w:rPr>
                <w:color w:val="000000"/>
                <w:sz w:val="16"/>
                <w:szCs w:val="16"/>
              </w:rPr>
              <w:t>CCA</w:t>
            </w:r>
            <w:r w:rsidR="00A04843" w:rsidRPr="001A68E6">
              <w:rPr>
                <w:color w:val="000000"/>
                <w:sz w:val="16"/>
                <w:szCs w:val="16"/>
              </w:rPr>
              <w:t>-</w:t>
            </w:r>
            <w:r w:rsidRPr="001A68E6">
              <w:rPr>
                <w:color w:val="000000"/>
                <w:sz w:val="16"/>
                <w:szCs w:val="16"/>
              </w:rPr>
              <w:t>ACA</w:t>
            </w:r>
            <w:r w:rsidR="00A04843" w:rsidRPr="001A68E6">
              <w:rPr>
                <w:color w:val="000000"/>
                <w:sz w:val="16"/>
                <w:szCs w:val="16"/>
              </w:rPr>
              <w:t>-</w:t>
            </w:r>
            <w:r w:rsidRPr="001A68E6">
              <w:rPr>
                <w:color w:val="000000"/>
                <w:sz w:val="16"/>
                <w:szCs w:val="16"/>
              </w:rPr>
              <w:t>AAT</w:t>
            </w:r>
            <w:r w:rsidR="00A04843" w:rsidRPr="001A68E6">
              <w:rPr>
                <w:color w:val="000000"/>
                <w:sz w:val="16"/>
                <w:szCs w:val="16"/>
              </w:rPr>
              <w:t>-</w:t>
            </w:r>
            <w:r w:rsidRPr="001A68E6">
              <w:rPr>
                <w:color w:val="000000"/>
                <w:sz w:val="16"/>
                <w:szCs w:val="16"/>
              </w:rPr>
              <w:t>CCC</w:t>
            </w:r>
            <w:r w:rsidR="00A04843" w:rsidRPr="001A68E6">
              <w:rPr>
                <w:color w:val="000000"/>
                <w:sz w:val="16"/>
                <w:szCs w:val="16"/>
              </w:rPr>
              <w:t>-</w:t>
            </w:r>
            <w:r w:rsidRPr="001A68E6">
              <w:rPr>
                <w:color w:val="000000"/>
                <w:sz w:val="16"/>
                <w:szCs w:val="16"/>
              </w:rPr>
              <w:t>CTG</w:t>
            </w:r>
            <w:r w:rsidR="00A04843" w:rsidRPr="001A68E6">
              <w:rPr>
                <w:color w:val="000000"/>
                <w:sz w:val="16"/>
                <w:szCs w:val="16"/>
              </w:rPr>
              <w:t>-</w:t>
            </w:r>
            <w:r w:rsidRPr="001A68E6">
              <w:rPr>
                <w:color w:val="000000"/>
                <w:sz w:val="16"/>
                <w:szCs w:val="16"/>
              </w:rPr>
              <w:t>AC</w:t>
            </w:r>
            <w:r w:rsidR="00262934">
              <w:rPr>
                <w:color w:val="000000"/>
                <w:sz w:val="16"/>
                <w:szCs w:val="16"/>
              </w:rPr>
              <w:br/>
            </w:r>
            <w:r w:rsidRPr="001A68E6">
              <w:rPr>
                <w:color w:val="000000"/>
                <w:sz w:val="16"/>
                <w:szCs w:val="16"/>
              </w:rPr>
              <w:t>Rev: CTT</w:t>
            </w:r>
            <w:r w:rsidR="00A04843" w:rsidRPr="001A68E6">
              <w:rPr>
                <w:color w:val="000000"/>
                <w:sz w:val="16"/>
                <w:szCs w:val="16"/>
              </w:rPr>
              <w:t>-</w:t>
            </w:r>
            <w:r w:rsidRPr="001A68E6">
              <w:rPr>
                <w:color w:val="000000"/>
                <w:sz w:val="16"/>
                <w:szCs w:val="16"/>
              </w:rPr>
              <w:t>TCG</w:t>
            </w:r>
            <w:r w:rsidR="00A04843" w:rsidRPr="001A68E6">
              <w:rPr>
                <w:color w:val="000000"/>
                <w:sz w:val="16"/>
                <w:szCs w:val="16"/>
              </w:rPr>
              <w:t>-</w:t>
            </w:r>
            <w:r w:rsidRPr="001A68E6">
              <w:rPr>
                <w:color w:val="000000"/>
                <w:sz w:val="16"/>
                <w:szCs w:val="16"/>
              </w:rPr>
              <w:t>GGT</w:t>
            </w:r>
            <w:r w:rsidR="00A04843" w:rsidRPr="001A68E6">
              <w:rPr>
                <w:color w:val="000000"/>
                <w:sz w:val="16"/>
                <w:szCs w:val="16"/>
              </w:rPr>
              <w:t>-</w:t>
            </w:r>
            <w:r w:rsidRPr="001A68E6">
              <w:rPr>
                <w:color w:val="000000"/>
                <w:sz w:val="16"/>
                <w:szCs w:val="16"/>
              </w:rPr>
              <w:t>CTG</w:t>
            </w:r>
            <w:r w:rsidR="00A04843" w:rsidRPr="001A68E6">
              <w:rPr>
                <w:color w:val="000000"/>
                <w:sz w:val="16"/>
                <w:szCs w:val="16"/>
              </w:rPr>
              <w:t>-</w:t>
            </w:r>
            <w:r w:rsidRPr="001A68E6">
              <w:rPr>
                <w:color w:val="000000"/>
                <w:sz w:val="16"/>
                <w:szCs w:val="16"/>
              </w:rPr>
              <w:t>TGG</w:t>
            </w:r>
            <w:r w:rsidR="00A04843" w:rsidRPr="001A68E6">
              <w:rPr>
                <w:color w:val="000000"/>
                <w:sz w:val="16"/>
                <w:szCs w:val="16"/>
              </w:rPr>
              <w:t>-</w:t>
            </w:r>
            <w:r w:rsidRPr="001A68E6">
              <w:rPr>
                <w:color w:val="000000"/>
                <w:sz w:val="16"/>
                <w:szCs w:val="16"/>
              </w:rPr>
              <w:t>GTG</w:t>
            </w:r>
            <w:r w:rsidR="00A04843" w:rsidRPr="001A68E6">
              <w:rPr>
                <w:color w:val="000000"/>
                <w:sz w:val="16"/>
                <w:szCs w:val="16"/>
              </w:rPr>
              <w:t>-</w:t>
            </w:r>
            <w:r w:rsidRPr="001A68E6">
              <w:rPr>
                <w:color w:val="000000"/>
                <w:sz w:val="16"/>
                <w:szCs w:val="16"/>
              </w:rPr>
              <w:t>T</w:t>
            </w:r>
          </w:p>
        </w:tc>
        <w:tc>
          <w:tcPr>
            <w:tcW w:w="1396" w:type="dxa"/>
            <w:tcBorders>
              <w:top w:val="single" w:sz="4" w:space="0" w:color="auto"/>
              <w:bottom w:val="single" w:sz="4" w:space="0" w:color="auto"/>
            </w:tcBorders>
          </w:tcPr>
          <w:p w14:paraId="49D2C070" w14:textId="353A0B4D" w:rsidR="000A2D9D" w:rsidRPr="001A68E6" w:rsidRDefault="00BF555A" w:rsidP="00AA3A78">
            <w:pPr>
              <w:pStyle w:val="para1"/>
              <w:spacing w:before="100" w:after="100"/>
              <w:jc w:val="left"/>
              <w:rPr>
                <w:sz w:val="16"/>
                <w:szCs w:val="16"/>
              </w:rPr>
            </w:pPr>
            <w:r w:rsidRPr="001A68E6">
              <w:rPr>
                <w:sz w:val="16"/>
                <w:szCs w:val="16"/>
              </w:rPr>
              <w:t>1.41 kb</w:t>
            </w:r>
          </w:p>
        </w:tc>
        <w:tc>
          <w:tcPr>
            <w:tcW w:w="1826" w:type="dxa"/>
            <w:tcBorders>
              <w:top w:val="single" w:sz="4" w:space="0" w:color="auto"/>
              <w:bottom w:val="single" w:sz="4" w:space="0" w:color="auto"/>
            </w:tcBorders>
          </w:tcPr>
          <w:p w14:paraId="352D5664" w14:textId="121C56F2" w:rsidR="000A2D9D" w:rsidRPr="001A68E6" w:rsidRDefault="005F50E7" w:rsidP="00AA3A78">
            <w:pPr>
              <w:pStyle w:val="para1"/>
              <w:spacing w:before="100" w:after="100"/>
              <w:jc w:val="left"/>
              <w:rPr>
                <w:sz w:val="16"/>
                <w:szCs w:val="16"/>
              </w:rPr>
            </w:pPr>
            <w:r w:rsidRPr="001A68E6">
              <w:rPr>
                <w:sz w:val="16"/>
                <w:szCs w:val="16"/>
              </w:rPr>
              <w:t xml:space="preserve">Dunn </w:t>
            </w:r>
            <w:r w:rsidRPr="001A68E6">
              <w:rPr>
                <w:i/>
                <w:sz w:val="16"/>
                <w:szCs w:val="16"/>
              </w:rPr>
              <w:t>et al</w:t>
            </w:r>
            <w:r w:rsidRPr="001A68E6">
              <w:rPr>
                <w:sz w:val="16"/>
                <w:szCs w:val="16"/>
              </w:rPr>
              <w:t>., 2010</w:t>
            </w:r>
          </w:p>
        </w:tc>
      </w:tr>
    </w:tbl>
    <w:p w14:paraId="0086729C" w14:textId="3C4C84E1" w:rsidR="006830D1" w:rsidRPr="001A68E6" w:rsidRDefault="006830D1" w:rsidP="001F246B">
      <w:pPr>
        <w:pStyle w:val="Tabletitle"/>
        <w:rPr>
          <w:b w:val="0"/>
          <w:bCs w:val="0"/>
        </w:rPr>
      </w:pPr>
      <w:r w:rsidRPr="001A68E6">
        <w:t xml:space="preserve">Table </w:t>
      </w:r>
      <w:r w:rsidR="00AA3A78" w:rsidRPr="001A68E6">
        <w:t>4.</w:t>
      </w:r>
      <w:r w:rsidRPr="001A68E6">
        <w:t xml:space="preserve"> </w:t>
      </w:r>
      <w:r w:rsidRPr="001A68E6">
        <w:rPr>
          <w:b w:val="0"/>
          <w:bCs w:val="0"/>
        </w:rPr>
        <w:t xml:space="preserve">Example PCR primer and probe sets used for </w:t>
      </w:r>
      <w:r w:rsidR="00556B1C" w:rsidRPr="001A68E6">
        <w:rPr>
          <w:b w:val="0"/>
          <w:bCs w:val="0"/>
        </w:rPr>
        <w:br/>
      </w:r>
      <w:r w:rsidRPr="001A68E6">
        <w:rPr>
          <w:b w:val="0"/>
          <w:bCs w:val="0"/>
        </w:rPr>
        <w:t xml:space="preserve">differentiating virulent and vaccine strains using </w:t>
      </w:r>
      <w:r w:rsidR="005D1CE5" w:rsidRPr="001A68E6">
        <w:rPr>
          <w:b w:val="0"/>
          <w:bCs w:val="0"/>
        </w:rPr>
        <w:t>real</w:t>
      </w:r>
      <w:r w:rsidRPr="001A68E6">
        <w:rPr>
          <w:b w:val="0"/>
          <w:bCs w:val="0"/>
        </w:rPr>
        <w:t>-time PCR</w:t>
      </w:r>
    </w:p>
    <w:tbl>
      <w:tblPr>
        <w:tblW w:w="9070" w:type="dxa"/>
        <w:tblInd w:w="120" w:type="dxa"/>
        <w:tblLayout w:type="fixed"/>
        <w:tblCellMar>
          <w:left w:w="120" w:type="dxa"/>
          <w:right w:w="120" w:type="dxa"/>
        </w:tblCellMar>
        <w:tblLook w:val="0000" w:firstRow="0" w:lastRow="0" w:firstColumn="0" w:lastColumn="0" w:noHBand="0" w:noVBand="0"/>
      </w:tblPr>
      <w:tblGrid>
        <w:gridCol w:w="1247"/>
        <w:gridCol w:w="5012"/>
        <w:gridCol w:w="1276"/>
        <w:gridCol w:w="1535"/>
      </w:tblGrid>
      <w:tr w:rsidR="00C3259E" w:rsidRPr="00262934" w14:paraId="1CFC208C" w14:textId="77777777" w:rsidTr="00556B1C">
        <w:trPr>
          <w:cantSplit/>
          <w:tblHeader/>
        </w:trPr>
        <w:tc>
          <w:tcPr>
            <w:tcW w:w="1247" w:type="dxa"/>
            <w:tcBorders>
              <w:top w:val="single" w:sz="6" w:space="0" w:color="auto"/>
              <w:bottom w:val="single" w:sz="6" w:space="0" w:color="auto"/>
            </w:tcBorders>
          </w:tcPr>
          <w:p w14:paraId="40E7886A" w14:textId="77777777" w:rsidR="006830D1" w:rsidRPr="00262934" w:rsidRDefault="006830D1">
            <w:pPr>
              <w:spacing w:before="120" w:after="120" w:line="240" w:lineRule="auto"/>
              <w:jc w:val="left"/>
              <w:rPr>
                <w:rFonts w:ascii="Söhne Kräftig" w:hAnsi="Söhne Kräftig"/>
                <w:bCs/>
                <w:u w:val="double"/>
              </w:rPr>
            </w:pPr>
            <w:r w:rsidRPr="00262934">
              <w:rPr>
                <w:rFonts w:ascii="Söhne Kräftig" w:hAnsi="Söhne Kräftig"/>
                <w:bCs/>
                <w:u w:val="double"/>
              </w:rPr>
              <w:t>Real-time PCR Target</w:t>
            </w:r>
          </w:p>
        </w:tc>
        <w:tc>
          <w:tcPr>
            <w:tcW w:w="5012" w:type="dxa"/>
            <w:tcBorders>
              <w:top w:val="single" w:sz="6" w:space="0" w:color="auto"/>
              <w:bottom w:val="single" w:sz="6" w:space="0" w:color="auto"/>
            </w:tcBorders>
          </w:tcPr>
          <w:p w14:paraId="0D6917C3" w14:textId="68C61632" w:rsidR="006830D1" w:rsidRPr="00262934" w:rsidRDefault="006830D1">
            <w:pPr>
              <w:spacing w:before="120" w:after="120" w:line="240" w:lineRule="auto"/>
              <w:jc w:val="left"/>
              <w:rPr>
                <w:rFonts w:ascii="Söhne Kräftig" w:hAnsi="Söhne Kräftig"/>
                <w:bCs/>
                <w:u w:val="double"/>
              </w:rPr>
            </w:pPr>
            <w:r w:rsidRPr="00C5564C">
              <w:rPr>
                <w:rFonts w:ascii="Söhne Kräftig" w:hAnsi="Söhne Kräftig"/>
                <w:bCs/>
                <w:u w:val="double"/>
              </w:rPr>
              <w:t>Sequence</w:t>
            </w:r>
            <w:r w:rsidR="00AA3A78" w:rsidRPr="00C5564C">
              <w:rPr>
                <w:rFonts w:ascii="Söhne Kräftig" w:hAnsi="Söhne Kräftig"/>
                <w:bCs/>
                <w:u w:val="double"/>
              </w:rPr>
              <w:t xml:space="preserve"> (</w:t>
            </w:r>
            <w:r w:rsidR="00C5564C" w:rsidRPr="00C5564C">
              <w:rPr>
                <w:rFonts w:ascii="Söhne Kräftig" w:hAnsi="Söhne Kräftig"/>
                <w:bCs/>
                <w:u w:val="double"/>
              </w:rPr>
              <w:t xml:space="preserve">5’ </w:t>
            </w:r>
            <w:r w:rsidR="00C5564C" w:rsidRPr="00C5564C">
              <w:rPr>
                <w:rFonts w:ascii="Söhne Kräftig" w:hAnsi="Söhne Kräftig"/>
                <w:u w:val="double"/>
                <w:lang w:eastAsia="en-GB"/>
              </w:rPr>
              <w:t>→</w:t>
            </w:r>
            <w:r w:rsidR="00C5564C" w:rsidRPr="00C5564C">
              <w:rPr>
                <w:rFonts w:ascii="Söhne Kräftig" w:eastAsia="Calibri" w:hAnsi="Söhne Kräftig"/>
                <w:b/>
                <w:bCs/>
                <w:kern w:val="24"/>
                <w:u w:val="double"/>
                <w:lang w:eastAsia="en-GB"/>
              </w:rPr>
              <w:t xml:space="preserve"> </w:t>
            </w:r>
            <w:r w:rsidR="00C5564C" w:rsidRPr="00C5564C">
              <w:rPr>
                <w:rFonts w:ascii="Söhne Kräftig" w:hAnsi="Söhne Kräftig"/>
                <w:bCs/>
                <w:u w:val="double"/>
              </w:rPr>
              <w:t>3’</w:t>
            </w:r>
            <w:r w:rsidR="00AA3A78" w:rsidRPr="00C5564C">
              <w:rPr>
                <w:rFonts w:ascii="Söhne Kräftig" w:hAnsi="Söhne Kräftig"/>
                <w:bCs/>
                <w:u w:val="double"/>
              </w:rPr>
              <w:t>):</w:t>
            </w:r>
            <w:r w:rsidRPr="00C5564C">
              <w:rPr>
                <w:rFonts w:ascii="Söhne Kräftig" w:hAnsi="Söhne Kräftig"/>
                <w:bCs/>
                <w:u w:val="double"/>
              </w:rPr>
              <w:t xml:space="preserve"> 5’ reporter and 3’</w:t>
            </w:r>
            <w:r w:rsidRPr="00262934">
              <w:rPr>
                <w:rFonts w:ascii="Söhne Kräftig" w:hAnsi="Söhne Kräftig"/>
                <w:bCs/>
                <w:u w:val="double"/>
              </w:rPr>
              <w:t xml:space="preserve"> quencher for probes</w:t>
            </w:r>
          </w:p>
        </w:tc>
        <w:tc>
          <w:tcPr>
            <w:tcW w:w="1276" w:type="dxa"/>
            <w:tcBorders>
              <w:top w:val="single" w:sz="6" w:space="0" w:color="auto"/>
              <w:bottom w:val="single" w:sz="6" w:space="0" w:color="auto"/>
            </w:tcBorders>
          </w:tcPr>
          <w:p w14:paraId="13C15D33" w14:textId="77777777" w:rsidR="006830D1" w:rsidRPr="00262934" w:rsidRDefault="006830D1">
            <w:pPr>
              <w:spacing w:before="120" w:after="120" w:line="240" w:lineRule="auto"/>
              <w:jc w:val="left"/>
              <w:rPr>
                <w:rFonts w:ascii="Söhne Kräftig" w:hAnsi="Söhne Kräftig"/>
                <w:bCs/>
                <w:u w:val="double"/>
              </w:rPr>
            </w:pPr>
            <w:r w:rsidRPr="00262934">
              <w:rPr>
                <w:rFonts w:ascii="Söhne Kräftig" w:hAnsi="Söhne Kräftig"/>
                <w:bCs/>
                <w:u w:val="double"/>
              </w:rPr>
              <w:t>Product size</w:t>
            </w:r>
          </w:p>
        </w:tc>
        <w:tc>
          <w:tcPr>
            <w:tcW w:w="1535" w:type="dxa"/>
            <w:tcBorders>
              <w:top w:val="single" w:sz="6" w:space="0" w:color="auto"/>
              <w:bottom w:val="single" w:sz="6" w:space="0" w:color="auto"/>
            </w:tcBorders>
          </w:tcPr>
          <w:p w14:paraId="7C211A55" w14:textId="77777777" w:rsidR="006830D1" w:rsidRPr="00262934" w:rsidRDefault="006830D1">
            <w:pPr>
              <w:spacing w:before="120" w:after="120" w:line="240" w:lineRule="auto"/>
              <w:jc w:val="left"/>
              <w:rPr>
                <w:rFonts w:ascii="Söhne Kräftig" w:hAnsi="Söhne Kräftig"/>
                <w:bCs/>
                <w:u w:val="double"/>
              </w:rPr>
            </w:pPr>
            <w:r w:rsidRPr="00262934">
              <w:rPr>
                <w:rFonts w:ascii="Söhne Kräftig" w:hAnsi="Söhne Kräftig"/>
                <w:bCs/>
                <w:u w:val="double"/>
              </w:rPr>
              <w:t>Reference</w:t>
            </w:r>
          </w:p>
        </w:tc>
      </w:tr>
      <w:tr w:rsidR="00C3259E" w:rsidRPr="001A68E6" w14:paraId="0DDB3A34" w14:textId="77777777" w:rsidTr="00556B1C">
        <w:tblPrEx>
          <w:tblCellMar>
            <w:left w:w="70" w:type="dxa"/>
            <w:right w:w="70" w:type="dxa"/>
          </w:tblCellMar>
        </w:tblPrEx>
        <w:trPr>
          <w:cantSplit/>
        </w:trPr>
        <w:tc>
          <w:tcPr>
            <w:tcW w:w="1247" w:type="dxa"/>
            <w:tcBorders>
              <w:top w:val="single" w:sz="6" w:space="0" w:color="auto"/>
              <w:bottom w:val="single" w:sz="4" w:space="0" w:color="auto"/>
            </w:tcBorders>
          </w:tcPr>
          <w:p w14:paraId="0F796378" w14:textId="77777777" w:rsidR="006830D1" w:rsidRPr="001A68E6" w:rsidRDefault="006830D1" w:rsidP="00631EB4">
            <w:pPr>
              <w:pStyle w:val="para1"/>
              <w:spacing w:before="100" w:after="100"/>
              <w:jc w:val="left"/>
              <w:rPr>
                <w:sz w:val="16"/>
                <w:szCs w:val="16"/>
                <w:u w:val="double"/>
              </w:rPr>
            </w:pPr>
            <w:r w:rsidRPr="001A68E6">
              <w:rPr>
                <w:sz w:val="16"/>
                <w:szCs w:val="16"/>
                <w:u w:val="double"/>
              </w:rPr>
              <w:t>Virulent MDV-specific pp38</w:t>
            </w:r>
          </w:p>
        </w:tc>
        <w:tc>
          <w:tcPr>
            <w:tcW w:w="5012" w:type="dxa"/>
            <w:tcBorders>
              <w:top w:val="single" w:sz="6" w:space="0" w:color="auto"/>
              <w:bottom w:val="single" w:sz="4" w:space="0" w:color="auto"/>
            </w:tcBorders>
          </w:tcPr>
          <w:p w14:paraId="3EE9A672" w14:textId="254D4795" w:rsidR="006830D1" w:rsidRPr="001A68E6" w:rsidRDefault="006830D1" w:rsidP="00AA3A78">
            <w:pPr>
              <w:pStyle w:val="para1"/>
              <w:tabs>
                <w:tab w:val="clear" w:pos="-720"/>
                <w:tab w:val="left" w:pos="175"/>
                <w:tab w:val="left" w:pos="1025"/>
              </w:tabs>
              <w:spacing w:before="100" w:after="100"/>
              <w:jc w:val="left"/>
              <w:rPr>
                <w:color w:val="000000"/>
                <w:sz w:val="16"/>
                <w:szCs w:val="16"/>
                <w:u w:val="double"/>
              </w:rPr>
            </w:pPr>
            <w:r w:rsidRPr="001A68E6">
              <w:rPr>
                <w:color w:val="000000"/>
                <w:sz w:val="16"/>
                <w:szCs w:val="16"/>
                <w:u w:val="double"/>
              </w:rPr>
              <w:t>SNP FP: GAG</w:t>
            </w:r>
            <w:r w:rsidR="00631EB4" w:rsidRPr="001A68E6">
              <w:rPr>
                <w:color w:val="000000"/>
                <w:sz w:val="16"/>
                <w:szCs w:val="16"/>
                <w:u w:val="double"/>
              </w:rPr>
              <w:t>-</w:t>
            </w:r>
            <w:r w:rsidRPr="001A68E6">
              <w:rPr>
                <w:color w:val="000000"/>
                <w:sz w:val="16"/>
                <w:szCs w:val="16"/>
                <w:u w:val="double"/>
              </w:rPr>
              <w:t>CTA</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GAG</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w:t>
            </w:r>
          </w:p>
          <w:p w14:paraId="24A33191" w14:textId="772C563D"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SNP RP: CGC</w:t>
            </w:r>
            <w:r w:rsidR="00631EB4" w:rsidRPr="001A68E6">
              <w:rPr>
                <w:color w:val="000000"/>
                <w:sz w:val="16"/>
                <w:szCs w:val="16"/>
                <w:u w:val="double"/>
              </w:rPr>
              <w:t>-</w:t>
            </w:r>
            <w:r w:rsidRPr="001A68E6">
              <w:rPr>
                <w:color w:val="000000"/>
                <w:sz w:val="16"/>
                <w:szCs w:val="16"/>
                <w:u w:val="double"/>
              </w:rPr>
              <w:t>ATA</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ACT</w:t>
            </w:r>
            <w:r w:rsidR="00631EB4" w:rsidRPr="001A68E6">
              <w:rPr>
                <w:color w:val="000000"/>
                <w:sz w:val="16"/>
                <w:szCs w:val="16"/>
                <w:u w:val="double"/>
              </w:rPr>
              <w:t>-</w:t>
            </w:r>
            <w:r w:rsidRPr="001A68E6">
              <w:rPr>
                <w:color w:val="000000"/>
                <w:sz w:val="16"/>
                <w:szCs w:val="16"/>
                <w:u w:val="double"/>
              </w:rPr>
              <w:t>TTC</w:t>
            </w:r>
            <w:r w:rsidR="00631EB4" w:rsidRPr="001A68E6">
              <w:rPr>
                <w:color w:val="000000"/>
                <w:sz w:val="16"/>
                <w:szCs w:val="16"/>
                <w:u w:val="double"/>
              </w:rPr>
              <w:t>-</w:t>
            </w:r>
            <w:r w:rsidRPr="001A68E6">
              <w:rPr>
                <w:color w:val="000000"/>
                <w:sz w:val="16"/>
                <w:szCs w:val="16"/>
                <w:u w:val="double"/>
              </w:rPr>
              <w:t>GTC</w:t>
            </w:r>
            <w:r w:rsidR="00631EB4" w:rsidRPr="001A68E6">
              <w:rPr>
                <w:color w:val="000000"/>
                <w:sz w:val="16"/>
                <w:szCs w:val="16"/>
                <w:u w:val="double"/>
              </w:rPr>
              <w:t>-</w:t>
            </w:r>
            <w:r w:rsidRPr="001A68E6">
              <w:rPr>
                <w:color w:val="000000"/>
                <w:sz w:val="16"/>
                <w:szCs w:val="16"/>
                <w:u w:val="double"/>
              </w:rPr>
              <w:t>AA</w:t>
            </w:r>
          </w:p>
          <w:p w14:paraId="23B14C76" w14:textId="19B753A4"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Probe CCC</w:t>
            </w:r>
            <w:r w:rsidR="00631EB4" w:rsidRPr="001A68E6">
              <w:rPr>
                <w:color w:val="000000"/>
                <w:sz w:val="16"/>
                <w:szCs w:val="16"/>
                <w:u w:val="double"/>
              </w:rPr>
              <w:t>-</w:t>
            </w:r>
            <w:r w:rsidRPr="001A68E6">
              <w:rPr>
                <w:color w:val="000000"/>
                <w:sz w:val="16"/>
                <w:szCs w:val="16"/>
                <w:u w:val="double"/>
              </w:rPr>
              <w:t>ACT</w:t>
            </w:r>
            <w:r w:rsidR="00631EB4" w:rsidRPr="001A68E6">
              <w:rPr>
                <w:color w:val="000000"/>
                <w:sz w:val="16"/>
                <w:szCs w:val="16"/>
                <w:u w:val="double"/>
              </w:rPr>
              <w:t>-</w:t>
            </w:r>
            <w:r w:rsidRPr="001A68E6">
              <w:rPr>
                <w:color w:val="000000"/>
                <w:sz w:val="16"/>
                <w:szCs w:val="16"/>
                <w:u w:val="double"/>
              </w:rPr>
              <w:t>GTG</w:t>
            </w:r>
            <w:r w:rsidR="00631EB4" w:rsidRPr="001A68E6">
              <w:rPr>
                <w:color w:val="000000"/>
                <w:sz w:val="16"/>
                <w:szCs w:val="16"/>
                <w:u w:val="double"/>
              </w:rPr>
              <w:t>-</w:t>
            </w:r>
            <w:r w:rsidRPr="001A68E6">
              <w:rPr>
                <w:color w:val="000000"/>
                <w:sz w:val="16"/>
                <w:szCs w:val="16"/>
                <w:u w:val="double"/>
              </w:rPr>
              <w:t>ACA</w:t>
            </w:r>
            <w:r w:rsidR="00631EB4" w:rsidRPr="001A68E6">
              <w:rPr>
                <w:color w:val="000000"/>
                <w:sz w:val="16"/>
                <w:szCs w:val="16"/>
                <w:u w:val="double"/>
              </w:rPr>
              <w:t>-</w:t>
            </w:r>
            <w:r w:rsidRPr="001A68E6">
              <w:rPr>
                <w:color w:val="000000"/>
                <w:sz w:val="16"/>
                <w:szCs w:val="16"/>
                <w:u w:val="double"/>
              </w:rPr>
              <w:t>GCC (5</w:t>
            </w:r>
            <w:r w:rsidR="00631EB4" w:rsidRPr="001A68E6">
              <w:rPr>
                <w:color w:val="000000"/>
                <w:sz w:val="16"/>
                <w:szCs w:val="16"/>
                <w:u w:val="double"/>
              </w:rPr>
              <w:t>’</w:t>
            </w:r>
            <w:r w:rsidRPr="001A68E6">
              <w:rPr>
                <w:color w:val="000000"/>
                <w:sz w:val="16"/>
                <w:szCs w:val="16"/>
                <w:u w:val="double"/>
              </w:rPr>
              <w:t xml:space="preserve"> FAM, 3’ BHQ1)</w:t>
            </w:r>
          </w:p>
        </w:tc>
        <w:tc>
          <w:tcPr>
            <w:tcW w:w="1276" w:type="dxa"/>
            <w:tcBorders>
              <w:top w:val="single" w:sz="6" w:space="0" w:color="auto"/>
              <w:bottom w:val="single" w:sz="4" w:space="0" w:color="auto"/>
            </w:tcBorders>
          </w:tcPr>
          <w:p w14:paraId="63CF1AF7" w14:textId="77777777" w:rsidR="006830D1" w:rsidRPr="001A68E6" w:rsidRDefault="006830D1" w:rsidP="00631EB4">
            <w:pPr>
              <w:pStyle w:val="para1"/>
              <w:spacing w:before="100" w:after="100"/>
              <w:jc w:val="left"/>
              <w:rPr>
                <w:sz w:val="16"/>
                <w:szCs w:val="16"/>
                <w:u w:val="double"/>
              </w:rPr>
            </w:pPr>
            <w:r w:rsidRPr="001A68E6">
              <w:rPr>
                <w:color w:val="000000"/>
                <w:sz w:val="16"/>
                <w:szCs w:val="16"/>
                <w:u w:val="double"/>
              </w:rPr>
              <w:t>99 bp</w:t>
            </w:r>
          </w:p>
        </w:tc>
        <w:tc>
          <w:tcPr>
            <w:tcW w:w="1535" w:type="dxa"/>
            <w:tcBorders>
              <w:top w:val="single" w:sz="6" w:space="0" w:color="auto"/>
              <w:bottom w:val="single" w:sz="4" w:space="0" w:color="auto"/>
            </w:tcBorders>
          </w:tcPr>
          <w:p w14:paraId="1B4A563E"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Baigent </w:t>
            </w:r>
            <w:r w:rsidRPr="001A68E6">
              <w:rPr>
                <w:i/>
                <w:sz w:val="16"/>
                <w:szCs w:val="16"/>
                <w:u w:val="double"/>
              </w:rPr>
              <w:t>et al</w:t>
            </w:r>
            <w:r w:rsidRPr="001A68E6">
              <w:rPr>
                <w:sz w:val="16"/>
                <w:szCs w:val="16"/>
                <w:u w:val="double"/>
              </w:rPr>
              <w:t>., 2016</w:t>
            </w:r>
          </w:p>
        </w:tc>
      </w:tr>
      <w:tr w:rsidR="00C3259E" w:rsidRPr="001A68E6" w14:paraId="1AF7E341" w14:textId="77777777" w:rsidTr="00556B1C">
        <w:tblPrEx>
          <w:tblCellMar>
            <w:left w:w="70" w:type="dxa"/>
            <w:right w:w="70" w:type="dxa"/>
          </w:tblCellMar>
        </w:tblPrEx>
        <w:trPr>
          <w:cantSplit/>
        </w:trPr>
        <w:tc>
          <w:tcPr>
            <w:tcW w:w="1247" w:type="dxa"/>
            <w:tcBorders>
              <w:top w:val="single" w:sz="4" w:space="0" w:color="auto"/>
              <w:bottom w:val="single" w:sz="4" w:space="0" w:color="auto"/>
            </w:tcBorders>
          </w:tcPr>
          <w:p w14:paraId="2E54A0C7" w14:textId="437EF237" w:rsidR="006830D1" w:rsidRPr="001A68E6" w:rsidRDefault="008D2321" w:rsidP="00631EB4">
            <w:pPr>
              <w:pStyle w:val="para1"/>
              <w:spacing w:before="100" w:after="100"/>
              <w:jc w:val="left"/>
              <w:rPr>
                <w:sz w:val="16"/>
                <w:szCs w:val="16"/>
                <w:u w:val="double"/>
              </w:rPr>
            </w:pPr>
            <w:r>
              <w:rPr>
                <w:sz w:val="16"/>
                <w:szCs w:val="16"/>
                <w:u w:val="double"/>
              </w:rPr>
              <w:lastRenderedPageBreak/>
              <w:t>CVI</w:t>
            </w:r>
            <w:r w:rsidRPr="000561C0">
              <w:rPr>
                <w:sz w:val="16"/>
                <w:szCs w:val="16"/>
                <w:highlight w:val="yellow"/>
                <w:u w:val="double"/>
              </w:rPr>
              <w:t>-</w:t>
            </w:r>
            <w:r>
              <w:rPr>
                <w:sz w:val="16"/>
                <w:szCs w:val="16"/>
                <w:u w:val="double"/>
              </w:rPr>
              <w:t>988</w:t>
            </w:r>
            <w:r w:rsidR="006830D1" w:rsidRPr="001A68E6">
              <w:rPr>
                <w:sz w:val="16"/>
                <w:szCs w:val="16"/>
                <w:u w:val="double"/>
              </w:rPr>
              <w:t xml:space="preserve"> (Rispens)-specific pp38</w:t>
            </w:r>
          </w:p>
        </w:tc>
        <w:tc>
          <w:tcPr>
            <w:tcW w:w="5012" w:type="dxa"/>
            <w:tcBorders>
              <w:top w:val="single" w:sz="4" w:space="0" w:color="auto"/>
              <w:bottom w:val="single" w:sz="4" w:space="0" w:color="auto"/>
            </w:tcBorders>
          </w:tcPr>
          <w:p w14:paraId="7FA8BB7F" w14:textId="36836F6A"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SNP FP: GAG</w:t>
            </w:r>
            <w:r w:rsidR="00631EB4" w:rsidRPr="001A68E6">
              <w:rPr>
                <w:color w:val="000000"/>
                <w:sz w:val="16"/>
                <w:szCs w:val="16"/>
                <w:u w:val="double"/>
              </w:rPr>
              <w:t>-</w:t>
            </w:r>
            <w:r w:rsidRPr="001A68E6">
              <w:rPr>
                <w:color w:val="000000"/>
                <w:sz w:val="16"/>
                <w:szCs w:val="16"/>
                <w:u w:val="double"/>
              </w:rPr>
              <w:t>CTA</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GAG</w:t>
            </w:r>
            <w:r w:rsidR="00631EB4" w:rsidRPr="001A68E6">
              <w:rPr>
                <w:color w:val="000000"/>
                <w:sz w:val="16"/>
                <w:szCs w:val="16"/>
                <w:u w:val="double"/>
              </w:rPr>
              <w:t>-</w:t>
            </w:r>
            <w:r w:rsidRPr="001A68E6">
              <w:rPr>
                <w:color w:val="000000"/>
                <w:sz w:val="16"/>
                <w:szCs w:val="16"/>
                <w:u w:val="double"/>
              </w:rPr>
              <w:t>GGA</w:t>
            </w:r>
            <w:r w:rsidR="00631EB4" w:rsidRPr="001A68E6">
              <w:rPr>
                <w:color w:val="000000"/>
                <w:sz w:val="16"/>
                <w:szCs w:val="16"/>
                <w:u w:val="double"/>
              </w:rPr>
              <w:t>-</w:t>
            </w:r>
            <w:r w:rsidRPr="001A68E6">
              <w:rPr>
                <w:color w:val="000000"/>
                <w:sz w:val="16"/>
                <w:szCs w:val="16"/>
                <w:u w:val="double"/>
              </w:rPr>
              <w:t>GA</w:t>
            </w:r>
          </w:p>
          <w:p w14:paraId="072DE2BD" w14:textId="40E999CA"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SNP RP: CGC</w:t>
            </w:r>
            <w:r w:rsidR="00631EB4" w:rsidRPr="001A68E6">
              <w:rPr>
                <w:color w:val="000000"/>
                <w:sz w:val="16"/>
                <w:szCs w:val="16"/>
                <w:u w:val="double"/>
              </w:rPr>
              <w:t>-</w:t>
            </w:r>
            <w:r w:rsidRPr="001A68E6">
              <w:rPr>
                <w:color w:val="000000"/>
                <w:sz w:val="16"/>
                <w:szCs w:val="16"/>
                <w:u w:val="double"/>
              </w:rPr>
              <w:t>ATA</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ACT</w:t>
            </w:r>
            <w:r w:rsidR="00631EB4" w:rsidRPr="001A68E6">
              <w:rPr>
                <w:color w:val="000000"/>
                <w:sz w:val="16"/>
                <w:szCs w:val="16"/>
                <w:u w:val="double"/>
              </w:rPr>
              <w:t>-</w:t>
            </w:r>
            <w:r w:rsidRPr="001A68E6">
              <w:rPr>
                <w:color w:val="000000"/>
                <w:sz w:val="16"/>
                <w:szCs w:val="16"/>
                <w:u w:val="double"/>
              </w:rPr>
              <w:t>TTC</w:t>
            </w:r>
            <w:r w:rsidR="00631EB4" w:rsidRPr="001A68E6">
              <w:rPr>
                <w:color w:val="000000"/>
                <w:sz w:val="16"/>
                <w:szCs w:val="16"/>
                <w:u w:val="double"/>
              </w:rPr>
              <w:t>-</w:t>
            </w:r>
            <w:r w:rsidRPr="001A68E6">
              <w:rPr>
                <w:color w:val="000000"/>
                <w:sz w:val="16"/>
                <w:szCs w:val="16"/>
                <w:u w:val="double"/>
              </w:rPr>
              <w:t>GTC</w:t>
            </w:r>
            <w:r w:rsidR="00631EB4" w:rsidRPr="001A68E6">
              <w:rPr>
                <w:color w:val="000000"/>
                <w:sz w:val="16"/>
                <w:szCs w:val="16"/>
                <w:u w:val="double"/>
              </w:rPr>
              <w:t>-</w:t>
            </w:r>
            <w:r w:rsidRPr="001A68E6">
              <w:rPr>
                <w:color w:val="000000"/>
                <w:sz w:val="16"/>
                <w:szCs w:val="16"/>
                <w:u w:val="double"/>
              </w:rPr>
              <w:t>AA</w:t>
            </w:r>
          </w:p>
          <w:p w14:paraId="066019D9" w14:textId="4D68CD11" w:rsidR="006830D1" w:rsidRPr="001A68E6" w:rsidRDefault="006830D1" w:rsidP="00AA3A78">
            <w:pPr>
              <w:pStyle w:val="para1"/>
              <w:spacing w:before="100" w:after="100"/>
              <w:jc w:val="left"/>
              <w:rPr>
                <w:sz w:val="16"/>
                <w:szCs w:val="16"/>
                <w:u w:val="double"/>
              </w:rPr>
            </w:pPr>
            <w:r w:rsidRPr="001A68E6">
              <w:rPr>
                <w:color w:val="000000"/>
                <w:sz w:val="16"/>
                <w:szCs w:val="16"/>
                <w:u w:val="double"/>
              </w:rPr>
              <w:t>Probe CCC</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GTG</w:t>
            </w:r>
            <w:r w:rsidR="00631EB4" w:rsidRPr="001A68E6">
              <w:rPr>
                <w:color w:val="000000"/>
                <w:sz w:val="16"/>
                <w:szCs w:val="16"/>
                <w:u w:val="double"/>
              </w:rPr>
              <w:t>-</w:t>
            </w:r>
            <w:r w:rsidRPr="001A68E6">
              <w:rPr>
                <w:color w:val="000000"/>
                <w:sz w:val="16"/>
                <w:szCs w:val="16"/>
                <w:u w:val="double"/>
              </w:rPr>
              <w:t>ACA</w:t>
            </w:r>
            <w:r w:rsidR="00631EB4" w:rsidRPr="001A68E6">
              <w:rPr>
                <w:color w:val="000000"/>
                <w:sz w:val="16"/>
                <w:szCs w:val="16"/>
                <w:u w:val="double"/>
              </w:rPr>
              <w:t>-</w:t>
            </w:r>
            <w:r w:rsidRPr="001A68E6">
              <w:rPr>
                <w:color w:val="000000"/>
                <w:sz w:val="16"/>
                <w:szCs w:val="16"/>
                <w:u w:val="double"/>
              </w:rPr>
              <w:t>GCC (5</w:t>
            </w:r>
            <w:r w:rsidR="00631EB4" w:rsidRPr="001A68E6">
              <w:rPr>
                <w:color w:val="000000"/>
                <w:sz w:val="16"/>
                <w:szCs w:val="16"/>
                <w:u w:val="double"/>
              </w:rPr>
              <w:t>’</w:t>
            </w:r>
            <w:r w:rsidRPr="001A68E6">
              <w:rPr>
                <w:color w:val="000000"/>
                <w:sz w:val="16"/>
                <w:szCs w:val="16"/>
                <w:u w:val="double"/>
              </w:rPr>
              <w:t xml:space="preserve"> FAM, 3’ BHQ1)</w:t>
            </w:r>
          </w:p>
        </w:tc>
        <w:tc>
          <w:tcPr>
            <w:tcW w:w="1276" w:type="dxa"/>
            <w:tcBorders>
              <w:top w:val="single" w:sz="4" w:space="0" w:color="auto"/>
              <w:bottom w:val="single" w:sz="4" w:space="0" w:color="auto"/>
            </w:tcBorders>
          </w:tcPr>
          <w:p w14:paraId="2FCC3B40" w14:textId="77777777" w:rsidR="006830D1" w:rsidRPr="001A68E6" w:rsidRDefault="006830D1" w:rsidP="00631EB4">
            <w:pPr>
              <w:pStyle w:val="para1"/>
              <w:spacing w:before="100" w:after="100"/>
              <w:jc w:val="left"/>
              <w:rPr>
                <w:sz w:val="16"/>
                <w:szCs w:val="16"/>
                <w:u w:val="double"/>
              </w:rPr>
            </w:pPr>
            <w:r w:rsidRPr="001A68E6">
              <w:rPr>
                <w:color w:val="000000"/>
                <w:sz w:val="16"/>
                <w:szCs w:val="16"/>
                <w:u w:val="double"/>
              </w:rPr>
              <w:t>99 bp</w:t>
            </w:r>
          </w:p>
        </w:tc>
        <w:tc>
          <w:tcPr>
            <w:tcW w:w="1535" w:type="dxa"/>
            <w:tcBorders>
              <w:top w:val="single" w:sz="4" w:space="0" w:color="auto"/>
              <w:bottom w:val="single" w:sz="4" w:space="0" w:color="auto"/>
            </w:tcBorders>
          </w:tcPr>
          <w:p w14:paraId="4909E08A"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Baigent </w:t>
            </w:r>
            <w:r w:rsidRPr="001A68E6">
              <w:rPr>
                <w:i/>
                <w:sz w:val="16"/>
                <w:szCs w:val="16"/>
                <w:u w:val="double"/>
              </w:rPr>
              <w:t>et al</w:t>
            </w:r>
            <w:r w:rsidRPr="001A68E6">
              <w:rPr>
                <w:sz w:val="16"/>
                <w:szCs w:val="16"/>
                <w:u w:val="double"/>
              </w:rPr>
              <w:t>., 2016</w:t>
            </w:r>
          </w:p>
        </w:tc>
      </w:tr>
      <w:tr w:rsidR="00AA3A78" w:rsidRPr="001A68E6" w14:paraId="75807DD3" w14:textId="77777777" w:rsidTr="00556B1C">
        <w:tblPrEx>
          <w:tblCellMar>
            <w:left w:w="70" w:type="dxa"/>
            <w:right w:w="70" w:type="dxa"/>
          </w:tblCellMar>
        </w:tblPrEx>
        <w:trPr>
          <w:cantSplit/>
        </w:trPr>
        <w:tc>
          <w:tcPr>
            <w:tcW w:w="1247" w:type="dxa"/>
            <w:tcBorders>
              <w:top w:val="single" w:sz="4" w:space="0" w:color="auto"/>
              <w:bottom w:val="single" w:sz="4" w:space="0" w:color="auto"/>
            </w:tcBorders>
          </w:tcPr>
          <w:p w14:paraId="32D5F547" w14:textId="77777777" w:rsidR="006830D1" w:rsidRPr="001A68E6" w:rsidRDefault="006830D1" w:rsidP="00631EB4">
            <w:pPr>
              <w:pStyle w:val="para1"/>
              <w:spacing w:before="100" w:after="100"/>
              <w:jc w:val="left"/>
              <w:rPr>
                <w:sz w:val="16"/>
                <w:szCs w:val="16"/>
                <w:u w:val="double"/>
              </w:rPr>
            </w:pPr>
            <w:r w:rsidRPr="001A68E6">
              <w:rPr>
                <w:sz w:val="16"/>
                <w:szCs w:val="16"/>
                <w:u w:val="double"/>
              </w:rPr>
              <w:t>MDV-2 DNA Pol gene</w:t>
            </w:r>
          </w:p>
        </w:tc>
        <w:tc>
          <w:tcPr>
            <w:tcW w:w="5012" w:type="dxa"/>
            <w:tcBorders>
              <w:top w:val="single" w:sz="4" w:space="0" w:color="auto"/>
              <w:bottom w:val="single" w:sz="4" w:space="0" w:color="auto"/>
            </w:tcBorders>
          </w:tcPr>
          <w:p w14:paraId="552F7544" w14:textId="40C7BAC4"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Pol FP: AGC</w:t>
            </w:r>
            <w:r w:rsidR="00631EB4" w:rsidRPr="001A68E6">
              <w:rPr>
                <w:color w:val="000000"/>
                <w:sz w:val="16"/>
                <w:szCs w:val="16"/>
                <w:u w:val="double"/>
              </w:rPr>
              <w:t>-</w:t>
            </w:r>
            <w:r w:rsidRPr="001A68E6">
              <w:rPr>
                <w:color w:val="000000"/>
                <w:sz w:val="16"/>
                <w:szCs w:val="16"/>
                <w:u w:val="double"/>
              </w:rPr>
              <w:t>ATG</w:t>
            </w:r>
            <w:r w:rsidR="00631EB4" w:rsidRPr="001A68E6">
              <w:rPr>
                <w:color w:val="000000"/>
                <w:sz w:val="16"/>
                <w:szCs w:val="16"/>
                <w:u w:val="double"/>
              </w:rPr>
              <w:t>-</w:t>
            </w:r>
            <w:r w:rsidRPr="001A68E6">
              <w:rPr>
                <w:color w:val="000000"/>
                <w:sz w:val="16"/>
                <w:szCs w:val="16"/>
                <w:u w:val="double"/>
              </w:rPr>
              <w:t>CGG</w:t>
            </w:r>
            <w:r w:rsidR="00631EB4" w:rsidRPr="001A68E6">
              <w:rPr>
                <w:color w:val="000000"/>
                <w:sz w:val="16"/>
                <w:szCs w:val="16"/>
                <w:u w:val="double"/>
              </w:rPr>
              <w:t>-</w:t>
            </w:r>
            <w:r w:rsidRPr="001A68E6">
              <w:rPr>
                <w:color w:val="000000"/>
                <w:sz w:val="16"/>
                <w:szCs w:val="16"/>
                <w:u w:val="double"/>
              </w:rPr>
              <w:t>GAA</w:t>
            </w:r>
            <w:r w:rsidR="00631EB4" w:rsidRPr="001A68E6">
              <w:rPr>
                <w:color w:val="000000"/>
                <w:sz w:val="16"/>
                <w:szCs w:val="16"/>
                <w:u w:val="double"/>
              </w:rPr>
              <w:t>-</w:t>
            </w:r>
            <w:r w:rsidRPr="001A68E6">
              <w:rPr>
                <w:color w:val="000000"/>
                <w:sz w:val="16"/>
                <w:szCs w:val="16"/>
                <w:u w:val="double"/>
              </w:rPr>
              <w:t>GAA</w:t>
            </w:r>
            <w:r w:rsidR="00631EB4" w:rsidRPr="001A68E6">
              <w:rPr>
                <w:color w:val="000000"/>
                <w:sz w:val="16"/>
                <w:szCs w:val="16"/>
                <w:u w:val="double"/>
              </w:rPr>
              <w:t>-</w:t>
            </w:r>
            <w:r w:rsidRPr="001A68E6">
              <w:rPr>
                <w:color w:val="000000"/>
                <w:sz w:val="16"/>
                <w:szCs w:val="16"/>
                <w:u w:val="double"/>
              </w:rPr>
              <w:t>AAG</w:t>
            </w:r>
            <w:r w:rsidR="00631EB4" w:rsidRPr="001A68E6">
              <w:rPr>
                <w:color w:val="000000"/>
                <w:sz w:val="16"/>
                <w:szCs w:val="16"/>
                <w:u w:val="double"/>
              </w:rPr>
              <w:t>-</w:t>
            </w:r>
            <w:r w:rsidRPr="001A68E6">
              <w:rPr>
                <w:color w:val="000000"/>
                <w:sz w:val="16"/>
                <w:szCs w:val="16"/>
                <w:u w:val="double"/>
              </w:rPr>
              <w:t>AG</w:t>
            </w:r>
          </w:p>
          <w:p w14:paraId="18B28EB1" w14:textId="40F48DEC"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Pol RP: GAA</w:t>
            </w:r>
            <w:r w:rsidR="00631EB4" w:rsidRPr="001A68E6">
              <w:rPr>
                <w:color w:val="000000"/>
                <w:sz w:val="16"/>
                <w:szCs w:val="16"/>
                <w:u w:val="double"/>
              </w:rPr>
              <w:t>-</w:t>
            </w:r>
            <w:r w:rsidRPr="001A68E6">
              <w:rPr>
                <w:color w:val="000000"/>
                <w:sz w:val="16"/>
                <w:szCs w:val="16"/>
                <w:u w:val="double"/>
              </w:rPr>
              <w:t>AGG</w:t>
            </w:r>
            <w:r w:rsidR="00631EB4" w:rsidRPr="001A68E6">
              <w:rPr>
                <w:color w:val="000000"/>
                <w:sz w:val="16"/>
                <w:szCs w:val="16"/>
                <w:u w:val="double"/>
              </w:rPr>
              <w:t>-</w:t>
            </w:r>
            <w:r w:rsidRPr="001A68E6">
              <w:rPr>
                <w:color w:val="000000"/>
                <w:sz w:val="16"/>
                <w:szCs w:val="16"/>
                <w:u w:val="double"/>
              </w:rPr>
              <w:t>TTT</w:t>
            </w:r>
            <w:r w:rsidR="00631EB4" w:rsidRPr="001A68E6">
              <w:rPr>
                <w:color w:val="000000"/>
                <w:sz w:val="16"/>
                <w:szCs w:val="16"/>
                <w:u w:val="double"/>
              </w:rPr>
              <w:t>-</w:t>
            </w:r>
            <w:r w:rsidRPr="001A68E6">
              <w:rPr>
                <w:color w:val="000000"/>
                <w:sz w:val="16"/>
                <w:szCs w:val="16"/>
                <w:u w:val="double"/>
              </w:rPr>
              <w:t>TCC</w:t>
            </w:r>
            <w:r w:rsidR="00631EB4" w:rsidRPr="001A68E6">
              <w:rPr>
                <w:color w:val="000000"/>
                <w:sz w:val="16"/>
                <w:szCs w:val="16"/>
                <w:u w:val="double"/>
              </w:rPr>
              <w:t>-</w:t>
            </w:r>
            <w:r w:rsidRPr="001A68E6">
              <w:rPr>
                <w:color w:val="000000"/>
                <w:sz w:val="16"/>
                <w:szCs w:val="16"/>
                <w:u w:val="double"/>
              </w:rPr>
              <w:t>GCT</w:t>
            </w:r>
            <w:r w:rsidR="00631EB4" w:rsidRPr="001A68E6">
              <w:rPr>
                <w:color w:val="000000"/>
                <w:sz w:val="16"/>
                <w:szCs w:val="16"/>
                <w:u w:val="double"/>
              </w:rPr>
              <w:t>-</w:t>
            </w:r>
            <w:r w:rsidRPr="001A68E6">
              <w:rPr>
                <w:color w:val="000000"/>
                <w:sz w:val="16"/>
                <w:szCs w:val="16"/>
                <w:u w:val="double"/>
              </w:rPr>
              <w:t>CCC</w:t>
            </w:r>
            <w:r w:rsidR="00631EB4" w:rsidRPr="001A68E6">
              <w:rPr>
                <w:color w:val="000000"/>
                <w:sz w:val="16"/>
                <w:szCs w:val="16"/>
                <w:u w:val="double"/>
              </w:rPr>
              <w:t>-</w:t>
            </w:r>
            <w:r w:rsidRPr="001A68E6">
              <w:rPr>
                <w:color w:val="000000"/>
                <w:sz w:val="16"/>
                <w:szCs w:val="16"/>
                <w:u w:val="double"/>
              </w:rPr>
              <w:t>ATA</w:t>
            </w:r>
          </w:p>
          <w:p w14:paraId="1518DFBD" w14:textId="0B6FAE59"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Probe CGC</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TAA</w:t>
            </w:r>
            <w:r w:rsidR="00631EB4" w:rsidRPr="001A68E6">
              <w:rPr>
                <w:color w:val="000000"/>
                <w:sz w:val="16"/>
                <w:szCs w:val="16"/>
                <w:u w:val="double"/>
              </w:rPr>
              <w:t>-</w:t>
            </w:r>
            <w:r w:rsidRPr="001A68E6">
              <w:rPr>
                <w:color w:val="000000"/>
                <w:sz w:val="16"/>
                <w:szCs w:val="16"/>
                <w:u w:val="double"/>
              </w:rPr>
              <w:t>TGC</w:t>
            </w:r>
            <w:r w:rsidR="00631EB4" w:rsidRPr="001A68E6">
              <w:rPr>
                <w:color w:val="000000"/>
                <w:sz w:val="16"/>
                <w:szCs w:val="16"/>
                <w:u w:val="double"/>
              </w:rPr>
              <w:t>-</w:t>
            </w:r>
            <w:r w:rsidRPr="001A68E6">
              <w:rPr>
                <w:color w:val="000000"/>
                <w:sz w:val="16"/>
                <w:szCs w:val="16"/>
                <w:u w:val="double"/>
              </w:rPr>
              <w:t>ACC</w:t>
            </w:r>
            <w:r w:rsidR="00631EB4" w:rsidRPr="001A68E6">
              <w:rPr>
                <w:color w:val="000000"/>
                <w:sz w:val="16"/>
                <w:szCs w:val="16"/>
                <w:u w:val="double"/>
              </w:rPr>
              <w:t>-</w:t>
            </w:r>
            <w:r w:rsidRPr="001A68E6">
              <w:rPr>
                <w:color w:val="000000"/>
                <w:sz w:val="16"/>
                <w:szCs w:val="16"/>
                <w:u w:val="double"/>
              </w:rPr>
              <w:t>CGT</w:t>
            </w:r>
            <w:r w:rsidR="00631EB4" w:rsidRPr="001A68E6">
              <w:rPr>
                <w:color w:val="000000"/>
                <w:sz w:val="16"/>
                <w:szCs w:val="16"/>
                <w:u w:val="double"/>
              </w:rPr>
              <w:t>-</w:t>
            </w:r>
            <w:r w:rsidRPr="001A68E6">
              <w:rPr>
                <w:color w:val="000000"/>
                <w:sz w:val="16"/>
                <w:szCs w:val="16"/>
                <w:u w:val="double"/>
              </w:rPr>
              <w:t>GAC</w:t>
            </w:r>
            <w:r w:rsidR="00631EB4" w:rsidRPr="001A68E6">
              <w:rPr>
                <w:color w:val="000000"/>
                <w:sz w:val="16"/>
                <w:szCs w:val="16"/>
                <w:u w:val="double"/>
              </w:rPr>
              <w:t>-</w:t>
            </w:r>
            <w:r w:rsidRPr="001A68E6">
              <w:rPr>
                <w:color w:val="000000"/>
                <w:sz w:val="16"/>
                <w:szCs w:val="16"/>
                <w:u w:val="double"/>
              </w:rPr>
              <w:t>T (5</w:t>
            </w:r>
            <w:r w:rsidR="00631EB4" w:rsidRPr="001A68E6">
              <w:rPr>
                <w:color w:val="000000"/>
                <w:sz w:val="16"/>
                <w:szCs w:val="16"/>
                <w:u w:val="double"/>
              </w:rPr>
              <w:t>’</w:t>
            </w:r>
            <w:r w:rsidRPr="001A68E6">
              <w:rPr>
                <w:color w:val="000000"/>
                <w:sz w:val="16"/>
                <w:szCs w:val="16"/>
                <w:u w:val="double"/>
              </w:rPr>
              <w:t xml:space="preserve"> FAM, 3’ BHQ1)</w:t>
            </w:r>
          </w:p>
        </w:tc>
        <w:tc>
          <w:tcPr>
            <w:tcW w:w="1276" w:type="dxa"/>
            <w:tcBorders>
              <w:top w:val="single" w:sz="4" w:space="0" w:color="auto"/>
              <w:bottom w:val="single" w:sz="4" w:space="0" w:color="auto"/>
            </w:tcBorders>
          </w:tcPr>
          <w:p w14:paraId="764C1B6A" w14:textId="77777777" w:rsidR="006830D1" w:rsidRPr="001A68E6" w:rsidRDefault="006830D1" w:rsidP="00631EB4">
            <w:pPr>
              <w:pStyle w:val="para1"/>
              <w:spacing w:before="100" w:after="100"/>
              <w:jc w:val="left"/>
              <w:rPr>
                <w:sz w:val="16"/>
                <w:szCs w:val="16"/>
                <w:u w:val="double"/>
              </w:rPr>
            </w:pPr>
            <w:r w:rsidRPr="001A68E6">
              <w:rPr>
                <w:color w:val="000000"/>
                <w:sz w:val="16"/>
                <w:szCs w:val="16"/>
                <w:u w:val="double"/>
              </w:rPr>
              <w:t>100 bp</w:t>
            </w:r>
          </w:p>
        </w:tc>
        <w:tc>
          <w:tcPr>
            <w:tcW w:w="1535" w:type="dxa"/>
            <w:tcBorders>
              <w:top w:val="single" w:sz="4" w:space="0" w:color="auto"/>
              <w:bottom w:val="single" w:sz="4" w:space="0" w:color="auto"/>
            </w:tcBorders>
          </w:tcPr>
          <w:p w14:paraId="60C4B5D4"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Renz </w:t>
            </w:r>
            <w:r w:rsidRPr="001A68E6">
              <w:rPr>
                <w:i/>
                <w:sz w:val="16"/>
                <w:szCs w:val="16"/>
                <w:u w:val="double"/>
              </w:rPr>
              <w:t>et al</w:t>
            </w:r>
            <w:r w:rsidRPr="001A68E6">
              <w:rPr>
                <w:sz w:val="16"/>
                <w:szCs w:val="16"/>
                <w:u w:val="double"/>
              </w:rPr>
              <w:t>., 2006</w:t>
            </w:r>
          </w:p>
        </w:tc>
      </w:tr>
      <w:tr w:rsidR="00AA3A78" w:rsidRPr="001A68E6" w14:paraId="7B6FF6D4" w14:textId="77777777" w:rsidTr="00556B1C">
        <w:tblPrEx>
          <w:tblCellMar>
            <w:left w:w="70" w:type="dxa"/>
            <w:right w:w="70" w:type="dxa"/>
          </w:tblCellMar>
        </w:tblPrEx>
        <w:trPr>
          <w:cantSplit/>
        </w:trPr>
        <w:tc>
          <w:tcPr>
            <w:tcW w:w="1247" w:type="dxa"/>
            <w:tcBorders>
              <w:top w:val="single" w:sz="4" w:space="0" w:color="auto"/>
              <w:bottom w:val="single" w:sz="4" w:space="0" w:color="auto"/>
            </w:tcBorders>
          </w:tcPr>
          <w:p w14:paraId="5D67F280" w14:textId="77777777" w:rsidR="006830D1" w:rsidRPr="001A68E6" w:rsidRDefault="006830D1" w:rsidP="00631EB4">
            <w:pPr>
              <w:pStyle w:val="para1"/>
              <w:spacing w:before="100" w:after="100"/>
              <w:jc w:val="left"/>
              <w:rPr>
                <w:sz w:val="16"/>
                <w:szCs w:val="16"/>
                <w:u w:val="double"/>
              </w:rPr>
            </w:pPr>
            <w:r w:rsidRPr="001A68E6">
              <w:rPr>
                <w:sz w:val="16"/>
                <w:szCs w:val="16"/>
                <w:u w:val="double"/>
              </w:rPr>
              <w:t>HVT sORF-1 gene</w:t>
            </w:r>
          </w:p>
        </w:tc>
        <w:tc>
          <w:tcPr>
            <w:tcW w:w="5012" w:type="dxa"/>
            <w:tcBorders>
              <w:top w:val="single" w:sz="4" w:space="0" w:color="auto"/>
              <w:bottom w:val="single" w:sz="4" w:space="0" w:color="auto"/>
            </w:tcBorders>
          </w:tcPr>
          <w:p w14:paraId="77CEF33C" w14:textId="6C9D2D38"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sORF1 FP: GGC</w:t>
            </w:r>
            <w:r w:rsidR="00631EB4" w:rsidRPr="001A68E6">
              <w:rPr>
                <w:color w:val="000000"/>
                <w:sz w:val="16"/>
                <w:szCs w:val="16"/>
                <w:u w:val="double"/>
              </w:rPr>
              <w:t>-</w:t>
            </w:r>
            <w:r w:rsidRPr="001A68E6">
              <w:rPr>
                <w:color w:val="000000"/>
                <w:sz w:val="16"/>
                <w:szCs w:val="16"/>
                <w:u w:val="double"/>
              </w:rPr>
              <w:t>AGA</w:t>
            </w:r>
            <w:r w:rsidR="00631EB4" w:rsidRPr="001A68E6">
              <w:rPr>
                <w:color w:val="000000"/>
                <w:sz w:val="16"/>
                <w:szCs w:val="16"/>
                <w:u w:val="double"/>
              </w:rPr>
              <w:t>-</w:t>
            </w:r>
            <w:r w:rsidRPr="001A68E6">
              <w:rPr>
                <w:color w:val="000000"/>
                <w:sz w:val="16"/>
                <w:szCs w:val="16"/>
                <w:u w:val="double"/>
              </w:rPr>
              <w:t>CAC</w:t>
            </w:r>
            <w:r w:rsidR="00631EB4" w:rsidRPr="001A68E6">
              <w:rPr>
                <w:color w:val="000000"/>
                <w:sz w:val="16"/>
                <w:szCs w:val="16"/>
                <w:u w:val="double"/>
              </w:rPr>
              <w:t>-</w:t>
            </w:r>
            <w:r w:rsidRPr="001A68E6">
              <w:rPr>
                <w:color w:val="000000"/>
                <w:sz w:val="16"/>
                <w:szCs w:val="16"/>
                <w:u w:val="double"/>
              </w:rPr>
              <w:t>CGC</w:t>
            </w:r>
            <w:r w:rsidR="00631EB4" w:rsidRPr="001A68E6">
              <w:rPr>
                <w:color w:val="000000"/>
                <w:sz w:val="16"/>
                <w:szCs w:val="16"/>
                <w:u w:val="double"/>
              </w:rPr>
              <w:t>-</w:t>
            </w:r>
            <w:r w:rsidRPr="001A68E6">
              <w:rPr>
                <w:color w:val="000000"/>
                <w:sz w:val="16"/>
                <w:szCs w:val="16"/>
                <w:u w:val="double"/>
              </w:rPr>
              <w:t>GTT</w:t>
            </w:r>
            <w:r w:rsidR="00631EB4" w:rsidRPr="001A68E6">
              <w:rPr>
                <w:color w:val="000000"/>
                <w:sz w:val="16"/>
                <w:szCs w:val="16"/>
                <w:u w:val="double"/>
              </w:rPr>
              <w:t>-</w:t>
            </w:r>
            <w:r w:rsidRPr="001A68E6">
              <w:rPr>
                <w:color w:val="000000"/>
                <w:sz w:val="16"/>
                <w:szCs w:val="16"/>
                <w:u w:val="double"/>
              </w:rPr>
              <w:t>GTA</w:t>
            </w:r>
            <w:r w:rsidR="00631EB4" w:rsidRPr="001A68E6">
              <w:rPr>
                <w:color w:val="000000"/>
                <w:sz w:val="16"/>
                <w:szCs w:val="16"/>
                <w:u w:val="double"/>
              </w:rPr>
              <w:t>-</w:t>
            </w:r>
            <w:r w:rsidRPr="001A68E6">
              <w:rPr>
                <w:color w:val="000000"/>
                <w:sz w:val="16"/>
                <w:szCs w:val="16"/>
                <w:u w:val="double"/>
              </w:rPr>
              <w:t>T</w:t>
            </w:r>
          </w:p>
          <w:p w14:paraId="595643B9" w14:textId="7AC015DD"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sORF1 RP: TGT</w:t>
            </w:r>
            <w:r w:rsidR="00631EB4" w:rsidRPr="001A68E6">
              <w:rPr>
                <w:color w:val="000000"/>
                <w:sz w:val="16"/>
                <w:szCs w:val="16"/>
                <w:u w:val="double"/>
              </w:rPr>
              <w:t>-</w:t>
            </w:r>
            <w:r w:rsidRPr="001A68E6">
              <w:rPr>
                <w:color w:val="000000"/>
                <w:sz w:val="16"/>
                <w:szCs w:val="16"/>
                <w:u w:val="double"/>
              </w:rPr>
              <w:t>CCA</w:t>
            </w:r>
            <w:r w:rsidR="00631EB4" w:rsidRPr="001A68E6">
              <w:rPr>
                <w:color w:val="000000"/>
                <w:sz w:val="16"/>
                <w:szCs w:val="16"/>
                <w:u w:val="double"/>
              </w:rPr>
              <w:t>-</w:t>
            </w:r>
            <w:r w:rsidRPr="001A68E6">
              <w:rPr>
                <w:color w:val="000000"/>
                <w:sz w:val="16"/>
                <w:szCs w:val="16"/>
                <w:u w:val="double"/>
              </w:rPr>
              <w:t>CGC</w:t>
            </w:r>
            <w:r w:rsidR="00631EB4" w:rsidRPr="001A68E6">
              <w:rPr>
                <w:color w:val="000000"/>
                <w:sz w:val="16"/>
                <w:szCs w:val="16"/>
                <w:u w:val="double"/>
              </w:rPr>
              <w:t>-</w:t>
            </w:r>
            <w:r w:rsidRPr="001A68E6">
              <w:rPr>
                <w:color w:val="000000"/>
                <w:sz w:val="16"/>
                <w:szCs w:val="16"/>
                <w:u w:val="double"/>
              </w:rPr>
              <w:t>TCG</w:t>
            </w:r>
            <w:r w:rsidR="00631EB4" w:rsidRPr="001A68E6">
              <w:rPr>
                <w:color w:val="000000"/>
                <w:sz w:val="16"/>
                <w:szCs w:val="16"/>
                <w:u w:val="double"/>
              </w:rPr>
              <w:t>-</w:t>
            </w:r>
            <w:r w:rsidRPr="001A68E6">
              <w:rPr>
                <w:color w:val="000000"/>
                <w:sz w:val="16"/>
                <w:szCs w:val="16"/>
                <w:u w:val="double"/>
              </w:rPr>
              <w:t>AGA</w:t>
            </w:r>
            <w:r w:rsidR="00631EB4" w:rsidRPr="001A68E6">
              <w:rPr>
                <w:color w:val="000000"/>
                <w:sz w:val="16"/>
                <w:szCs w:val="16"/>
                <w:u w:val="double"/>
              </w:rPr>
              <w:t>-</w:t>
            </w:r>
            <w:r w:rsidRPr="001A68E6">
              <w:rPr>
                <w:color w:val="000000"/>
                <w:sz w:val="16"/>
                <w:szCs w:val="16"/>
                <w:u w:val="double"/>
              </w:rPr>
              <w:t>CTA</w:t>
            </w:r>
            <w:r w:rsidR="00631EB4" w:rsidRPr="001A68E6">
              <w:rPr>
                <w:color w:val="000000"/>
                <w:sz w:val="16"/>
                <w:szCs w:val="16"/>
                <w:u w:val="double"/>
              </w:rPr>
              <w:t>-</w:t>
            </w:r>
            <w:r w:rsidRPr="001A68E6">
              <w:rPr>
                <w:color w:val="000000"/>
                <w:sz w:val="16"/>
                <w:szCs w:val="16"/>
                <w:u w:val="double"/>
              </w:rPr>
              <w:t>TCC</w:t>
            </w:r>
          </w:p>
          <w:p w14:paraId="5D710505" w14:textId="5BBEA8FA" w:rsidR="006830D1" w:rsidRPr="001A68E6" w:rsidRDefault="006830D1" w:rsidP="00AA3A78">
            <w:pPr>
              <w:pStyle w:val="para1"/>
              <w:spacing w:before="100" w:after="100"/>
              <w:jc w:val="left"/>
              <w:rPr>
                <w:color w:val="000000"/>
                <w:sz w:val="16"/>
                <w:szCs w:val="16"/>
                <w:u w:val="double"/>
              </w:rPr>
            </w:pPr>
            <w:r w:rsidRPr="001A68E6">
              <w:rPr>
                <w:color w:val="000000"/>
                <w:sz w:val="16"/>
                <w:szCs w:val="16"/>
                <w:u w:val="double"/>
              </w:rPr>
              <w:t>Probe AAC</w:t>
            </w:r>
            <w:r w:rsidR="00631EB4" w:rsidRPr="001A68E6">
              <w:rPr>
                <w:color w:val="000000"/>
                <w:sz w:val="16"/>
                <w:szCs w:val="16"/>
                <w:u w:val="double"/>
              </w:rPr>
              <w:t>-</w:t>
            </w:r>
            <w:r w:rsidRPr="001A68E6">
              <w:rPr>
                <w:color w:val="000000"/>
                <w:sz w:val="16"/>
                <w:szCs w:val="16"/>
                <w:u w:val="double"/>
              </w:rPr>
              <w:t>CCG</w:t>
            </w:r>
            <w:r w:rsidR="00631EB4" w:rsidRPr="001A68E6">
              <w:rPr>
                <w:color w:val="000000"/>
                <w:sz w:val="16"/>
                <w:szCs w:val="16"/>
                <w:u w:val="double"/>
              </w:rPr>
              <w:t>-</w:t>
            </w:r>
            <w:r w:rsidRPr="001A68E6">
              <w:rPr>
                <w:color w:val="000000"/>
                <w:sz w:val="16"/>
                <w:szCs w:val="16"/>
                <w:u w:val="double"/>
              </w:rPr>
              <w:t>GGC</w:t>
            </w:r>
            <w:r w:rsidR="00631EB4" w:rsidRPr="001A68E6">
              <w:rPr>
                <w:color w:val="000000"/>
                <w:sz w:val="16"/>
                <w:szCs w:val="16"/>
                <w:u w:val="double"/>
              </w:rPr>
              <w:t>-</w:t>
            </w:r>
            <w:r w:rsidRPr="001A68E6">
              <w:rPr>
                <w:color w:val="000000"/>
                <w:sz w:val="16"/>
                <w:szCs w:val="16"/>
                <w:u w:val="double"/>
              </w:rPr>
              <w:t>TTG</w:t>
            </w:r>
            <w:r w:rsidR="00631EB4" w:rsidRPr="001A68E6">
              <w:rPr>
                <w:color w:val="000000"/>
                <w:sz w:val="16"/>
                <w:szCs w:val="16"/>
                <w:u w:val="double"/>
              </w:rPr>
              <w:t>-</w:t>
            </w:r>
            <w:r w:rsidRPr="001A68E6">
              <w:rPr>
                <w:color w:val="000000"/>
                <w:sz w:val="16"/>
                <w:szCs w:val="16"/>
                <w:u w:val="double"/>
              </w:rPr>
              <w:t>TGG</w:t>
            </w:r>
            <w:r w:rsidR="00631EB4" w:rsidRPr="001A68E6">
              <w:rPr>
                <w:color w:val="000000"/>
                <w:sz w:val="16"/>
                <w:szCs w:val="16"/>
                <w:u w:val="double"/>
              </w:rPr>
              <w:t>-</w:t>
            </w:r>
            <w:r w:rsidRPr="001A68E6">
              <w:rPr>
                <w:color w:val="000000"/>
                <w:sz w:val="16"/>
                <w:szCs w:val="16"/>
                <w:u w:val="double"/>
              </w:rPr>
              <w:t>ACG</w:t>
            </w:r>
            <w:r w:rsidR="00631EB4" w:rsidRPr="001A68E6">
              <w:rPr>
                <w:color w:val="000000"/>
                <w:sz w:val="16"/>
                <w:szCs w:val="16"/>
                <w:u w:val="double"/>
              </w:rPr>
              <w:t>-</w:t>
            </w:r>
            <w:r w:rsidRPr="001A68E6">
              <w:rPr>
                <w:color w:val="000000"/>
                <w:sz w:val="16"/>
                <w:szCs w:val="16"/>
                <w:u w:val="double"/>
              </w:rPr>
              <w:t>TCT</w:t>
            </w:r>
            <w:r w:rsidR="00631EB4" w:rsidRPr="001A68E6">
              <w:rPr>
                <w:color w:val="000000"/>
                <w:sz w:val="16"/>
                <w:szCs w:val="16"/>
                <w:u w:val="double"/>
              </w:rPr>
              <w:t>-</w:t>
            </w:r>
            <w:r w:rsidRPr="001A68E6">
              <w:rPr>
                <w:color w:val="000000"/>
                <w:sz w:val="16"/>
                <w:szCs w:val="16"/>
                <w:u w:val="double"/>
              </w:rPr>
              <w:t>TC</w:t>
            </w:r>
            <w:r w:rsidR="00AA3A78" w:rsidRPr="001A68E6">
              <w:rPr>
                <w:color w:val="000000"/>
                <w:sz w:val="16"/>
                <w:szCs w:val="16"/>
                <w:u w:val="double"/>
              </w:rPr>
              <w:t xml:space="preserve"> </w:t>
            </w:r>
            <w:r w:rsidRPr="001A68E6">
              <w:rPr>
                <w:color w:val="000000"/>
                <w:sz w:val="16"/>
                <w:szCs w:val="16"/>
                <w:u w:val="double"/>
              </w:rPr>
              <w:t>(5</w:t>
            </w:r>
            <w:r w:rsidR="00631EB4" w:rsidRPr="001A68E6">
              <w:rPr>
                <w:color w:val="000000"/>
                <w:sz w:val="16"/>
                <w:szCs w:val="16"/>
                <w:u w:val="double"/>
              </w:rPr>
              <w:t xml:space="preserve">’ </w:t>
            </w:r>
            <w:r w:rsidRPr="001A68E6">
              <w:rPr>
                <w:color w:val="000000"/>
                <w:sz w:val="16"/>
                <w:szCs w:val="16"/>
                <w:u w:val="double"/>
              </w:rPr>
              <w:t>FAM, 3’ BHQ1)</w:t>
            </w:r>
          </w:p>
        </w:tc>
        <w:tc>
          <w:tcPr>
            <w:tcW w:w="1276" w:type="dxa"/>
            <w:tcBorders>
              <w:top w:val="single" w:sz="4" w:space="0" w:color="auto"/>
              <w:bottom w:val="single" w:sz="4" w:space="0" w:color="auto"/>
            </w:tcBorders>
          </w:tcPr>
          <w:p w14:paraId="53DA7179" w14:textId="1D3BB10E" w:rsidR="006830D1" w:rsidRPr="001A68E6" w:rsidRDefault="004133B5" w:rsidP="00631EB4">
            <w:pPr>
              <w:pStyle w:val="para1"/>
              <w:spacing w:before="100" w:after="100"/>
              <w:jc w:val="left"/>
              <w:rPr>
                <w:color w:val="000000"/>
                <w:sz w:val="16"/>
                <w:szCs w:val="16"/>
                <w:u w:val="double"/>
              </w:rPr>
            </w:pPr>
            <w:r w:rsidRPr="004133B5">
              <w:rPr>
                <w:strike/>
                <w:color w:val="000000"/>
                <w:sz w:val="16"/>
                <w:szCs w:val="16"/>
                <w:highlight w:val="yellow"/>
              </w:rPr>
              <w:t xml:space="preserve">100 </w:t>
            </w:r>
            <w:r w:rsidR="007F7F59" w:rsidRPr="004133B5">
              <w:rPr>
                <w:color w:val="000000"/>
                <w:sz w:val="16"/>
                <w:szCs w:val="16"/>
                <w:highlight w:val="yellow"/>
                <w:u w:val="double"/>
              </w:rPr>
              <w:t>77</w:t>
            </w:r>
            <w:r w:rsidR="006830D1" w:rsidRPr="001A68E6">
              <w:rPr>
                <w:color w:val="000000"/>
                <w:sz w:val="16"/>
                <w:szCs w:val="16"/>
                <w:u w:val="double"/>
              </w:rPr>
              <w:t xml:space="preserve"> bp</w:t>
            </w:r>
          </w:p>
        </w:tc>
        <w:tc>
          <w:tcPr>
            <w:tcW w:w="1535" w:type="dxa"/>
            <w:tcBorders>
              <w:top w:val="single" w:sz="4" w:space="0" w:color="auto"/>
              <w:bottom w:val="single" w:sz="4" w:space="0" w:color="auto"/>
            </w:tcBorders>
          </w:tcPr>
          <w:p w14:paraId="7E4014EE" w14:textId="77777777" w:rsidR="006830D1" w:rsidRPr="001A68E6" w:rsidRDefault="006830D1" w:rsidP="00631EB4">
            <w:pPr>
              <w:pStyle w:val="para1"/>
              <w:spacing w:before="100" w:after="100"/>
              <w:jc w:val="left"/>
              <w:rPr>
                <w:sz w:val="16"/>
                <w:szCs w:val="16"/>
                <w:u w:val="double"/>
              </w:rPr>
            </w:pPr>
            <w:r w:rsidRPr="001A68E6">
              <w:rPr>
                <w:sz w:val="16"/>
                <w:szCs w:val="16"/>
                <w:u w:val="double"/>
              </w:rPr>
              <w:t xml:space="preserve">Renz </w:t>
            </w:r>
            <w:r w:rsidRPr="001A68E6">
              <w:rPr>
                <w:i/>
                <w:sz w:val="16"/>
                <w:szCs w:val="16"/>
                <w:u w:val="double"/>
              </w:rPr>
              <w:t>et al</w:t>
            </w:r>
            <w:r w:rsidRPr="001A68E6">
              <w:rPr>
                <w:sz w:val="16"/>
                <w:szCs w:val="16"/>
                <w:u w:val="double"/>
              </w:rPr>
              <w:t>., 2006</w:t>
            </w:r>
          </w:p>
        </w:tc>
      </w:tr>
    </w:tbl>
    <w:p w14:paraId="21DC0481" w14:textId="4A6C3050" w:rsidR="00946E8A" w:rsidRPr="001A68E6" w:rsidRDefault="00946E8A" w:rsidP="00B7593F">
      <w:pPr>
        <w:pStyle w:val="1"/>
        <w:spacing w:before="240" w:after="280"/>
      </w:pPr>
      <w:r w:rsidRPr="001A68E6">
        <w:t>2.</w:t>
      </w:r>
      <w:r w:rsidRPr="001A68E6">
        <w:tab/>
        <w:t>Serological tests</w:t>
      </w:r>
    </w:p>
    <w:p w14:paraId="10A580FD" w14:textId="77777777" w:rsidR="00946E8A" w:rsidRPr="001A68E6" w:rsidRDefault="00946E8A" w:rsidP="005935AC">
      <w:pPr>
        <w:pStyle w:val="para1"/>
        <w:spacing w:after="280"/>
      </w:pPr>
      <w:r w:rsidRPr="001A68E6">
        <w:t>The presence of antibodies to MDV in non</w:t>
      </w:r>
      <w:r w:rsidR="00705AF8" w:rsidRPr="001A68E6">
        <w:t>-</w:t>
      </w:r>
      <w:r w:rsidRPr="001A68E6">
        <w:t>vaccinated chickens from about 4 weeks of age is an indication of infection. Before that age, such antibodies may represent maternal transmission of antibody via the yolk and are not evidence of active infection.</w:t>
      </w:r>
    </w:p>
    <w:p w14:paraId="38521F43" w14:textId="14AC2EFB" w:rsidR="00946E8A" w:rsidRPr="001A68E6" w:rsidRDefault="00946E8A" w:rsidP="005935AC">
      <w:pPr>
        <w:pStyle w:val="para1"/>
        <w:spacing w:after="280"/>
      </w:pPr>
      <w:r w:rsidRPr="001A68E6">
        <w:t xml:space="preserve">Viruses, antigens and antisera </w:t>
      </w:r>
      <w:r w:rsidR="00C63E3B" w:rsidRPr="001A68E6">
        <w:t>can be</w:t>
      </w:r>
      <w:r w:rsidRPr="001A68E6">
        <w:t xml:space="preserve"> </w:t>
      </w:r>
      <w:r w:rsidR="007A5781" w:rsidRPr="001A68E6">
        <w:t>obtained</w:t>
      </w:r>
      <w:r w:rsidR="005935AC" w:rsidRPr="001A68E6">
        <w:t xml:space="preserve"> </w:t>
      </w:r>
      <w:r w:rsidR="000B4952" w:rsidRPr="001A68E6">
        <w:t>from</w:t>
      </w:r>
      <w:r w:rsidR="00C63E3B" w:rsidRPr="001A68E6">
        <w:t xml:space="preserve"> commercial suppliers or</w:t>
      </w:r>
      <w:r w:rsidRPr="001A68E6">
        <w:t xml:space="preserve"> from </w:t>
      </w:r>
      <w:r w:rsidR="00556B1C" w:rsidRPr="001A68E6">
        <w:t xml:space="preserve">the </w:t>
      </w:r>
      <w:r w:rsidR="00E82A80">
        <w:t>WOAH</w:t>
      </w:r>
      <w:r w:rsidRPr="001A68E6">
        <w:t xml:space="preserve"> Reference Laborator</w:t>
      </w:r>
      <w:r w:rsidR="00556B1C" w:rsidRPr="001A68E6">
        <w:t>y</w:t>
      </w:r>
      <w:r w:rsidRPr="001A68E6">
        <w:t xml:space="preserve"> for Marek’s Disease</w:t>
      </w:r>
      <w:r w:rsidR="00556B1C" w:rsidRPr="001A68E6">
        <w:rPr>
          <w:rStyle w:val="FootnoteReference"/>
        </w:rPr>
        <w:footnoteReference w:id="2"/>
      </w:r>
      <w:r w:rsidRPr="001A68E6">
        <w:t>, but international standard reagents have not yet been produced.</w:t>
      </w:r>
    </w:p>
    <w:p w14:paraId="41860D67" w14:textId="77777777" w:rsidR="00946E8A" w:rsidRPr="001A68E6" w:rsidRDefault="00F51679" w:rsidP="009D5565">
      <w:pPr>
        <w:pStyle w:val="11"/>
        <w:keepNext/>
      </w:pPr>
      <w:r w:rsidRPr="001A68E6">
        <w:t>2.1.</w:t>
      </w:r>
      <w:r w:rsidR="00946E8A" w:rsidRPr="001A68E6">
        <w:tab/>
        <w:t>Agar gel immunodiffusion</w:t>
      </w:r>
    </w:p>
    <w:p w14:paraId="4EBD0DDF" w14:textId="04B071F8" w:rsidR="00946E8A" w:rsidRPr="001A68E6" w:rsidRDefault="00946E8A" w:rsidP="00F51679">
      <w:pPr>
        <w:pStyle w:val="11Para"/>
      </w:pPr>
      <w:r w:rsidRPr="001A68E6">
        <w:t xml:space="preserve">There is no test </w:t>
      </w:r>
      <w:r w:rsidR="000F55AC" w:rsidRPr="001A68E6">
        <w:t xml:space="preserve">suitable </w:t>
      </w:r>
      <w:r w:rsidRPr="001A68E6">
        <w:t>for</w:t>
      </w:r>
      <w:r w:rsidR="000F55AC" w:rsidRPr="001A68E6">
        <w:t xml:space="preserve"> certifying individual animals prior to movement</w:t>
      </w:r>
      <w:r w:rsidRPr="001A68E6">
        <w:t>, but the AGID test is employed commonly to detect antibody. The test is conducted using glass slides coated with 1% agar in phosphate buffered saline</w:t>
      </w:r>
      <w:r w:rsidR="000561C0">
        <w:t xml:space="preserve"> </w:t>
      </w:r>
      <w:r w:rsidR="000561C0" w:rsidRPr="000561C0">
        <w:rPr>
          <w:highlight w:val="yellow"/>
          <w:u w:val="double"/>
        </w:rPr>
        <w:t>(</w:t>
      </w:r>
      <w:r w:rsidR="00375278" w:rsidRPr="000561C0">
        <w:rPr>
          <w:highlight w:val="yellow"/>
          <w:u w:val="double"/>
        </w:rPr>
        <w:t>PBS</w:t>
      </w:r>
      <w:r w:rsidR="000561C0" w:rsidRPr="000561C0">
        <w:rPr>
          <w:highlight w:val="yellow"/>
          <w:u w:val="double"/>
        </w:rPr>
        <w:t>)</w:t>
      </w:r>
      <w:r w:rsidRPr="001A68E6">
        <w:t xml:space="preserve"> containing 8% sodium chloride. Adjacent wells are filled with antigen or serum and these are incubated in a humid atmosphere at 37°C for 24 hours for diffusion to take place; positive sera show reactions of identity with known positive serum and antigen. The antigen used in this test is either disrupted MDV-infected tissue culture cells or an extract of feather tips, or skin containing feather tracts obtained from MDV-infected chickens. The cell culture antigen is prepared by propagating MDV in chicken kidney cells or </w:t>
      </w:r>
      <w:r w:rsidR="00C3259E" w:rsidRPr="001A68E6">
        <w:rPr>
          <w:strike/>
        </w:rPr>
        <w:t xml:space="preserve">chicken embryo fibroblast cells </w:t>
      </w:r>
      <w:r w:rsidR="00301BF4" w:rsidRPr="001A68E6">
        <w:rPr>
          <w:u w:val="double"/>
        </w:rPr>
        <w:t>CEF</w:t>
      </w:r>
      <w:r w:rsidRPr="001A68E6">
        <w:t>. When cytopathic effect is confluent, the cells are detached from the culture vessel and suspended in culture medium or phosphate buffered saline without tryptose phosphate broth (presence of tryptose phosphate broth may produce non</w:t>
      </w:r>
      <w:r w:rsidR="00705AF8" w:rsidRPr="001A68E6">
        <w:t>-</w:t>
      </w:r>
      <w:r w:rsidRPr="001A68E6">
        <w:t xml:space="preserve">specific precipitin lines) at a concentration of about 1 </w:t>
      </w:r>
      <w:r w:rsidR="002B3B08" w:rsidRPr="001A68E6">
        <w:t>×</w:t>
      </w:r>
      <w:r w:rsidRPr="001A68E6">
        <w:t xml:space="preserve"> 10</w:t>
      </w:r>
      <w:r w:rsidRPr="001A68E6">
        <w:rPr>
          <w:szCs w:val="14"/>
          <w:vertAlign w:val="superscript"/>
        </w:rPr>
        <w:t>7</w:t>
      </w:r>
      <w:r w:rsidRPr="001A68E6">
        <w:t xml:space="preserve"> cells/ml. This suspension is then freeze–thawed three times and used as antigen.</w:t>
      </w:r>
    </w:p>
    <w:p w14:paraId="45C9FB9A" w14:textId="77777777" w:rsidR="00946E8A" w:rsidRPr="001A68E6" w:rsidRDefault="00F51679" w:rsidP="00F51679">
      <w:pPr>
        <w:pStyle w:val="111"/>
      </w:pPr>
      <w:r w:rsidRPr="001A68E6">
        <w:t>2.1.1.</w:t>
      </w:r>
      <w:r w:rsidR="00946E8A" w:rsidRPr="001A68E6">
        <w:tab/>
        <w:t>Test procedure</w:t>
      </w:r>
    </w:p>
    <w:p w14:paraId="70C629BF" w14:textId="41F0061F" w:rsidR="00946E8A" w:rsidRPr="001A68E6" w:rsidRDefault="00946E8A" w:rsidP="005935AC">
      <w:pPr>
        <w:pStyle w:val="i"/>
        <w:spacing w:after="140"/>
      </w:pPr>
      <w:r w:rsidRPr="001A68E6">
        <w:t>i)</w:t>
      </w:r>
      <w:r w:rsidRPr="001A68E6">
        <w:tab/>
        <w:t>Make a 1% solution of agar in 8% sodium chloride by standing the mixture in a boiling water bath.</w:t>
      </w:r>
    </w:p>
    <w:p w14:paraId="7D3C6651" w14:textId="1BDF09CC" w:rsidR="00946E8A" w:rsidRPr="001A68E6" w:rsidRDefault="00946E8A" w:rsidP="005935AC">
      <w:pPr>
        <w:pStyle w:val="i"/>
        <w:spacing w:after="140"/>
      </w:pPr>
      <w:r w:rsidRPr="001A68E6">
        <w:t>ii)</w:t>
      </w:r>
      <w:r w:rsidRPr="001A68E6">
        <w:tab/>
      </w:r>
      <w:r w:rsidR="00C3259E" w:rsidRPr="001A68E6">
        <w:rPr>
          <w:strike/>
        </w:rPr>
        <w:t>Either a microscope slide or a Petri dish can be used and the agar is poured to a thickness of 2–3 mm.</w:t>
      </w:r>
      <w:r w:rsidR="00C3259E" w:rsidRPr="001A68E6">
        <w:t xml:space="preserve"> </w:t>
      </w:r>
      <w:r w:rsidR="00301BF4" w:rsidRPr="001A68E6">
        <w:rPr>
          <w:u w:val="double"/>
        </w:rPr>
        <w:t>Pour the agar to a thickness of 2–3 mm on either a microscope slide or a Petri dish.</w:t>
      </w:r>
    </w:p>
    <w:p w14:paraId="112E1ADA" w14:textId="77777777" w:rsidR="00A74541" w:rsidRPr="001A68E6" w:rsidRDefault="00946E8A" w:rsidP="005935AC">
      <w:pPr>
        <w:pStyle w:val="i"/>
        <w:spacing w:after="140"/>
      </w:pPr>
      <w:r w:rsidRPr="001A68E6">
        <w:t>iii)</w:t>
      </w:r>
      <w:r w:rsidRPr="001A68E6">
        <w:tab/>
        <w:t>Cut holes in the agar using a templat</w:t>
      </w:r>
      <w:r w:rsidR="00A74541" w:rsidRPr="001A68E6">
        <w:t xml:space="preserve">e </w:t>
      </w:r>
      <w:r w:rsidR="00542310" w:rsidRPr="001A68E6">
        <w:t xml:space="preserve">with a centre well and 6 wells spaced </w:t>
      </w:r>
      <w:r w:rsidR="00D21E09" w:rsidRPr="001A68E6">
        <w:t>at equal</w:t>
      </w:r>
      <w:r w:rsidR="00542310" w:rsidRPr="001A68E6">
        <w:t xml:space="preserve"> distance around the centre well. </w:t>
      </w:r>
      <w:r w:rsidR="00A74541" w:rsidRPr="001A68E6">
        <w:t>T</w:t>
      </w:r>
      <w:r w:rsidRPr="001A68E6">
        <w:t xml:space="preserve">he diameter of wells should be </w:t>
      </w:r>
      <w:r w:rsidR="00A74541" w:rsidRPr="001A68E6">
        <w:t xml:space="preserve">approximately </w:t>
      </w:r>
      <w:r w:rsidRPr="001A68E6">
        <w:t>5</w:t>
      </w:r>
      <w:r w:rsidR="00A74541" w:rsidRPr="001A68E6">
        <w:t>.3</w:t>
      </w:r>
      <w:r w:rsidRPr="001A68E6">
        <w:t xml:space="preserve"> mm, and the wells should be </w:t>
      </w:r>
      <w:r w:rsidR="00A74541" w:rsidRPr="001A68E6">
        <w:t xml:space="preserve">about </w:t>
      </w:r>
      <w:r w:rsidRPr="001A68E6">
        <w:t>2</w:t>
      </w:r>
      <w:r w:rsidR="00A74541" w:rsidRPr="001A68E6">
        <w:t>.4</w:t>
      </w:r>
      <w:r w:rsidRPr="001A68E6">
        <w:t xml:space="preserve"> mm apart.</w:t>
      </w:r>
      <w:r w:rsidR="00D21E09" w:rsidRPr="001A68E6">
        <w:t xml:space="preserve"> </w:t>
      </w:r>
      <w:r w:rsidR="00D463E2" w:rsidRPr="001A68E6">
        <w:t>A t</w:t>
      </w:r>
      <w:r w:rsidR="00D21E09" w:rsidRPr="001A68E6">
        <w:t xml:space="preserve">emplate </w:t>
      </w:r>
      <w:r w:rsidR="00D463E2" w:rsidRPr="001A68E6">
        <w:t>with</w:t>
      </w:r>
      <w:r w:rsidR="00D21E09" w:rsidRPr="001A68E6">
        <w:t xml:space="preserve"> cutters </w:t>
      </w:r>
      <w:r w:rsidR="00380A5C" w:rsidRPr="001A68E6">
        <w:t xml:space="preserve">is </w:t>
      </w:r>
      <w:r w:rsidR="00D21E09" w:rsidRPr="001A68E6">
        <w:t>commercially available.</w:t>
      </w:r>
    </w:p>
    <w:p w14:paraId="30C8E68D" w14:textId="01E17C8E" w:rsidR="00170A71" w:rsidRPr="001A68E6" w:rsidRDefault="00946E8A" w:rsidP="005935AC">
      <w:pPr>
        <w:pStyle w:val="i"/>
        <w:spacing w:after="140"/>
      </w:pPr>
      <w:r w:rsidRPr="001A68E6">
        <w:t>iv)</w:t>
      </w:r>
      <w:r w:rsidR="00F57E92" w:rsidRPr="001A68E6">
        <w:tab/>
      </w:r>
      <w:r w:rsidR="00301BF4" w:rsidRPr="001A68E6">
        <w:rPr>
          <w:u w:val="double"/>
        </w:rPr>
        <w:t>Add</w:t>
      </w:r>
      <w:r w:rsidR="00301BF4" w:rsidRPr="001A68E6">
        <w:t xml:space="preserve"> the </w:t>
      </w:r>
      <w:r w:rsidR="00D463E2" w:rsidRPr="001A68E6">
        <w:t xml:space="preserve">antigen </w:t>
      </w:r>
      <w:r w:rsidR="00C3259E" w:rsidRPr="001A68E6">
        <w:rPr>
          <w:strike/>
        </w:rPr>
        <w:t xml:space="preserve">is placed </w:t>
      </w:r>
      <w:r w:rsidR="00D463E2" w:rsidRPr="001A68E6">
        <w:t>in the centre</w:t>
      </w:r>
      <w:r w:rsidR="00170A71" w:rsidRPr="001A68E6">
        <w:t xml:space="preserve"> well and the standard antiserum </w:t>
      </w:r>
      <w:r w:rsidR="00C3259E" w:rsidRPr="001A68E6">
        <w:rPr>
          <w:strike/>
        </w:rPr>
        <w:t xml:space="preserve">is placed </w:t>
      </w:r>
      <w:r w:rsidR="00C3259E" w:rsidRPr="001A68E6">
        <w:t xml:space="preserve">in </w:t>
      </w:r>
      <w:r w:rsidR="00170A71" w:rsidRPr="001A68E6">
        <w:t xml:space="preserve">alternate exterior wells. </w:t>
      </w:r>
      <w:r w:rsidR="00301BF4" w:rsidRPr="001A68E6">
        <w:rPr>
          <w:u w:val="double"/>
        </w:rPr>
        <w:t>Add the</w:t>
      </w:r>
      <w:r w:rsidR="00301BF4" w:rsidRPr="001A68E6">
        <w:t xml:space="preserve"> serum </w:t>
      </w:r>
      <w:r w:rsidR="00170A71" w:rsidRPr="001A68E6">
        <w:t xml:space="preserve">samples </w:t>
      </w:r>
      <w:r w:rsidR="00D463E2" w:rsidRPr="001A68E6">
        <w:t>to be</w:t>
      </w:r>
      <w:r w:rsidR="00170A71" w:rsidRPr="001A68E6">
        <w:t xml:space="preserve"> </w:t>
      </w:r>
      <w:r w:rsidR="00380A5C" w:rsidRPr="001A68E6">
        <w:t xml:space="preserve">tested </w:t>
      </w:r>
      <w:r w:rsidR="005C24E0" w:rsidRPr="001A68E6">
        <w:rPr>
          <w:strike/>
        </w:rPr>
        <w:t xml:space="preserve">are placed in </w:t>
      </w:r>
      <w:r w:rsidR="00301BF4" w:rsidRPr="001A68E6">
        <w:rPr>
          <w:u w:val="double"/>
        </w:rPr>
        <w:t>to</w:t>
      </w:r>
      <w:r w:rsidR="00170A71" w:rsidRPr="001A68E6">
        <w:t xml:space="preserve"> the remaining three wells so that a continuous line of identity</w:t>
      </w:r>
      <w:r w:rsidR="008100FC" w:rsidRPr="001A68E6">
        <w:t xml:space="preserve"> is formed </w:t>
      </w:r>
      <w:r w:rsidR="00170A71" w:rsidRPr="001A68E6">
        <w:t>between a</w:t>
      </w:r>
      <w:r w:rsidR="008100FC" w:rsidRPr="001A68E6">
        <w:t>n</w:t>
      </w:r>
      <w:r w:rsidR="00170A71" w:rsidRPr="001A68E6">
        <w:t xml:space="preserve"> unknown sample that is positive and the known positive </w:t>
      </w:r>
      <w:r w:rsidR="00D463E2" w:rsidRPr="001A68E6">
        <w:t>control ser</w:t>
      </w:r>
      <w:r w:rsidR="00072A48">
        <w:t>um</w:t>
      </w:r>
      <w:r w:rsidR="00380A5C" w:rsidRPr="001A68E6">
        <w:t>.</w:t>
      </w:r>
    </w:p>
    <w:p w14:paraId="26418265" w14:textId="77777777" w:rsidR="00946E8A" w:rsidRPr="001A68E6" w:rsidRDefault="00946E8A" w:rsidP="005935AC">
      <w:pPr>
        <w:pStyle w:val="iparalast"/>
        <w:spacing w:after="280"/>
      </w:pPr>
      <w:r w:rsidRPr="001A68E6">
        <w:t>v)</w:t>
      </w:r>
      <w:r w:rsidRPr="001A68E6">
        <w:tab/>
        <w:t>Incubate the slide for 24 hours at 37°C in a humid container and read the results over a lamp in a darkened room.</w:t>
      </w:r>
    </w:p>
    <w:p w14:paraId="2A4867B2" w14:textId="6BF407A7" w:rsidR="008D38CF" w:rsidRPr="001A68E6" w:rsidRDefault="008D38CF" w:rsidP="008D38CF">
      <w:pPr>
        <w:pStyle w:val="11"/>
      </w:pPr>
      <w:r w:rsidRPr="001A68E6">
        <w:lastRenderedPageBreak/>
        <w:t>2.2.</w:t>
      </w:r>
      <w:r w:rsidRPr="001A68E6">
        <w:tab/>
        <w:t>Indirect</w:t>
      </w:r>
      <w:r w:rsidR="005C24E0" w:rsidRPr="001A68E6">
        <w:t xml:space="preserve"> </w:t>
      </w:r>
      <w:r w:rsidR="005C24E0" w:rsidRPr="001A68E6">
        <w:rPr>
          <w:strike/>
        </w:rPr>
        <w:t>fluorescent antibody</w:t>
      </w:r>
      <w:r w:rsidRPr="001A68E6">
        <w:rPr>
          <w:strike/>
        </w:rPr>
        <w:t xml:space="preserve"> </w:t>
      </w:r>
      <w:r w:rsidR="0061769C" w:rsidRPr="001A68E6">
        <w:rPr>
          <w:u w:val="double"/>
        </w:rPr>
        <w:t>immunofluorescence test</w:t>
      </w:r>
    </w:p>
    <w:p w14:paraId="36BEE25E" w14:textId="7E5B132D" w:rsidR="008D38CF" w:rsidRPr="001A68E6" w:rsidRDefault="00F46E7E" w:rsidP="008D38CF">
      <w:pPr>
        <w:pStyle w:val="11Para"/>
      </w:pPr>
      <w:r w:rsidRPr="001A68E6">
        <w:t xml:space="preserve">The indirect </w:t>
      </w:r>
      <w:r w:rsidR="00703742" w:rsidRPr="00EE4C0B">
        <w:rPr>
          <w:u w:val="double"/>
        </w:rPr>
        <w:t>immuno</w:t>
      </w:r>
      <w:r w:rsidRPr="00EE4C0B">
        <w:rPr>
          <w:u w:val="double"/>
        </w:rPr>
        <w:t>fluorescen</w:t>
      </w:r>
      <w:r w:rsidR="00995F25" w:rsidRPr="00EE4C0B">
        <w:rPr>
          <w:u w:val="double"/>
        </w:rPr>
        <w:t>ce</w:t>
      </w:r>
      <w:r w:rsidRPr="001A68E6">
        <w:t xml:space="preserve"> </w:t>
      </w:r>
      <w:r w:rsidR="0042526E" w:rsidRPr="00EE4C0B">
        <w:rPr>
          <w:strike/>
        </w:rPr>
        <w:t>fluorescen</w:t>
      </w:r>
      <w:r w:rsidR="00EE4C0B">
        <w:rPr>
          <w:strike/>
        </w:rPr>
        <w:t xml:space="preserve">t </w:t>
      </w:r>
      <w:r w:rsidRPr="00EE4C0B">
        <w:rPr>
          <w:strike/>
        </w:rPr>
        <w:t xml:space="preserve">antibody </w:t>
      </w:r>
      <w:r w:rsidRPr="001A68E6">
        <w:t xml:space="preserve">test demonstrates the ability of a test serum to stain MDV plaques in cell cultures (Silva </w:t>
      </w:r>
      <w:r w:rsidRPr="001A68E6">
        <w:rPr>
          <w:i/>
        </w:rPr>
        <w:t>et al.,</w:t>
      </w:r>
      <w:r w:rsidRPr="001A68E6">
        <w:t xml:space="preserve"> 1997; Spencer &amp; Calnek, 1970). These tests are group specific and more sensitive than the AGID test. </w:t>
      </w:r>
    </w:p>
    <w:p w14:paraId="53FF0DA8" w14:textId="7F5FE670" w:rsidR="008D38CF" w:rsidRPr="001A68E6" w:rsidRDefault="008D38CF" w:rsidP="008D38CF">
      <w:pPr>
        <w:pStyle w:val="111"/>
      </w:pPr>
      <w:r w:rsidRPr="001A68E6">
        <w:t>2.</w:t>
      </w:r>
      <w:r w:rsidR="00F46E7E" w:rsidRPr="001A68E6">
        <w:t>2</w:t>
      </w:r>
      <w:r w:rsidRPr="001A68E6">
        <w:t>.1.</w:t>
      </w:r>
      <w:r w:rsidRPr="001A68E6">
        <w:tab/>
        <w:t>Test procedure</w:t>
      </w:r>
    </w:p>
    <w:p w14:paraId="7ABBDA3E" w14:textId="1B31780D" w:rsidR="008D38CF" w:rsidRPr="001A68E6" w:rsidRDefault="008D38CF" w:rsidP="009D5565">
      <w:pPr>
        <w:pStyle w:val="i"/>
      </w:pPr>
      <w:r w:rsidRPr="001A68E6">
        <w:t>i)</w:t>
      </w:r>
      <w:r w:rsidRPr="001A68E6">
        <w:tab/>
      </w:r>
      <w:r w:rsidR="006A2861" w:rsidRPr="001A68E6">
        <w:t>Prepare MDV antigen in cell culture dishes or 96-well microtitr</w:t>
      </w:r>
      <w:r w:rsidR="00A04843" w:rsidRPr="001A68E6">
        <w:t>e</w:t>
      </w:r>
      <w:r w:rsidR="006A2861" w:rsidRPr="001A68E6">
        <w:t xml:space="preserve"> plates.</w:t>
      </w:r>
    </w:p>
    <w:p w14:paraId="13B0722A" w14:textId="77B5CDCB" w:rsidR="008D38CF" w:rsidRPr="001A68E6" w:rsidRDefault="008D38CF" w:rsidP="009D5565">
      <w:pPr>
        <w:pStyle w:val="i"/>
      </w:pPr>
      <w:r w:rsidRPr="001A68E6">
        <w:t>ii)</w:t>
      </w:r>
      <w:r w:rsidRPr="001A68E6">
        <w:tab/>
      </w:r>
      <w:r w:rsidR="006A2861" w:rsidRPr="001A68E6">
        <w:t>Fix cells with acetone</w:t>
      </w:r>
      <w:r w:rsidR="00A04843" w:rsidRPr="001A68E6">
        <w:t>–</w:t>
      </w:r>
      <w:r w:rsidR="006A2861" w:rsidRPr="001A68E6">
        <w:t>alcohol mixture for 10 minutes then air dry. Plates may be held in refrigerator until ready to be stained or frozen for longer periods of time.</w:t>
      </w:r>
    </w:p>
    <w:p w14:paraId="73186FA0" w14:textId="568554B7" w:rsidR="008D38CF" w:rsidRPr="001A68E6" w:rsidRDefault="008D38CF" w:rsidP="009D5565">
      <w:pPr>
        <w:pStyle w:val="i"/>
      </w:pPr>
      <w:r w:rsidRPr="001A68E6">
        <w:t>iii)</w:t>
      </w:r>
      <w:r w:rsidRPr="001A68E6">
        <w:tab/>
      </w:r>
      <w:r w:rsidR="006A2861" w:rsidRPr="001A68E6">
        <w:t>Wet surface of plate with PBS, discard PBS, then add serum at multiple dilutions (1:5, 1:10, 1:20, 1:40).</w:t>
      </w:r>
      <w:r w:rsidR="0082177C" w:rsidRPr="001A68E6">
        <w:t xml:space="preserve"> Incubate in water bath or incubator at 37°C for 30</w:t>
      </w:r>
      <w:r w:rsidR="00E63C97" w:rsidRPr="001A68E6">
        <w:t>–</w:t>
      </w:r>
      <w:r w:rsidR="0082177C" w:rsidRPr="001A68E6">
        <w:t>60 minutes.</w:t>
      </w:r>
    </w:p>
    <w:p w14:paraId="0B7F3A13" w14:textId="4267606C" w:rsidR="008D38CF" w:rsidRPr="001A68E6" w:rsidRDefault="008D38CF" w:rsidP="009D5565">
      <w:pPr>
        <w:pStyle w:val="i"/>
      </w:pPr>
      <w:r w:rsidRPr="001A68E6">
        <w:t>iv)</w:t>
      </w:r>
      <w:r w:rsidRPr="001A68E6">
        <w:tab/>
      </w:r>
      <w:r w:rsidR="006A2861" w:rsidRPr="001A68E6">
        <w:t xml:space="preserve">Discard serum, wash plates three times </w:t>
      </w:r>
      <w:r w:rsidR="00B46FB6" w:rsidRPr="001A68E6">
        <w:t>with</w:t>
      </w:r>
      <w:r w:rsidR="006A2861" w:rsidRPr="001A68E6">
        <w:t xml:space="preserve"> distilled water followed by three washes with PBS, blot.</w:t>
      </w:r>
    </w:p>
    <w:p w14:paraId="2AE3A293" w14:textId="033DFAB4" w:rsidR="008D38CF" w:rsidRPr="001A68E6" w:rsidRDefault="008D38CF" w:rsidP="009D5565">
      <w:pPr>
        <w:pStyle w:val="iparalast"/>
        <w:spacing w:after="120"/>
      </w:pPr>
      <w:r w:rsidRPr="001A68E6">
        <w:t>v)</w:t>
      </w:r>
      <w:r w:rsidRPr="001A68E6">
        <w:tab/>
      </w:r>
      <w:r w:rsidR="006A2861" w:rsidRPr="001A68E6">
        <w:t>Add fluorescein-</w:t>
      </w:r>
      <w:r w:rsidR="005E3302" w:rsidRPr="001A68E6">
        <w:t>labelled</w:t>
      </w:r>
      <w:r w:rsidR="006A2861" w:rsidRPr="001A68E6">
        <w:t xml:space="preserve"> affinity purified antibody to </w:t>
      </w:r>
      <w:r w:rsidR="00F46E7E" w:rsidRPr="001A68E6">
        <w:t>chicken IgG. Incubate in water bath or incubator at 37</w:t>
      </w:r>
      <w:r w:rsidR="00A04843" w:rsidRPr="001A68E6">
        <w:t>°</w:t>
      </w:r>
      <w:r w:rsidR="00F46E7E" w:rsidRPr="001A68E6">
        <w:t>C for 30</w:t>
      </w:r>
      <w:r w:rsidR="00E63C97" w:rsidRPr="001A68E6">
        <w:t>–</w:t>
      </w:r>
      <w:r w:rsidR="0082177C" w:rsidRPr="001A68E6">
        <w:t>60</w:t>
      </w:r>
      <w:r w:rsidR="00F46E7E" w:rsidRPr="001A68E6">
        <w:t xml:space="preserve"> minutes.</w:t>
      </w:r>
    </w:p>
    <w:p w14:paraId="545C1A8F" w14:textId="108F3A08" w:rsidR="00F46E7E" w:rsidRPr="001A68E6" w:rsidRDefault="00F46E7E" w:rsidP="008D38CF">
      <w:pPr>
        <w:pStyle w:val="iparalast"/>
        <w:spacing w:after="280"/>
      </w:pPr>
      <w:r w:rsidRPr="001A68E6">
        <w:t>vi)</w:t>
      </w:r>
      <w:r w:rsidRPr="001A68E6">
        <w:tab/>
        <w:t>Repeat washing, then read plates immediately using fluorescent microscope</w:t>
      </w:r>
    </w:p>
    <w:p w14:paraId="3A3427FF" w14:textId="58883323" w:rsidR="00946E8A" w:rsidRPr="001A68E6" w:rsidRDefault="00F51679" w:rsidP="00F51679">
      <w:pPr>
        <w:pStyle w:val="11"/>
      </w:pPr>
      <w:r w:rsidRPr="001A68E6">
        <w:t>2.</w:t>
      </w:r>
      <w:r w:rsidR="008D38CF" w:rsidRPr="001A68E6">
        <w:t>3</w:t>
      </w:r>
      <w:r w:rsidRPr="001A68E6">
        <w:t>.</w:t>
      </w:r>
      <w:r w:rsidR="00E664D5" w:rsidRPr="001A68E6">
        <w:tab/>
        <w:t>Other tests</w:t>
      </w:r>
    </w:p>
    <w:p w14:paraId="7DEF2A2A" w14:textId="12E5CC19" w:rsidR="00946E8A" w:rsidRPr="001A68E6" w:rsidRDefault="00946E8A" w:rsidP="00F51679">
      <w:pPr>
        <w:pStyle w:val="11Para"/>
        <w:spacing w:after="480"/>
      </w:pPr>
      <w:r w:rsidRPr="001A68E6">
        <w:t xml:space="preserve">A virus neutralisation test for the ability of a serum to neutralise the plaque-forming property of cell-free MDV can also be employed. However, this test is more suitable for research purposes than for routine diagnostic use. </w:t>
      </w:r>
      <w:r w:rsidR="00705AF8" w:rsidRPr="001A68E6">
        <w:t>E</w:t>
      </w:r>
      <w:r w:rsidRPr="001A68E6">
        <w:t>nzyme-linked immunosorbent assay</w:t>
      </w:r>
      <w:r w:rsidR="00705AF8" w:rsidRPr="001A68E6">
        <w:t>s</w:t>
      </w:r>
      <w:r w:rsidRPr="001A68E6">
        <w:t xml:space="preserve"> (ELISA) for detecting MDV antibodies </w:t>
      </w:r>
      <w:r w:rsidR="00705AF8" w:rsidRPr="001A68E6">
        <w:t xml:space="preserve">are </w:t>
      </w:r>
      <w:r w:rsidRPr="001A68E6">
        <w:t>available (</w:t>
      </w:r>
      <w:r w:rsidR="007D4DEA" w:rsidRPr="001A68E6">
        <w:t xml:space="preserve">Cheng </w:t>
      </w:r>
      <w:r w:rsidR="007D4DEA" w:rsidRPr="001A68E6">
        <w:rPr>
          <w:i/>
        </w:rPr>
        <w:t>et al</w:t>
      </w:r>
      <w:r w:rsidR="007D4DEA" w:rsidRPr="001A68E6">
        <w:t>., 1984;</w:t>
      </w:r>
      <w:r w:rsidR="00705AF8" w:rsidRPr="001A68E6">
        <w:t xml:space="preserve"> </w:t>
      </w:r>
      <w:r w:rsidR="00546E5D" w:rsidRPr="006927BC">
        <w:rPr>
          <w:strike/>
        </w:rPr>
        <w:t>Sharma,</w:t>
      </w:r>
      <w:r w:rsidR="00546E5D" w:rsidRPr="006927BC">
        <w:rPr>
          <w:smallCaps/>
          <w:strike/>
        </w:rPr>
        <w:t xml:space="preserve"> </w:t>
      </w:r>
      <w:r w:rsidR="00546E5D" w:rsidRPr="006927BC">
        <w:rPr>
          <w:strike/>
        </w:rPr>
        <w:t xml:space="preserve">1998; </w:t>
      </w:r>
      <w:r w:rsidR="00546E5D" w:rsidRPr="001A68E6">
        <w:t>Zelnik</w:t>
      </w:r>
      <w:r w:rsidR="00546E5D" w:rsidRPr="001A68E6">
        <w:rPr>
          <w:smallCaps/>
        </w:rPr>
        <w:t xml:space="preserve"> </w:t>
      </w:r>
      <w:r w:rsidR="00546E5D" w:rsidRPr="001A68E6">
        <w:rPr>
          <w:i/>
        </w:rPr>
        <w:t>et al.,</w:t>
      </w:r>
      <w:r w:rsidR="00546E5D" w:rsidRPr="001A68E6">
        <w:t xml:space="preserve"> 2004</w:t>
      </w:r>
      <w:r w:rsidRPr="001A68E6">
        <w:t xml:space="preserve">). </w:t>
      </w:r>
    </w:p>
    <w:p w14:paraId="5B3186DD" w14:textId="5CBDD368" w:rsidR="00946E8A" w:rsidRPr="001A68E6" w:rsidRDefault="00FE4D2F" w:rsidP="005935AC">
      <w:pPr>
        <w:pStyle w:val="A0"/>
        <w:spacing w:after="280"/>
      </w:pPr>
      <w:r w:rsidRPr="001A68E6">
        <w:t>C</w:t>
      </w:r>
      <w:r w:rsidR="00946E8A" w:rsidRPr="001A68E6">
        <w:t>.</w:t>
      </w:r>
      <w:r w:rsidR="005935AC" w:rsidRPr="001A68E6">
        <w:t xml:space="preserve"> </w:t>
      </w:r>
      <w:r w:rsidR="00525072" w:rsidRPr="001A68E6">
        <w:t xml:space="preserve"> </w:t>
      </w:r>
      <w:r w:rsidR="00946E8A" w:rsidRPr="001A68E6">
        <w:t xml:space="preserve">REQUIREMENTS FOR VACCINES </w:t>
      </w:r>
    </w:p>
    <w:p w14:paraId="160FC4FF" w14:textId="77777777" w:rsidR="00583BD0" w:rsidRPr="001A68E6" w:rsidRDefault="00583BD0" w:rsidP="005935AC">
      <w:pPr>
        <w:pStyle w:val="1"/>
        <w:spacing w:after="280"/>
      </w:pPr>
      <w:r w:rsidRPr="001A68E6">
        <w:t>1.</w:t>
      </w:r>
      <w:r w:rsidRPr="001A68E6">
        <w:tab/>
        <w:t>Background</w:t>
      </w:r>
    </w:p>
    <w:p w14:paraId="76053603" w14:textId="6413BA1D" w:rsidR="00583BD0" w:rsidRPr="001A68E6" w:rsidRDefault="00F51679" w:rsidP="00F51679">
      <w:pPr>
        <w:pStyle w:val="11"/>
        <w:rPr>
          <w:strike/>
        </w:rPr>
      </w:pPr>
      <w:r w:rsidRPr="001A68E6">
        <w:rPr>
          <w:strike/>
        </w:rPr>
        <w:t>1.1.</w:t>
      </w:r>
      <w:r w:rsidR="00583BD0" w:rsidRPr="001A68E6">
        <w:rPr>
          <w:strike/>
        </w:rPr>
        <w:tab/>
        <w:t>Rationale and intended use of the product</w:t>
      </w:r>
    </w:p>
    <w:p w14:paraId="40F606F4" w14:textId="1763CB9D" w:rsidR="00946E8A" w:rsidRPr="001A68E6" w:rsidRDefault="006178CF" w:rsidP="005C24E0">
      <w:pPr>
        <w:pStyle w:val="1Para"/>
      </w:pPr>
      <w:r w:rsidRPr="001A68E6">
        <w:t>Control of MD is essentially achieved by the widespread use of live attenuated vaccines (</w:t>
      </w:r>
      <w:r w:rsidR="00C9275D" w:rsidRPr="001A68E6">
        <w:t>Nair, 2004</w:t>
      </w:r>
      <w:r w:rsidR="004C584F" w:rsidRPr="001A68E6">
        <w:t>, Schat &amp; Nair, 2013).</w:t>
      </w:r>
      <w:r w:rsidR="00F62307" w:rsidRPr="001A68E6">
        <w:t xml:space="preserve"> </w:t>
      </w:r>
      <w:r w:rsidR="00946E8A" w:rsidRPr="001A68E6">
        <w:t xml:space="preserve">Commercial biological products </w:t>
      </w:r>
      <w:r w:rsidR="0082177C" w:rsidRPr="001A68E6">
        <w:t xml:space="preserve">mainly </w:t>
      </w:r>
      <w:r w:rsidR="00946E8A" w:rsidRPr="001A68E6">
        <w:t xml:space="preserve">used in the control of MD are the cell-associated </w:t>
      </w:r>
      <w:r w:rsidR="004C584F" w:rsidRPr="001A68E6">
        <w:t>live virus vaccines</w:t>
      </w:r>
      <w:r w:rsidR="0082177C" w:rsidRPr="001A68E6">
        <w:t>.</w:t>
      </w:r>
      <w:r w:rsidR="004C584F" w:rsidRPr="001A68E6">
        <w:t xml:space="preserve"> </w:t>
      </w:r>
      <w:r w:rsidR="0082177C" w:rsidRPr="001A68E6">
        <w:t>Lyophilised</w:t>
      </w:r>
      <w:r w:rsidR="00E63C97" w:rsidRPr="001A68E6">
        <w:t xml:space="preserve"> cell-free</w:t>
      </w:r>
      <w:r w:rsidR="00946E8A" w:rsidRPr="001A68E6">
        <w:t xml:space="preserve"> </w:t>
      </w:r>
      <w:r w:rsidR="004C584F" w:rsidRPr="001A68E6">
        <w:t>vaccine</w:t>
      </w:r>
      <w:r w:rsidR="0082177C" w:rsidRPr="001A68E6">
        <w:t>s are rarely used</w:t>
      </w:r>
      <w:r w:rsidR="00E63C97" w:rsidRPr="001A68E6">
        <w:t>.</w:t>
      </w:r>
      <w:r w:rsidR="005935AC" w:rsidRPr="001A68E6">
        <w:t xml:space="preserve"> </w:t>
      </w:r>
      <w:r w:rsidR="00946E8A" w:rsidRPr="001A68E6">
        <w:t>Marek’s disease vaccines are injected</w:t>
      </w:r>
      <w:r w:rsidR="004C584F" w:rsidRPr="001A68E6">
        <w:t xml:space="preserve"> subcutaneously</w:t>
      </w:r>
      <w:r w:rsidR="00946E8A" w:rsidRPr="001A68E6">
        <w:t xml:space="preserve"> </w:t>
      </w:r>
      <w:r w:rsidR="004C584F" w:rsidRPr="001A68E6">
        <w:t xml:space="preserve">into day-old chicks after hatch </w:t>
      </w:r>
      <w:r w:rsidR="00FA54DD" w:rsidRPr="001A68E6">
        <w:t xml:space="preserve">or </w:t>
      </w:r>
      <w:r w:rsidR="00946E8A" w:rsidRPr="001A68E6">
        <w:rPr>
          <w:i/>
        </w:rPr>
        <w:t>in ovo</w:t>
      </w:r>
      <w:r w:rsidR="00946E8A" w:rsidRPr="001A68E6">
        <w:t xml:space="preserve"> </w:t>
      </w:r>
      <w:r w:rsidR="00E10641" w:rsidRPr="000561C0">
        <w:rPr>
          <w:highlight w:val="yellow"/>
          <w:u w:val="double"/>
        </w:rPr>
        <w:t>at 18</w:t>
      </w:r>
      <w:r w:rsidR="000561C0" w:rsidRPr="000561C0">
        <w:rPr>
          <w:highlight w:val="yellow"/>
          <w:u w:val="double"/>
        </w:rPr>
        <w:t>–</w:t>
      </w:r>
      <w:r w:rsidR="00E10641" w:rsidRPr="000561C0">
        <w:rPr>
          <w:highlight w:val="yellow"/>
          <w:u w:val="double"/>
        </w:rPr>
        <w:t>19 days of embryonation</w:t>
      </w:r>
      <w:r w:rsidR="000561C0">
        <w:rPr>
          <w:highlight w:val="yellow"/>
        </w:rPr>
        <w:t xml:space="preserve"> </w:t>
      </w:r>
      <w:r w:rsidR="00946E8A" w:rsidRPr="000561C0">
        <w:rPr>
          <w:strike/>
          <w:highlight w:val="yellow"/>
        </w:rPr>
        <w:t xml:space="preserve">at the 17th </w:t>
      </w:r>
      <w:r w:rsidR="003325FE" w:rsidRPr="000561C0">
        <w:rPr>
          <w:strike/>
          <w:highlight w:val="yellow"/>
        </w:rPr>
        <w:t xml:space="preserve">to </w:t>
      </w:r>
      <w:r w:rsidR="00946E8A" w:rsidRPr="000561C0">
        <w:rPr>
          <w:strike/>
          <w:highlight w:val="yellow"/>
        </w:rPr>
        <w:t>1</w:t>
      </w:r>
      <w:r w:rsidR="003325FE" w:rsidRPr="000561C0">
        <w:rPr>
          <w:strike/>
          <w:highlight w:val="yellow"/>
        </w:rPr>
        <w:t>9</w:t>
      </w:r>
      <w:r w:rsidR="00946E8A" w:rsidRPr="000561C0">
        <w:rPr>
          <w:strike/>
          <w:highlight w:val="yellow"/>
        </w:rPr>
        <w:t>th day of embryonation</w:t>
      </w:r>
      <w:r w:rsidR="00946E8A" w:rsidRPr="000561C0">
        <w:rPr>
          <w:strike/>
        </w:rPr>
        <w:t xml:space="preserve"> </w:t>
      </w:r>
      <w:r w:rsidR="00946E8A" w:rsidRPr="001A68E6">
        <w:t>(</w:t>
      </w:r>
      <w:r w:rsidR="00546E5D" w:rsidRPr="001A68E6">
        <w:t>Sharma,</w:t>
      </w:r>
      <w:r w:rsidR="00546E5D" w:rsidRPr="001A68E6">
        <w:rPr>
          <w:smallCaps/>
        </w:rPr>
        <w:t xml:space="preserve"> </w:t>
      </w:r>
      <w:r w:rsidR="00546E5D" w:rsidRPr="001A68E6">
        <w:t>1999</w:t>
      </w:r>
      <w:r w:rsidR="002F1BC0" w:rsidRPr="001A68E6">
        <w:t>)</w:t>
      </w:r>
      <w:r w:rsidR="00FA54DD" w:rsidRPr="001A68E6">
        <w:t>.</w:t>
      </w:r>
      <w:r w:rsidR="002F1BC0" w:rsidRPr="001A68E6">
        <w:t xml:space="preserve"> </w:t>
      </w:r>
    </w:p>
    <w:p w14:paraId="39758DD7" w14:textId="77777777" w:rsidR="00583BD0" w:rsidRPr="001A68E6" w:rsidRDefault="00583BD0" w:rsidP="00614F04">
      <w:pPr>
        <w:pStyle w:val="1"/>
      </w:pPr>
      <w:r w:rsidRPr="001A68E6">
        <w:t>2.</w:t>
      </w:r>
      <w:r w:rsidRPr="001A68E6">
        <w:tab/>
        <w:t>Outline of production and minimum requirements for conventional vaccines</w:t>
      </w:r>
    </w:p>
    <w:p w14:paraId="6DCF4AB8" w14:textId="4526C4D8" w:rsidR="00583BD0" w:rsidRPr="001A68E6" w:rsidRDefault="00583BD0" w:rsidP="00614F04">
      <w:pPr>
        <w:pStyle w:val="para1"/>
      </w:pPr>
      <w:r w:rsidRPr="001A68E6">
        <w:t>The requirements for producing vaccines are outlined below, and in Chapter 1.1.</w:t>
      </w:r>
      <w:r w:rsidR="000F55AC" w:rsidRPr="001A68E6">
        <w:t>8</w:t>
      </w:r>
      <w:r w:rsidRPr="001A68E6">
        <w:t xml:space="preserve"> </w:t>
      </w:r>
      <w:r w:rsidRPr="001A68E6">
        <w:rPr>
          <w:i/>
        </w:rPr>
        <w:t>Principles of veterinary vaccine production</w:t>
      </w:r>
      <w:r w:rsidRPr="001A68E6">
        <w:t>, but other sources should be consulted for further information on the procedures (</w:t>
      </w:r>
      <w:r w:rsidR="008E5844" w:rsidRPr="001A68E6">
        <w:t xml:space="preserve">Code of Federal Regulations </w:t>
      </w:r>
      <w:r w:rsidR="003325FE" w:rsidRPr="001A68E6">
        <w:t xml:space="preserve">title 9 </w:t>
      </w:r>
      <w:r w:rsidR="008E5844" w:rsidRPr="001A68E6">
        <w:t>[</w:t>
      </w:r>
      <w:r w:rsidR="003325FE" w:rsidRPr="001A68E6">
        <w:t>9</w:t>
      </w:r>
      <w:r w:rsidR="008E5844" w:rsidRPr="001A68E6">
        <w:t>CFR], 20</w:t>
      </w:r>
      <w:r w:rsidR="003325FE" w:rsidRPr="001A68E6">
        <w:t>16</w:t>
      </w:r>
      <w:r w:rsidR="008E5844" w:rsidRPr="001A68E6">
        <w:t xml:space="preserve">; </w:t>
      </w:r>
      <w:r w:rsidR="007D4DEA" w:rsidRPr="001A68E6">
        <w:t>Europe</w:t>
      </w:r>
      <w:r w:rsidR="00A2266C" w:rsidRPr="001A68E6">
        <w:t>an Pharmacopoeia</w:t>
      </w:r>
      <w:r w:rsidR="007D4DEA" w:rsidRPr="001A68E6">
        <w:t>, 1997a and 1997b;</w:t>
      </w:r>
      <w:r w:rsidRPr="001A68E6">
        <w:t xml:space="preserve"> </w:t>
      </w:r>
      <w:r w:rsidR="006D74F9" w:rsidRPr="00B23ABA">
        <w:rPr>
          <w:strike/>
        </w:rPr>
        <w:t xml:space="preserve">Merieux </w:t>
      </w:r>
      <w:r w:rsidR="006D74F9" w:rsidRPr="00B23ABA">
        <w:rPr>
          <w:i/>
          <w:strike/>
        </w:rPr>
        <w:t>et al.,</w:t>
      </w:r>
      <w:r w:rsidR="006D74F9" w:rsidRPr="00B23ABA">
        <w:rPr>
          <w:strike/>
        </w:rPr>
        <w:t xml:space="preserve"> 1974;</w:t>
      </w:r>
      <w:r w:rsidRPr="00B23ABA">
        <w:rPr>
          <w:strike/>
        </w:rPr>
        <w:t xml:space="preserve"> </w:t>
      </w:r>
      <w:r w:rsidR="006D74F9" w:rsidRPr="001A68E6">
        <w:t>Ministry of Agriculture, Fisheries and Food, UK, 1990;</w:t>
      </w:r>
      <w:r w:rsidRPr="001A68E6">
        <w:t xml:space="preserve"> </w:t>
      </w:r>
      <w:r w:rsidR="00546E5D" w:rsidRPr="001A68E6">
        <w:t>Thornton, 1985</w:t>
      </w:r>
      <w:r w:rsidRPr="001A68E6">
        <w:t xml:space="preserve">). Protocols are given in the British Pharmacopoeia Monograph 589, and </w:t>
      </w:r>
      <w:r w:rsidR="003325FE" w:rsidRPr="001A68E6">
        <w:t>9</w:t>
      </w:r>
      <w:r w:rsidRPr="001A68E6">
        <w:t xml:space="preserve">CFR, </w:t>
      </w:r>
      <w:r w:rsidR="00A2266C" w:rsidRPr="001A68E6">
        <w:t>P</w:t>
      </w:r>
      <w:r w:rsidRPr="001A68E6">
        <w:t>art 113 (</w:t>
      </w:r>
      <w:r w:rsidR="00D7564F" w:rsidRPr="001A68E6">
        <w:t>9</w:t>
      </w:r>
      <w:r w:rsidR="00A2266C" w:rsidRPr="001A68E6">
        <w:t>CFR</w:t>
      </w:r>
      <w:r w:rsidR="00546E5D" w:rsidRPr="001A68E6">
        <w:t xml:space="preserve">, </w:t>
      </w:r>
      <w:r w:rsidR="00E63C97" w:rsidRPr="001A68E6">
        <w:t>2016</w:t>
      </w:r>
      <w:r w:rsidRPr="001A68E6">
        <w:t xml:space="preserve">). The guidelines in this </w:t>
      </w:r>
      <w:r w:rsidRPr="001A68E6">
        <w:rPr>
          <w:i/>
          <w:iCs/>
        </w:rPr>
        <w:t>Terrestrial</w:t>
      </w:r>
      <w:r w:rsidRPr="001A68E6">
        <w:t xml:space="preserve"> </w:t>
      </w:r>
      <w:r w:rsidRPr="001A68E6">
        <w:rPr>
          <w:i/>
        </w:rPr>
        <w:t>Manual</w:t>
      </w:r>
      <w:r w:rsidRPr="001A68E6">
        <w:t xml:space="preserve"> are intended to be general in nature and may</w:t>
      </w:r>
      <w:r w:rsidR="00B53FA2" w:rsidRPr="001A68E6">
        <w:t xml:space="preserve"> </w:t>
      </w:r>
      <w:r w:rsidRPr="001A68E6">
        <w:t xml:space="preserve">be supplemented </w:t>
      </w:r>
      <w:r w:rsidR="00D7564F" w:rsidRPr="001A68E6">
        <w:t>with</w:t>
      </w:r>
      <w:r w:rsidRPr="001A68E6">
        <w:t xml:space="preserve"> national and regional requirements</w:t>
      </w:r>
      <w:r w:rsidR="00227886" w:rsidRPr="001A68E6">
        <w:t>.</w:t>
      </w:r>
    </w:p>
    <w:p w14:paraId="447257F9" w14:textId="77777777" w:rsidR="00D364BC" w:rsidRPr="001A68E6" w:rsidRDefault="00F51679" w:rsidP="00F51679">
      <w:pPr>
        <w:pStyle w:val="11"/>
      </w:pPr>
      <w:r w:rsidRPr="001A68E6">
        <w:t>2.1.</w:t>
      </w:r>
      <w:r w:rsidR="00614F04" w:rsidRPr="001A68E6">
        <w:tab/>
      </w:r>
      <w:r w:rsidR="00583BD0" w:rsidRPr="001A68E6">
        <w:t>Characteristics of the seed</w:t>
      </w:r>
    </w:p>
    <w:p w14:paraId="71A5D148" w14:textId="230BBDDE" w:rsidR="00614F04" w:rsidRPr="001A68E6" w:rsidRDefault="00F51679" w:rsidP="00F51679">
      <w:pPr>
        <w:pStyle w:val="111"/>
      </w:pPr>
      <w:r w:rsidRPr="001A68E6">
        <w:t>2.1.1.</w:t>
      </w:r>
      <w:r w:rsidR="00614F04" w:rsidRPr="001A68E6">
        <w:tab/>
      </w:r>
      <w:r w:rsidR="00583BD0" w:rsidRPr="001A68E6">
        <w:t>Biological characteristics</w:t>
      </w:r>
      <w:r w:rsidR="001F07A7" w:rsidRPr="001A68E6">
        <w:rPr>
          <w:u w:val="double"/>
        </w:rPr>
        <w:t xml:space="preserve"> of the master seed</w:t>
      </w:r>
    </w:p>
    <w:p w14:paraId="015AB198" w14:textId="77777777" w:rsidR="00946E8A" w:rsidRPr="001A68E6" w:rsidRDefault="00946E8A" w:rsidP="00F51679">
      <w:pPr>
        <w:pStyle w:val="111Para"/>
      </w:pPr>
      <w:r w:rsidRPr="001A68E6">
        <w:t>Viruses of the MDV group are classified under three serotypes – 1, 2, and 3 – on the basis of their antigenic relatedness.</w:t>
      </w:r>
    </w:p>
    <w:p w14:paraId="0860A73A" w14:textId="36B150A0" w:rsidR="000F55AC" w:rsidRPr="001A68E6" w:rsidRDefault="000F55AC" w:rsidP="000F55AC">
      <w:pPr>
        <w:pStyle w:val="i"/>
      </w:pPr>
      <w:r w:rsidRPr="001A68E6">
        <w:t>i)</w:t>
      </w:r>
      <w:r w:rsidRPr="001A68E6">
        <w:tab/>
      </w:r>
      <w:r w:rsidR="00946E8A" w:rsidRPr="001A68E6">
        <w:t>Serotype 1</w:t>
      </w:r>
    </w:p>
    <w:p w14:paraId="0F5BC034" w14:textId="0A881972" w:rsidR="00946E8A" w:rsidRPr="001A68E6" w:rsidRDefault="00946E8A" w:rsidP="000F55AC">
      <w:pPr>
        <w:pStyle w:val="afourthpara"/>
      </w:pPr>
      <w:r w:rsidRPr="001A68E6">
        <w:t>This includes all the pathogenic strains of the virus, ranging from strains that are very virulent plus (e.g. 648A), very virulent (e.g. Md/5, Md/11, Ala-8, RB-1B), virulent (e.g.</w:t>
      </w:r>
      <w:r w:rsidR="0033106F" w:rsidRPr="001A68E6">
        <w:t> </w:t>
      </w:r>
      <w:r w:rsidRPr="001A68E6">
        <w:t xml:space="preserve">HPRS-16, JM GA), mildly virulent (e.g. HPRS-B14, Conn A) and finally to weakly virulent (e.g. CU-2, CVI-988). These strains may be attenuated by passage in tissue culture, with loss of pathogenic properties but retention of </w:t>
      </w:r>
      <w:r w:rsidRPr="001A68E6">
        <w:lastRenderedPageBreak/>
        <w:t xml:space="preserve">immunogenicity, to provide strains that have been used as vaccines. Those that have been used commercially include attenuated HPRS-16 and CVI-988 (Rispens) strains. </w:t>
      </w:r>
      <w:r w:rsidRPr="001A68E6">
        <w:rPr>
          <w:strike/>
        </w:rPr>
        <w:t>Attenuated variants of the very virulent stains have been used in experimental vaccines to protect against the variant form of acute MD caused by the very virulent stains</w:t>
      </w:r>
      <w:r w:rsidR="004049A8" w:rsidRPr="001A68E6">
        <w:rPr>
          <w:strike/>
        </w:rPr>
        <w:t>. Md11/75C/</w:t>
      </w:r>
      <w:r w:rsidRPr="001A68E6">
        <w:rPr>
          <w:strike/>
        </w:rPr>
        <w:t>R2/23</w:t>
      </w:r>
      <w:r w:rsidR="004049A8" w:rsidRPr="001A68E6">
        <w:rPr>
          <w:strike/>
        </w:rPr>
        <w:t xml:space="preserve"> is one such strain</w:t>
      </w:r>
      <w:r w:rsidRPr="001A68E6">
        <w:rPr>
          <w:strike/>
        </w:rPr>
        <w:t xml:space="preserve"> </w:t>
      </w:r>
      <w:r w:rsidR="004049A8" w:rsidRPr="001A68E6">
        <w:rPr>
          <w:strike/>
        </w:rPr>
        <w:t>(</w:t>
      </w:r>
      <w:r w:rsidR="00546E5D" w:rsidRPr="001A68E6">
        <w:rPr>
          <w:strike/>
        </w:rPr>
        <w:t>Witter, 2001</w:t>
      </w:r>
      <w:r w:rsidR="004049A8" w:rsidRPr="001A68E6">
        <w:rPr>
          <w:strike/>
        </w:rPr>
        <w:t xml:space="preserve">) </w:t>
      </w:r>
      <w:r w:rsidRPr="001A68E6">
        <w:rPr>
          <w:strike/>
        </w:rPr>
        <w:t xml:space="preserve">licensed </w:t>
      </w:r>
      <w:r w:rsidR="004049A8" w:rsidRPr="001A68E6">
        <w:rPr>
          <w:strike/>
        </w:rPr>
        <w:t xml:space="preserve">for use </w:t>
      </w:r>
      <w:r w:rsidRPr="001A68E6">
        <w:rPr>
          <w:strike/>
        </w:rPr>
        <w:t>in the United States of America</w:t>
      </w:r>
      <w:r w:rsidR="004049A8" w:rsidRPr="001A68E6">
        <w:rPr>
          <w:strike/>
        </w:rPr>
        <w:t>.</w:t>
      </w:r>
      <w:r w:rsidR="00326CB2" w:rsidRPr="001A68E6">
        <w:rPr>
          <w:strike/>
        </w:rPr>
        <w:t xml:space="preserve"> </w:t>
      </w:r>
      <w:r w:rsidRPr="001A68E6">
        <w:t>Serotype 1 vaccines are prepared in a cell-associated (‘wet’) form that must be stored in liquid nitrogen.</w:t>
      </w:r>
    </w:p>
    <w:p w14:paraId="1CA26229" w14:textId="7408403F" w:rsidR="000F55AC" w:rsidRPr="001A68E6" w:rsidRDefault="000F55AC" w:rsidP="000F55AC">
      <w:pPr>
        <w:pStyle w:val="i"/>
      </w:pPr>
      <w:r w:rsidRPr="001A68E6">
        <w:t>ii)</w:t>
      </w:r>
      <w:r w:rsidRPr="001A68E6">
        <w:tab/>
      </w:r>
      <w:r w:rsidR="00946E8A" w:rsidRPr="001A68E6">
        <w:t>Serotype 2</w:t>
      </w:r>
    </w:p>
    <w:p w14:paraId="4DE95645" w14:textId="1C9C816F" w:rsidR="00946E8A" w:rsidRPr="001A68E6" w:rsidRDefault="00946E8A" w:rsidP="000F55AC">
      <w:pPr>
        <w:pStyle w:val="afourthpara"/>
      </w:pPr>
      <w:r w:rsidRPr="001A68E6">
        <w:t>This includes naturally avirulent strains of MDV (e.g. SB-1, HPRS-24, 301B/1, HN-1), and several of these have been shown to provide protection against virulent strains. The SB-1 and 301B/1 strains have been developed commercially and used, particularly with HVT, in bivalent vaccines for protection against the very virulent strains. Serotype 2 vaccines exist only in the cell-associated form.</w:t>
      </w:r>
    </w:p>
    <w:p w14:paraId="13FD4784" w14:textId="0A8616E5" w:rsidR="000F55AC" w:rsidRPr="001A68E6" w:rsidRDefault="000F55AC" w:rsidP="000F55AC">
      <w:pPr>
        <w:pStyle w:val="i"/>
      </w:pPr>
      <w:r w:rsidRPr="001A68E6">
        <w:t>iii)</w:t>
      </w:r>
      <w:r w:rsidRPr="001A68E6">
        <w:tab/>
      </w:r>
      <w:r w:rsidR="00946E8A" w:rsidRPr="001A68E6">
        <w:t>Serotype 3</w:t>
      </w:r>
    </w:p>
    <w:p w14:paraId="0B9F7012" w14:textId="76AD5B55" w:rsidR="00946E8A" w:rsidRPr="001A68E6" w:rsidRDefault="00946E8A" w:rsidP="000F55AC">
      <w:pPr>
        <w:pStyle w:val="afourthpara"/>
      </w:pPr>
      <w:r w:rsidRPr="001A68E6">
        <w:t>This contains the strains of naturally avirulent HVT (e.g. FC126, PB1), which are widely used as a monovalent vaccine, and also in combination with serotype 1 and 2 strains in bivalent or trivalent vaccines against the very virulent strains of MDV. HVT may be prepared in a cell-free form as a freeze-dried (lyophilised) vaccine or in a cell-associated (‘wet’) form.</w:t>
      </w:r>
    </w:p>
    <w:p w14:paraId="7E9B19FC" w14:textId="1F9354FA" w:rsidR="00D364BC" w:rsidRPr="001A68E6" w:rsidRDefault="00F51679" w:rsidP="00F51679">
      <w:pPr>
        <w:pStyle w:val="111"/>
      </w:pPr>
      <w:r w:rsidRPr="001A68E6">
        <w:t>2.1.2.</w:t>
      </w:r>
      <w:r w:rsidR="00D364BC" w:rsidRPr="001A68E6">
        <w:tab/>
        <w:t>Quality criteria (sterility, purity, freedom from extraneous agents)</w:t>
      </w:r>
    </w:p>
    <w:p w14:paraId="1F40C246" w14:textId="77777777" w:rsidR="00D364BC" w:rsidRPr="001A68E6" w:rsidRDefault="00D364BC" w:rsidP="00F51679">
      <w:pPr>
        <w:pStyle w:val="111Para"/>
      </w:pPr>
      <w:r w:rsidRPr="001A68E6">
        <w:t xml:space="preserve">The substrates used for commercial vaccine production are primary </w:t>
      </w:r>
      <w:r w:rsidRPr="001A68E6">
        <w:rPr>
          <w:strike/>
        </w:rPr>
        <w:t>chicken embryo fibroblasts (</w:t>
      </w:r>
      <w:r w:rsidRPr="001A68E6">
        <w:t>CEF</w:t>
      </w:r>
      <w:r w:rsidRPr="001A68E6">
        <w:rPr>
          <w:strike/>
        </w:rPr>
        <w:t>)</w:t>
      </w:r>
      <w:r w:rsidRPr="001A68E6">
        <w:t xml:space="preserve"> derived from specific pathogen free (SPF) flocks or duck embryo fibroblasts. CEF from SPF flocks are preferred to duck cells because more is known about chicken-embryo-transmitted pathogens and methods for their detection.</w:t>
      </w:r>
    </w:p>
    <w:p w14:paraId="1269B64C" w14:textId="589DF579" w:rsidR="00946E8A" w:rsidRPr="001A68E6" w:rsidRDefault="00946E8A" w:rsidP="009D5565">
      <w:pPr>
        <w:pStyle w:val="111Para"/>
        <w:spacing w:after="200"/>
      </w:pPr>
      <w:r w:rsidRPr="001A68E6">
        <w:t>Methods for testing SPF flocks for freedom from infection are available (</w:t>
      </w:r>
      <w:r w:rsidR="006D74F9" w:rsidRPr="001A68E6">
        <w:t>Ministry of Agriculture, Fisheries and Food, UK, 1990;</w:t>
      </w:r>
      <w:r w:rsidRPr="001A68E6">
        <w:t xml:space="preserve"> </w:t>
      </w:r>
      <w:r w:rsidR="00546E5D" w:rsidRPr="001A68E6">
        <w:t>Thornton, 1985</w:t>
      </w:r>
      <w:r w:rsidR="005C24E0" w:rsidRPr="001A68E6">
        <w:rPr>
          <w:u w:val="double"/>
        </w:rPr>
        <w:t>;</w:t>
      </w:r>
      <w:r w:rsidR="00227886" w:rsidRPr="001A68E6">
        <w:rPr>
          <w:u w:val="double"/>
        </w:rPr>
        <w:t xml:space="preserve"> Veterinary Services Memorandum 800.65</w:t>
      </w:r>
      <w:r w:rsidR="00A068D8" w:rsidRPr="001A68E6">
        <w:rPr>
          <w:rStyle w:val="FootnoteReference"/>
          <w:u w:val="double"/>
        </w:rPr>
        <w:footnoteReference w:id="3"/>
      </w:r>
      <w:r w:rsidRPr="001A68E6">
        <w:t xml:space="preserve">). SPF chicken flocks should be free from avian adenoviruses, including egg-drop syndrome 76 virus, avian encephalomyelitis virus, avian leukosis virus (subgroups A, B and J), avian nephritis virus, avian reoviruses, avian rotaviruses, </w:t>
      </w:r>
      <w:r w:rsidRPr="001A68E6">
        <w:rPr>
          <w:strike/>
        </w:rPr>
        <w:t>chicken anaemia virus,</w:t>
      </w:r>
      <w:r w:rsidRPr="001A68E6">
        <w:t xml:space="preserve"> fowl pox virus, infectious bronchitis virus, infectious bursal disease virus, infectious laryngotracheitis virus, influenza type A virus, MDV, </w:t>
      </w:r>
      <w:r w:rsidRPr="001A68E6">
        <w:rPr>
          <w:i/>
        </w:rPr>
        <w:t>Mycoplasma gallisepticum, M</w:t>
      </w:r>
      <w:r w:rsidR="00A068D8" w:rsidRPr="001A68E6">
        <w:rPr>
          <w:i/>
        </w:rPr>
        <w:t>. </w:t>
      </w:r>
      <w:r w:rsidRPr="001A68E6">
        <w:rPr>
          <w:i/>
        </w:rPr>
        <w:t xml:space="preserve">synoviae, </w:t>
      </w:r>
      <w:r w:rsidRPr="001A68E6">
        <w:t xml:space="preserve">Newcastle disease virus, reticuloendotheliosis virus, </w:t>
      </w:r>
      <w:r w:rsidRPr="001A68E6">
        <w:rPr>
          <w:i/>
        </w:rPr>
        <w:t xml:space="preserve">Salmonella </w:t>
      </w:r>
      <w:r w:rsidRPr="001A68E6">
        <w:t>spp., and turkey rhinotracheitis virus.</w:t>
      </w:r>
      <w:r w:rsidR="003325FE" w:rsidRPr="001A68E6">
        <w:t xml:space="preserve"> </w:t>
      </w:r>
      <w:r w:rsidR="007D40B3">
        <w:rPr>
          <w:u w:val="double"/>
        </w:rPr>
        <w:t xml:space="preserve">Requirement for freedom from </w:t>
      </w:r>
      <w:r w:rsidR="00ED6731" w:rsidRPr="001A68E6">
        <w:rPr>
          <w:u w:val="double"/>
        </w:rPr>
        <w:t xml:space="preserve">chicken anaemia virus </w:t>
      </w:r>
      <w:r w:rsidR="00E40583">
        <w:rPr>
          <w:u w:val="double"/>
        </w:rPr>
        <w:t>varies between</w:t>
      </w:r>
      <w:r w:rsidR="00F17D1F" w:rsidRPr="001A68E6">
        <w:rPr>
          <w:u w:val="double"/>
        </w:rPr>
        <w:t xml:space="preserve"> different countries.</w:t>
      </w:r>
      <w:r w:rsidR="00F17D1F" w:rsidRPr="001A68E6">
        <w:t xml:space="preserve"> </w:t>
      </w:r>
      <w:r w:rsidR="003325FE" w:rsidRPr="001A68E6">
        <w:t>Freedom from other infections may also be required as they become recognised.</w:t>
      </w:r>
    </w:p>
    <w:p w14:paraId="7C83444B" w14:textId="3A1273BF" w:rsidR="00946E8A" w:rsidRPr="001A68E6" w:rsidRDefault="00946E8A" w:rsidP="009D5565">
      <w:pPr>
        <w:pStyle w:val="111Para"/>
        <w:spacing w:after="200"/>
      </w:pPr>
      <w:r w:rsidRPr="001A68E6">
        <w:t xml:space="preserve">SPF duck flocks should be free from avian adenoviruses, avian reoviruses, </w:t>
      </w:r>
      <w:r w:rsidRPr="001A68E6">
        <w:rPr>
          <w:i/>
        </w:rPr>
        <w:t>Chlamydia</w:t>
      </w:r>
      <w:r w:rsidRPr="001A68E6">
        <w:t xml:space="preserve">, duck virus enteritis, duck virus hepatitis types I and II, influenza type A virus, Newcastle disease virus, </w:t>
      </w:r>
      <w:r w:rsidRPr="001A68E6">
        <w:rPr>
          <w:i/>
        </w:rPr>
        <w:t xml:space="preserve">Pasteurella </w:t>
      </w:r>
      <w:r w:rsidRPr="001A68E6">
        <w:t>(now</w:t>
      </w:r>
      <w:r w:rsidRPr="001A68E6">
        <w:rPr>
          <w:i/>
        </w:rPr>
        <w:t xml:space="preserve"> Riemerella</w:t>
      </w:r>
      <w:r w:rsidRPr="001A68E6">
        <w:t>)</w:t>
      </w:r>
      <w:r w:rsidRPr="001A68E6">
        <w:rPr>
          <w:i/>
        </w:rPr>
        <w:t xml:space="preserve"> anatipestifer,</w:t>
      </w:r>
      <w:r w:rsidRPr="001A68E6">
        <w:t xml:space="preserve"> </w:t>
      </w:r>
      <w:r w:rsidR="00B07314" w:rsidRPr="001A68E6">
        <w:t>REV</w:t>
      </w:r>
      <w:r w:rsidRPr="001A68E6">
        <w:t xml:space="preserve">, and </w:t>
      </w:r>
      <w:r w:rsidRPr="001A68E6">
        <w:rPr>
          <w:i/>
        </w:rPr>
        <w:t xml:space="preserve">Salmonella </w:t>
      </w:r>
      <w:r w:rsidRPr="001A68E6">
        <w:t>infections.</w:t>
      </w:r>
      <w:r w:rsidR="00B9243E" w:rsidRPr="001A68E6">
        <w:t xml:space="preserve"> </w:t>
      </w:r>
      <w:r w:rsidR="005C00D9" w:rsidRPr="001A68E6">
        <w:rPr>
          <w:u w:val="double"/>
        </w:rPr>
        <w:t>Some countries, including the US</w:t>
      </w:r>
      <w:r w:rsidR="00A068D8" w:rsidRPr="001A68E6">
        <w:rPr>
          <w:u w:val="double"/>
        </w:rPr>
        <w:t>A</w:t>
      </w:r>
      <w:r w:rsidR="005C00D9" w:rsidRPr="001A68E6">
        <w:rPr>
          <w:u w:val="double"/>
        </w:rPr>
        <w:t>, do</w:t>
      </w:r>
      <w:r w:rsidR="000C4352" w:rsidRPr="001A68E6">
        <w:rPr>
          <w:u w:val="double"/>
        </w:rPr>
        <w:t xml:space="preserve"> not have an official definition of SPF duck flock.</w:t>
      </w:r>
      <w:r w:rsidR="000C4352" w:rsidRPr="001A68E6">
        <w:t xml:space="preserve"> </w:t>
      </w:r>
      <w:r w:rsidRPr="001A68E6">
        <w:t>Freedom from other infections may also be required as they become recognised.</w:t>
      </w:r>
    </w:p>
    <w:p w14:paraId="52DFE469" w14:textId="444C742A" w:rsidR="00946E8A" w:rsidRPr="001A68E6" w:rsidRDefault="00946E8A" w:rsidP="009D5565">
      <w:pPr>
        <w:pStyle w:val="111Para"/>
        <w:spacing w:after="200"/>
      </w:pPr>
      <w:r w:rsidRPr="001A68E6">
        <w:t>Seed virus must be free from the agents listed for SPF flocks and from other contaminants</w:t>
      </w:r>
      <w:r w:rsidRPr="001A68E6">
        <w:rPr>
          <w:strike/>
        </w:rPr>
        <w:t xml:space="preserve"> that may be acquired in the laboratory</w:t>
      </w:r>
      <w:r w:rsidRPr="001A68E6">
        <w:t xml:space="preserve">. A vaccine strain derived from turkeys must also be free from </w:t>
      </w:r>
      <w:r w:rsidR="00685058" w:rsidRPr="001A68E6">
        <w:t>LPDV</w:t>
      </w:r>
      <w:r w:rsidRPr="001A68E6">
        <w:t xml:space="preserve"> and haemorrhagic enteritis virus.</w:t>
      </w:r>
    </w:p>
    <w:p w14:paraId="724A7106" w14:textId="3FCD3287" w:rsidR="00946E8A" w:rsidRPr="001A68E6" w:rsidRDefault="00946E8A" w:rsidP="009D5565">
      <w:pPr>
        <w:pStyle w:val="111Para"/>
        <w:spacing w:after="200"/>
      </w:pPr>
      <w:r w:rsidRPr="001A68E6">
        <w:t>The ability of the master seed virus – and derived virus at the limit of the passage range used to produce vaccinal virus (usually not more than five tissue culture passages) – to protect against MD must be determined. Standardised protection tests are published</w:t>
      </w:r>
      <w:r w:rsidR="00553A2E" w:rsidRPr="001A68E6">
        <w:t xml:space="preserve"> but requirements may vary according to the relevant regulatory authority</w:t>
      </w:r>
      <w:r w:rsidRPr="001A68E6">
        <w:t xml:space="preserve">. They involve vaccination of MD-susceptible SPF chickens at 1 day of age </w:t>
      </w:r>
      <w:r w:rsidR="0021058D" w:rsidRPr="001A68E6">
        <w:rPr>
          <w:u w:val="double"/>
        </w:rPr>
        <w:t>(</w:t>
      </w:r>
      <w:r w:rsidR="00F34AA2" w:rsidRPr="001A68E6">
        <w:rPr>
          <w:u w:val="double"/>
        </w:rPr>
        <w:t>or</w:t>
      </w:r>
      <w:r w:rsidR="00AE0017" w:rsidRPr="001A68E6">
        <w:rPr>
          <w:u w:val="double"/>
        </w:rPr>
        <w:t xml:space="preserve"> by</w:t>
      </w:r>
      <w:r w:rsidR="00F34AA2" w:rsidRPr="001A68E6">
        <w:rPr>
          <w:u w:val="double"/>
        </w:rPr>
        <w:t xml:space="preserve"> </w:t>
      </w:r>
      <w:r w:rsidR="00F34AA2" w:rsidRPr="001A68E6">
        <w:rPr>
          <w:i/>
          <w:iCs/>
          <w:u w:val="double"/>
        </w:rPr>
        <w:t>in ovo</w:t>
      </w:r>
      <w:r w:rsidR="00F34AA2" w:rsidRPr="001A68E6">
        <w:rPr>
          <w:u w:val="double"/>
        </w:rPr>
        <w:t xml:space="preserve"> </w:t>
      </w:r>
      <w:r w:rsidR="00AE0017" w:rsidRPr="001A68E6">
        <w:rPr>
          <w:u w:val="double"/>
        </w:rPr>
        <w:t xml:space="preserve">route </w:t>
      </w:r>
      <w:r w:rsidR="00F34AA2" w:rsidRPr="001A68E6">
        <w:rPr>
          <w:u w:val="double"/>
        </w:rPr>
        <w:t xml:space="preserve">for an </w:t>
      </w:r>
      <w:r w:rsidR="00F34AA2" w:rsidRPr="001A68E6">
        <w:rPr>
          <w:i/>
          <w:iCs/>
          <w:u w:val="double"/>
        </w:rPr>
        <w:t>in ovo</w:t>
      </w:r>
      <w:r w:rsidR="00F34AA2" w:rsidRPr="001A68E6">
        <w:rPr>
          <w:u w:val="double"/>
        </w:rPr>
        <w:t xml:space="preserve"> label claim)</w:t>
      </w:r>
      <w:r w:rsidR="00F34AA2" w:rsidRPr="001A68E6">
        <w:t xml:space="preserve"> </w:t>
      </w:r>
      <w:r w:rsidRPr="001A68E6">
        <w:t xml:space="preserve">and challenge with sufficient virulent MDV </w:t>
      </w:r>
      <w:r w:rsidR="00553A2E" w:rsidRPr="001A68E6">
        <w:t>5</w:t>
      </w:r>
      <w:r w:rsidR="00F9686E" w:rsidRPr="001A68E6">
        <w:t>–</w:t>
      </w:r>
      <w:r w:rsidRPr="001A68E6">
        <w:t>8 days later to cause at least a 70</w:t>
      </w:r>
      <w:r w:rsidR="00F9686E" w:rsidRPr="001A68E6">
        <w:t>–</w:t>
      </w:r>
      <w:r w:rsidR="00553A2E" w:rsidRPr="001A68E6">
        <w:t>80</w:t>
      </w:r>
      <w:r w:rsidRPr="001A68E6">
        <w:t>% incidence of MD in unvaccinated chickens. Two types of tests are used. In the protection index test, a single field dose (1000 PFU) (plaque-forming units) of vaccine is given and the incidence of MD in vaccinated birds is compared with that in unvaccinated birds. Protective indices should be greater than 80, i.e. vaccinated birds should show at least 80% reduction in the incidence of gross MD, compared with unvaccinated controls.</w:t>
      </w:r>
    </w:p>
    <w:p w14:paraId="2CDEEE10" w14:textId="441BE1F0" w:rsidR="00946E8A" w:rsidRPr="001A68E6" w:rsidRDefault="00946E8A" w:rsidP="009D5565">
      <w:pPr>
        <w:pStyle w:val="111Para"/>
        <w:spacing w:after="200"/>
      </w:pPr>
      <w:r w:rsidRPr="001A68E6">
        <w:t>A PD</w:t>
      </w:r>
      <w:r w:rsidRPr="001A68E6">
        <w:rPr>
          <w:vertAlign w:val="subscript"/>
        </w:rPr>
        <w:t>50</w:t>
      </w:r>
      <w:r w:rsidRPr="001A68E6">
        <w:t xml:space="preserve"> (50% protective dose) test </w:t>
      </w:r>
      <w:r w:rsidR="00553A2E" w:rsidRPr="001A68E6">
        <w:t xml:space="preserve">may </w:t>
      </w:r>
      <w:r w:rsidRPr="001A68E6">
        <w:t>also</w:t>
      </w:r>
      <w:r w:rsidR="00553A2E" w:rsidRPr="001A68E6">
        <w:t xml:space="preserve"> be</w:t>
      </w:r>
      <w:r w:rsidRPr="001A68E6">
        <w:t xml:space="preserve"> used, involving the inoculation of five four-fold serial dilutions of vaccine virus selected to provide protection above and below the 50% level, followed by </w:t>
      </w:r>
      <w:r w:rsidRPr="001A68E6">
        <w:lastRenderedPageBreak/>
        <w:t>challenge 8</w:t>
      </w:r>
      <w:r w:rsidR="00F001F1" w:rsidRPr="001A68E6">
        <w:t> </w:t>
      </w:r>
      <w:r w:rsidRPr="001A68E6">
        <w:t>days later to determine the PD</w:t>
      </w:r>
      <w:r w:rsidRPr="001A68E6">
        <w:rPr>
          <w:vertAlign w:val="subscript"/>
        </w:rPr>
        <w:t xml:space="preserve">50 </w:t>
      </w:r>
      <w:r w:rsidRPr="001A68E6">
        <w:t>value. The assays are conducted using a standard reference vaccine for comparison. The PD</w:t>
      </w:r>
      <w:r w:rsidRPr="001A68E6">
        <w:rPr>
          <w:vertAlign w:val="subscript"/>
        </w:rPr>
        <w:t xml:space="preserve">50 </w:t>
      </w:r>
      <w:r w:rsidRPr="001A68E6">
        <w:t>may be as low as 4 PFU, but higher values can be obtained depending on the vaccine strain, whether cell-free or cell-associated and the presence or absence of maternal antibodies in the test chickens. On the basis of the PD</w:t>
      </w:r>
      <w:r w:rsidRPr="001A68E6">
        <w:rPr>
          <w:vertAlign w:val="subscript"/>
        </w:rPr>
        <w:t xml:space="preserve">50 </w:t>
      </w:r>
      <w:r w:rsidRPr="001A68E6">
        <w:t>test, it has been suggested that the minimum vaccine field dose should be the greater of two values: 10</w:t>
      </w:r>
      <w:r w:rsidRPr="001A68E6">
        <w:rPr>
          <w:vertAlign w:val="superscript"/>
        </w:rPr>
        <w:t xml:space="preserve">3 </w:t>
      </w:r>
      <w:r w:rsidRPr="001A68E6">
        <w:t>PFU</w:t>
      </w:r>
      <w:r w:rsidRPr="001A68E6">
        <w:rPr>
          <w:vertAlign w:val="subscript"/>
        </w:rPr>
        <w:t xml:space="preserve"> </w:t>
      </w:r>
      <w:r w:rsidRPr="001A68E6">
        <w:t>or 100 PD</w:t>
      </w:r>
      <w:r w:rsidRPr="001A68E6">
        <w:rPr>
          <w:vertAlign w:val="subscript"/>
        </w:rPr>
        <w:t>50</w:t>
      </w:r>
      <w:r w:rsidRPr="001A68E6">
        <w:t>.</w:t>
      </w:r>
    </w:p>
    <w:p w14:paraId="0A69B192" w14:textId="77777777" w:rsidR="005C24E0" w:rsidRPr="001A68E6" w:rsidRDefault="005C24E0" w:rsidP="005C24E0">
      <w:pPr>
        <w:pStyle w:val="111Para"/>
        <w:rPr>
          <w:strike/>
        </w:rPr>
      </w:pPr>
      <w:r w:rsidRPr="001A68E6">
        <w:rPr>
          <w:strike/>
        </w:rPr>
        <w:t>Extensive field trials of a new vaccine strain in the presence of field challenge should be conducted, using different breeds of birds of varying MDV maternal antibody status, to ensure efficacy and persistence of immunity. Experience suggests that vaccinal immunity, once acquired, is lifelong.</w:t>
      </w:r>
    </w:p>
    <w:p w14:paraId="578E4885" w14:textId="47E6CA3B" w:rsidR="00CE1E43" w:rsidRPr="001A68E6" w:rsidRDefault="00CE1E43" w:rsidP="00CE1E43">
      <w:pPr>
        <w:pStyle w:val="111"/>
        <w:rPr>
          <w:u w:val="double"/>
        </w:rPr>
      </w:pPr>
      <w:r w:rsidRPr="001A68E6">
        <w:rPr>
          <w:u w:val="double"/>
        </w:rPr>
        <w:t>2.1.3.</w:t>
      </w:r>
      <w:r w:rsidRPr="001A68E6">
        <w:rPr>
          <w:u w:val="double"/>
        </w:rPr>
        <w:tab/>
      </w:r>
      <w:bookmarkStart w:id="7" w:name="_Hlk113875289"/>
      <w:r w:rsidRPr="001A68E6">
        <w:rPr>
          <w:u w:val="double"/>
        </w:rPr>
        <w:t>Validation as a vaccine strain</w:t>
      </w:r>
      <w:bookmarkEnd w:id="7"/>
    </w:p>
    <w:p w14:paraId="3F4BEBFE" w14:textId="72D6CEB7" w:rsidR="00647CAE" w:rsidRPr="001A68E6" w:rsidRDefault="00647CAE" w:rsidP="00795D3E">
      <w:pPr>
        <w:pStyle w:val="111Para"/>
        <w:rPr>
          <w:u w:val="double"/>
        </w:rPr>
      </w:pPr>
      <w:r w:rsidRPr="001A68E6">
        <w:rPr>
          <w:u w:val="double"/>
        </w:rPr>
        <w:t>The vaccine strain shall be non-pathogenic for chickens as shown by the inoculation of 50 MD su</w:t>
      </w:r>
      <w:r w:rsidR="006D0AFE" w:rsidRPr="001A68E6">
        <w:rPr>
          <w:u w:val="double"/>
        </w:rPr>
        <w:t>sc</w:t>
      </w:r>
      <w:r w:rsidRPr="001A68E6">
        <w:rPr>
          <w:u w:val="double"/>
        </w:rPr>
        <w:t>eptible SPF egg/chickens with a 10</w:t>
      </w:r>
      <w:r w:rsidR="00A147C8" w:rsidRPr="001A68E6">
        <w:rPr>
          <w:u w:val="double"/>
        </w:rPr>
        <w:t>×</w:t>
      </w:r>
      <w:r w:rsidRPr="001A68E6">
        <w:rPr>
          <w:u w:val="double"/>
        </w:rPr>
        <w:t xml:space="preserve"> field dose by the route of vaccination(s) planned. At 120</w:t>
      </w:r>
      <w:r w:rsidR="00A147C8" w:rsidRPr="001A68E6">
        <w:rPr>
          <w:u w:val="double"/>
        </w:rPr>
        <w:t> </w:t>
      </w:r>
      <w:r w:rsidRPr="001A68E6">
        <w:rPr>
          <w:u w:val="double"/>
        </w:rPr>
        <w:t xml:space="preserve">days of age, the birds are evaluated for MD lesions. </w:t>
      </w:r>
      <w:r w:rsidR="00782929" w:rsidRPr="001A68E6">
        <w:rPr>
          <w:u w:val="double"/>
        </w:rPr>
        <w:t>If lesions are found, the see</w:t>
      </w:r>
      <w:r w:rsidR="00254522" w:rsidRPr="001A68E6">
        <w:rPr>
          <w:u w:val="double"/>
        </w:rPr>
        <w:t>d</w:t>
      </w:r>
      <w:r w:rsidR="00782929" w:rsidRPr="001A68E6">
        <w:rPr>
          <w:u w:val="double"/>
        </w:rPr>
        <w:t xml:space="preserve"> </w:t>
      </w:r>
      <w:r w:rsidR="00254522" w:rsidRPr="001A68E6">
        <w:rPr>
          <w:u w:val="double"/>
        </w:rPr>
        <w:t xml:space="preserve">is </w:t>
      </w:r>
      <w:r w:rsidR="00782929" w:rsidRPr="001A68E6">
        <w:rPr>
          <w:u w:val="double"/>
        </w:rPr>
        <w:t>considered un</w:t>
      </w:r>
      <w:r w:rsidRPr="001A68E6">
        <w:rPr>
          <w:u w:val="double"/>
        </w:rPr>
        <w:t>satisfactory</w:t>
      </w:r>
      <w:r w:rsidR="00782929" w:rsidRPr="001A68E6">
        <w:rPr>
          <w:u w:val="double"/>
        </w:rPr>
        <w:t>.</w:t>
      </w:r>
    </w:p>
    <w:p w14:paraId="3654C05C" w14:textId="0241D9A2" w:rsidR="00782929" w:rsidRPr="001A68E6" w:rsidRDefault="00782929" w:rsidP="00795D3E">
      <w:pPr>
        <w:pStyle w:val="111Para"/>
        <w:rPr>
          <w:u w:val="double"/>
        </w:rPr>
      </w:pPr>
      <w:r w:rsidRPr="001A68E6">
        <w:rPr>
          <w:u w:val="double"/>
        </w:rPr>
        <w:t xml:space="preserve">The </w:t>
      </w:r>
      <w:r w:rsidR="00242905" w:rsidRPr="001A68E6">
        <w:rPr>
          <w:u w:val="double"/>
        </w:rPr>
        <w:t xml:space="preserve">master </w:t>
      </w:r>
      <w:r w:rsidRPr="001A68E6">
        <w:rPr>
          <w:u w:val="double"/>
        </w:rPr>
        <w:t>seeds are tested for purity, identity, and extraneous agents and are approved for use in vaccine production</w:t>
      </w:r>
      <w:r w:rsidR="00254522" w:rsidRPr="001A68E6">
        <w:rPr>
          <w:u w:val="double"/>
        </w:rPr>
        <w:t xml:space="preserve"> following satisfactory testing</w:t>
      </w:r>
      <w:r w:rsidRPr="001A68E6">
        <w:rPr>
          <w:u w:val="double"/>
        </w:rPr>
        <w:t>.</w:t>
      </w:r>
    </w:p>
    <w:p w14:paraId="3B25B4BD" w14:textId="219CEA19" w:rsidR="00647CAE" w:rsidRPr="001A68E6" w:rsidRDefault="00647CAE" w:rsidP="00795D3E">
      <w:pPr>
        <w:pStyle w:val="111Para"/>
        <w:rPr>
          <w:u w:val="double"/>
        </w:rPr>
      </w:pPr>
      <w:r w:rsidRPr="001A68E6">
        <w:rPr>
          <w:u w:val="double"/>
        </w:rPr>
        <w:t xml:space="preserve">The </w:t>
      </w:r>
      <w:r w:rsidR="00F84C32" w:rsidRPr="004133B5">
        <w:rPr>
          <w:highlight w:val="yellow"/>
          <w:u w:val="double"/>
        </w:rPr>
        <w:t>serotype</w:t>
      </w:r>
      <w:r w:rsidR="006726CB" w:rsidRPr="004133B5">
        <w:rPr>
          <w:highlight w:val="yellow"/>
          <w:u w:val="double"/>
        </w:rPr>
        <w:t xml:space="preserve"> 2</w:t>
      </w:r>
      <w:r w:rsidR="006726CB">
        <w:rPr>
          <w:u w:val="double"/>
        </w:rPr>
        <w:t xml:space="preserve"> </w:t>
      </w:r>
      <w:r w:rsidR="00242905" w:rsidRPr="001A68E6">
        <w:rPr>
          <w:u w:val="double"/>
        </w:rPr>
        <w:t>MDVs</w:t>
      </w:r>
      <w:r w:rsidRPr="001A68E6">
        <w:rPr>
          <w:u w:val="double"/>
        </w:rPr>
        <w:t xml:space="preserve"> used in vaccines function in a synergistic fashion with HVT protecting against the milder challenges and the bivalent/trivalent combinations with serotypes 1 and 2 protecting against more virulent challenges.</w:t>
      </w:r>
    </w:p>
    <w:p w14:paraId="2B488BFD" w14:textId="71F43974" w:rsidR="00356D7A" w:rsidRPr="001A68E6" w:rsidRDefault="00356D7A" w:rsidP="00795D3E">
      <w:pPr>
        <w:pStyle w:val="111Para"/>
        <w:rPr>
          <w:u w:val="double"/>
        </w:rPr>
      </w:pPr>
      <w:r w:rsidRPr="001A68E6">
        <w:rPr>
          <w:u w:val="double"/>
        </w:rPr>
        <w:t xml:space="preserve">An effective </w:t>
      </w:r>
      <w:r w:rsidR="004D1799" w:rsidRPr="001A68E6">
        <w:rPr>
          <w:u w:val="double"/>
        </w:rPr>
        <w:t>titre</w:t>
      </w:r>
      <w:r w:rsidRPr="001A68E6">
        <w:rPr>
          <w:u w:val="double"/>
        </w:rPr>
        <w:t xml:space="preserve"> of each serotype of M</w:t>
      </w:r>
      <w:r w:rsidR="00242905" w:rsidRPr="001A68E6">
        <w:rPr>
          <w:u w:val="double"/>
        </w:rPr>
        <w:t>DV</w:t>
      </w:r>
      <w:r w:rsidRPr="001A68E6">
        <w:rPr>
          <w:u w:val="double"/>
        </w:rPr>
        <w:t xml:space="preserve"> is established in a vaccination-challenge study.</w:t>
      </w:r>
    </w:p>
    <w:p w14:paraId="1527A096" w14:textId="69D590D3" w:rsidR="00B9243E" w:rsidRPr="001A68E6" w:rsidRDefault="00F51679" w:rsidP="00A147C8">
      <w:pPr>
        <w:pStyle w:val="11"/>
      </w:pPr>
      <w:r w:rsidRPr="001A68E6">
        <w:t>2.2.</w:t>
      </w:r>
      <w:r w:rsidR="00B9243E" w:rsidRPr="001A68E6">
        <w:tab/>
        <w:t>Method of manufacture</w:t>
      </w:r>
    </w:p>
    <w:p w14:paraId="2C484E45" w14:textId="77777777" w:rsidR="00B9243E" w:rsidRPr="001A68E6" w:rsidRDefault="00F51679" w:rsidP="00F51679">
      <w:pPr>
        <w:pStyle w:val="111"/>
      </w:pPr>
      <w:r w:rsidRPr="001A68E6">
        <w:t>2.2.1.</w:t>
      </w:r>
      <w:r w:rsidR="00B9243E" w:rsidRPr="001A68E6">
        <w:tab/>
        <w:t>Procedure</w:t>
      </w:r>
    </w:p>
    <w:p w14:paraId="6CEF743F" w14:textId="646B5C9B" w:rsidR="008D20ED" w:rsidRPr="001A68E6" w:rsidRDefault="00301570" w:rsidP="00F51679">
      <w:pPr>
        <w:pStyle w:val="111Para"/>
        <w:rPr>
          <w:rFonts w:ascii="Tahoma" w:hAnsi="Tahoma" w:cs="Tahoma"/>
        </w:rPr>
      </w:pPr>
      <w:r w:rsidRPr="001A68E6">
        <w:t>Vaccines against MD are prepared from l</w:t>
      </w:r>
      <w:r w:rsidR="006B092D" w:rsidRPr="001A68E6">
        <w:t xml:space="preserve">ive attenuated </w:t>
      </w:r>
      <w:r w:rsidRPr="001A68E6">
        <w:t>strain</w:t>
      </w:r>
      <w:r w:rsidR="006B092D" w:rsidRPr="001A68E6">
        <w:t>s belonging to the 3 serotypes</w:t>
      </w:r>
      <w:r w:rsidRPr="001A68E6">
        <w:t xml:space="preserve"> using</w:t>
      </w:r>
      <w:r w:rsidR="008333F8" w:rsidRPr="001A68E6">
        <w:t xml:space="preserve"> CEF</w:t>
      </w:r>
      <w:r w:rsidR="00121BDA" w:rsidRPr="001A68E6">
        <w:t xml:space="preserve"> </w:t>
      </w:r>
      <w:r w:rsidR="00121BDA" w:rsidRPr="001A68E6">
        <w:rPr>
          <w:u w:val="double"/>
        </w:rPr>
        <w:t>(derived from SPF embryonated eggs)</w:t>
      </w:r>
      <w:r w:rsidRPr="001A68E6">
        <w:t xml:space="preserve"> as the substrate</w:t>
      </w:r>
      <w:r w:rsidR="008333F8" w:rsidRPr="001A68E6">
        <w:t>s.</w:t>
      </w:r>
    </w:p>
    <w:p w14:paraId="394B8428" w14:textId="6F276680" w:rsidR="005A0988" w:rsidRPr="001A68E6" w:rsidRDefault="00F51679" w:rsidP="00F51679">
      <w:pPr>
        <w:pStyle w:val="111"/>
      </w:pPr>
      <w:r w:rsidRPr="001A68E6">
        <w:t>2.2.2.</w:t>
      </w:r>
      <w:r w:rsidR="005A0988" w:rsidRPr="001A68E6">
        <w:tab/>
        <w:t xml:space="preserve">Requirements for </w:t>
      </w:r>
      <w:r w:rsidR="005A0988" w:rsidRPr="001A68E6">
        <w:rPr>
          <w:strike/>
        </w:rPr>
        <w:t>substrates and media</w:t>
      </w:r>
      <w:r w:rsidR="00D40BB8" w:rsidRPr="001A68E6">
        <w:rPr>
          <w:strike/>
        </w:rPr>
        <w:t xml:space="preserve"> </w:t>
      </w:r>
      <w:r w:rsidR="00140D23" w:rsidRPr="001A68E6">
        <w:rPr>
          <w:u w:val="double"/>
        </w:rPr>
        <w:t>ingredients</w:t>
      </w:r>
    </w:p>
    <w:p w14:paraId="2119C255" w14:textId="2EB0D5DA" w:rsidR="00B9243E" w:rsidRPr="001A68E6" w:rsidRDefault="00B9243E" w:rsidP="00F51679">
      <w:pPr>
        <w:pStyle w:val="111Para"/>
      </w:pPr>
      <w:r w:rsidRPr="001A68E6">
        <w:t>Substrate cells are seeded into flat-bottomed vessels for stationary incubation, or into cylindrical vessels for rolled incubation. Media commonly used are Eagle’s minimal essential medium, or 199 medium, buffered with sodium bicarbonate and supplemented with 5% calf serum. Incubation is at 3</w:t>
      </w:r>
      <w:r w:rsidR="00553A2E" w:rsidRPr="001A68E6">
        <w:t>7</w:t>
      </w:r>
      <w:r w:rsidRPr="001A68E6">
        <w:t>°C for 48 hours.</w:t>
      </w:r>
    </w:p>
    <w:p w14:paraId="7440FB83" w14:textId="64AF3BEE" w:rsidR="00B9243E" w:rsidRPr="001A68E6" w:rsidRDefault="00B9243E" w:rsidP="00F51679">
      <w:pPr>
        <w:pStyle w:val="111Para"/>
      </w:pPr>
      <w:r w:rsidRPr="001A68E6">
        <w:t>For cell-associated vaccine, cultures are infected with production HVT or MDV seed-virus stock, in cell-associated form, which is usually two passages beyond the master seed stock. Cultures are incubated for 48 hours</w:t>
      </w:r>
      <w:r w:rsidR="00553A2E" w:rsidRPr="001A68E6">
        <w:t xml:space="preserve"> (depending on the vaccine strain)</w:t>
      </w:r>
      <w:r w:rsidRPr="001A68E6">
        <w:t xml:space="preserve"> then the infected cells are harvested by treating the washed cell sheet with an EDTA/trypsin solution to allow the cells to begin to detach. The flasks are then returned to the incubator (</w:t>
      </w:r>
      <w:r w:rsidR="00710D37" w:rsidRPr="001A68E6">
        <w:t>37</w:t>
      </w:r>
      <w:r w:rsidRPr="001A68E6">
        <w:t>°C) to allow complete detachment. The cells are subjected to low-speed centrifugation, and then resuspended in the freezing mixture consisting of cell growth medium containing 7.5–15% dimethylsulphoxide (DMSO), and held at 4°C or dispensed immediately into the final vaccine containers, usually glass ampoules, which are flame sealed and frozen in liquid nitrogen.</w:t>
      </w:r>
    </w:p>
    <w:p w14:paraId="7BFDB91D" w14:textId="77777777" w:rsidR="00B9243E" w:rsidRPr="001A68E6" w:rsidRDefault="00B9243E" w:rsidP="00F51679">
      <w:pPr>
        <w:pStyle w:val="111Para"/>
      </w:pPr>
      <w:r w:rsidRPr="001A68E6">
        <w:t>Cell-free lyophilised vaccine may be prepared from HVT, but not from MDV strains. For the production of this form of vaccine, HVT-infected cultures are incubated for 72 hours, infected cells are detached from the vessel as described above, or scraped from the walls of the vessel. The cells are suspended in a small volume of growth medium, centrifuged, and resuspended in a buffered stabiliser solution containing 8% sucrose, but free from protein to prevent frothing. The cell suspension is sonicated to release virus, the cell debris is removed, the suspension is diluted with a complete stabiliser – such as SPGA – filled into the final containers, and lyophilised.</w:t>
      </w:r>
    </w:p>
    <w:p w14:paraId="4FB3765C" w14:textId="77777777" w:rsidR="00B9243E" w:rsidRPr="001A68E6" w:rsidRDefault="00B9243E" w:rsidP="00F51679">
      <w:pPr>
        <w:pStyle w:val="111Para"/>
      </w:pPr>
      <w:r w:rsidRPr="001A68E6">
        <w:t>The dilution rate for both cell-associated and cell-free vaccines is based on previous experience, as is the number of doses required per container, because the virus content of the harvested material cannot be assayed prior to filling the final containers. The virus content of the finished product can subsequently be added to the label.</w:t>
      </w:r>
    </w:p>
    <w:p w14:paraId="32D085C2" w14:textId="2D508B16" w:rsidR="00B9243E" w:rsidRPr="001A68E6" w:rsidRDefault="00F51679" w:rsidP="00F51679">
      <w:pPr>
        <w:pStyle w:val="111"/>
      </w:pPr>
      <w:r w:rsidRPr="001A68E6">
        <w:t>2.2.3.</w:t>
      </w:r>
      <w:r w:rsidR="00B9243E" w:rsidRPr="001A68E6">
        <w:tab/>
        <w:t>In</w:t>
      </w:r>
      <w:r w:rsidR="009F3B96" w:rsidRPr="001A68E6">
        <w:t>-</w:t>
      </w:r>
      <w:r w:rsidR="00B9243E" w:rsidRPr="001A68E6">
        <w:t>process controls</w:t>
      </w:r>
    </w:p>
    <w:p w14:paraId="04A83142" w14:textId="77777777" w:rsidR="008D20ED" w:rsidRPr="001A68E6" w:rsidRDefault="008D20ED" w:rsidP="00F51679">
      <w:pPr>
        <w:pStyle w:val="111Para"/>
      </w:pPr>
      <w:r w:rsidRPr="001A68E6">
        <w:lastRenderedPageBreak/>
        <w:t>For optimal results in preparing cell-associated vaccine, a slow rate of freezing (1–5°C per minute) and rapid thawing are essential. The infectivity titre of the infected cells, and hence the number of doses per ampoule, are determined after filling the ampoules. Similarly for cell-free vaccine, the virus content of the final suspension, and hence the number of doses per container, is determined after filling.</w:t>
      </w:r>
    </w:p>
    <w:p w14:paraId="437652EB" w14:textId="77777777" w:rsidR="00B9243E" w:rsidRPr="001A68E6" w:rsidRDefault="00F51679" w:rsidP="00F51679">
      <w:pPr>
        <w:pStyle w:val="111"/>
      </w:pPr>
      <w:r w:rsidRPr="001A68E6">
        <w:t>2.2.4.</w:t>
      </w:r>
      <w:r w:rsidR="00614F04" w:rsidRPr="001A68E6">
        <w:tab/>
      </w:r>
      <w:r w:rsidR="00B9243E" w:rsidRPr="001A68E6">
        <w:t>Final product batch tests</w:t>
      </w:r>
    </w:p>
    <w:p w14:paraId="2D57E614" w14:textId="49CFC8EB" w:rsidR="00631E52" w:rsidRPr="001A68E6" w:rsidRDefault="00631E52" w:rsidP="00F51679">
      <w:pPr>
        <w:pStyle w:val="111Para"/>
      </w:pPr>
      <w:r w:rsidRPr="001A68E6">
        <w:t>Using immunofluorescence assay (IFA) with monospecific serum, checks should be carried out to show that the product is of the same specificity as the seed virus. This is best done using monoclonal antibodies.</w:t>
      </w:r>
      <w:r w:rsidR="0085592A" w:rsidRPr="001A68E6">
        <w:t xml:space="preserve"> </w:t>
      </w:r>
      <w:r w:rsidR="007E15AD" w:rsidRPr="001A68E6">
        <w:rPr>
          <w:u w:val="double"/>
        </w:rPr>
        <w:t>When serotypes are combined for a product, the product is titred in serotype</w:t>
      </w:r>
      <w:r w:rsidR="0085592A" w:rsidRPr="001A68E6">
        <w:rPr>
          <w:u w:val="double"/>
        </w:rPr>
        <w:t>-</w:t>
      </w:r>
      <w:r w:rsidR="007E15AD" w:rsidRPr="001A68E6">
        <w:rPr>
          <w:u w:val="double"/>
        </w:rPr>
        <w:t>specific fashion</w:t>
      </w:r>
      <w:r w:rsidR="00D321D5" w:rsidRPr="001A68E6">
        <w:rPr>
          <w:u w:val="double"/>
        </w:rPr>
        <w:t xml:space="preserve"> to confirm a sufficient quantity of each serotype</w:t>
      </w:r>
      <w:r w:rsidR="007E15AD" w:rsidRPr="001A68E6">
        <w:rPr>
          <w:u w:val="double"/>
        </w:rPr>
        <w:t>.</w:t>
      </w:r>
    </w:p>
    <w:p w14:paraId="2022458A" w14:textId="77777777" w:rsidR="00B9243E" w:rsidRPr="001A68E6" w:rsidRDefault="00F51679" w:rsidP="00F51679">
      <w:pPr>
        <w:pStyle w:val="i"/>
      </w:pPr>
      <w:r w:rsidRPr="001A68E6">
        <w:t>i)</w:t>
      </w:r>
      <w:r w:rsidRPr="001A68E6">
        <w:tab/>
      </w:r>
      <w:r w:rsidR="00B9243E" w:rsidRPr="001A68E6">
        <w:t>Sterility/purity</w:t>
      </w:r>
    </w:p>
    <w:p w14:paraId="5DD2826B" w14:textId="77777777" w:rsidR="00631E52" w:rsidRPr="001A68E6" w:rsidRDefault="00631E52" w:rsidP="009D5565">
      <w:pPr>
        <w:pStyle w:val="afourthpara"/>
        <w:spacing w:after="120"/>
      </w:pPr>
      <w:r w:rsidRPr="001A68E6">
        <w:t>Extensive testing is required of the materials used to produce the vaccine, and of the final product. Substrate cells should come from an SPF flock, in particular, free from vertically transmitted agents. Substances of animal origin used in the preparation of vaccines such as serum, trypsin, and bovine serum albumin, must be free from extraneous agents.</w:t>
      </w:r>
    </w:p>
    <w:p w14:paraId="6FE2210E" w14:textId="4A6BB6A0" w:rsidR="00631E52" w:rsidRPr="001A68E6" w:rsidRDefault="00631E52" w:rsidP="00F51679">
      <w:pPr>
        <w:pStyle w:val="afourthpara"/>
        <w:rPr>
          <w:u w:val="double"/>
        </w:rPr>
      </w:pPr>
      <w:r w:rsidRPr="001A68E6">
        <w:t>Batches of the final vaccine produced should be tested for freedom from contaminating bacteria, fungi, mycoplasma and the viruses listed for SPF flocks; tests for purity of the diluent should also be conducted. Suitable tests for the detection of extraneous agents at all stages of vaccine production are recommended by several official bodies (</w:t>
      </w:r>
      <w:r w:rsidR="00D7564F" w:rsidRPr="001A68E6">
        <w:t xml:space="preserve">9CFR, 2016; </w:t>
      </w:r>
      <w:r w:rsidR="006D74F9" w:rsidRPr="001A68E6">
        <w:t>Ministry of Agriculture, Fisheries and Food, UK, 1990;</w:t>
      </w:r>
      <w:r w:rsidRPr="001A68E6">
        <w:t xml:space="preserve"> </w:t>
      </w:r>
      <w:r w:rsidR="00546E5D" w:rsidRPr="001A68E6">
        <w:t>Thornton, 1985</w:t>
      </w:r>
      <w:r w:rsidRPr="001A68E6">
        <w:t>) and in Chapter 1.1.</w:t>
      </w:r>
      <w:r w:rsidR="004D1DD5" w:rsidRPr="001A68E6">
        <w:t>9</w:t>
      </w:r>
      <w:r w:rsidRPr="001A68E6">
        <w:t xml:space="preserve"> </w:t>
      </w:r>
      <w:r w:rsidR="003D049D" w:rsidRPr="001A68E6">
        <w:rPr>
          <w:i/>
        </w:rPr>
        <w:t>Tests for sterility and freedom from contamination of biological materials intended for veterinary use</w:t>
      </w:r>
      <w:r w:rsidRPr="001A68E6">
        <w:t>.</w:t>
      </w:r>
    </w:p>
    <w:p w14:paraId="38E88295" w14:textId="36318B66" w:rsidR="007E15AD" w:rsidRPr="001A68E6" w:rsidRDefault="007E15AD" w:rsidP="00F51679">
      <w:pPr>
        <w:pStyle w:val="afourthpara"/>
        <w:rPr>
          <w:u w:val="double"/>
        </w:rPr>
      </w:pPr>
      <w:r w:rsidRPr="001A68E6">
        <w:rPr>
          <w:u w:val="double"/>
        </w:rPr>
        <w:t>When firms u</w:t>
      </w:r>
      <w:r w:rsidR="00D40BB8" w:rsidRPr="001A68E6">
        <w:rPr>
          <w:u w:val="double"/>
        </w:rPr>
        <w:t>s</w:t>
      </w:r>
      <w:r w:rsidRPr="001A68E6">
        <w:rPr>
          <w:u w:val="double"/>
        </w:rPr>
        <w:t xml:space="preserve">e different </w:t>
      </w:r>
      <w:r w:rsidR="00242905" w:rsidRPr="001A68E6">
        <w:rPr>
          <w:u w:val="double"/>
        </w:rPr>
        <w:t>MDV</w:t>
      </w:r>
      <w:r w:rsidRPr="001A68E6">
        <w:rPr>
          <w:u w:val="double"/>
        </w:rPr>
        <w:t xml:space="preserve"> serotypes and HVT constructs in manufacturing, </w:t>
      </w:r>
      <w:r w:rsidR="00AD73B9" w:rsidRPr="001A68E6">
        <w:rPr>
          <w:u w:val="double"/>
        </w:rPr>
        <w:t>serials</w:t>
      </w:r>
      <w:r w:rsidRPr="001A68E6">
        <w:rPr>
          <w:u w:val="double"/>
        </w:rPr>
        <w:t xml:space="preserve"> may be screen</w:t>
      </w:r>
      <w:r w:rsidR="00D321D5" w:rsidRPr="001A68E6">
        <w:rPr>
          <w:u w:val="double"/>
        </w:rPr>
        <w:t>ed</w:t>
      </w:r>
      <w:r w:rsidRPr="001A68E6">
        <w:rPr>
          <w:u w:val="double"/>
        </w:rPr>
        <w:t xml:space="preserve"> for the presence of other contaminating serotypes and constructs.</w:t>
      </w:r>
    </w:p>
    <w:p w14:paraId="511AFC4A" w14:textId="77777777" w:rsidR="00631E52" w:rsidRPr="001A68E6" w:rsidRDefault="00F51679" w:rsidP="00F51679">
      <w:pPr>
        <w:pStyle w:val="i"/>
      </w:pPr>
      <w:r w:rsidRPr="001A68E6">
        <w:t>ii)</w:t>
      </w:r>
      <w:r w:rsidRPr="001A68E6">
        <w:tab/>
      </w:r>
      <w:r w:rsidR="00B9243E" w:rsidRPr="001A68E6">
        <w:t>Safety</w:t>
      </w:r>
    </w:p>
    <w:p w14:paraId="134D736F" w14:textId="18CFA1D6" w:rsidR="00AD1FFD" w:rsidRPr="001A68E6" w:rsidRDefault="00AD1FFD" w:rsidP="009D5565">
      <w:pPr>
        <w:pStyle w:val="afourthpara"/>
        <w:spacing w:after="120"/>
      </w:pPr>
      <w:r w:rsidRPr="001A68E6">
        <w:t xml:space="preserve">Ten doses of vaccine or a quantity of diluent equivalent to </w:t>
      </w:r>
      <w:r w:rsidRPr="001A68E6">
        <w:rPr>
          <w:strike/>
        </w:rPr>
        <w:t>two</w:t>
      </w:r>
      <w:r w:rsidR="00FE4D2F" w:rsidRPr="001A68E6">
        <w:rPr>
          <w:strike/>
        </w:rPr>
        <w:t xml:space="preserve"> </w:t>
      </w:r>
      <w:r w:rsidR="00A84377" w:rsidRPr="001A68E6">
        <w:rPr>
          <w:u w:val="double"/>
        </w:rPr>
        <w:t>10</w:t>
      </w:r>
      <w:r w:rsidRPr="001A68E6">
        <w:t xml:space="preserve"> doses of vaccine should be inoculated into separate groups of </w:t>
      </w:r>
      <w:r w:rsidR="00E8503D" w:rsidRPr="001A68E6">
        <w:t>10</w:t>
      </w:r>
      <w:r w:rsidR="00710D37" w:rsidRPr="001A68E6">
        <w:t>–</w:t>
      </w:r>
      <w:r w:rsidR="00E8503D" w:rsidRPr="001A68E6">
        <w:t xml:space="preserve">25 </w:t>
      </w:r>
      <w:r w:rsidRPr="001A68E6">
        <w:t>1-day-old SPF chickens. No adverse reactions should occur during a 21-day observation period.</w:t>
      </w:r>
    </w:p>
    <w:p w14:paraId="1D5226EB" w14:textId="77777777" w:rsidR="00ED457F" w:rsidRPr="001A68E6" w:rsidRDefault="00ED457F" w:rsidP="00F51679">
      <w:pPr>
        <w:pStyle w:val="afourthpara"/>
      </w:pPr>
      <w:r w:rsidRPr="001A68E6">
        <w:t>With cell-associated vaccine, care is necessary to avoid injury from ampoules that may explode when they are removed from liquid nitrogen. Eye protection must be worn.</w:t>
      </w:r>
    </w:p>
    <w:p w14:paraId="73ABC4AF" w14:textId="77777777" w:rsidR="00B9243E" w:rsidRPr="001A68E6" w:rsidRDefault="00F51679" w:rsidP="00F51679">
      <w:pPr>
        <w:pStyle w:val="i"/>
      </w:pPr>
      <w:r w:rsidRPr="001A68E6">
        <w:t>iii)</w:t>
      </w:r>
      <w:r w:rsidRPr="001A68E6">
        <w:tab/>
      </w:r>
      <w:r w:rsidR="00B9243E" w:rsidRPr="001A68E6">
        <w:t>Batch potency</w:t>
      </w:r>
    </w:p>
    <w:p w14:paraId="1FA55A13" w14:textId="42D7A182" w:rsidR="00C4147C" w:rsidRPr="001A68E6" w:rsidRDefault="00AD1FFD" w:rsidP="00F51679">
      <w:pPr>
        <w:pStyle w:val="afourthpara"/>
      </w:pPr>
      <w:r w:rsidRPr="001A68E6">
        <w:t>The standard dose of each type of vaccine is 1000 PFU per chicken or egg</w:t>
      </w:r>
      <w:r w:rsidR="00E8503D" w:rsidRPr="001A68E6">
        <w:t xml:space="preserve"> but may be higher based on the titre used in the efficacy study</w:t>
      </w:r>
      <w:r w:rsidRPr="001A68E6">
        <w:t>. Virus content assays are conducted on batches of vaccine to ensure that the correct dose</w:t>
      </w:r>
      <w:r w:rsidR="007E15AD" w:rsidRPr="001A68E6">
        <w:t xml:space="preserve"> </w:t>
      </w:r>
      <w:r w:rsidR="007E15AD" w:rsidRPr="001A68E6">
        <w:rPr>
          <w:u w:val="double"/>
        </w:rPr>
        <w:t>of each serotype</w:t>
      </w:r>
      <w:r w:rsidRPr="001A68E6">
        <w:t xml:space="preserve"> per bird will be achieved. </w:t>
      </w:r>
    </w:p>
    <w:p w14:paraId="257D3EFB" w14:textId="75C3E736" w:rsidR="00301570" w:rsidRPr="001A68E6" w:rsidRDefault="00F51679" w:rsidP="0033106F">
      <w:pPr>
        <w:pStyle w:val="11"/>
      </w:pPr>
      <w:r w:rsidRPr="001A68E6">
        <w:t>2.3.</w:t>
      </w:r>
      <w:r w:rsidRPr="001A68E6">
        <w:tab/>
      </w:r>
      <w:r w:rsidR="00301570" w:rsidRPr="001A68E6">
        <w:t xml:space="preserve">Requirements for </w:t>
      </w:r>
      <w:r w:rsidR="00301570" w:rsidRPr="001A68E6">
        <w:rPr>
          <w:strike/>
        </w:rPr>
        <w:t>authorisation</w:t>
      </w:r>
      <w:r w:rsidR="00A573EC" w:rsidRPr="001A68E6">
        <w:rPr>
          <w:strike/>
        </w:rPr>
        <w:t xml:space="preserve"> </w:t>
      </w:r>
      <w:r w:rsidR="001B195A" w:rsidRPr="001A68E6">
        <w:rPr>
          <w:u w:val="double"/>
        </w:rPr>
        <w:t>regulatory approval</w:t>
      </w:r>
    </w:p>
    <w:p w14:paraId="2DEFF2E6" w14:textId="77777777" w:rsidR="00441EC9" w:rsidRPr="001A68E6" w:rsidRDefault="00441EC9" w:rsidP="00441EC9">
      <w:pPr>
        <w:pStyle w:val="111"/>
        <w:rPr>
          <w:rFonts w:cs="Ottawa"/>
          <w:i/>
          <w:iCs/>
          <w:szCs w:val="19"/>
          <w:u w:val="double"/>
        </w:rPr>
      </w:pPr>
      <w:r w:rsidRPr="001A68E6">
        <w:rPr>
          <w:u w:val="double"/>
        </w:rPr>
        <w:t>2.3.1.</w:t>
      </w:r>
      <w:r w:rsidRPr="001A68E6">
        <w:rPr>
          <w:u w:val="double"/>
        </w:rPr>
        <w:tab/>
      </w:r>
      <w:bookmarkStart w:id="8" w:name="_Hlk113875305"/>
      <w:r w:rsidRPr="001A68E6">
        <w:rPr>
          <w:u w:val="double"/>
        </w:rPr>
        <w:t>Manufacturing process</w:t>
      </w:r>
      <w:r w:rsidRPr="001A68E6">
        <w:rPr>
          <w:i/>
          <w:iCs/>
          <w:u w:val="double"/>
        </w:rPr>
        <w:t xml:space="preserve"> </w:t>
      </w:r>
      <w:bookmarkEnd w:id="8"/>
    </w:p>
    <w:p w14:paraId="42EC0B32" w14:textId="758F704A" w:rsidR="00441EC9" w:rsidRPr="001A68E6" w:rsidRDefault="00441EC9" w:rsidP="00441EC9">
      <w:pPr>
        <w:pStyle w:val="111Para"/>
        <w:rPr>
          <w:u w:val="double"/>
        </w:rPr>
      </w:pPr>
      <w:r w:rsidRPr="001A68E6">
        <w:rPr>
          <w:u w:val="double"/>
        </w:rPr>
        <w:t xml:space="preserve">For registration of vaccine, all relevant details concerning manufacture of the vaccine and quality control testing (see Section C.2.1 </w:t>
      </w:r>
      <w:r w:rsidRPr="001A68E6">
        <w:rPr>
          <w:i/>
          <w:u w:val="double"/>
        </w:rPr>
        <w:t>Characteristics of the seed</w:t>
      </w:r>
      <w:r w:rsidRPr="001A68E6">
        <w:rPr>
          <w:u w:val="double"/>
        </w:rPr>
        <w:t xml:space="preserve"> and Section C.2.</w:t>
      </w:r>
      <w:r w:rsidRPr="001A68E6">
        <w:rPr>
          <w:i/>
          <w:u w:val="double"/>
        </w:rPr>
        <w:t>2 Method of manufacture</w:t>
      </w:r>
      <w:r w:rsidRPr="001A68E6">
        <w:rPr>
          <w:u w:val="double"/>
        </w:rPr>
        <w:t xml:space="preserve">) should be submitted to the </w:t>
      </w:r>
      <w:r w:rsidR="00242905" w:rsidRPr="001A68E6">
        <w:rPr>
          <w:u w:val="double"/>
        </w:rPr>
        <w:t xml:space="preserve">relevant </w:t>
      </w:r>
      <w:r w:rsidRPr="001A68E6">
        <w:rPr>
          <w:u w:val="double"/>
        </w:rPr>
        <w:t>authorities.</w:t>
      </w:r>
      <w:r w:rsidR="0074377E" w:rsidRPr="001A68E6">
        <w:rPr>
          <w:u w:val="double"/>
        </w:rPr>
        <w:t xml:space="preserve"> The manufacturing information should be consistent with the production of the serial used in the efficacy study.</w:t>
      </w:r>
      <w:r w:rsidRPr="001A68E6">
        <w:rPr>
          <w:u w:val="double"/>
        </w:rPr>
        <w:t xml:space="preserve"> T</w:t>
      </w:r>
      <w:r w:rsidR="007E15AD" w:rsidRPr="001A68E6">
        <w:rPr>
          <w:u w:val="double"/>
        </w:rPr>
        <w:t>esting</w:t>
      </w:r>
      <w:r w:rsidRPr="001A68E6">
        <w:rPr>
          <w:u w:val="double"/>
        </w:rPr>
        <w:t xml:space="preserve"> information shall be provided from three consecutive vaccine batches with a volume not less than 1/3 of the typical industrial batch volume.</w:t>
      </w:r>
      <w:r w:rsidR="007E15AD" w:rsidRPr="001A68E6">
        <w:rPr>
          <w:u w:val="double"/>
        </w:rPr>
        <w:t xml:space="preserve"> This testing may</w:t>
      </w:r>
      <w:r w:rsidR="00DD5A56" w:rsidRPr="001A68E6">
        <w:rPr>
          <w:u w:val="double"/>
        </w:rPr>
        <w:t xml:space="preserve"> </w:t>
      </w:r>
      <w:r w:rsidR="007E15AD" w:rsidRPr="001A68E6">
        <w:rPr>
          <w:u w:val="double"/>
        </w:rPr>
        <w:t>be confirmed by a regulatory authority laboratory.</w:t>
      </w:r>
    </w:p>
    <w:p w14:paraId="747659D9" w14:textId="418FAE42" w:rsidR="00441EC9" w:rsidRPr="001A68E6" w:rsidRDefault="00441EC9" w:rsidP="00441EC9">
      <w:pPr>
        <w:pStyle w:val="111Para"/>
        <w:rPr>
          <w:u w:val="double"/>
        </w:rPr>
      </w:pPr>
      <w:r w:rsidRPr="001A68E6">
        <w:rPr>
          <w:u w:val="double"/>
        </w:rPr>
        <w:t>In-process controls are part of the manufacturing process</w:t>
      </w:r>
      <w:r w:rsidR="0074377E" w:rsidRPr="001A68E6">
        <w:rPr>
          <w:u w:val="double"/>
        </w:rPr>
        <w:t xml:space="preserve"> in the form of cell substrate testing and working seed testing to ensure the purity and identity of the seeds and cells</w:t>
      </w:r>
      <w:r w:rsidRPr="001A68E6">
        <w:rPr>
          <w:u w:val="double"/>
        </w:rPr>
        <w:t xml:space="preserve">. </w:t>
      </w:r>
    </w:p>
    <w:p w14:paraId="50E5DFE0" w14:textId="698EF53B" w:rsidR="00301570" w:rsidRPr="001A68E6" w:rsidRDefault="00F51679" w:rsidP="00F51679">
      <w:pPr>
        <w:pStyle w:val="111"/>
      </w:pPr>
      <w:r w:rsidRPr="001A68E6">
        <w:t>2.3.</w:t>
      </w:r>
      <w:r w:rsidRPr="001A68E6">
        <w:rPr>
          <w:strike/>
        </w:rPr>
        <w:t>1</w:t>
      </w:r>
      <w:r w:rsidR="00441EC9" w:rsidRPr="001A68E6">
        <w:rPr>
          <w:u w:val="double"/>
        </w:rPr>
        <w:t>2</w:t>
      </w:r>
      <w:r w:rsidRPr="001A68E6">
        <w:t>.</w:t>
      </w:r>
      <w:r w:rsidRPr="001A68E6">
        <w:tab/>
      </w:r>
      <w:r w:rsidR="00301570" w:rsidRPr="001A68E6">
        <w:t>Safety requirements</w:t>
      </w:r>
    </w:p>
    <w:p w14:paraId="1DCA7329" w14:textId="4D002B53" w:rsidR="00301570" w:rsidRPr="001A68E6" w:rsidRDefault="00F51679" w:rsidP="00F51679">
      <w:pPr>
        <w:pStyle w:val="i"/>
      </w:pPr>
      <w:r w:rsidRPr="001A68E6">
        <w:t>i)</w:t>
      </w:r>
      <w:r w:rsidRPr="001A68E6">
        <w:tab/>
      </w:r>
      <w:r w:rsidR="00301570" w:rsidRPr="001A68E6">
        <w:t xml:space="preserve">Target </w:t>
      </w:r>
      <w:r w:rsidR="00B02A76" w:rsidRPr="001A68E6">
        <w:rPr>
          <w:u w:val="double"/>
        </w:rPr>
        <w:t xml:space="preserve">and non-target </w:t>
      </w:r>
      <w:r w:rsidR="00301570" w:rsidRPr="001A68E6">
        <w:t>animal safety</w:t>
      </w:r>
    </w:p>
    <w:p w14:paraId="7AB0BD1D" w14:textId="698AFBFD" w:rsidR="006B1E29" w:rsidRPr="001A68E6" w:rsidRDefault="006B1E29" w:rsidP="00F51679">
      <w:pPr>
        <w:pStyle w:val="afourthpara"/>
        <w:rPr>
          <w:u w:val="double"/>
        </w:rPr>
      </w:pPr>
      <w:r w:rsidRPr="001A68E6">
        <w:t xml:space="preserve">The master seed virus should be shown to be non-pathogenic for chickens by inoculating ten times the field dose into 1-day-old SPF chickens </w:t>
      </w:r>
      <w:r w:rsidR="00BF1ABF" w:rsidRPr="001A68E6">
        <w:rPr>
          <w:u w:val="double"/>
        </w:rPr>
        <w:t xml:space="preserve">(or embryonated eggs </w:t>
      </w:r>
      <w:r w:rsidR="0085592A" w:rsidRPr="001A68E6">
        <w:rPr>
          <w:u w:val="double"/>
        </w:rPr>
        <w:t>when</w:t>
      </w:r>
      <w:r w:rsidR="00BF1ABF" w:rsidRPr="001A68E6">
        <w:rPr>
          <w:u w:val="double"/>
        </w:rPr>
        <w:t xml:space="preserve"> using the </w:t>
      </w:r>
      <w:r w:rsidR="00BF1ABF" w:rsidRPr="001A68E6">
        <w:rPr>
          <w:i/>
          <w:iCs/>
          <w:u w:val="double"/>
        </w:rPr>
        <w:t>in</w:t>
      </w:r>
      <w:r w:rsidR="0085592A" w:rsidRPr="001A68E6">
        <w:rPr>
          <w:i/>
          <w:iCs/>
          <w:u w:val="double"/>
        </w:rPr>
        <w:t>-</w:t>
      </w:r>
      <w:r w:rsidR="00BF1ABF" w:rsidRPr="001A68E6">
        <w:rPr>
          <w:i/>
          <w:iCs/>
          <w:u w:val="double"/>
        </w:rPr>
        <w:t>ovo</w:t>
      </w:r>
      <w:r w:rsidR="00BF1ABF" w:rsidRPr="001A68E6">
        <w:rPr>
          <w:u w:val="double"/>
        </w:rPr>
        <w:t xml:space="preserve"> route) </w:t>
      </w:r>
      <w:r w:rsidRPr="001A68E6">
        <w:t>of a strain susceptible to MD, to ensure that it does not cause gross lesions or significant m</w:t>
      </w:r>
      <w:r w:rsidR="0033106F" w:rsidRPr="001A68E6">
        <w:t xml:space="preserve">icroscopic </w:t>
      </w:r>
      <w:r w:rsidR="0033106F" w:rsidRPr="001A68E6">
        <w:lastRenderedPageBreak/>
        <w:t>lesions of MD by 120 </w:t>
      </w:r>
      <w:r w:rsidRPr="001A68E6">
        <w:t>days of age. It should be noted that some vaccine strains of MDV and HVT may produce minor and transient microscopic nerve lesions.</w:t>
      </w:r>
    </w:p>
    <w:p w14:paraId="7E4BC2E2" w14:textId="0427EEF6" w:rsidR="005C039D" w:rsidRPr="001A68E6" w:rsidRDefault="002014EC" w:rsidP="00F51679">
      <w:pPr>
        <w:pStyle w:val="afourthpara"/>
        <w:rPr>
          <w:u w:val="double"/>
        </w:rPr>
      </w:pPr>
      <w:r>
        <w:rPr>
          <w:u w:val="double"/>
        </w:rPr>
        <w:t>T</w:t>
      </w:r>
      <w:r w:rsidR="005C039D" w:rsidRPr="001A68E6">
        <w:rPr>
          <w:u w:val="double"/>
        </w:rPr>
        <w:t>hree serials are evaluated in a field safety study</w:t>
      </w:r>
      <w:r w:rsidR="00FD027F">
        <w:rPr>
          <w:u w:val="double"/>
        </w:rPr>
        <w:t xml:space="preserve"> to</w:t>
      </w:r>
      <w:r w:rsidR="005C039D" w:rsidRPr="001A68E6">
        <w:rPr>
          <w:u w:val="double"/>
        </w:rPr>
        <w:t xml:space="preserve"> evaluate the product prior to </w:t>
      </w:r>
      <w:r w:rsidR="008F24BF">
        <w:rPr>
          <w:u w:val="double"/>
        </w:rPr>
        <w:t>approval for use</w:t>
      </w:r>
      <w:r w:rsidR="008F24BF" w:rsidRPr="001A68E6">
        <w:rPr>
          <w:u w:val="double"/>
        </w:rPr>
        <w:t xml:space="preserve"> </w:t>
      </w:r>
      <w:r w:rsidR="005C039D" w:rsidRPr="001A68E6">
        <w:rPr>
          <w:u w:val="double"/>
        </w:rPr>
        <w:t xml:space="preserve">under field conditions. </w:t>
      </w:r>
      <w:r w:rsidR="001C7198" w:rsidRPr="001A68E6">
        <w:rPr>
          <w:u w:val="double"/>
        </w:rPr>
        <w:t>Pharmacovigilance</w:t>
      </w:r>
      <w:r w:rsidR="005C039D" w:rsidRPr="001A68E6">
        <w:rPr>
          <w:u w:val="double"/>
        </w:rPr>
        <w:t xml:space="preserve"> evaluates the product post-licensure.</w:t>
      </w:r>
    </w:p>
    <w:p w14:paraId="22C34E1C" w14:textId="748B7E26" w:rsidR="00B648E9" w:rsidRPr="001A68E6" w:rsidRDefault="00B648E9" w:rsidP="00F51679">
      <w:pPr>
        <w:pStyle w:val="afourthpara"/>
      </w:pPr>
      <w:r w:rsidRPr="001A68E6">
        <w:rPr>
          <w:u w:val="double"/>
        </w:rPr>
        <w:t xml:space="preserve">Recombinant seeds </w:t>
      </w:r>
      <w:r w:rsidR="00EE4C0B">
        <w:rPr>
          <w:u w:val="double"/>
        </w:rPr>
        <w:t>sh</w:t>
      </w:r>
      <w:r w:rsidRPr="001A68E6">
        <w:rPr>
          <w:u w:val="double"/>
        </w:rPr>
        <w:t>ould be tested in non-target animals to ensure no unexpected changes in virulence had resulted from the gene insertion.</w:t>
      </w:r>
    </w:p>
    <w:p w14:paraId="6953FDD7" w14:textId="77777777" w:rsidR="00301570" w:rsidRPr="001A68E6" w:rsidRDefault="00F51679" w:rsidP="00F51679">
      <w:pPr>
        <w:pStyle w:val="i"/>
      </w:pPr>
      <w:r w:rsidRPr="001A68E6">
        <w:t>ii)</w:t>
      </w:r>
      <w:r w:rsidRPr="001A68E6">
        <w:tab/>
      </w:r>
      <w:r w:rsidR="00301570" w:rsidRPr="001A68E6">
        <w:t>Reversion-to-virulence for attenuated/live vaccines</w:t>
      </w:r>
    </w:p>
    <w:p w14:paraId="3AD09A11" w14:textId="2D2720D3" w:rsidR="00EC348D" w:rsidRPr="00FB680C" w:rsidRDefault="006B1E29" w:rsidP="00F51679">
      <w:pPr>
        <w:pStyle w:val="afourthpara"/>
        <w:rPr>
          <w:u w:val="double"/>
        </w:rPr>
      </w:pPr>
      <w:r w:rsidRPr="001A68E6">
        <w:t xml:space="preserve">No increase in virulence should occur during </w:t>
      </w:r>
      <w:r w:rsidRPr="006D1D5A">
        <w:rPr>
          <w:strike/>
        </w:rPr>
        <w:t xml:space="preserve">six </w:t>
      </w:r>
      <w:r w:rsidR="001D51B6" w:rsidRPr="006D1D5A">
        <w:rPr>
          <w:u w:val="double"/>
        </w:rPr>
        <w:t xml:space="preserve">at least </w:t>
      </w:r>
      <w:r w:rsidR="0033566B" w:rsidRPr="006D1D5A">
        <w:rPr>
          <w:u w:val="double"/>
        </w:rPr>
        <w:t>four</w:t>
      </w:r>
      <w:r w:rsidR="006D1D5A">
        <w:t xml:space="preserve"> </w:t>
      </w:r>
      <w:r w:rsidRPr="001A68E6">
        <w:t xml:space="preserve">serial passages of the vaccine strain in 1-day-old SPF MD-susceptible chickens. Ten times the field dose of vaccine is inoculated initially and then passaged by inoculation of heparinised blood at 5–7-day intervals, and tests for viraemia are run to check that virus is transferred at each passage. The birds receiving the final passage are kept for 120 days and should be free from MD lesions. However, some strains such as </w:t>
      </w:r>
      <w:r w:rsidR="00C26D60" w:rsidRPr="00FB680C">
        <w:rPr>
          <w:highlight w:val="yellow"/>
          <w:u w:val="double"/>
        </w:rPr>
        <w:t>CVI-988 (</w:t>
      </w:r>
      <w:r w:rsidR="00C26D60" w:rsidRPr="0075268B">
        <w:t>Rispens</w:t>
      </w:r>
      <w:r w:rsidR="00C26D60" w:rsidRPr="00FB680C">
        <w:rPr>
          <w:highlight w:val="yellow"/>
          <w:u w:val="double"/>
        </w:rPr>
        <w:t>)</w:t>
      </w:r>
      <w:r w:rsidRPr="001A68E6">
        <w:t>, may cause some mild MD lesions. The important observation is that the virulence should not change. This is a difficult test because the genetic resistance of the chickens fundamentally affects the apparent virulence of the virus, so does the type of inoculum. After successful completion of laboratory safety tests, the safety of the strain should be confirmed in extensive field trials.</w:t>
      </w:r>
      <w:r w:rsidR="00B648E9" w:rsidRPr="001A68E6">
        <w:t xml:space="preserve"> </w:t>
      </w:r>
      <w:r w:rsidR="006D66AD" w:rsidRPr="00FB680C">
        <w:rPr>
          <w:u w:val="double"/>
        </w:rPr>
        <w:t>The</w:t>
      </w:r>
      <w:r w:rsidR="00B648E9" w:rsidRPr="00FB680C">
        <w:rPr>
          <w:u w:val="double"/>
        </w:rPr>
        <w:t xml:space="preserve"> </w:t>
      </w:r>
      <w:r w:rsidR="00C26D60" w:rsidRPr="00FB680C">
        <w:rPr>
          <w:highlight w:val="yellow"/>
          <w:u w:val="double"/>
        </w:rPr>
        <w:t>CVI-988 (</w:t>
      </w:r>
      <w:r w:rsidR="00C26D60" w:rsidRPr="00FB680C">
        <w:rPr>
          <w:u w:val="double"/>
        </w:rPr>
        <w:t>Rispens</w:t>
      </w:r>
      <w:r w:rsidR="00C26D60" w:rsidRPr="00FB680C">
        <w:rPr>
          <w:highlight w:val="yellow"/>
          <w:u w:val="double"/>
        </w:rPr>
        <w:t>)</w:t>
      </w:r>
      <w:r w:rsidR="00C26D60" w:rsidRPr="00FB680C">
        <w:rPr>
          <w:u w:val="double"/>
        </w:rPr>
        <w:t xml:space="preserve"> </w:t>
      </w:r>
      <w:r w:rsidR="006D66AD" w:rsidRPr="00FB680C">
        <w:rPr>
          <w:u w:val="double"/>
        </w:rPr>
        <w:t>strain</w:t>
      </w:r>
      <w:r w:rsidR="00B648E9" w:rsidRPr="00FB680C">
        <w:rPr>
          <w:u w:val="double"/>
        </w:rPr>
        <w:t xml:space="preserve"> must be field safety tested alone or it must be marketed in combination with the other Marek’s serotypes</w:t>
      </w:r>
      <w:r w:rsidR="007E15AD" w:rsidRPr="00FB680C">
        <w:rPr>
          <w:u w:val="double"/>
        </w:rPr>
        <w:t xml:space="preserve"> as the other serotypes may attenuate the </w:t>
      </w:r>
      <w:r w:rsidR="00C26D60" w:rsidRPr="00FB680C">
        <w:rPr>
          <w:highlight w:val="yellow"/>
          <w:u w:val="double"/>
        </w:rPr>
        <w:t>CVI-988 (</w:t>
      </w:r>
      <w:r w:rsidR="00C26D60" w:rsidRPr="00FB680C">
        <w:rPr>
          <w:u w:val="double"/>
        </w:rPr>
        <w:t>Rispens</w:t>
      </w:r>
      <w:r w:rsidR="00C26D60" w:rsidRPr="00FB680C">
        <w:rPr>
          <w:highlight w:val="yellow"/>
          <w:u w:val="double"/>
        </w:rPr>
        <w:t>)</w:t>
      </w:r>
      <w:r w:rsidR="00B648E9" w:rsidRPr="00FB680C">
        <w:rPr>
          <w:u w:val="double"/>
        </w:rPr>
        <w:t>.</w:t>
      </w:r>
    </w:p>
    <w:p w14:paraId="24CAD0D4" w14:textId="50656F94" w:rsidR="00301570" w:rsidRPr="001A68E6" w:rsidRDefault="00F51679" w:rsidP="00F51679">
      <w:pPr>
        <w:pStyle w:val="111"/>
      </w:pPr>
      <w:r w:rsidRPr="001A68E6">
        <w:t>2.3.</w:t>
      </w:r>
      <w:r w:rsidRPr="001A68E6">
        <w:rPr>
          <w:strike/>
        </w:rPr>
        <w:t>2</w:t>
      </w:r>
      <w:r w:rsidR="00EC348D" w:rsidRPr="001A68E6">
        <w:rPr>
          <w:u w:val="double"/>
        </w:rPr>
        <w:t>3</w:t>
      </w:r>
      <w:r w:rsidRPr="001A68E6">
        <w:t>.</w:t>
      </w:r>
      <w:r w:rsidRPr="001A68E6">
        <w:tab/>
      </w:r>
      <w:r w:rsidR="00301570" w:rsidRPr="001A68E6">
        <w:t>Efficacy requirements</w:t>
      </w:r>
    </w:p>
    <w:p w14:paraId="12C0A6F6" w14:textId="0D03C6AE" w:rsidR="005327F8" w:rsidRPr="001A68E6" w:rsidRDefault="005327F8" w:rsidP="00A573EC">
      <w:pPr>
        <w:pStyle w:val="111Para"/>
        <w:rPr>
          <w:u w:val="double"/>
        </w:rPr>
      </w:pPr>
      <w:r w:rsidRPr="001A68E6">
        <w:rPr>
          <w:u w:val="double"/>
        </w:rPr>
        <w:t xml:space="preserve">One group of SPF eggs or chickens receives the vaccine at a minimum dose at a minimum age. Other chickens or eggs from the same hatch serve as controls. The non-vaccinated challenged group serve as challenge controls. Another group is neither vaccinated </w:t>
      </w:r>
      <w:r w:rsidR="00C403C2" w:rsidRPr="001A68E6">
        <w:rPr>
          <w:u w:val="double"/>
        </w:rPr>
        <w:t>nor</w:t>
      </w:r>
      <w:r w:rsidRPr="001A68E6">
        <w:rPr>
          <w:u w:val="double"/>
        </w:rPr>
        <w:t xml:space="preserve"> challenged to serve as test controls. If a bivalent or trivalent vaccine is being evaluated, a group </w:t>
      </w:r>
      <w:r w:rsidR="006D66AD" w:rsidRPr="001A68E6">
        <w:rPr>
          <w:u w:val="double"/>
        </w:rPr>
        <w:t xml:space="preserve">is </w:t>
      </w:r>
      <w:r w:rsidRPr="001A68E6">
        <w:rPr>
          <w:u w:val="double"/>
        </w:rPr>
        <w:t>vaccinated with HVT. This group should not be well protected to validate the virulence of the challenge. Challenge occurs at 5</w:t>
      </w:r>
      <w:r w:rsidR="000561C0" w:rsidRPr="000561C0">
        <w:rPr>
          <w:highlight w:val="yellow"/>
          <w:u w:val="double"/>
        </w:rPr>
        <w:t>–</w:t>
      </w:r>
      <w:r w:rsidR="002322D2" w:rsidRPr="000561C0">
        <w:rPr>
          <w:highlight w:val="yellow"/>
          <w:u w:val="double"/>
        </w:rPr>
        <w:t>8</w:t>
      </w:r>
      <w:r w:rsidRPr="001A68E6">
        <w:rPr>
          <w:u w:val="double"/>
        </w:rPr>
        <w:t xml:space="preserve"> days of age</w:t>
      </w:r>
      <w:r w:rsidR="00812682" w:rsidRPr="001A68E6">
        <w:rPr>
          <w:u w:val="double"/>
        </w:rPr>
        <w:t xml:space="preserve"> and the challenge culture must be carefully handled to preserve virulence</w:t>
      </w:r>
      <w:r w:rsidRPr="001A68E6">
        <w:rPr>
          <w:u w:val="double"/>
        </w:rPr>
        <w:t xml:space="preserve">. The birds are observed </w:t>
      </w:r>
      <w:r w:rsidR="00AD73B9" w:rsidRPr="001A68E6">
        <w:rPr>
          <w:u w:val="double"/>
        </w:rPr>
        <w:t>until</w:t>
      </w:r>
      <w:r w:rsidRPr="001A68E6">
        <w:rPr>
          <w:u w:val="double"/>
        </w:rPr>
        <w:t xml:space="preserve"> 7 weeks of age. </w:t>
      </w:r>
      <w:r w:rsidR="006D66AD" w:rsidRPr="001A68E6">
        <w:rPr>
          <w:u w:val="double"/>
        </w:rPr>
        <w:t xml:space="preserve">Birds </w:t>
      </w:r>
      <w:r w:rsidRPr="001A68E6">
        <w:rPr>
          <w:u w:val="double"/>
        </w:rPr>
        <w:t>lost during this time or birds evaluated at the end of the study, are evaluated for grossly observable Marek’s disease lesions. For a satisfactory test, at least 80% of the vaccinates must remain free of grossly observable lesions.</w:t>
      </w:r>
    </w:p>
    <w:p w14:paraId="2FFB055F" w14:textId="6EF457BC" w:rsidR="000261B9" w:rsidRPr="001A68E6" w:rsidRDefault="000261B9" w:rsidP="00A573EC">
      <w:pPr>
        <w:pStyle w:val="111Para"/>
        <w:rPr>
          <w:u w:val="double"/>
        </w:rPr>
      </w:pPr>
      <w:r w:rsidRPr="001A68E6">
        <w:rPr>
          <w:u w:val="double"/>
        </w:rPr>
        <w:t xml:space="preserve">A </w:t>
      </w:r>
      <w:r w:rsidR="00567806" w:rsidRPr="001A68E6">
        <w:rPr>
          <w:u w:val="double"/>
        </w:rPr>
        <w:t>titre</w:t>
      </w:r>
      <w:r w:rsidRPr="001A68E6">
        <w:rPr>
          <w:u w:val="double"/>
        </w:rPr>
        <w:t xml:space="preserve"> is associated with the efficacy study. From this </w:t>
      </w:r>
      <w:r w:rsidR="00567806" w:rsidRPr="001A68E6">
        <w:rPr>
          <w:u w:val="double"/>
        </w:rPr>
        <w:t>titre</w:t>
      </w:r>
      <w:r w:rsidRPr="001A68E6">
        <w:rPr>
          <w:u w:val="double"/>
        </w:rPr>
        <w:t xml:space="preserve">, a </w:t>
      </w:r>
      <w:r w:rsidR="00567806" w:rsidRPr="001A68E6">
        <w:rPr>
          <w:u w:val="double"/>
        </w:rPr>
        <w:t>titre</w:t>
      </w:r>
      <w:r w:rsidRPr="001A68E6">
        <w:rPr>
          <w:u w:val="double"/>
        </w:rPr>
        <w:t xml:space="preserve"> for serial release and a throughout dating </w:t>
      </w:r>
      <w:r w:rsidR="00567806" w:rsidRPr="001A68E6">
        <w:rPr>
          <w:u w:val="double"/>
        </w:rPr>
        <w:t>titre</w:t>
      </w:r>
      <w:r w:rsidRPr="001A68E6">
        <w:rPr>
          <w:u w:val="double"/>
        </w:rPr>
        <w:t xml:space="preserve"> are assigned based on test variation and </w:t>
      </w:r>
      <w:r w:rsidR="00567806" w:rsidRPr="001A68E6">
        <w:rPr>
          <w:u w:val="double"/>
        </w:rPr>
        <w:t>titre</w:t>
      </w:r>
      <w:r w:rsidRPr="001A68E6">
        <w:rPr>
          <w:u w:val="double"/>
        </w:rPr>
        <w:t xml:space="preserve"> loss over time. </w:t>
      </w:r>
      <w:r w:rsidR="005327F8" w:rsidRPr="001A68E6">
        <w:rPr>
          <w:u w:val="double"/>
        </w:rPr>
        <w:t xml:space="preserve">For bivalent or trivalent products, two or three </w:t>
      </w:r>
      <w:r w:rsidR="00567806" w:rsidRPr="001A68E6">
        <w:rPr>
          <w:u w:val="double"/>
        </w:rPr>
        <w:t>titres</w:t>
      </w:r>
      <w:r w:rsidR="005327F8" w:rsidRPr="001A68E6">
        <w:rPr>
          <w:u w:val="double"/>
        </w:rPr>
        <w:t xml:space="preserve"> are assigned to the efficacy.</w:t>
      </w:r>
    </w:p>
    <w:p w14:paraId="13BA0BA4" w14:textId="0F942B14" w:rsidR="00456C6E" w:rsidRPr="001A68E6" w:rsidRDefault="00ED457F" w:rsidP="00F51679">
      <w:pPr>
        <w:pStyle w:val="111Para"/>
      </w:pPr>
      <w:r w:rsidRPr="001A68E6">
        <w:t>A test for duration of immunity</w:t>
      </w:r>
      <w:r w:rsidR="00A573EC" w:rsidRPr="001A68E6" w:rsidDel="00B648E9">
        <w:t xml:space="preserve"> </w:t>
      </w:r>
      <w:r w:rsidR="00A573EC" w:rsidRPr="001A68E6">
        <w:rPr>
          <w:strike/>
        </w:rPr>
        <w:t>is</w:t>
      </w:r>
      <w:r w:rsidRPr="001A68E6">
        <w:rPr>
          <w:strike/>
        </w:rPr>
        <w:t xml:space="preserve"> </w:t>
      </w:r>
      <w:r w:rsidR="00B648E9" w:rsidRPr="001A68E6">
        <w:rPr>
          <w:u w:val="double"/>
        </w:rPr>
        <w:t>may be</w:t>
      </w:r>
      <w:r w:rsidR="00A573EC" w:rsidRPr="001A68E6">
        <w:t xml:space="preserve"> </w:t>
      </w:r>
      <w:r w:rsidRPr="001A68E6">
        <w:t xml:space="preserve">carried out on the </w:t>
      </w:r>
      <w:r w:rsidRPr="001A68E6">
        <w:rPr>
          <w:strike/>
        </w:rPr>
        <w:t>seed virus only</w:t>
      </w:r>
      <w:r w:rsidR="00A573EC" w:rsidRPr="001A68E6">
        <w:rPr>
          <w:strike/>
        </w:rPr>
        <w:t xml:space="preserve"> </w:t>
      </w:r>
      <w:r w:rsidR="00A573EC" w:rsidRPr="001A68E6">
        <w:rPr>
          <w:u w:val="double"/>
        </w:rPr>
        <w:t>product</w:t>
      </w:r>
      <w:r w:rsidRPr="001A68E6">
        <w:t>. Such immunity is apparently lifelong</w:t>
      </w:r>
      <w:r w:rsidR="007E15AD" w:rsidRPr="001A68E6">
        <w:t xml:space="preserve"> </w:t>
      </w:r>
      <w:r w:rsidR="007E15AD" w:rsidRPr="001A68E6">
        <w:rPr>
          <w:u w:val="double"/>
        </w:rPr>
        <w:t>for Marek’s disease vaccines</w:t>
      </w:r>
      <w:r w:rsidR="005327F8" w:rsidRPr="001A68E6">
        <w:rPr>
          <w:u w:val="double"/>
        </w:rPr>
        <w:t xml:space="preserve"> but must be supported by data to be included on the </w:t>
      </w:r>
      <w:r w:rsidR="00A573EC" w:rsidRPr="001A68E6">
        <w:rPr>
          <w:u w:val="double"/>
        </w:rPr>
        <w:t>labelling</w:t>
      </w:r>
      <w:r w:rsidRPr="001A68E6">
        <w:t xml:space="preserve">. </w:t>
      </w:r>
      <w:r w:rsidR="00456C6E" w:rsidRPr="001A68E6">
        <w:t xml:space="preserve">Preservatives </w:t>
      </w:r>
      <w:r w:rsidR="00456C6E" w:rsidRPr="001A68E6">
        <w:rPr>
          <w:strike/>
        </w:rPr>
        <w:t>are not</w:t>
      </w:r>
      <w:r w:rsidR="00A573EC" w:rsidRPr="001A68E6">
        <w:rPr>
          <w:strike/>
        </w:rPr>
        <w:t xml:space="preserve"> </w:t>
      </w:r>
      <w:r w:rsidR="00B648E9" w:rsidRPr="001A68E6">
        <w:rPr>
          <w:u w:val="double"/>
        </w:rPr>
        <w:t>may be</w:t>
      </w:r>
      <w:r w:rsidR="00456C6E" w:rsidRPr="001A68E6">
        <w:t xml:space="preserve"> included in the vaccine or diluent. During use, reconstituted vaccine must be kept cool and cell-associated vaccine should be agitated to keep cells in suspension.</w:t>
      </w:r>
      <w:r w:rsidR="00B648E9" w:rsidRPr="001A68E6">
        <w:t xml:space="preserve"> </w:t>
      </w:r>
      <w:r w:rsidR="00B648E9" w:rsidRPr="001A68E6">
        <w:rPr>
          <w:u w:val="double"/>
        </w:rPr>
        <w:t xml:space="preserve">If duration of immunity data </w:t>
      </w:r>
      <w:r w:rsidR="00DF6E7B" w:rsidRPr="001A68E6">
        <w:rPr>
          <w:u w:val="double"/>
        </w:rPr>
        <w:t>are</w:t>
      </w:r>
      <w:r w:rsidR="00B648E9" w:rsidRPr="001A68E6">
        <w:rPr>
          <w:u w:val="double"/>
        </w:rPr>
        <w:t xml:space="preserve"> not created, the label</w:t>
      </w:r>
      <w:r w:rsidR="002F5B80" w:rsidRPr="001A68E6">
        <w:rPr>
          <w:u w:val="double"/>
        </w:rPr>
        <w:t>l</w:t>
      </w:r>
      <w:r w:rsidR="00B648E9" w:rsidRPr="001A68E6">
        <w:rPr>
          <w:u w:val="double"/>
        </w:rPr>
        <w:t xml:space="preserve">ing must </w:t>
      </w:r>
      <w:r w:rsidR="00D36687" w:rsidRPr="001A68E6">
        <w:rPr>
          <w:u w:val="double"/>
        </w:rPr>
        <w:t>specify</w:t>
      </w:r>
      <w:r w:rsidR="00B648E9" w:rsidRPr="001A68E6">
        <w:rPr>
          <w:u w:val="double"/>
        </w:rPr>
        <w:t xml:space="preserve"> that the duration of immunity is not known.</w:t>
      </w:r>
    </w:p>
    <w:p w14:paraId="44740B69" w14:textId="07FEE73D" w:rsidR="00AB3288" w:rsidRPr="004133B5" w:rsidRDefault="00AB3288" w:rsidP="00AB3288">
      <w:pPr>
        <w:pStyle w:val="111"/>
        <w:rPr>
          <w:rFonts w:cs="Ottawa"/>
          <w:strike/>
          <w:szCs w:val="19"/>
          <w:highlight w:val="yellow"/>
        </w:rPr>
      </w:pPr>
      <w:r w:rsidRPr="004133B5">
        <w:rPr>
          <w:strike/>
          <w:highlight w:val="yellow"/>
        </w:rPr>
        <w:t>2.3.4.</w:t>
      </w:r>
      <w:r w:rsidRPr="004133B5">
        <w:rPr>
          <w:strike/>
          <w:highlight w:val="yellow"/>
        </w:rPr>
        <w:tab/>
      </w:r>
      <w:bookmarkStart w:id="9" w:name="_Hlk113875325"/>
      <w:r w:rsidRPr="004133B5">
        <w:rPr>
          <w:strike/>
          <w:highlight w:val="yellow"/>
        </w:rPr>
        <w:t>Vaccines permitting a DIVA strategy (detection of infection in vaccinated animals)</w:t>
      </w:r>
      <w:bookmarkEnd w:id="9"/>
    </w:p>
    <w:p w14:paraId="32E6A35F" w14:textId="147A81C5" w:rsidR="00AB3288" w:rsidRPr="004133B5" w:rsidRDefault="00014734" w:rsidP="00AB3288">
      <w:pPr>
        <w:pStyle w:val="111Para"/>
        <w:rPr>
          <w:strike/>
        </w:rPr>
      </w:pPr>
      <w:r w:rsidRPr="004133B5">
        <w:rPr>
          <w:strike/>
          <w:highlight w:val="yellow"/>
        </w:rPr>
        <w:t>In the US</w:t>
      </w:r>
      <w:r w:rsidR="00DF6E7B" w:rsidRPr="004133B5">
        <w:rPr>
          <w:strike/>
          <w:highlight w:val="yellow"/>
        </w:rPr>
        <w:t>A</w:t>
      </w:r>
      <w:r w:rsidRPr="004133B5">
        <w:rPr>
          <w:strike/>
          <w:highlight w:val="yellow"/>
        </w:rPr>
        <w:t xml:space="preserve">, </w:t>
      </w:r>
      <w:r w:rsidR="00443750" w:rsidRPr="004133B5">
        <w:rPr>
          <w:strike/>
          <w:highlight w:val="yellow"/>
        </w:rPr>
        <w:t>there is no DIVA strategy or requirement for MD vaccines.</w:t>
      </w:r>
    </w:p>
    <w:p w14:paraId="55164063" w14:textId="4404F2F4" w:rsidR="00AB3288" w:rsidRPr="001A68E6" w:rsidRDefault="00AB3288" w:rsidP="00AB3288">
      <w:pPr>
        <w:pStyle w:val="111"/>
        <w:rPr>
          <w:u w:val="double"/>
        </w:rPr>
      </w:pPr>
      <w:r w:rsidRPr="001A68E6">
        <w:rPr>
          <w:u w:val="double"/>
        </w:rPr>
        <w:t>2.3.</w:t>
      </w:r>
      <w:r w:rsidR="002327D5">
        <w:rPr>
          <w:u w:val="double"/>
        </w:rPr>
        <w:t>4</w:t>
      </w:r>
      <w:r w:rsidRPr="001A68E6">
        <w:rPr>
          <w:u w:val="double"/>
        </w:rPr>
        <w:t>.</w:t>
      </w:r>
      <w:r w:rsidRPr="001A68E6">
        <w:rPr>
          <w:u w:val="double"/>
        </w:rPr>
        <w:tab/>
      </w:r>
      <w:bookmarkStart w:id="10" w:name="_Hlk113875344"/>
      <w:r w:rsidRPr="001A68E6">
        <w:rPr>
          <w:u w:val="double"/>
        </w:rPr>
        <w:t>Duration of immunity</w:t>
      </w:r>
      <w:bookmarkEnd w:id="10"/>
    </w:p>
    <w:p w14:paraId="51B0FDBD" w14:textId="60A3DDF2" w:rsidR="00AB3288" w:rsidRPr="001A68E6" w:rsidRDefault="00AB3288" w:rsidP="00AB3288">
      <w:pPr>
        <w:pStyle w:val="111Para"/>
        <w:rPr>
          <w:u w:val="double"/>
        </w:rPr>
      </w:pPr>
      <w:r w:rsidRPr="001A68E6">
        <w:rPr>
          <w:u w:val="double"/>
        </w:rPr>
        <w:t>As part of the</w:t>
      </w:r>
      <w:r w:rsidRPr="00FB680C">
        <w:t xml:space="preserve"> </w:t>
      </w:r>
      <w:r w:rsidRPr="004133B5">
        <w:rPr>
          <w:strike/>
          <w:highlight w:val="yellow"/>
        </w:rPr>
        <w:t xml:space="preserve">registration/licensing </w:t>
      </w:r>
      <w:r w:rsidR="00AE2472" w:rsidRPr="000561C0">
        <w:rPr>
          <w:highlight w:val="yellow"/>
          <w:u w:val="double"/>
        </w:rPr>
        <w:t>regulatory approval</w:t>
      </w:r>
      <w:r w:rsidR="00AE2472">
        <w:rPr>
          <w:u w:val="double"/>
        </w:rPr>
        <w:t xml:space="preserve"> </w:t>
      </w:r>
      <w:r w:rsidRPr="001A68E6">
        <w:rPr>
          <w:u w:val="double"/>
        </w:rPr>
        <w:t xml:space="preserve">procedure, the manufacturer </w:t>
      </w:r>
      <w:r w:rsidR="00B648E9" w:rsidRPr="001A68E6">
        <w:rPr>
          <w:u w:val="double"/>
        </w:rPr>
        <w:t>may</w:t>
      </w:r>
      <w:r w:rsidRPr="001A68E6">
        <w:rPr>
          <w:u w:val="double"/>
        </w:rPr>
        <w:t xml:space="preserve"> demonstrate the duration of immunity (DOI) of a given vaccine by either challenge or alternative test at the end of the claimed period of protection.</w:t>
      </w:r>
      <w:r w:rsidR="00B648E9" w:rsidRPr="001A68E6">
        <w:rPr>
          <w:u w:val="double"/>
        </w:rPr>
        <w:t xml:space="preserve"> </w:t>
      </w:r>
      <w:r w:rsidR="000261B9" w:rsidRPr="001A68E6">
        <w:rPr>
          <w:u w:val="double"/>
        </w:rPr>
        <w:t xml:space="preserve">In the case of Marek’s </w:t>
      </w:r>
      <w:r w:rsidR="00051D86" w:rsidRPr="001A68E6">
        <w:rPr>
          <w:u w:val="double"/>
        </w:rPr>
        <w:t>disease</w:t>
      </w:r>
      <w:r w:rsidR="000261B9" w:rsidRPr="001A68E6">
        <w:rPr>
          <w:u w:val="double"/>
        </w:rPr>
        <w:t xml:space="preserve"> vaccines it is a vaccination</w:t>
      </w:r>
      <w:r w:rsidR="00DF6E7B" w:rsidRPr="001A68E6">
        <w:rPr>
          <w:u w:val="double"/>
        </w:rPr>
        <w:t>–</w:t>
      </w:r>
      <w:r w:rsidR="000261B9" w:rsidRPr="001A68E6">
        <w:rPr>
          <w:u w:val="double"/>
        </w:rPr>
        <w:t xml:space="preserve">challenge study design. </w:t>
      </w:r>
      <w:r w:rsidR="000544C5" w:rsidRPr="001A68E6">
        <w:rPr>
          <w:u w:val="double"/>
        </w:rPr>
        <w:t xml:space="preserve">The </w:t>
      </w:r>
      <w:r w:rsidR="000261B9" w:rsidRPr="001A68E6">
        <w:rPr>
          <w:u w:val="double"/>
        </w:rPr>
        <w:t xml:space="preserve">level of </w:t>
      </w:r>
      <w:r w:rsidR="000544C5" w:rsidRPr="001A68E6">
        <w:rPr>
          <w:u w:val="double"/>
        </w:rPr>
        <w:t xml:space="preserve">immunity at the </w:t>
      </w:r>
      <w:r w:rsidR="00051D86" w:rsidRPr="001A68E6">
        <w:rPr>
          <w:u w:val="double"/>
        </w:rPr>
        <w:t>short-term</w:t>
      </w:r>
      <w:r w:rsidR="000544C5" w:rsidRPr="001A68E6">
        <w:rPr>
          <w:u w:val="double"/>
        </w:rPr>
        <w:t xml:space="preserve"> study</w:t>
      </w:r>
      <w:r w:rsidR="005327F8" w:rsidRPr="001A68E6">
        <w:rPr>
          <w:u w:val="double"/>
        </w:rPr>
        <w:t xml:space="preserve"> described above</w:t>
      </w:r>
      <w:r w:rsidR="000544C5" w:rsidRPr="001A68E6">
        <w:rPr>
          <w:u w:val="double"/>
        </w:rPr>
        <w:t xml:space="preserve"> and at the claimed duration should be similar.</w:t>
      </w:r>
      <w:r w:rsidR="00B648E9" w:rsidRPr="001A68E6">
        <w:rPr>
          <w:u w:val="double"/>
        </w:rPr>
        <w:t xml:space="preserve"> If it is demonstrated</w:t>
      </w:r>
      <w:r w:rsidR="000261B9" w:rsidRPr="001A68E6">
        <w:rPr>
          <w:u w:val="double"/>
        </w:rPr>
        <w:t>/approved</w:t>
      </w:r>
      <w:r w:rsidR="00B648E9" w:rsidRPr="001A68E6">
        <w:rPr>
          <w:u w:val="double"/>
        </w:rPr>
        <w:t>, it may be included on the labelling</w:t>
      </w:r>
      <w:r w:rsidR="000261B9" w:rsidRPr="001A68E6">
        <w:rPr>
          <w:u w:val="double"/>
        </w:rPr>
        <w:t xml:space="preserve"> as opposed to a statement that the duration is not known</w:t>
      </w:r>
      <w:r w:rsidR="00B648E9" w:rsidRPr="001A68E6">
        <w:rPr>
          <w:u w:val="double"/>
        </w:rPr>
        <w:t>.</w:t>
      </w:r>
    </w:p>
    <w:p w14:paraId="635D5603" w14:textId="017EA77A" w:rsidR="00301570" w:rsidRPr="001A68E6" w:rsidRDefault="00F51679" w:rsidP="00F51679">
      <w:pPr>
        <w:pStyle w:val="111"/>
      </w:pPr>
      <w:r w:rsidRPr="001A68E6">
        <w:t>2.3.</w:t>
      </w:r>
      <w:r w:rsidR="00051427">
        <w:rPr>
          <w:u w:val="double"/>
        </w:rPr>
        <w:t>5</w:t>
      </w:r>
      <w:r w:rsidRPr="001A68E6">
        <w:t>.</w:t>
      </w:r>
      <w:r w:rsidR="00301570" w:rsidRPr="001A68E6">
        <w:tab/>
        <w:t>Stability</w:t>
      </w:r>
    </w:p>
    <w:p w14:paraId="0EB99D37" w14:textId="5E2B3A92" w:rsidR="00946E8A" w:rsidRPr="001A68E6" w:rsidRDefault="00946E8A" w:rsidP="00F51679">
      <w:pPr>
        <w:pStyle w:val="111Para"/>
      </w:pPr>
      <w:r w:rsidRPr="001A68E6">
        <w:t xml:space="preserve">Tests for stability are carried out on </w:t>
      </w:r>
      <w:r w:rsidRPr="001A68E6">
        <w:rPr>
          <w:strike/>
        </w:rPr>
        <w:t xml:space="preserve">six </w:t>
      </w:r>
      <w:r w:rsidRPr="001A68E6">
        <w:t>representative batches of vaccine to show that titre is maintained during the stated shelf life of the vaccine</w:t>
      </w:r>
      <w:r w:rsidR="000261B9" w:rsidRPr="001A68E6">
        <w:rPr>
          <w:u w:val="double"/>
        </w:rPr>
        <w:t xml:space="preserve"> – a real</w:t>
      </w:r>
      <w:r w:rsidR="00DF6E7B" w:rsidRPr="001A68E6">
        <w:rPr>
          <w:u w:val="double"/>
        </w:rPr>
        <w:t>-</w:t>
      </w:r>
      <w:r w:rsidR="000261B9" w:rsidRPr="001A68E6">
        <w:rPr>
          <w:u w:val="double"/>
        </w:rPr>
        <w:t>time stability</w:t>
      </w:r>
      <w:r w:rsidR="005327F8" w:rsidRPr="001A68E6">
        <w:rPr>
          <w:u w:val="double"/>
        </w:rPr>
        <w:t xml:space="preserve"> study</w:t>
      </w:r>
      <w:r w:rsidRPr="001A68E6">
        <w:t xml:space="preserve">. These tests should be conducted under the conditions of storage of the vaccine. The lyophilised product should have a shelf life of </w:t>
      </w:r>
      <w:r w:rsidRPr="001A68E6">
        <w:lastRenderedPageBreak/>
        <w:t>12</w:t>
      </w:r>
      <w:r w:rsidR="00710D37" w:rsidRPr="001A68E6">
        <w:t> </w:t>
      </w:r>
      <w:r w:rsidRPr="001A68E6">
        <w:t xml:space="preserve">months when stored at 2–8°C. Manufacturers </w:t>
      </w:r>
      <w:r w:rsidRPr="001A68E6">
        <w:rPr>
          <w:strike/>
        </w:rPr>
        <w:t xml:space="preserve">may </w:t>
      </w:r>
      <w:r w:rsidR="001C21F3" w:rsidRPr="001A68E6">
        <w:rPr>
          <w:strike/>
        </w:rPr>
        <w:t xml:space="preserve">double </w:t>
      </w:r>
      <w:r w:rsidR="000261B9" w:rsidRPr="001A68E6">
        <w:rPr>
          <w:u w:val="double"/>
        </w:rPr>
        <w:t xml:space="preserve">increase </w:t>
      </w:r>
      <w:r w:rsidRPr="001A68E6">
        <w:t>the virus content of the vaccine to compensate for some loss of titre during storage</w:t>
      </w:r>
      <w:r w:rsidR="000544C5" w:rsidRPr="001A68E6">
        <w:t xml:space="preserve"> </w:t>
      </w:r>
      <w:r w:rsidR="000544C5" w:rsidRPr="001A68E6">
        <w:rPr>
          <w:u w:val="double"/>
        </w:rPr>
        <w:t xml:space="preserve">but must maintain a </w:t>
      </w:r>
      <w:r w:rsidR="002E45D3" w:rsidRPr="001A68E6">
        <w:rPr>
          <w:u w:val="double"/>
        </w:rPr>
        <w:t>titre</w:t>
      </w:r>
      <w:r w:rsidR="000544C5" w:rsidRPr="001A68E6">
        <w:rPr>
          <w:u w:val="double"/>
        </w:rPr>
        <w:t xml:space="preserve"> above the throughout dating </w:t>
      </w:r>
      <w:r w:rsidR="002E45D3" w:rsidRPr="001A68E6">
        <w:rPr>
          <w:u w:val="double"/>
        </w:rPr>
        <w:t>titre</w:t>
      </w:r>
      <w:r w:rsidRPr="001A68E6">
        <w:rPr>
          <w:u w:val="double"/>
        </w:rPr>
        <w:t xml:space="preserve">. </w:t>
      </w:r>
      <w:r w:rsidR="000261B9" w:rsidRPr="001A68E6">
        <w:rPr>
          <w:u w:val="double"/>
        </w:rPr>
        <w:t xml:space="preserve">The throughout dating </w:t>
      </w:r>
      <w:r w:rsidR="002E45D3" w:rsidRPr="001A68E6">
        <w:rPr>
          <w:u w:val="double"/>
        </w:rPr>
        <w:t>titre</w:t>
      </w:r>
      <w:r w:rsidR="000261B9" w:rsidRPr="001A68E6">
        <w:rPr>
          <w:u w:val="double"/>
        </w:rPr>
        <w:t xml:space="preserve"> is set based on the </w:t>
      </w:r>
      <w:r w:rsidR="002E45D3" w:rsidRPr="001A68E6">
        <w:rPr>
          <w:u w:val="double"/>
        </w:rPr>
        <w:t>titre</w:t>
      </w:r>
      <w:r w:rsidR="000261B9" w:rsidRPr="001A68E6">
        <w:rPr>
          <w:u w:val="double"/>
        </w:rPr>
        <w:t xml:space="preserve"> of the efficacy serial.</w:t>
      </w:r>
      <w:r w:rsidR="001C21F3" w:rsidRPr="001A68E6">
        <w:t xml:space="preserve"> </w:t>
      </w:r>
      <w:r w:rsidRPr="001A68E6">
        <w:t xml:space="preserve">Appropriate diluting fluids are provided for use with cell-associated and freeze-dried vaccines. The stability of reconstituted vaccine over a 2-hour period </w:t>
      </w:r>
      <w:r w:rsidRPr="001A68E6">
        <w:rPr>
          <w:strike/>
        </w:rPr>
        <w:t xml:space="preserve">should be </w:t>
      </w:r>
      <w:r w:rsidR="000544C5" w:rsidRPr="001A68E6">
        <w:rPr>
          <w:u w:val="double"/>
        </w:rPr>
        <w:t>is</w:t>
      </w:r>
      <w:r w:rsidR="000544C5" w:rsidRPr="001A68E6">
        <w:t xml:space="preserve"> </w:t>
      </w:r>
      <w:r w:rsidRPr="001A68E6">
        <w:t>tested</w:t>
      </w:r>
      <w:r w:rsidR="000544C5" w:rsidRPr="001A68E6">
        <w:t xml:space="preserve"> </w:t>
      </w:r>
      <w:r w:rsidR="000544C5" w:rsidRPr="001A68E6">
        <w:rPr>
          <w:u w:val="double"/>
        </w:rPr>
        <w:t>as part of the serial or batch release testing</w:t>
      </w:r>
      <w:r w:rsidRPr="001A68E6">
        <w:t>.</w:t>
      </w:r>
      <w:r w:rsidR="00FB6D12" w:rsidRPr="001A68E6">
        <w:t xml:space="preserve"> </w:t>
      </w:r>
      <w:r w:rsidR="00FB6D12" w:rsidRPr="001A68E6">
        <w:rPr>
          <w:u w:val="double"/>
        </w:rPr>
        <w:t xml:space="preserve">The diluted virus is held on ice for </w:t>
      </w:r>
      <w:r w:rsidR="00DF6E7B" w:rsidRPr="001A68E6">
        <w:rPr>
          <w:u w:val="double"/>
        </w:rPr>
        <w:t>2</w:t>
      </w:r>
      <w:r w:rsidR="00FB6D12" w:rsidRPr="001A68E6">
        <w:rPr>
          <w:u w:val="double"/>
        </w:rPr>
        <w:t xml:space="preserve"> hours to mimic field use.</w:t>
      </w:r>
    </w:p>
    <w:p w14:paraId="01D0FE95" w14:textId="5DAF4BDE" w:rsidR="006021C1" w:rsidRPr="008A6E0C" w:rsidRDefault="006021C1" w:rsidP="006021C1">
      <w:pPr>
        <w:pStyle w:val="1"/>
      </w:pPr>
      <w:r w:rsidRPr="008A6E0C">
        <w:t>3.</w:t>
      </w:r>
      <w:r w:rsidRPr="008A6E0C">
        <w:tab/>
        <w:t>Vaccines based on biotechnology</w:t>
      </w:r>
      <w:r w:rsidR="001C21F3" w:rsidRPr="008A6E0C">
        <w:t xml:space="preserve"> </w:t>
      </w:r>
    </w:p>
    <w:p w14:paraId="49C34510" w14:textId="77777777" w:rsidR="006021C1" w:rsidRPr="001A68E6" w:rsidRDefault="00F51679" w:rsidP="00F51679">
      <w:pPr>
        <w:pStyle w:val="11"/>
      </w:pPr>
      <w:r w:rsidRPr="001A68E6">
        <w:t>3.1.</w:t>
      </w:r>
      <w:r w:rsidR="006021C1" w:rsidRPr="001A68E6">
        <w:tab/>
        <w:t>Vaccines available and their advantages</w:t>
      </w:r>
    </w:p>
    <w:p w14:paraId="633D53B9" w14:textId="7F28DA75" w:rsidR="006021C1" w:rsidRPr="001A68E6" w:rsidRDefault="00FA54DD" w:rsidP="00F51679">
      <w:pPr>
        <w:pStyle w:val="11Para"/>
      </w:pPr>
      <w:r w:rsidRPr="001A68E6">
        <w:t>G</w:t>
      </w:r>
      <w:r w:rsidR="00BE1A3C" w:rsidRPr="001A68E6">
        <w:t>enetically engineered recombinant vaccines (</w:t>
      </w:r>
      <w:r w:rsidR="001A0A04" w:rsidRPr="00B23ABA">
        <w:rPr>
          <w:strike/>
        </w:rPr>
        <w:t xml:space="preserve">Lee </w:t>
      </w:r>
      <w:r w:rsidR="001A0A04" w:rsidRPr="00B23ABA">
        <w:rPr>
          <w:i/>
          <w:strike/>
        </w:rPr>
        <w:t>et al.,</w:t>
      </w:r>
      <w:r w:rsidR="001A0A04" w:rsidRPr="00B23ABA">
        <w:rPr>
          <w:strike/>
        </w:rPr>
        <w:t xml:space="preserve"> 2010; </w:t>
      </w:r>
      <w:r w:rsidR="00C9275D" w:rsidRPr="001A68E6">
        <w:t xml:space="preserve">Reddy </w:t>
      </w:r>
      <w:r w:rsidR="00C9275D" w:rsidRPr="001A68E6">
        <w:rPr>
          <w:i/>
        </w:rPr>
        <w:t>et al.</w:t>
      </w:r>
      <w:r w:rsidR="00C9275D" w:rsidRPr="001A68E6">
        <w:t>, 1996</w:t>
      </w:r>
      <w:r w:rsidR="00BE1A3C" w:rsidRPr="001A68E6">
        <w:t>)</w:t>
      </w:r>
      <w:r w:rsidR="00B53FA2" w:rsidRPr="001A68E6">
        <w:t xml:space="preserve"> </w:t>
      </w:r>
      <w:r w:rsidRPr="001A68E6">
        <w:t>based on the existing live MD vaccines can offer simultaneous protection against other avian diseases</w:t>
      </w:r>
      <w:r w:rsidR="002078D6" w:rsidRPr="001A68E6">
        <w:t xml:space="preserve">, depending on the protective antigens engineered into the recombinant vaccine. </w:t>
      </w:r>
      <w:r w:rsidR="000544C5" w:rsidRPr="001A68E6">
        <w:rPr>
          <w:u w:val="double"/>
        </w:rPr>
        <w:t xml:space="preserve">They can also offer the </w:t>
      </w:r>
      <w:r w:rsidR="000544C5" w:rsidRPr="001A68E6">
        <w:rPr>
          <w:i/>
          <w:iCs/>
          <w:u w:val="double"/>
        </w:rPr>
        <w:t>in ovo</w:t>
      </w:r>
      <w:r w:rsidR="000544C5" w:rsidRPr="001A68E6">
        <w:rPr>
          <w:u w:val="double"/>
        </w:rPr>
        <w:t xml:space="preserve"> route for other antigens.</w:t>
      </w:r>
      <w:r w:rsidR="001C21F3" w:rsidRPr="001A68E6">
        <w:t xml:space="preserve"> </w:t>
      </w:r>
      <w:r w:rsidR="002078D6" w:rsidRPr="001A68E6">
        <w:t>A number of recombinant vaccines based on HVT vectors that induce protection against avian diseases such as avian influenza, infectious bursal disease, Newcastle disease and infectious laryngotracheitis are commercially available.</w:t>
      </w:r>
    </w:p>
    <w:p w14:paraId="42C1DA0A" w14:textId="614CFAFC" w:rsidR="006021C1" w:rsidRPr="001A68E6" w:rsidRDefault="00F51679" w:rsidP="00F51679">
      <w:pPr>
        <w:pStyle w:val="11"/>
        <w:rPr>
          <w:strike/>
        </w:rPr>
      </w:pPr>
      <w:r w:rsidRPr="001A68E6">
        <w:t>3.2.</w:t>
      </w:r>
      <w:r w:rsidRPr="001A68E6">
        <w:tab/>
      </w:r>
      <w:bookmarkStart w:id="11" w:name="_Hlk113875364"/>
      <w:r w:rsidR="006021C1" w:rsidRPr="001A68E6">
        <w:t>Special requirements for</w:t>
      </w:r>
      <w:r w:rsidR="00D52F6A" w:rsidRPr="001A68E6">
        <w:rPr>
          <w:u w:val="double"/>
        </w:rPr>
        <w:t xml:space="preserve"> recombinant vaccines</w:t>
      </w:r>
      <w:r w:rsidR="006021C1" w:rsidRPr="001A68E6">
        <w:t xml:space="preserve"> </w:t>
      </w:r>
      <w:bookmarkEnd w:id="11"/>
      <w:r w:rsidR="006021C1" w:rsidRPr="001A68E6">
        <w:rPr>
          <w:strike/>
        </w:rPr>
        <w:t>biotechnological vaccines, if any</w:t>
      </w:r>
    </w:p>
    <w:p w14:paraId="0E2E9828" w14:textId="28FA2125" w:rsidR="000544C5" w:rsidRPr="001A68E6" w:rsidRDefault="006021C1" w:rsidP="00F51679">
      <w:pPr>
        <w:pStyle w:val="11Para"/>
        <w:spacing w:after="480"/>
        <w:rPr>
          <w:u w:val="double"/>
        </w:rPr>
      </w:pPr>
      <w:r w:rsidRPr="001A68E6">
        <w:rPr>
          <w:strike/>
        </w:rPr>
        <w:t>None.</w:t>
      </w:r>
      <w:r w:rsidR="001C21F3" w:rsidRPr="001A68E6">
        <w:rPr>
          <w:strike/>
        </w:rPr>
        <w:t xml:space="preserve"> </w:t>
      </w:r>
      <w:r w:rsidR="000544C5" w:rsidRPr="001A68E6">
        <w:rPr>
          <w:u w:val="double"/>
        </w:rPr>
        <w:t xml:space="preserve">For HVT constructs expressing other antigens, the potency test is a </w:t>
      </w:r>
      <w:r w:rsidR="00EC64BA" w:rsidRPr="001A68E6">
        <w:rPr>
          <w:u w:val="double"/>
        </w:rPr>
        <w:t>two-part</w:t>
      </w:r>
      <w:r w:rsidR="000544C5" w:rsidRPr="001A68E6">
        <w:rPr>
          <w:u w:val="double"/>
        </w:rPr>
        <w:t xml:space="preserve"> assay. First, the HVT backbone is titred. Second, the protein expression from the resulting plaques is assayed. The foreign gene expression should be equal to or greater than the HVT </w:t>
      </w:r>
      <w:r w:rsidR="00EC64BA" w:rsidRPr="001A68E6">
        <w:rPr>
          <w:u w:val="double"/>
        </w:rPr>
        <w:t>titre</w:t>
      </w:r>
      <w:r w:rsidR="000544C5" w:rsidRPr="001A68E6">
        <w:rPr>
          <w:u w:val="double"/>
        </w:rPr>
        <w:t>.</w:t>
      </w:r>
      <w:r w:rsidR="005E66C5" w:rsidRPr="001A68E6">
        <w:rPr>
          <w:u w:val="double"/>
        </w:rPr>
        <w:t xml:space="preserve"> Combining two HVT construct</w:t>
      </w:r>
      <w:r w:rsidR="00CB0F28">
        <w:rPr>
          <w:u w:val="double"/>
        </w:rPr>
        <w:t>s</w:t>
      </w:r>
      <w:r w:rsidR="005E66C5" w:rsidRPr="001A68E6">
        <w:rPr>
          <w:u w:val="double"/>
        </w:rPr>
        <w:t xml:space="preserve"> i</w:t>
      </w:r>
      <w:r w:rsidR="00EC64BA" w:rsidRPr="001A68E6">
        <w:rPr>
          <w:u w:val="double"/>
        </w:rPr>
        <w:t>n</w:t>
      </w:r>
      <w:r w:rsidR="005E66C5" w:rsidRPr="001A68E6">
        <w:rPr>
          <w:u w:val="double"/>
        </w:rPr>
        <w:t xml:space="preserve"> a single vaccine is not </w:t>
      </w:r>
      <w:r w:rsidR="00F77420" w:rsidRPr="001A68E6">
        <w:rPr>
          <w:u w:val="double"/>
        </w:rPr>
        <w:t>acceptable due</w:t>
      </w:r>
      <w:r w:rsidR="005E66C5" w:rsidRPr="001A68E6">
        <w:rPr>
          <w:u w:val="double"/>
        </w:rPr>
        <w:t xml:space="preserve"> to interference.</w:t>
      </w:r>
      <w:r w:rsidR="005C039D" w:rsidRPr="001A68E6">
        <w:rPr>
          <w:u w:val="double"/>
        </w:rPr>
        <w:t xml:space="preserve"> However, the combination of more than one antigen in a single HVT construct is allowed.</w:t>
      </w:r>
      <w:r w:rsidR="001C21F3" w:rsidRPr="001A68E6">
        <w:rPr>
          <w:u w:val="double"/>
        </w:rPr>
        <w:t xml:space="preserve"> </w:t>
      </w:r>
      <w:r w:rsidR="000544C5" w:rsidRPr="001A68E6">
        <w:rPr>
          <w:u w:val="double"/>
        </w:rPr>
        <w:t>For recombinants, specific studies to support no changes to the tissue tropism, non-target animal safety, environmental stability, and shed and spread are conducted to support environmental release of the vaccine.</w:t>
      </w:r>
      <w:r w:rsidR="005E66C5" w:rsidRPr="001A68E6">
        <w:rPr>
          <w:u w:val="double"/>
        </w:rPr>
        <w:t xml:space="preserve"> Additionally, for duration of immunity claims, the duration of the Marek’s disease protection and the protection provided by the inserted gene must be measured for the claim.</w:t>
      </w:r>
    </w:p>
    <w:p w14:paraId="40B11B9C" w14:textId="77777777" w:rsidR="00946E8A" w:rsidRPr="001A68E6" w:rsidRDefault="00946E8A" w:rsidP="00A367F0">
      <w:pPr>
        <w:pStyle w:val="A0"/>
        <w:rPr>
          <w:sz w:val="22"/>
        </w:rPr>
      </w:pPr>
      <w:r w:rsidRPr="001A68E6">
        <w:rPr>
          <w:sz w:val="22"/>
        </w:rPr>
        <w:t>References</w:t>
      </w:r>
    </w:p>
    <w:p w14:paraId="657D046A" w14:textId="79CDA577" w:rsidR="003A5285" w:rsidRPr="006927BC" w:rsidRDefault="003A5285" w:rsidP="00F12F01">
      <w:pPr>
        <w:pStyle w:val="Ref"/>
        <w:rPr>
          <w:smallCaps/>
          <w:strike/>
        </w:rPr>
      </w:pPr>
      <w:r w:rsidRPr="00FA19EB">
        <w:rPr>
          <w:smallCaps/>
          <w:strike/>
        </w:rPr>
        <w:t>Abdul-Careem M.F</w:t>
      </w:r>
      <w:r w:rsidRPr="006927BC">
        <w:rPr>
          <w:smallCaps/>
          <w:strike/>
        </w:rPr>
        <w:t xml:space="preserve">., </w:t>
      </w:r>
      <w:r w:rsidRPr="00FA19EB">
        <w:rPr>
          <w:smallCaps/>
          <w:strike/>
        </w:rPr>
        <w:t>Hunter B.D</w:t>
      </w:r>
      <w:r w:rsidRPr="006927BC">
        <w:rPr>
          <w:smallCaps/>
          <w:strike/>
        </w:rPr>
        <w:t xml:space="preserve">., </w:t>
      </w:r>
      <w:r w:rsidRPr="00FA19EB">
        <w:rPr>
          <w:smallCaps/>
          <w:strike/>
        </w:rPr>
        <w:t>Nagy E</w:t>
      </w:r>
      <w:r w:rsidRPr="006927BC">
        <w:rPr>
          <w:smallCaps/>
          <w:strike/>
        </w:rPr>
        <w:t xml:space="preserve">., </w:t>
      </w:r>
      <w:r w:rsidRPr="00FA19EB">
        <w:rPr>
          <w:smallCaps/>
          <w:strike/>
        </w:rPr>
        <w:t>Read L.R</w:t>
      </w:r>
      <w:r w:rsidRPr="006927BC">
        <w:rPr>
          <w:smallCaps/>
          <w:strike/>
        </w:rPr>
        <w:t xml:space="preserve">., </w:t>
      </w:r>
      <w:r w:rsidRPr="00FA19EB">
        <w:rPr>
          <w:smallCaps/>
          <w:strike/>
        </w:rPr>
        <w:t>Sanei B</w:t>
      </w:r>
      <w:r w:rsidRPr="006927BC">
        <w:rPr>
          <w:smallCaps/>
          <w:strike/>
        </w:rPr>
        <w:t xml:space="preserve">., </w:t>
      </w:r>
      <w:r w:rsidRPr="00FA19EB">
        <w:rPr>
          <w:smallCaps/>
          <w:strike/>
        </w:rPr>
        <w:t>Spencer J.L</w:t>
      </w:r>
      <w:r w:rsidRPr="006927BC">
        <w:rPr>
          <w:smallCaps/>
          <w:strike/>
        </w:rPr>
        <w:t xml:space="preserve">. &amp; </w:t>
      </w:r>
      <w:r w:rsidRPr="00FA19EB">
        <w:rPr>
          <w:smallCaps/>
          <w:strike/>
        </w:rPr>
        <w:t>Sharif S</w:t>
      </w:r>
      <w:r w:rsidRPr="006927BC">
        <w:rPr>
          <w:smallCaps/>
          <w:strike/>
        </w:rPr>
        <w:t xml:space="preserve">. </w:t>
      </w:r>
      <w:r w:rsidRPr="006927BC">
        <w:rPr>
          <w:strike/>
        </w:rPr>
        <w:t xml:space="preserve">(2006). Development of a real-time PCR assay using SYBR Green chemistry for monitoring Marek's disease virus genome load in feather tips. </w:t>
      </w:r>
      <w:r w:rsidRPr="006927BC">
        <w:rPr>
          <w:i/>
          <w:iCs/>
          <w:strike/>
        </w:rPr>
        <w:t>J. Virol. Methods</w:t>
      </w:r>
      <w:r w:rsidRPr="006927BC">
        <w:rPr>
          <w:strike/>
        </w:rPr>
        <w:t xml:space="preserve">, </w:t>
      </w:r>
      <w:r w:rsidRPr="006927BC">
        <w:rPr>
          <w:rStyle w:val="ti"/>
          <w:b/>
          <w:bCs/>
          <w:strike/>
        </w:rPr>
        <w:t>133</w:t>
      </w:r>
      <w:r w:rsidRPr="006927BC">
        <w:rPr>
          <w:rStyle w:val="ti"/>
          <w:strike/>
        </w:rPr>
        <w:t>, 34–40.</w:t>
      </w:r>
    </w:p>
    <w:p w14:paraId="081F410F" w14:textId="77777777" w:rsidR="00946E8A" w:rsidRPr="001271E8" w:rsidRDefault="00946E8A" w:rsidP="00F12F01">
      <w:pPr>
        <w:pStyle w:val="Ref"/>
      </w:pPr>
      <w:r w:rsidRPr="001271E8">
        <w:rPr>
          <w:smallCaps/>
        </w:rPr>
        <w:t>Afonso C.L., Tumlin E.R., Lu Z., Zsak L., Rock D.L. &amp; Kutish G.F.</w:t>
      </w:r>
      <w:r w:rsidRPr="001271E8">
        <w:t xml:space="preserve"> (2001). The genome of turkey herpesvirus. </w:t>
      </w:r>
      <w:r w:rsidRPr="001271E8">
        <w:rPr>
          <w:i/>
          <w:iCs/>
        </w:rPr>
        <w:t>J. Virol.,</w:t>
      </w:r>
      <w:r w:rsidRPr="001271E8">
        <w:t xml:space="preserve"> </w:t>
      </w:r>
      <w:r w:rsidRPr="001271E8">
        <w:rPr>
          <w:b/>
          <w:bCs/>
        </w:rPr>
        <w:t>75</w:t>
      </w:r>
      <w:r w:rsidRPr="001271E8">
        <w:t>, 971–978.</w:t>
      </w:r>
    </w:p>
    <w:p w14:paraId="28261AE0" w14:textId="6E962A15" w:rsidR="002439EF" w:rsidRPr="001271E8" w:rsidRDefault="007A4A8A" w:rsidP="00F12F01">
      <w:pPr>
        <w:pStyle w:val="Ref"/>
        <w:rPr>
          <w:smallCaps/>
          <w:u w:val="double"/>
        </w:rPr>
      </w:pPr>
      <w:r w:rsidRPr="001271E8">
        <w:rPr>
          <w:smallCaps/>
          <w:color w:val="000000"/>
          <w:u w:val="double"/>
        </w:rPr>
        <w:t>Ahmed H.</w:t>
      </w:r>
      <w:r w:rsidR="002439EF" w:rsidRPr="001271E8">
        <w:rPr>
          <w:smallCaps/>
          <w:color w:val="000000"/>
          <w:u w:val="double"/>
        </w:rPr>
        <w:t xml:space="preserve">, </w:t>
      </w:r>
      <w:r w:rsidRPr="001271E8">
        <w:rPr>
          <w:smallCaps/>
          <w:color w:val="000000"/>
          <w:u w:val="double"/>
        </w:rPr>
        <w:t>Mays J</w:t>
      </w:r>
      <w:r w:rsidR="002439EF" w:rsidRPr="001271E8">
        <w:rPr>
          <w:smallCaps/>
          <w:color w:val="000000"/>
          <w:u w:val="double"/>
        </w:rPr>
        <w:t>.</w:t>
      </w:r>
      <w:r w:rsidRPr="001271E8">
        <w:rPr>
          <w:smallCaps/>
          <w:color w:val="000000"/>
          <w:u w:val="double"/>
        </w:rPr>
        <w:t>, Kiupel M.</w:t>
      </w:r>
      <w:r w:rsidR="002439EF" w:rsidRPr="001271E8">
        <w:rPr>
          <w:smallCaps/>
          <w:color w:val="000000"/>
          <w:u w:val="double"/>
        </w:rPr>
        <w:t xml:space="preserve"> &amp; </w:t>
      </w:r>
      <w:r w:rsidRPr="001271E8">
        <w:rPr>
          <w:smallCaps/>
          <w:color w:val="000000"/>
          <w:u w:val="double"/>
        </w:rPr>
        <w:t>Dunn J.R.</w:t>
      </w:r>
      <w:r w:rsidR="002439EF" w:rsidRPr="001271E8">
        <w:rPr>
          <w:smallCaps/>
          <w:color w:val="000000"/>
          <w:u w:val="double"/>
        </w:rPr>
        <w:t xml:space="preserve"> </w:t>
      </w:r>
      <w:r w:rsidR="002439EF" w:rsidRPr="001271E8">
        <w:rPr>
          <w:color w:val="000000"/>
          <w:u w:val="double"/>
        </w:rPr>
        <w:t>(20</w:t>
      </w:r>
      <w:r w:rsidRPr="001271E8">
        <w:rPr>
          <w:color w:val="000000"/>
          <w:u w:val="double"/>
        </w:rPr>
        <w:t>18</w:t>
      </w:r>
      <w:r w:rsidR="002439EF" w:rsidRPr="001271E8">
        <w:rPr>
          <w:color w:val="000000"/>
          <w:u w:val="double"/>
        </w:rPr>
        <w:t xml:space="preserve">). </w:t>
      </w:r>
      <w:r w:rsidRPr="001271E8">
        <w:rPr>
          <w:color w:val="000000"/>
          <w:u w:val="double"/>
        </w:rPr>
        <w:t>Development of reliable techniques for the differential diagnosis of avian tumour viruses by immunohistochemistry and polymerase chain reaction from formalin-fixed paraffin-embedded tissue sections</w:t>
      </w:r>
      <w:r w:rsidR="002439EF" w:rsidRPr="001271E8">
        <w:rPr>
          <w:color w:val="000000"/>
          <w:u w:val="double"/>
        </w:rPr>
        <w:t xml:space="preserve">. </w:t>
      </w:r>
      <w:r w:rsidR="002439EF" w:rsidRPr="001271E8">
        <w:rPr>
          <w:i/>
          <w:iCs/>
          <w:color w:val="000000"/>
          <w:u w:val="double"/>
        </w:rPr>
        <w:t xml:space="preserve">Avian Pathol., </w:t>
      </w:r>
      <w:r w:rsidRPr="001271E8">
        <w:rPr>
          <w:b/>
          <w:bCs/>
          <w:color w:val="000000"/>
          <w:u w:val="double"/>
        </w:rPr>
        <w:t>47</w:t>
      </w:r>
      <w:r w:rsidR="002439EF" w:rsidRPr="001271E8">
        <w:rPr>
          <w:color w:val="000000"/>
          <w:u w:val="double"/>
        </w:rPr>
        <w:t xml:space="preserve">, </w:t>
      </w:r>
      <w:r w:rsidR="00287EBB" w:rsidRPr="001271E8">
        <w:rPr>
          <w:color w:val="000000"/>
          <w:u w:val="double"/>
        </w:rPr>
        <w:t>364</w:t>
      </w:r>
      <w:r w:rsidR="00F12F01" w:rsidRPr="001271E8">
        <w:rPr>
          <w:color w:val="000000"/>
          <w:u w:val="double"/>
        </w:rPr>
        <w:t>–</w:t>
      </w:r>
      <w:r w:rsidR="00287EBB" w:rsidRPr="001271E8">
        <w:rPr>
          <w:color w:val="000000"/>
          <w:u w:val="double"/>
        </w:rPr>
        <w:t>374</w:t>
      </w:r>
      <w:r w:rsidR="002439EF" w:rsidRPr="001271E8">
        <w:rPr>
          <w:color w:val="000000"/>
          <w:u w:val="double"/>
        </w:rPr>
        <w:t>.</w:t>
      </w:r>
    </w:p>
    <w:p w14:paraId="320F9B2A" w14:textId="2EDF09D2" w:rsidR="007F52D8" w:rsidRPr="006927BC" w:rsidRDefault="007F52D8" w:rsidP="00F12F01">
      <w:pPr>
        <w:pStyle w:val="Ref"/>
        <w:rPr>
          <w:smallCaps/>
          <w:strike/>
        </w:rPr>
      </w:pPr>
      <w:r w:rsidRPr="006927BC">
        <w:rPr>
          <w:smallCaps/>
          <w:strike/>
          <w:color w:val="000000"/>
        </w:rPr>
        <w:t xml:space="preserve">Bacon L.D., Witter R.L. &amp; Silva R.F. </w:t>
      </w:r>
      <w:r w:rsidRPr="006927BC">
        <w:rPr>
          <w:strike/>
          <w:color w:val="000000"/>
        </w:rPr>
        <w:t xml:space="preserve">(2001). Characterization and experimental reproduction of peripheral neuropathy in white leghorn chickens. </w:t>
      </w:r>
      <w:r w:rsidRPr="006927BC">
        <w:rPr>
          <w:i/>
          <w:iCs/>
          <w:strike/>
          <w:color w:val="000000"/>
        </w:rPr>
        <w:t xml:space="preserve">Avian Pathol., </w:t>
      </w:r>
      <w:r w:rsidRPr="006927BC">
        <w:rPr>
          <w:b/>
          <w:bCs/>
          <w:strike/>
          <w:color w:val="000000"/>
        </w:rPr>
        <w:t>30</w:t>
      </w:r>
      <w:r w:rsidRPr="006927BC">
        <w:rPr>
          <w:strike/>
          <w:color w:val="000000"/>
        </w:rPr>
        <w:t>, 487–499.</w:t>
      </w:r>
    </w:p>
    <w:p w14:paraId="1BC07560" w14:textId="77777777" w:rsidR="00F3601A" w:rsidRPr="006927BC" w:rsidRDefault="00C42611" w:rsidP="00F12F01">
      <w:pPr>
        <w:pStyle w:val="Ref"/>
        <w:rPr>
          <w:strike/>
        </w:rPr>
      </w:pPr>
      <w:r w:rsidRPr="006927BC">
        <w:rPr>
          <w:smallCaps/>
          <w:strike/>
        </w:rPr>
        <w:t xml:space="preserve">Baigent S.J. &amp; Davison F. </w:t>
      </w:r>
      <w:r w:rsidR="00DA3519" w:rsidRPr="006927BC">
        <w:rPr>
          <w:smallCaps/>
          <w:strike/>
        </w:rPr>
        <w:t xml:space="preserve">(2004). </w:t>
      </w:r>
      <w:r w:rsidR="00DA3519" w:rsidRPr="006927BC">
        <w:rPr>
          <w:strike/>
        </w:rPr>
        <w:t xml:space="preserve">Marek’s disease virus: biology and life cycle. </w:t>
      </w:r>
      <w:r w:rsidR="00F3601A" w:rsidRPr="006927BC">
        <w:rPr>
          <w:i/>
          <w:iCs/>
          <w:strike/>
        </w:rPr>
        <w:t>In:</w:t>
      </w:r>
      <w:r w:rsidR="00F3601A" w:rsidRPr="006927BC">
        <w:rPr>
          <w:strike/>
        </w:rPr>
        <w:t xml:space="preserve"> Marek’s disease: An Evolving Problem</w:t>
      </w:r>
      <w:r w:rsidRPr="006927BC">
        <w:rPr>
          <w:strike/>
        </w:rPr>
        <w:t>,</w:t>
      </w:r>
      <w:r w:rsidR="00F3601A" w:rsidRPr="006927BC">
        <w:rPr>
          <w:strike/>
        </w:rPr>
        <w:t xml:space="preserve"> Davison F. &amp; Nair V., </w:t>
      </w:r>
      <w:r w:rsidRPr="006927BC">
        <w:rPr>
          <w:strike/>
        </w:rPr>
        <w:t>e</w:t>
      </w:r>
      <w:r w:rsidR="00F3601A" w:rsidRPr="006927BC">
        <w:rPr>
          <w:strike/>
        </w:rPr>
        <w:t xml:space="preserve">ds. Elsevier Academic Press, London, </w:t>
      </w:r>
      <w:r w:rsidRPr="006927BC">
        <w:rPr>
          <w:strike/>
        </w:rPr>
        <w:t xml:space="preserve">UK, </w:t>
      </w:r>
      <w:r w:rsidR="00F3601A" w:rsidRPr="006927BC">
        <w:rPr>
          <w:strike/>
        </w:rPr>
        <w:t>62</w:t>
      </w:r>
      <w:r w:rsidRPr="006927BC">
        <w:rPr>
          <w:strike/>
        </w:rPr>
        <w:t>–</w:t>
      </w:r>
      <w:r w:rsidR="00F3601A" w:rsidRPr="006927BC">
        <w:rPr>
          <w:strike/>
        </w:rPr>
        <w:t>77.</w:t>
      </w:r>
    </w:p>
    <w:p w14:paraId="3D4C3178" w14:textId="78DC18E4" w:rsidR="00D73822" w:rsidRPr="001271E8" w:rsidRDefault="00C662D2" w:rsidP="00F12F01">
      <w:pPr>
        <w:pStyle w:val="Ref"/>
      </w:pPr>
      <w:r w:rsidRPr="003D782B">
        <w:rPr>
          <w:smallCaps/>
          <w:lang w:val="it-IT"/>
        </w:rPr>
        <w:t>Baigent</w:t>
      </w:r>
      <w:r w:rsidR="00D73822" w:rsidRPr="003D782B">
        <w:rPr>
          <w:lang w:val="it-IT"/>
        </w:rPr>
        <w:t xml:space="preserve"> S.J., </w:t>
      </w:r>
      <w:r w:rsidRPr="003D782B">
        <w:rPr>
          <w:smallCaps/>
          <w:lang w:val="it-IT"/>
        </w:rPr>
        <w:t>Nair V.</w:t>
      </w:r>
      <w:r w:rsidR="00B24949" w:rsidRPr="003D782B">
        <w:rPr>
          <w:smallCaps/>
          <w:lang w:val="it-IT"/>
        </w:rPr>
        <w:t>K.</w:t>
      </w:r>
      <w:r w:rsidR="00D73822" w:rsidRPr="003D782B">
        <w:rPr>
          <w:lang w:val="it-IT"/>
        </w:rPr>
        <w:t xml:space="preserve"> </w:t>
      </w:r>
      <w:r w:rsidRPr="003D782B">
        <w:rPr>
          <w:lang w:val="it-IT"/>
        </w:rPr>
        <w:t>&amp;</w:t>
      </w:r>
      <w:r w:rsidR="00D73822" w:rsidRPr="003D782B">
        <w:rPr>
          <w:lang w:val="it-IT"/>
        </w:rPr>
        <w:t xml:space="preserve"> </w:t>
      </w:r>
      <w:r w:rsidR="00D73822" w:rsidRPr="003D782B">
        <w:rPr>
          <w:smallCaps/>
          <w:lang w:val="it-IT"/>
        </w:rPr>
        <w:t>Le Galludec</w:t>
      </w:r>
      <w:r w:rsidR="00D73822" w:rsidRPr="003D782B">
        <w:rPr>
          <w:lang w:val="it-IT"/>
        </w:rPr>
        <w:t xml:space="preserve"> </w:t>
      </w:r>
      <w:r w:rsidRPr="003D782B">
        <w:rPr>
          <w:lang w:val="it-IT"/>
        </w:rPr>
        <w:t xml:space="preserve">H. (2016). </w:t>
      </w:r>
      <w:r w:rsidR="00D73822" w:rsidRPr="001271E8">
        <w:t xml:space="preserve">Real-time PCR for differential quantification of </w:t>
      </w:r>
      <w:r w:rsidR="008D2321">
        <w:t>CVI</w:t>
      </w:r>
      <w:r w:rsidR="008D2321" w:rsidRPr="004133B5">
        <w:rPr>
          <w:highlight w:val="yellow"/>
          <w:u w:val="double"/>
        </w:rPr>
        <w:t>-</w:t>
      </w:r>
      <w:r w:rsidR="008D2321">
        <w:t>988</w:t>
      </w:r>
      <w:r w:rsidR="00D73822" w:rsidRPr="001271E8">
        <w:t xml:space="preserve"> vaccine virus and virulent strains of Marek’s disease virus. </w:t>
      </w:r>
      <w:r w:rsidR="00D73822" w:rsidRPr="001271E8">
        <w:rPr>
          <w:i/>
        </w:rPr>
        <w:t>J</w:t>
      </w:r>
      <w:r w:rsidRPr="001271E8">
        <w:rPr>
          <w:i/>
        </w:rPr>
        <w:t>.</w:t>
      </w:r>
      <w:r w:rsidR="00D73822" w:rsidRPr="001271E8">
        <w:rPr>
          <w:i/>
        </w:rPr>
        <w:t xml:space="preserve"> Virol</w:t>
      </w:r>
      <w:r w:rsidRPr="001271E8">
        <w:rPr>
          <w:i/>
        </w:rPr>
        <w:t>.</w:t>
      </w:r>
      <w:r w:rsidR="00D73822" w:rsidRPr="001271E8">
        <w:rPr>
          <w:i/>
        </w:rPr>
        <w:t xml:space="preserve"> Meth</w:t>
      </w:r>
      <w:r w:rsidR="004D1DD5" w:rsidRPr="001271E8">
        <w:rPr>
          <w:i/>
        </w:rPr>
        <w:t>ods</w:t>
      </w:r>
      <w:r w:rsidR="004D1DD5" w:rsidRPr="001271E8">
        <w:t xml:space="preserve">, </w:t>
      </w:r>
      <w:r w:rsidR="00D73822" w:rsidRPr="001271E8">
        <w:rPr>
          <w:b/>
        </w:rPr>
        <w:t>233</w:t>
      </w:r>
      <w:r w:rsidR="004D1DD5" w:rsidRPr="001271E8">
        <w:t xml:space="preserve">, </w:t>
      </w:r>
      <w:r w:rsidR="00D73822" w:rsidRPr="001271E8">
        <w:t>23</w:t>
      </w:r>
      <w:r w:rsidR="004D1DD5" w:rsidRPr="001271E8">
        <w:t>–</w:t>
      </w:r>
      <w:r w:rsidR="00D73822" w:rsidRPr="001271E8">
        <w:t>36.</w:t>
      </w:r>
    </w:p>
    <w:p w14:paraId="4163928E" w14:textId="77777777" w:rsidR="002B3B08" w:rsidRPr="001271E8" w:rsidRDefault="002B3B08" w:rsidP="00F12F01">
      <w:pPr>
        <w:pStyle w:val="Ref"/>
      </w:pPr>
      <w:r w:rsidRPr="001271E8">
        <w:rPr>
          <w:smallCaps/>
        </w:rPr>
        <w:t>Baigent S.J., Petherbridge L.J., Howes K., Smith L.P., Currie R.J.W. &amp; Nair V.</w:t>
      </w:r>
      <w:r w:rsidRPr="001271E8">
        <w:t xml:space="preserve"> (2005). Absolute quantitation of Marek’s disease virus genome copy number in chicken feather and lymphocyte samples using real-time PCR. </w:t>
      </w:r>
      <w:r w:rsidRPr="001271E8">
        <w:rPr>
          <w:i/>
        </w:rPr>
        <w:t xml:space="preserve">J. Virol. Methods, </w:t>
      </w:r>
      <w:r w:rsidRPr="001271E8">
        <w:rPr>
          <w:b/>
        </w:rPr>
        <w:t>123</w:t>
      </w:r>
      <w:r w:rsidRPr="001271E8">
        <w:t>, 53–64</w:t>
      </w:r>
      <w:r w:rsidRPr="001271E8">
        <w:rPr>
          <w:i/>
        </w:rPr>
        <w:t>.</w:t>
      </w:r>
    </w:p>
    <w:p w14:paraId="23FA31A5" w14:textId="77777777" w:rsidR="00946E8A" w:rsidRPr="001271E8" w:rsidRDefault="00946E8A" w:rsidP="00F12F01">
      <w:pPr>
        <w:pStyle w:val="Ref"/>
        <w:rPr>
          <w:smallCaps/>
        </w:rPr>
      </w:pPr>
      <w:r w:rsidRPr="001271E8">
        <w:rPr>
          <w:smallCaps/>
        </w:rPr>
        <w:t>Becker Y., Asher Y., Tabor E., Davidson I., Malkinson M. &amp; Weisman</w:t>
      </w:r>
      <w:r w:rsidRPr="001271E8">
        <w:t xml:space="preserve"> Y. (1992). Polymerase chain reaction for differentiation between pathogenic and non-pathogenic serotype 1 Marek’s disease virus (MDV) and vaccine viruses of MDV-serotypes 2 and 3. </w:t>
      </w:r>
      <w:r w:rsidRPr="001271E8">
        <w:rPr>
          <w:i/>
        </w:rPr>
        <w:t>J. Virol. Methods</w:t>
      </w:r>
      <w:r w:rsidRPr="001271E8">
        <w:t xml:space="preserve">, </w:t>
      </w:r>
      <w:r w:rsidRPr="001271E8">
        <w:rPr>
          <w:b/>
          <w:bCs/>
        </w:rPr>
        <w:t>40</w:t>
      </w:r>
      <w:r w:rsidRPr="001271E8">
        <w:t>, 307–322.</w:t>
      </w:r>
    </w:p>
    <w:p w14:paraId="504F5B89" w14:textId="77777777" w:rsidR="00946E8A" w:rsidRPr="001271E8" w:rsidRDefault="00946E8A" w:rsidP="00F12F01">
      <w:pPr>
        <w:pStyle w:val="Ref"/>
      </w:pPr>
      <w:r w:rsidRPr="001271E8">
        <w:rPr>
          <w:smallCaps/>
        </w:rPr>
        <w:t>Bumstead N., Sillibourne J., Rennie M., Ross N. &amp; Davison</w:t>
      </w:r>
      <w:r w:rsidRPr="001271E8">
        <w:t xml:space="preserve"> F. (1997). Quantification of Marek’s disease virus in chicken lymphocytes using the polymerase chain reaction with fluorescence detection. </w:t>
      </w:r>
      <w:r w:rsidRPr="001271E8">
        <w:rPr>
          <w:i/>
        </w:rPr>
        <w:t>J Virol. Methods</w:t>
      </w:r>
      <w:r w:rsidRPr="001271E8">
        <w:t xml:space="preserve">, </w:t>
      </w:r>
      <w:r w:rsidRPr="001271E8">
        <w:rPr>
          <w:b/>
          <w:bCs/>
        </w:rPr>
        <w:t>65</w:t>
      </w:r>
      <w:r w:rsidRPr="001271E8">
        <w:t>, 75–81.</w:t>
      </w:r>
    </w:p>
    <w:p w14:paraId="0F777362" w14:textId="77777777" w:rsidR="00946E8A" w:rsidRPr="001271E8" w:rsidRDefault="00946E8A" w:rsidP="00F12F01">
      <w:pPr>
        <w:pStyle w:val="Ref"/>
      </w:pPr>
      <w:r w:rsidRPr="001271E8">
        <w:rPr>
          <w:smallCaps/>
        </w:rPr>
        <w:t>Burgess S.C. &amp; Davison T.F.</w:t>
      </w:r>
      <w:r w:rsidRPr="001271E8">
        <w:t xml:space="preserve"> (1999). A quantitative duplex PCR technique for measuring amounts of cell-associated Marek’s disease virus: differences in two populations of lymphoma cells. </w:t>
      </w:r>
      <w:r w:rsidRPr="001271E8">
        <w:rPr>
          <w:i/>
          <w:iCs/>
        </w:rPr>
        <w:t>J. Virol. Methods</w:t>
      </w:r>
      <w:r w:rsidRPr="001271E8">
        <w:t xml:space="preserve">, </w:t>
      </w:r>
      <w:r w:rsidRPr="001271E8">
        <w:rPr>
          <w:b/>
          <w:bCs/>
        </w:rPr>
        <w:t>82</w:t>
      </w:r>
      <w:r w:rsidRPr="001271E8">
        <w:t>, 27–37.</w:t>
      </w:r>
    </w:p>
    <w:p w14:paraId="74923D8E" w14:textId="77777777" w:rsidR="00946E8A" w:rsidRPr="001271E8" w:rsidRDefault="00946E8A" w:rsidP="00F12F01">
      <w:pPr>
        <w:pStyle w:val="Ref"/>
      </w:pPr>
      <w:r w:rsidRPr="001271E8">
        <w:rPr>
          <w:smallCaps/>
        </w:rPr>
        <w:lastRenderedPageBreak/>
        <w:t>Calnek B.W., Hitchner S.B. &amp; Adldinger H.K</w:t>
      </w:r>
      <w:r w:rsidRPr="001271E8">
        <w:t xml:space="preserve">. (1970). Lyophilization of cell-free Marek’s disease herpesvirus and a herpesvirus from turkeys. </w:t>
      </w:r>
      <w:r w:rsidRPr="001271E8">
        <w:rPr>
          <w:i/>
        </w:rPr>
        <w:t>Appl. Microbiol.,</w:t>
      </w:r>
      <w:r w:rsidRPr="001271E8">
        <w:t xml:space="preserve"> </w:t>
      </w:r>
      <w:r w:rsidRPr="001271E8">
        <w:rPr>
          <w:b/>
          <w:bCs/>
        </w:rPr>
        <w:t>20</w:t>
      </w:r>
      <w:r w:rsidRPr="001271E8">
        <w:t>, 723–726.</w:t>
      </w:r>
    </w:p>
    <w:p w14:paraId="317F94F0" w14:textId="6284EFF4" w:rsidR="00FD5747" w:rsidRPr="001271E8" w:rsidRDefault="008A092B" w:rsidP="00F12F01">
      <w:pPr>
        <w:pStyle w:val="Ref"/>
      </w:pPr>
      <w:r w:rsidRPr="001271E8">
        <w:rPr>
          <w:smallCaps/>
        </w:rPr>
        <w:t>Cao W., Mays J., Dunn J.R., Fulton R., Silva R.F. &amp; Fadly A.M.</w:t>
      </w:r>
      <w:r w:rsidRPr="001271E8">
        <w:t xml:space="preserve"> </w:t>
      </w:r>
      <w:r w:rsidR="00FD5747" w:rsidRPr="001271E8">
        <w:t xml:space="preserve">(2013). </w:t>
      </w:r>
      <w:r w:rsidR="00FD5747" w:rsidRPr="001271E8">
        <w:rPr>
          <w:lang w:val="en-US" w:eastAsia="en-GB"/>
        </w:rPr>
        <w:t xml:space="preserve">Use of </w:t>
      </w:r>
      <w:r w:rsidRPr="001271E8">
        <w:rPr>
          <w:lang w:val="en-US" w:eastAsia="en-GB"/>
        </w:rPr>
        <w:t>polymerase chain reaction in detection</w:t>
      </w:r>
      <w:r w:rsidR="00FD5747" w:rsidRPr="001271E8">
        <w:rPr>
          <w:lang w:val="en-US" w:eastAsia="en-GB"/>
        </w:rPr>
        <w:t xml:space="preserve"> of Marek</w:t>
      </w:r>
      <w:r w:rsidRPr="001271E8">
        <w:rPr>
          <w:lang w:val="en-US" w:eastAsia="en-GB"/>
        </w:rPr>
        <w:t>’</w:t>
      </w:r>
      <w:r w:rsidR="00FD5747" w:rsidRPr="001271E8">
        <w:rPr>
          <w:lang w:val="en-US" w:eastAsia="en-GB"/>
        </w:rPr>
        <w:t xml:space="preserve">s </w:t>
      </w:r>
      <w:r w:rsidRPr="001271E8">
        <w:rPr>
          <w:lang w:val="en-US" w:eastAsia="en-GB"/>
        </w:rPr>
        <w:t>disease and reticuloendotheliosis viruses in formalin-fixed, paraffin-embedded tumorous tissues</w:t>
      </w:r>
      <w:r w:rsidR="00FD5747" w:rsidRPr="001271E8">
        <w:rPr>
          <w:lang w:val="en-US" w:eastAsia="en-GB"/>
        </w:rPr>
        <w:t xml:space="preserve">. </w:t>
      </w:r>
      <w:r w:rsidR="00FD5747" w:rsidRPr="001271E8">
        <w:rPr>
          <w:i/>
          <w:lang w:val="en-US" w:eastAsia="en-GB"/>
        </w:rPr>
        <w:t>Avian Dis</w:t>
      </w:r>
      <w:r w:rsidR="00FD5747" w:rsidRPr="001271E8">
        <w:rPr>
          <w:lang w:val="en-US" w:eastAsia="en-GB"/>
        </w:rPr>
        <w:t xml:space="preserve">., </w:t>
      </w:r>
      <w:r w:rsidR="00FD5747" w:rsidRPr="001271E8">
        <w:rPr>
          <w:b/>
          <w:lang w:val="en-US" w:eastAsia="en-GB"/>
        </w:rPr>
        <w:t>57</w:t>
      </w:r>
      <w:r w:rsidR="00FD5747" w:rsidRPr="001271E8">
        <w:rPr>
          <w:lang w:val="en-US" w:eastAsia="en-GB"/>
        </w:rPr>
        <w:t>, 785</w:t>
      </w:r>
      <w:r w:rsidRPr="001271E8">
        <w:rPr>
          <w:lang w:val="en-US" w:eastAsia="en-GB"/>
        </w:rPr>
        <w:t>–</w:t>
      </w:r>
      <w:r w:rsidR="00FD5747" w:rsidRPr="001271E8">
        <w:rPr>
          <w:lang w:val="en-US" w:eastAsia="en-GB"/>
        </w:rPr>
        <w:t>789.</w:t>
      </w:r>
    </w:p>
    <w:p w14:paraId="29507151" w14:textId="77777777" w:rsidR="00946E8A" w:rsidRPr="001271E8" w:rsidRDefault="00946E8A" w:rsidP="00F12F01">
      <w:pPr>
        <w:pStyle w:val="Ref"/>
      </w:pPr>
      <w:r w:rsidRPr="001271E8">
        <w:rPr>
          <w:smallCaps/>
        </w:rPr>
        <w:t>Cheng Y.-Q., Lee L.F., Smith E.J. &amp; Witter R.L.</w:t>
      </w:r>
      <w:r w:rsidRPr="001271E8">
        <w:t xml:space="preserve"> (1984). An enzyme-linked immunosorbent assay for the detection of antibodies to Marek’s disease virus. </w:t>
      </w:r>
      <w:r w:rsidRPr="001271E8">
        <w:rPr>
          <w:i/>
        </w:rPr>
        <w:t xml:space="preserve">Avian Dis., </w:t>
      </w:r>
      <w:r w:rsidRPr="001271E8">
        <w:rPr>
          <w:b/>
          <w:bCs/>
        </w:rPr>
        <w:t>28</w:t>
      </w:r>
      <w:r w:rsidRPr="001271E8">
        <w:t>, 900–911.</w:t>
      </w:r>
    </w:p>
    <w:p w14:paraId="0E17E64D" w14:textId="7FA537A0" w:rsidR="00A2266C" w:rsidRPr="001271E8" w:rsidRDefault="00A2266C" w:rsidP="00F12F01">
      <w:pPr>
        <w:pStyle w:val="Ref"/>
      </w:pPr>
      <w:r w:rsidRPr="001271E8">
        <w:rPr>
          <w:smallCaps/>
        </w:rPr>
        <w:t>Code of Federal Regulations (of the United States of America</w:t>
      </w:r>
      <w:r w:rsidR="008E5844" w:rsidRPr="001271E8">
        <w:rPr>
          <w:smallCaps/>
        </w:rPr>
        <w:t>)</w:t>
      </w:r>
      <w:r w:rsidRPr="001271E8">
        <w:rPr>
          <w:smallCaps/>
        </w:rPr>
        <w:t xml:space="preserve"> </w:t>
      </w:r>
      <w:r w:rsidRPr="001271E8">
        <w:t>(CFR) (20</w:t>
      </w:r>
      <w:r w:rsidR="003325FE" w:rsidRPr="001271E8">
        <w:t>16</w:t>
      </w:r>
      <w:r w:rsidRPr="001271E8">
        <w:t>). Title 9, Parts 1–199. US Government Printing Office, Washington D.C., USA.</w:t>
      </w:r>
    </w:p>
    <w:p w14:paraId="45EAE274" w14:textId="77777777" w:rsidR="00946E8A" w:rsidRPr="001271E8" w:rsidRDefault="00946E8A" w:rsidP="00F12F01">
      <w:pPr>
        <w:pStyle w:val="Ref"/>
      </w:pPr>
      <w:r w:rsidRPr="001271E8">
        <w:rPr>
          <w:smallCaps/>
        </w:rPr>
        <w:t>Davidson I. &amp; Borenshtain R.</w:t>
      </w:r>
      <w:r w:rsidRPr="001271E8">
        <w:t xml:space="preserve"> (2002). The feather tips of commercial chickens are a favourable source of DNA for the amplification of MDV and ALV-J. </w:t>
      </w:r>
      <w:r w:rsidRPr="001271E8">
        <w:rPr>
          <w:i/>
          <w:iCs/>
        </w:rPr>
        <w:t>Avian Pathol</w:t>
      </w:r>
      <w:r w:rsidRPr="001271E8">
        <w:t xml:space="preserve">., </w:t>
      </w:r>
      <w:r w:rsidRPr="001271E8">
        <w:rPr>
          <w:b/>
        </w:rPr>
        <w:t>31</w:t>
      </w:r>
      <w:r w:rsidRPr="001271E8">
        <w:rPr>
          <w:bCs/>
        </w:rPr>
        <w:t xml:space="preserve">, </w:t>
      </w:r>
      <w:r w:rsidR="00C42611" w:rsidRPr="001271E8">
        <w:t>237–240.</w:t>
      </w:r>
    </w:p>
    <w:p w14:paraId="5EFE44BF" w14:textId="5B933287" w:rsidR="00710FE0" w:rsidRPr="001271E8" w:rsidRDefault="00710FE0" w:rsidP="00F12F01">
      <w:pPr>
        <w:pStyle w:val="Ref"/>
      </w:pPr>
      <w:r w:rsidRPr="001271E8">
        <w:rPr>
          <w:smallCaps/>
        </w:rPr>
        <w:t>Davison</w:t>
      </w:r>
      <w:r w:rsidR="00C42611" w:rsidRPr="001271E8">
        <w:rPr>
          <w:smallCaps/>
        </w:rPr>
        <w:t xml:space="preserve"> F. &amp; Nair</w:t>
      </w:r>
      <w:r w:rsidR="001A0A04" w:rsidRPr="001271E8">
        <w:rPr>
          <w:smallCaps/>
        </w:rPr>
        <w:t xml:space="preserve"> V.</w:t>
      </w:r>
      <w:r w:rsidRPr="001271E8">
        <w:rPr>
          <w:smallCaps/>
        </w:rPr>
        <w:t xml:space="preserve"> </w:t>
      </w:r>
      <w:r w:rsidR="001A0A04" w:rsidRPr="001271E8">
        <w:rPr>
          <w:smallCaps/>
        </w:rPr>
        <w:t>(</w:t>
      </w:r>
      <w:r w:rsidR="00C42611" w:rsidRPr="001271E8">
        <w:rPr>
          <w:smallCaps/>
        </w:rPr>
        <w:t>eds</w:t>
      </w:r>
      <w:r w:rsidR="001A0A04" w:rsidRPr="001271E8">
        <w:rPr>
          <w:smallCaps/>
        </w:rPr>
        <w:t>)</w:t>
      </w:r>
      <w:r w:rsidRPr="001271E8">
        <w:t xml:space="preserve"> (2004). Marek’s disease: An Evolving Problem. Elsevier Press, </w:t>
      </w:r>
      <w:r w:rsidR="008D1CA8" w:rsidRPr="001271E8">
        <w:t>Amsterdam, the Netherlands</w:t>
      </w:r>
      <w:r w:rsidR="000B1179" w:rsidRPr="001271E8">
        <w:t>,</w:t>
      </w:r>
      <w:r w:rsidR="008D1CA8" w:rsidRPr="001271E8">
        <w:t xml:space="preserve"> and Boston, </w:t>
      </w:r>
      <w:r w:rsidR="00C42611" w:rsidRPr="001271E8">
        <w:t>U</w:t>
      </w:r>
      <w:r w:rsidR="008D1CA8" w:rsidRPr="001271E8">
        <w:t>SA</w:t>
      </w:r>
      <w:r w:rsidRPr="001271E8">
        <w:t>.</w:t>
      </w:r>
    </w:p>
    <w:p w14:paraId="288A9EB6" w14:textId="5A884266" w:rsidR="005F50E7" w:rsidRPr="001271E8" w:rsidRDefault="005F50E7" w:rsidP="002F5B80">
      <w:pPr>
        <w:pStyle w:val="Ref"/>
        <w:rPr>
          <w:shd w:val="clear" w:color="auto" w:fill="FFFFFF"/>
          <w:lang w:val="en-US" w:eastAsia="en-US"/>
        </w:rPr>
      </w:pPr>
      <w:r w:rsidRPr="001271E8">
        <w:rPr>
          <w:smallCaps/>
          <w:shd w:val="clear" w:color="auto" w:fill="FFFFFF"/>
          <w:lang w:val="en-US" w:eastAsia="en-US"/>
        </w:rPr>
        <w:t>Dunn J.R., Southard T., Cooper C., Kiupel M. &amp; Witter R.L.</w:t>
      </w:r>
      <w:r w:rsidRPr="001271E8">
        <w:rPr>
          <w:shd w:val="clear" w:color="auto" w:fill="FFFFFF"/>
          <w:lang w:val="en-US" w:eastAsia="en-US"/>
        </w:rPr>
        <w:t xml:space="preserve"> </w:t>
      </w:r>
      <w:r w:rsidR="008A092B" w:rsidRPr="001271E8">
        <w:rPr>
          <w:shd w:val="clear" w:color="auto" w:fill="FFFFFF"/>
          <w:lang w:val="en-US" w:eastAsia="en-US"/>
        </w:rPr>
        <w:t>(</w:t>
      </w:r>
      <w:r w:rsidRPr="001271E8">
        <w:rPr>
          <w:shd w:val="clear" w:color="auto" w:fill="FFFFFF"/>
          <w:lang w:val="en-US" w:eastAsia="en-US"/>
        </w:rPr>
        <w:t>2010</w:t>
      </w:r>
      <w:r w:rsidR="008A092B" w:rsidRPr="001271E8">
        <w:rPr>
          <w:shd w:val="clear" w:color="auto" w:fill="FFFFFF"/>
          <w:lang w:val="en-US" w:eastAsia="en-US"/>
        </w:rPr>
        <w:t>)</w:t>
      </w:r>
      <w:r w:rsidRPr="001271E8">
        <w:rPr>
          <w:shd w:val="clear" w:color="auto" w:fill="FFFFFF"/>
          <w:lang w:val="en-US" w:eastAsia="en-US"/>
        </w:rPr>
        <w:t xml:space="preserve">. Diagnosis of Marek's Disease </w:t>
      </w:r>
      <w:r w:rsidR="008A092B" w:rsidRPr="001271E8">
        <w:rPr>
          <w:shd w:val="clear" w:color="auto" w:fill="FFFFFF"/>
          <w:lang w:val="en-US" w:eastAsia="en-US"/>
        </w:rPr>
        <w:t>from</w:t>
      </w:r>
      <w:r w:rsidRPr="001271E8">
        <w:rPr>
          <w:shd w:val="clear" w:color="auto" w:fill="FFFFFF"/>
          <w:lang w:val="en-US" w:eastAsia="en-US"/>
        </w:rPr>
        <w:t xml:space="preserve"> a Japanese Quail (</w:t>
      </w:r>
      <w:r w:rsidRPr="001271E8">
        <w:rPr>
          <w:i/>
          <w:shd w:val="clear" w:color="auto" w:fill="FFFFFF"/>
          <w:lang w:val="en-US" w:eastAsia="en-US"/>
        </w:rPr>
        <w:t>Coturnix Japonica</w:t>
      </w:r>
      <w:r w:rsidRPr="001271E8">
        <w:rPr>
          <w:shd w:val="clear" w:color="auto" w:fill="FFFFFF"/>
          <w:lang w:val="en-US" w:eastAsia="en-US"/>
        </w:rPr>
        <w:t xml:space="preserve">) Using Paraffin-embedded Liver [abstract]. </w:t>
      </w:r>
      <w:r w:rsidRPr="001271E8">
        <w:rPr>
          <w:i/>
          <w:shd w:val="clear" w:color="auto" w:fill="FFFFFF"/>
          <w:lang w:val="en-US" w:eastAsia="en-US"/>
        </w:rPr>
        <w:t>In:</w:t>
      </w:r>
      <w:r w:rsidRPr="001271E8">
        <w:rPr>
          <w:shd w:val="clear" w:color="auto" w:fill="FFFFFF"/>
          <w:lang w:val="en-US" w:eastAsia="en-US"/>
        </w:rPr>
        <w:t xml:space="preserve"> American Association of Avian Pathologists Symposium and Scientific Program, 1</w:t>
      </w:r>
      <w:r w:rsidR="008A092B" w:rsidRPr="001271E8">
        <w:rPr>
          <w:shd w:val="clear" w:color="auto" w:fill="FFFFFF"/>
          <w:lang w:val="en-US" w:eastAsia="en-US"/>
        </w:rPr>
        <w:t>–</w:t>
      </w:r>
      <w:r w:rsidRPr="001271E8">
        <w:rPr>
          <w:shd w:val="clear" w:color="auto" w:fill="FFFFFF"/>
          <w:lang w:val="en-US" w:eastAsia="en-US"/>
        </w:rPr>
        <w:t>4</w:t>
      </w:r>
      <w:r w:rsidR="008A092B" w:rsidRPr="001271E8">
        <w:rPr>
          <w:shd w:val="clear" w:color="auto" w:fill="FFFFFF"/>
          <w:lang w:val="en-US" w:eastAsia="en-US"/>
        </w:rPr>
        <w:t xml:space="preserve"> August</w:t>
      </w:r>
      <w:r w:rsidRPr="001271E8">
        <w:rPr>
          <w:shd w:val="clear" w:color="auto" w:fill="FFFFFF"/>
          <w:lang w:val="en-US" w:eastAsia="en-US"/>
        </w:rPr>
        <w:t>, 2010, Atlanta, Georgia</w:t>
      </w:r>
      <w:r w:rsidR="008A092B" w:rsidRPr="001271E8">
        <w:rPr>
          <w:shd w:val="clear" w:color="auto" w:fill="FFFFFF"/>
          <w:lang w:val="en-US" w:eastAsia="en-US"/>
        </w:rPr>
        <w:t>, USA,</w:t>
      </w:r>
      <w:r w:rsidRPr="001271E8">
        <w:rPr>
          <w:shd w:val="clear" w:color="auto" w:fill="FFFFFF"/>
          <w:lang w:val="en-US" w:eastAsia="en-US"/>
        </w:rPr>
        <w:t xml:space="preserve"> Paper No. 9389.</w:t>
      </w:r>
    </w:p>
    <w:p w14:paraId="5BA02D99" w14:textId="77777777" w:rsidR="008E5844" w:rsidRPr="001271E8" w:rsidRDefault="008E5844" w:rsidP="00F12F01">
      <w:pPr>
        <w:pStyle w:val="Ref"/>
      </w:pPr>
      <w:r w:rsidRPr="001271E8">
        <w:rPr>
          <w:smallCaps/>
        </w:rPr>
        <w:t>European Pharmacopoeia, Third Edition (1997</w:t>
      </w:r>
      <w:r w:rsidRPr="001271E8">
        <w:t>a</w:t>
      </w:r>
      <w:r w:rsidRPr="001271E8">
        <w:rPr>
          <w:smallCaps/>
        </w:rPr>
        <w:t>)</w:t>
      </w:r>
      <w:r w:rsidRPr="001271E8">
        <w:t>. Marek’s Disease Vaccines (Live). European Directorate for the Quality of Medicines and HealthCare (EDQM), Council of Europe, Strasbourg, France, 1814–1818. ISBN 92-871-2990-8.</w:t>
      </w:r>
    </w:p>
    <w:p w14:paraId="2B023B19" w14:textId="77777777" w:rsidR="008E5844" w:rsidRPr="001271E8" w:rsidRDefault="008E5844" w:rsidP="00F12F01">
      <w:pPr>
        <w:pStyle w:val="Ref"/>
        <w:rPr>
          <w:lang w:val="es-ES"/>
        </w:rPr>
      </w:pPr>
      <w:r w:rsidRPr="001271E8">
        <w:rPr>
          <w:smallCaps/>
        </w:rPr>
        <w:t xml:space="preserve">European Pharmacopoeia, Third Edition </w:t>
      </w:r>
      <w:r w:rsidRPr="001271E8">
        <w:t xml:space="preserve">(1997b). Vaccines for Veterinary Use. Chapter 5.2.2. Chicken flocks free from specified pathogens for the production and quality control of vaccines. European Directorate for the Quality of Medicines and HealthCare (EDQM), Council of Europe, Strasbourg, France, 301–304. </w:t>
      </w:r>
      <w:r w:rsidRPr="001271E8">
        <w:rPr>
          <w:lang w:val="es-ES"/>
        </w:rPr>
        <w:t>ISBN 92-871-2990-8.</w:t>
      </w:r>
    </w:p>
    <w:p w14:paraId="42F24505" w14:textId="7608773E" w:rsidR="00BB705C" w:rsidRPr="001271E8" w:rsidRDefault="0017428D" w:rsidP="00F12F01">
      <w:pPr>
        <w:pStyle w:val="Ref"/>
        <w:rPr>
          <w:smallCaps/>
        </w:rPr>
      </w:pPr>
      <w:r w:rsidRPr="0017428D">
        <w:rPr>
          <w:smallCaps/>
          <w:lang w:val="es-ES"/>
        </w:rPr>
        <w:t xml:space="preserve">Gimeno I.M., Dunn J.R., Cortes A.L., El-Gohary Ael-G. </w:t>
      </w:r>
      <w:r w:rsidRPr="0017428D">
        <w:rPr>
          <w:smallCaps/>
        </w:rPr>
        <w:t xml:space="preserve">&amp; Silva R.F. </w:t>
      </w:r>
      <w:r w:rsidR="00D73822" w:rsidRPr="001271E8">
        <w:t xml:space="preserve">(2014). Detection and </w:t>
      </w:r>
      <w:r w:rsidR="00246EB4" w:rsidRPr="001271E8">
        <w:t xml:space="preserve">differentiation </w:t>
      </w:r>
      <w:r w:rsidR="00D73822" w:rsidRPr="001271E8">
        <w:t xml:space="preserve">of </w:t>
      </w:r>
      <w:r w:rsidR="008D2321">
        <w:t>CVI</w:t>
      </w:r>
      <w:r w:rsidR="008D2321" w:rsidRPr="004133B5">
        <w:rPr>
          <w:highlight w:val="yellow"/>
          <w:u w:val="double"/>
        </w:rPr>
        <w:t>-</w:t>
      </w:r>
      <w:r w:rsidR="008D2321">
        <w:t>988</w:t>
      </w:r>
      <w:r w:rsidR="00D73822" w:rsidRPr="001271E8">
        <w:t xml:space="preserve"> (Rispens Vaccine) from </w:t>
      </w:r>
      <w:r w:rsidR="00246EB4" w:rsidRPr="001271E8">
        <w:t xml:space="preserve">other serotype </w:t>
      </w:r>
      <w:r w:rsidR="00D73822" w:rsidRPr="001271E8">
        <w:t>1 Marek</w:t>
      </w:r>
      <w:r w:rsidR="00246EB4" w:rsidRPr="001271E8">
        <w:t>’</w:t>
      </w:r>
      <w:r w:rsidR="00D73822" w:rsidRPr="001271E8">
        <w:t xml:space="preserve">s </w:t>
      </w:r>
      <w:r w:rsidR="00246EB4" w:rsidRPr="001271E8">
        <w:t>disease viruses</w:t>
      </w:r>
      <w:r w:rsidR="00D73822" w:rsidRPr="001271E8">
        <w:t xml:space="preserve">. </w:t>
      </w:r>
      <w:r w:rsidR="00D73822" w:rsidRPr="001271E8">
        <w:rPr>
          <w:i/>
          <w:iCs/>
        </w:rPr>
        <w:t>Avian Dis</w:t>
      </w:r>
      <w:r w:rsidR="00D73822" w:rsidRPr="001271E8">
        <w:t xml:space="preserve">., </w:t>
      </w:r>
      <w:r w:rsidR="00D73822" w:rsidRPr="001271E8">
        <w:rPr>
          <w:b/>
          <w:smallCaps/>
        </w:rPr>
        <w:t>58</w:t>
      </w:r>
      <w:r w:rsidR="00D73822" w:rsidRPr="001271E8">
        <w:rPr>
          <w:smallCaps/>
        </w:rPr>
        <w:t>, 232</w:t>
      </w:r>
      <w:r w:rsidR="00246EB4" w:rsidRPr="001271E8">
        <w:rPr>
          <w:smallCaps/>
        </w:rPr>
        <w:t>–</w:t>
      </w:r>
      <w:r w:rsidR="00D73822" w:rsidRPr="001271E8">
        <w:rPr>
          <w:smallCaps/>
        </w:rPr>
        <w:t>243.</w:t>
      </w:r>
    </w:p>
    <w:p w14:paraId="0416C4A2" w14:textId="4309EE78" w:rsidR="00BF555A" w:rsidRPr="001271E8" w:rsidRDefault="0017428D" w:rsidP="00F12F01">
      <w:pPr>
        <w:pStyle w:val="Ref"/>
        <w:rPr>
          <w:smallCaps/>
          <w:lang w:val="en-IE"/>
        </w:rPr>
      </w:pPr>
      <w:r w:rsidRPr="0017428D">
        <w:rPr>
          <w:smallCaps/>
          <w:lang w:val="en-IE"/>
        </w:rPr>
        <w:t xml:space="preserve">Gimeno I.M., Witter R.L., Fadly, A.M. </w:t>
      </w:r>
      <w:r w:rsidRPr="0017428D">
        <w:rPr>
          <w:smallCaps/>
        </w:rPr>
        <w:t>&amp; Silva R.F</w:t>
      </w:r>
      <w:r w:rsidR="00BF555A" w:rsidRPr="001271E8">
        <w:t xml:space="preserve">. (2005). Novel criteria for the diagnosis of Marek’s disease virus-induced lymphomas. </w:t>
      </w:r>
      <w:r w:rsidR="00BF555A" w:rsidRPr="001271E8">
        <w:rPr>
          <w:i/>
          <w:iCs/>
        </w:rPr>
        <w:t>Avian Pathol</w:t>
      </w:r>
      <w:r w:rsidR="00BF555A" w:rsidRPr="001271E8">
        <w:t xml:space="preserve">., </w:t>
      </w:r>
      <w:r w:rsidR="00BF555A" w:rsidRPr="001271E8">
        <w:rPr>
          <w:b/>
          <w:smallCaps/>
          <w:lang w:val="en-IE"/>
        </w:rPr>
        <w:t>34</w:t>
      </w:r>
      <w:r w:rsidR="00BF555A" w:rsidRPr="001271E8">
        <w:rPr>
          <w:smallCaps/>
          <w:lang w:val="en-IE"/>
        </w:rPr>
        <w:t>, 332–340.</w:t>
      </w:r>
    </w:p>
    <w:p w14:paraId="0FA1F2DF" w14:textId="77777777" w:rsidR="00946E8A" w:rsidRPr="006927BC" w:rsidRDefault="00946E8A" w:rsidP="00F12F01">
      <w:pPr>
        <w:pStyle w:val="Ref"/>
        <w:rPr>
          <w:strike/>
        </w:rPr>
      </w:pPr>
      <w:r w:rsidRPr="006927BC">
        <w:rPr>
          <w:smallCaps/>
          <w:strike/>
          <w:lang w:val="en-IE"/>
        </w:rPr>
        <w:t>Handberg K.J., Nielson O.L. &amp; Jorgensen P.H</w:t>
      </w:r>
      <w:r w:rsidRPr="006927BC">
        <w:rPr>
          <w:strike/>
          <w:lang w:val="en-IE"/>
        </w:rPr>
        <w:t xml:space="preserve">. (2001). </w:t>
      </w:r>
      <w:r w:rsidR="006178CF" w:rsidRPr="006927BC">
        <w:rPr>
          <w:strike/>
        </w:rPr>
        <w:t>Use of serotype 1</w:t>
      </w:r>
      <w:r w:rsidRPr="006927BC">
        <w:rPr>
          <w:strike/>
        </w:rPr>
        <w:t xml:space="preserve"> </w:t>
      </w:r>
      <w:r w:rsidR="006178CF" w:rsidRPr="006927BC">
        <w:rPr>
          <w:strike/>
        </w:rPr>
        <w:t xml:space="preserve">&amp; serotype 3 </w:t>
      </w:r>
      <w:r w:rsidRPr="006927BC">
        <w:rPr>
          <w:strike/>
        </w:rPr>
        <w:t>specific polymerase chain reaction for the detection of M</w:t>
      </w:r>
      <w:r w:rsidR="00864225" w:rsidRPr="006927BC">
        <w:rPr>
          <w:strike/>
        </w:rPr>
        <w:t>arek’s disease virus</w:t>
      </w:r>
      <w:r w:rsidRPr="006927BC">
        <w:rPr>
          <w:strike/>
        </w:rPr>
        <w:t xml:space="preserve"> in chickens. </w:t>
      </w:r>
      <w:r w:rsidRPr="006927BC">
        <w:rPr>
          <w:i/>
          <w:iCs/>
          <w:strike/>
        </w:rPr>
        <w:t>Avian Pathol</w:t>
      </w:r>
      <w:r w:rsidRPr="006927BC">
        <w:rPr>
          <w:strike/>
        </w:rPr>
        <w:t xml:space="preserve">., </w:t>
      </w:r>
      <w:r w:rsidRPr="006927BC">
        <w:rPr>
          <w:b/>
          <w:bCs/>
          <w:strike/>
        </w:rPr>
        <w:t>30</w:t>
      </w:r>
      <w:r w:rsidRPr="006927BC">
        <w:rPr>
          <w:strike/>
        </w:rPr>
        <w:t>, 243–249.</w:t>
      </w:r>
    </w:p>
    <w:p w14:paraId="10B32F7C" w14:textId="77777777" w:rsidR="00F12F01" w:rsidRPr="001271E8" w:rsidRDefault="003B0CD5" w:rsidP="00F12F01">
      <w:pPr>
        <w:pStyle w:val="Ref"/>
      </w:pPr>
      <w:hyperlink r:id="rId12" w:history="1">
        <w:r w:rsidR="00BC523B" w:rsidRPr="001271E8">
          <w:rPr>
            <w:smallCaps/>
          </w:rPr>
          <w:t>Islam A., Harrison B., Cheetham B.F., Mahony T.J., Young P.L. &amp; Walkden-Brown S.W.</w:t>
        </w:r>
      </w:hyperlink>
      <w:r w:rsidR="00BC523B" w:rsidRPr="001271E8">
        <w:t xml:space="preserve"> (2004). Differential amplification and quantitation of Marek’s disease viruses using real-time polymerase chain reaction. </w:t>
      </w:r>
      <w:r w:rsidR="00BC523B" w:rsidRPr="001271E8">
        <w:rPr>
          <w:i/>
          <w:iCs/>
        </w:rPr>
        <w:t>J. Virol. Methods</w:t>
      </w:r>
      <w:r w:rsidR="00BC523B" w:rsidRPr="001271E8">
        <w:t xml:space="preserve">, </w:t>
      </w:r>
      <w:r w:rsidR="00BC523B" w:rsidRPr="001271E8">
        <w:rPr>
          <w:b/>
          <w:bCs/>
        </w:rPr>
        <w:t>119</w:t>
      </w:r>
      <w:r w:rsidR="00BC523B" w:rsidRPr="001271E8">
        <w:t xml:space="preserve">, 103–113. </w:t>
      </w:r>
    </w:p>
    <w:p w14:paraId="35AFC5E5" w14:textId="77777777" w:rsidR="00472DC2" w:rsidRPr="00B23ABA" w:rsidRDefault="00472DC2" w:rsidP="00F12F01">
      <w:pPr>
        <w:pStyle w:val="Ref"/>
        <w:rPr>
          <w:bCs/>
          <w:strike/>
        </w:rPr>
      </w:pPr>
      <w:r w:rsidRPr="00B23ABA">
        <w:rPr>
          <w:bCs/>
          <w:smallCaps/>
          <w:strike/>
        </w:rPr>
        <w:t xml:space="preserve">Lee L.F., Kreager K.S., Arango J., Paraguassu A., Beckman B., Zhang H., Fadly A.M., Lupiani B. &amp; Reddy S.M. </w:t>
      </w:r>
      <w:r w:rsidRPr="00B23ABA">
        <w:rPr>
          <w:bCs/>
          <w:strike/>
        </w:rPr>
        <w:t xml:space="preserve">(2010). Comparative evaluation of vaccine efficacy of recombinant Marek’s disease virus vaccine lacking Meq oncogene in commercial chickens. </w:t>
      </w:r>
      <w:r w:rsidRPr="00B23ABA">
        <w:rPr>
          <w:bCs/>
          <w:i/>
          <w:strike/>
        </w:rPr>
        <w:t>Vaccine,</w:t>
      </w:r>
      <w:r w:rsidRPr="00B23ABA">
        <w:rPr>
          <w:bCs/>
          <w:strike/>
        </w:rPr>
        <w:t xml:space="preserve"> </w:t>
      </w:r>
      <w:r w:rsidRPr="00B23ABA">
        <w:rPr>
          <w:b/>
          <w:bCs/>
          <w:strike/>
        </w:rPr>
        <w:t>28</w:t>
      </w:r>
      <w:r w:rsidRPr="00B23ABA">
        <w:rPr>
          <w:bCs/>
          <w:strike/>
        </w:rPr>
        <w:t>, 1294–1299.</w:t>
      </w:r>
    </w:p>
    <w:p w14:paraId="3347BA3C" w14:textId="77777777" w:rsidR="00946E8A" w:rsidRPr="001271E8" w:rsidRDefault="00946E8A" w:rsidP="00F12F01">
      <w:pPr>
        <w:pStyle w:val="Ref"/>
      </w:pPr>
      <w:r w:rsidRPr="001271E8">
        <w:rPr>
          <w:smallCaps/>
        </w:rPr>
        <w:t>Lee L.F., Liu X. &amp; Witter R.L</w:t>
      </w:r>
      <w:r w:rsidRPr="001271E8">
        <w:t xml:space="preserve">. (1983). Monoclonal antibodies with specificity for three different serotypes of Marek’s disease virus in chickens. </w:t>
      </w:r>
      <w:r w:rsidRPr="001271E8">
        <w:rPr>
          <w:i/>
        </w:rPr>
        <w:t>J. Immunol</w:t>
      </w:r>
      <w:r w:rsidRPr="001271E8">
        <w:t xml:space="preserve">., </w:t>
      </w:r>
      <w:r w:rsidRPr="001271E8">
        <w:rPr>
          <w:b/>
          <w:bCs/>
        </w:rPr>
        <w:t>130</w:t>
      </w:r>
      <w:r w:rsidRPr="001271E8">
        <w:t>, 1003–1006.</w:t>
      </w:r>
    </w:p>
    <w:p w14:paraId="61C053AE" w14:textId="1F0B8C9C" w:rsidR="00946E8A" w:rsidRPr="001271E8" w:rsidRDefault="00946E8A" w:rsidP="00F12F01">
      <w:pPr>
        <w:pStyle w:val="Ref"/>
      </w:pPr>
      <w:r w:rsidRPr="001271E8">
        <w:rPr>
          <w:smallCaps/>
        </w:rPr>
        <w:t>Lee L.F., Wu P., Sui D., Ren D., Kamil J., Kung H.J. &amp; Witter R.L.</w:t>
      </w:r>
      <w:r w:rsidRPr="001271E8">
        <w:t xml:space="preserve"> (2000). The complete unique long sequence and the overall genomic organization of the GA strain of Marek’s disease virus. </w:t>
      </w:r>
      <w:r w:rsidRPr="001271E8">
        <w:rPr>
          <w:i/>
          <w:iCs/>
        </w:rPr>
        <w:t>Proc</w:t>
      </w:r>
      <w:r w:rsidR="002A0520" w:rsidRPr="001271E8">
        <w:rPr>
          <w:i/>
          <w:iCs/>
        </w:rPr>
        <w:t>.</w:t>
      </w:r>
      <w:r w:rsidRPr="001271E8">
        <w:rPr>
          <w:i/>
          <w:iCs/>
        </w:rPr>
        <w:t xml:space="preserve"> Natl Acad</w:t>
      </w:r>
      <w:r w:rsidR="002A0520" w:rsidRPr="001271E8">
        <w:rPr>
          <w:i/>
          <w:iCs/>
        </w:rPr>
        <w:t>.</w:t>
      </w:r>
      <w:r w:rsidRPr="001271E8">
        <w:rPr>
          <w:i/>
          <w:iCs/>
        </w:rPr>
        <w:t xml:space="preserve"> Sci</w:t>
      </w:r>
      <w:r w:rsidR="002A0520" w:rsidRPr="001271E8">
        <w:rPr>
          <w:i/>
          <w:iCs/>
        </w:rPr>
        <w:t>.</w:t>
      </w:r>
      <w:r w:rsidRPr="001271E8">
        <w:rPr>
          <w:i/>
          <w:iCs/>
        </w:rPr>
        <w:t>,</w:t>
      </w:r>
      <w:r w:rsidRPr="001271E8">
        <w:t xml:space="preserve"> USA, </w:t>
      </w:r>
      <w:r w:rsidRPr="001271E8">
        <w:rPr>
          <w:b/>
          <w:bCs/>
        </w:rPr>
        <w:t>97</w:t>
      </w:r>
      <w:r w:rsidRPr="001271E8">
        <w:t>, 6091–6096.</w:t>
      </w:r>
    </w:p>
    <w:p w14:paraId="2A5729C8" w14:textId="77777777" w:rsidR="00946E8A" w:rsidRPr="00B23ABA" w:rsidRDefault="00946E8A" w:rsidP="00F12F01">
      <w:pPr>
        <w:pStyle w:val="Ref"/>
        <w:rPr>
          <w:strike/>
        </w:rPr>
      </w:pPr>
      <w:r w:rsidRPr="00B23ABA">
        <w:rPr>
          <w:smallCaps/>
          <w:strike/>
        </w:rPr>
        <w:t>Merieux C., Hulse E.C., Gaudry D., Allan W.H., Regamey R.H., eds</w:t>
      </w:r>
      <w:r w:rsidRPr="00B23ABA">
        <w:rPr>
          <w:strike/>
        </w:rPr>
        <w:t xml:space="preserve"> (1974). International Symposium on Requirements for Poultry Virus Vaccines. Proceedings of the 42nd Symposium, International Association of Biological Standardization, Lyon, France, August 1973. </w:t>
      </w:r>
      <w:r w:rsidRPr="00B23ABA">
        <w:rPr>
          <w:i/>
          <w:strike/>
        </w:rPr>
        <w:t>Dev. Biol. Stand</w:t>
      </w:r>
      <w:r w:rsidRPr="00B23ABA">
        <w:rPr>
          <w:strike/>
        </w:rPr>
        <w:t xml:space="preserve">., </w:t>
      </w:r>
      <w:r w:rsidRPr="00B23ABA">
        <w:rPr>
          <w:b/>
          <w:strike/>
        </w:rPr>
        <w:t>25</w:t>
      </w:r>
      <w:r w:rsidRPr="00B23ABA">
        <w:rPr>
          <w:strike/>
        </w:rPr>
        <w:t>, 423.</w:t>
      </w:r>
    </w:p>
    <w:p w14:paraId="6CEAA2E3" w14:textId="77777777" w:rsidR="00946E8A" w:rsidRPr="001271E8" w:rsidRDefault="00946E8A" w:rsidP="00F12F01">
      <w:pPr>
        <w:pStyle w:val="Ref"/>
      </w:pPr>
      <w:r w:rsidRPr="001271E8">
        <w:rPr>
          <w:smallCaps/>
        </w:rPr>
        <w:t>Ministry of Agriculture, Fisheries and Food</w:t>
      </w:r>
      <w:r w:rsidRPr="001271E8">
        <w:t xml:space="preserve"> (1990). Guidelines for the Production and Control of Avian Virus Vaccine. MAL 74. HMSO, London, UK.</w:t>
      </w:r>
    </w:p>
    <w:p w14:paraId="0077D861" w14:textId="77777777" w:rsidR="006178CF" w:rsidRPr="001271E8" w:rsidRDefault="00674C3E" w:rsidP="00F12F01">
      <w:pPr>
        <w:pStyle w:val="Ref"/>
      </w:pPr>
      <w:r w:rsidRPr="001271E8">
        <w:rPr>
          <w:smallCaps/>
        </w:rPr>
        <w:t xml:space="preserve">Nair </w:t>
      </w:r>
      <w:r w:rsidR="006178CF" w:rsidRPr="001271E8">
        <w:t xml:space="preserve">V. (2004). </w:t>
      </w:r>
      <w:r w:rsidR="006178CF" w:rsidRPr="001271E8">
        <w:rPr>
          <w:iCs/>
        </w:rPr>
        <w:t>Successful control of Marek</w:t>
      </w:r>
      <w:r w:rsidRPr="001271E8">
        <w:rPr>
          <w:iCs/>
        </w:rPr>
        <w:t>’</w:t>
      </w:r>
      <w:r w:rsidR="006178CF" w:rsidRPr="001271E8">
        <w:rPr>
          <w:iCs/>
        </w:rPr>
        <w:t>s disease by vaccination</w:t>
      </w:r>
      <w:r w:rsidR="006178CF" w:rsidRPr="001271E8">
        <w:rPr>
          <w:i/>
          <w:iCs/>
        </w:rPr>
        <w:t>.</w:t>
      </w:r>
      <w:r w:rsidR="006178CF" w:rsidRPr="001271E8">
        <w:t xml:space="preserve"> </w:t>
      </w:r>
      <w:r w:rsidR="000807D5" w:rsidRPr="001271E8">
        <w:rPr>
          <w:i/>
        </w:rPr>
        <w:t xml:space="preserve">In: </w:t>
      </w:r>
      <w:r w:rsidR="000807D5" w:rsidRPr="001271E8">
        <w:t>Control of Infectious Animal Diseases by Vaccination, Schudel A</w:t>
      </w:r>
      <w:r w:rsidRPr="001271E8">
        <w:t>.</w:t>
      </w:r>
      <w:r w:rsidR="000807D5" w:rsidRPr="001271E8">
        <w:t xml:space="preserve"> </w:t>
      </w:r>
      <w:r w:rsidRPr="001271E8">
        <w:t>&amp; Lombard</w:t>
      </w:r>
      <w:r w:rsidR="000807D5" w:rsidRPr="001271E8">
        <w:t xml:space="preserve"> M</w:t>
      </w:r>
      <w:r w:rsidRPr="001271E8">
        <w:t>., e</w:t>
      </w:r>
      <w:r w:rsidR="000807D5" w:rsidRPr="001271E8">
        <w:t xml:space="preserve">ds. </w:t>
      </w:r>
      <w:r w:rsidR="006178CF" w:rsidRPr="001271E8">
        <w:t>Dev</w:t>
      </w:r>
      <w:r w:rsidRPr="001271E8">
        <w:t>.</w:t>
      </w:r>
      <w:r w:rsidR="006178CF" w:rsidRPr="001271E8">
        <w:t xml:space="preserve"> Biol. (</w:t>
      </w:r>
      <w:r w:rsidRPr="001271E8">
        <w:t xml:space="preserve">Karger, </w:t>
      </w:r>
      <w:r w:rsidR="006178CF" w:rsidRPr="001271E8">
        <w:t>Basel</w:t>
      </w:r>
      <w:r w:rsidRPr="001271E8">
        <w:t>, Switzerland</w:t>
      </w:r>
      <w:r w:rsidR="006178CF" w:rsidRPr="001271E8">
        <w:t xml:space="preserve">), </w:t>
      </w:r>
      <w:r w:rsidR="006178CF" w:rsidRPr="001271E8">
        <w:rPr>
          <w:b/>
          <w:bCs/>
        </w:rPr>
        <w:t>119</w:t>
      </w:r>
      <w:r w:rsidRPr="001271E8">
        <w:t>,</w:t>
      </w:r>
      <w:r w:rsidR="006178CF" w:rsidRPr="001271E8">
        <w:t xml:space="preserve"> 147</w:t>
      </w:r>
      <w:r w:rsidRPr="001271E8">
        <w:t>–1</w:t>
      </w:r>
      <w:r w:rsidR="006178CF" w:rsidRPr="001271E8">
        <w:t>54.</w:t>
      </w:r>
    </w:p>
    <w:p w14:paraId="3C3BDE2C" w14:textId="77777777" w:rsidR="00D33800" w:rsidRPr="001271E8" w:rsidRDefault="00D33800" w:rsidP="00D33800">
      <w:pPr>
        <w:pStyle w:val="Ref"/>
        <w:rPr>
          <w:u w:val="double"/>
        </w:rPr>
      </w:pPr>
      <w:r w:rsidRPr="003D782B">
        <w:rPr>
          <w:smallCaps/>
          <w:u w:val="double"/>
          <w:lang w:val="it-IT"/>
        </w:rPr>
        <w:lastRenderedPageBreak/>
        <w:t>Nair V., Gimeno I.M. &amp; Dun, J.R.</w:t>
      </w:r>
      <w:r w:rsidRPr="003D782B">
        <w:rPr>
          <w:u w:val="double"/>
          <w:lang w:val="it-IT"/>
        </w:rPr>
        <w:t xml:space="preserve"> (2020). </w:t>
      </w:r>
      <w:r w:rsidRPr="001271E8">
        <w:rPr>
          <w:u w:val="double"/>
          <w:lang w:val="en-IE"/>
        </w:rPr>
        <w:t>Marek’s disease</w:t>
      </w:r>
      <w:r w:rsidRPr="001271E8">
        <w:rPr>
          <w:u w:val="double"/>
        </w:rPr>
        <w:t xml:space="preserve">. </w:t>
      </w:r>
      <w:r w:rsidRPr="001271E8">
        <w:rPr>
          <w:i/>
          <w:iCs/>
          <w:u w:val="double"/>
        </w:rPr>
        <w:t xml:space="preserve">In: </w:t>
      </w:r>
      <w:r w:rsidRPr="001271E8">
        <w:rPr>
          <w:u w:val="double"/>
        </w:rPr>
        <w:t xml:space="preserve">Diseases of Poultry, Fourteenth Edition, Swayne D.E. </w:t>
      </w:r>
      <w:r w:rsidRPr="001271E8">
        <w:rPr>
          <w:i/>
          <w:iCs/>
          <w:u w:val="double"/>
        </w:rPr>
        <w:t>et al</w:t>
      </w:r>
      <w:r w:rsidRPr="001271E8">
        <w:rPr>
          <w:u w:val="double"/>
        </w:rPr>
        <w:t>., eds. Wiley-Blackwell Publishing, Ames, Iowa, USA, 550–586.</w:t>
      </w:r>
    </w:p>
    <w:p w14:paraId="10B4A2BC" w14:textId="77777777" w:rsidR="00946E8A" w:rsidRPr="003D782B" w:rsidRDefault="00946E8A" w:rsidP="00F12F01">
      <w:pPr>
        <w:pStyle w:val="Ref"/>
        <w:rPr>
          <w:lang w:val="en-US"/>
        </w:rPr>
      </w:pPr>
      <w:r w:rsidRPr="001271E8">
        <w:rPr>
          <w:smallCaps/>
        </w:rPr>
        <w:t>Reddy S.K., Sharma J.M., Ahmad J., Reddy D.N., McMillen J.K., Cook S.M., Wild M.A. &amp; Schwartz R.D.</w:t>
      </w:r>
      <w:r w:rsidRPr="001271E8">
        <w:t xml:space="preserve"> (1996). Protective efficacy of a recombinant herpesvirus of turkeys as an </w:t>
      </w:r>
      <w:r w:rsidRPr="001271E8">
        <w:rPr>
          <w:i/>
        </w:rPr>
        <w:t>in ovo</w:t>
      </w:r>
      <w:r w:rsidRPr="001271E8">
        <w:t xml:space="preserve"> vaccine against Newcastle and Marek’s diseases in specific-pathogen-free chickens. </w:t>
      </w:r>
      <w:r w:rsidRPr="003D782B">
        <w:rPr>
          <w:i/>
          <w:lang w:val="en-US"/>
        </w:rPr>
        <w:t>Vaccine,</w:t>
      </w:r>
      <w:r w:rsidRPr="003D782B">
        <w:rPr>
          <w:lang w:val="en-US"/>
        </w:rPr>
        <w:t xml:space="preserve"> </w:t>
      </w:r>
      <w:r w:rsidRPr="003D782B">
        <w:rPr>
          <w:b/>
          <w:bCs/>
          <w:lang w:val="en-US"/>
        </w:rPr>
        <w:t>14</w:t>
      </w:r>
      <w:r w:rsidRPr="003D782B">
        <w:rPr>
          <w:lang w:val="en-US"/>
        </w:rPr>
        <w:t>, 469–477.</w:t>
      </w:r>
    </w:p>
    <w:p w14:paraId="5AA78479" w14:textId="77777777" w:rsidR="00F12F01" w:rsidRPr="00B23ABA" w:rsidRDefault="00946E8A" w:rsidP="00F12F01">
      <w:pPr>
        <w:pStyle w:val="Ref"/>
        <w:rPr>
          <w:strike/>
        </w:rPr>
      </w:pPr>
      <w:r w:rsidRPr="003D782B">
        <w:rPr>
          <w:smallCaps/>
          <w:strike/>
          <w:lang w:val="en-US"/>
        </w:rPr>
        <w:t xml:space="preserve">Reddy S.M., Witter R.L. &amp; Gimeno I.M. </w:t>
      </w:r>
      <w:r w:rsidRPr="003D782B">
        <w:rPr>
          <w:strike/>
          <w:lang w:val="en-US"/>
        </w:rPr>
        <w:t xml:space="preserve">(2000). </w:t>
      </w:r>
      <w:r w:rsidRPr="00B23ABA">
        <w:rPr>
          <w:strike/>
        </w:rPr>
        <w:t xml:space="preserve">Development of a quantitative-competitive polymerase chain reaction assay for serotype 1 Marek’s disease virus. </w:t>
      </w:r>
      <w:r w:rsidRPr="00B23ABA">
        <w:rPr>
          <w:i/>
          <w:iCs/>
          <w:strike/>
        </w:rPr>
        <w:t>Avian Dis</w:t>
      </w:r>
      <w:r w:rsidRPr="00B23ABA">
        <w:rPr>
          <w:strike/>
        </w:rPr>
        <w:t xml:space="preserve">., </w:t>
      </w:r>
      <w:r w:rsidRPr="00B23ABA">
        <w:rPr>
          <w:b/>
          <w:bCs/>
          <w:strike/>
        </w:rPr>
        <w:t>44</w:t>
      </w:r>
      <w:r w:rsidRPr="00B23ABA">
        <w:rPr>
          <w:strike/>
        </w:rPr>
        <w:t>, 770–775.</w:t>
      </w:r>
    </w:p>
    <w:p w14:paraId="322D1671" w14:textId="7E98AA90" w:rsidR="00D25BFE" w:rsidRPr="001271E8" w:rsidRDefault="00D25BFE" w:rsidP="00F12F01">
      <w:pPr>
        <w:pStyle w:val="Ref"/>
        <w:rPr>
          <w:u w:val="double"/>
        </w:rPr>
      </w:pPr>
      <w:r w:rsidRPr="001271E8">
        <w:rPr>
          <w:smallCaps/>
          <w:u w:val="double"/>
        </w:rPr>
        <w:t>Renz K.G., Islam A., Cheetham B.F., Walkden-Brown S.W.</w:t>
      </w:r>
      <w:r w:rsidR="00F12F01" w:rsidRPr="001271E8">
        <w:rPr>
          <w:u w:val="double"/>
        </w:rPr>
        <w:t xml:space="preserve"> (</w:t>
      </w:r>
      <w:r w:rsidRPr="001271E8">
        <w:rPr>
          <w:u w:val="double"/>
        </w:rPr>
        <w:t>2006</w:t>
      </w:r>
      <w:r w:rsidR="00F12F01" w:rsidRPr="001271E8">
        <w:rPr>
          <w:u w:val="double"/>
        </w:rPr>
        <w:t>)</w:t>
      </w:r>
      <w:r w:rsidRPr="001271E8">
        <w:rPr>
          <w:u w:val="double"/>
        </w:rPr>
        <w:t>. Absolute quantification using real-time polymerase chain reaction of Marek</w:t>
      </w:r>
      <w:r w:rsidR="00F12F01" w:rsidRPr="001271E8">
        <w:rPr>
          <w:u w:val="double"/>
        </w:rPr>
        <w:t>’</w:t>
      </w:r>
      <w:r w:rsidRPr="001271E8">
        <w:rPr>
          <w:u w:val="double"/>
        </w:rPr>
        <w:t xml:space="preserve">s disease virus serotype 2 in field dust samples, feather tips and spleens. </w:t>
      </w:r>
      <w:r w:rsidRPr="001271E8">
        <w:rPr>
          <w:i/>
          <w:iCs/>
          <w:u w:val="double"/>
        </w:rPr>
        <w:t>J. Virol. Methods</w:t>
      </w:r>
      <w:r w:rsidR="00F12F01" w:rsidRPr="001271E8">
        <w:rPr>
          <w:u w:val="double"/>
        </w:rPr>
        <w:t>,</w:t>
      </w:r>
      <w:r w:rsidRPr="001271E8">
        <w:rPr>
          <w:u w:val="double"/>
        </w:rPr>
        <w:t xml:space="preserve"> </w:t>
      </w:r>
      <w:r w:rsidRPr="001271E8">
        <w:rPr>
          <w:b/>
          <w:bCs/>
          <w:u w:val="double"/>
        </w:rPr>
        <w:t>135</w:t>
      </w:r>
      <w:r w:rsidRPr="001271E8">
        <w:rPr>
          <w:u w:val="double"/>
        </w:rPr>
        <w:t>, 186</w:t>
      </w:r>
      <w:r w:rsidR="00F12F01" w:rsidRPr="001271E8">
        <w:rPr>
          <w:u w:val="double"/>
        </w:rPr>
        <w:t>–</w:t>
      </w:r>
      <w:r w:rsidRPr="001271E8">
        <w:rPr>
          <w:u w:val="double"/>
        </w:rPr>
        <w:t>191.</w:t>
      </w:r>
    </w:p>
    <w:p w14:paraId="39E36BDB" w14:textId="22686155" w:rsidR="00145636" w:rsidRPr="001271E8" w:rsidRDefault="00B24949" w:rsidP="00F12F01">
      <w:pPr>
        <w:pStyle w:val="Ref"/>
        <w:rPr>
          <w:smallCaps/>
          <w:lang w:val="en-IE"/>
        </w:rPr>
      </w:pPr>
      <w:r w:rsidRPr="001271E8">
        <w:rPr>
          <w:smallCaps/>
          <w:lang w:val="en-IE"/>
        </w:rPr>
        <w:t>Schat K.A. &amp; Erb</w:t>
      </w:r>
      <w:r w:rsidR="00145636" w:rsidRPr="001271E8">
        <w:rPr>
          <w:smallCaps/>
          <w:lang w:val="en-IE"/>
        </w:rPr>
        <w:t xml:space="preserve"> H.N. (2014). L</w:t>
      </w:r>
      <w:r w:rsidR="00145636" w:rsidRPr="001271E8">
        <w:t>ack of evidence that avian oncogenic viruses are infectious for humans: a review</w:t>
      </w:r>
      <w:r w:rsidR="00145636" w:rsidRPr="001271E8">
        <w:rPr>
          <w:smallCaps/>
          <w:lang w:val="en-IE"/>
        </w:rPr>
        <w:t xml:space="preserve">. </w:t>
      </w:r>
      <w:r w:rsidR="00145636" w:rsidRPr="001271E8">
        <w:rPr>
          <w:i/>
          <w:iCs/>
          <w:lang w:val="en-IE"/>
        </w:rPr>
        <w:t>Avian Dis</w:t>
      </w:r>
      <w:r w:rsidR="00145636" w:rsidRPr="001271E8">
        <w:rPr>
          <w:lang w:val="en-IE"/>
        </w:rPr>
        <w:t xml:space="preserve">., </w:t>
      </w:r>
      <w:r w:rsidR="00145636" w:rsidRPr="001271E8">
        <w:rPr>
          <w:b/>
          <w:smallCaps/>
          <w:lang w:val="en-IE"/>
        </w:rPr>
        <w:t>58</w:t>
      </w:r>
      <w:r w:rsidR="00145636" w:rsidRPr="001271E8">
        <w:rPr>
          <w:smallCaps/>
          <w:lang w:val="en-IE"/>
        </w:rPr>
        <w:t>,</w:t>
      </w:r>
      <w:r w:rsidRPr="001271E8">
        <w:rPr>
          <w:smallCaps/>
          <w:lang w:val="en-IE"/>
        </w:rPr>
        <w:t xml:space="preserve"> </w:t>
      </w:r>
      <w:r w:rsidR="00145636" w:rsidRPr="001271E8">
        <w:rPr>
          <w:smallCaps/>
          <w:lang w:val="en-IE"/>
        </w:rPr>
        <w:t>345</w:t>
      </w:r>
      <w:r w:rsidRPr="001271E8">
        <w:rPr>
          <w:smallCaps/>
          <w:lang w:val="en-IE"/>
        </w:rPr>
        <w:t>–</w:t>
      </w:r>
      <w:r w:rsidR="00145636" w:rsidRPr="001271E8">
        <w:rPr>
          <w:smallCaps/>
          <w:lang w:val="en-IE"/>
        </w:rPr>
        <w:t>358.</w:t>
      </w:r>
    </w:p>
    <w:p w14:paraId="467BE3EF" w14:textId="77777777" w:rsidR="00D33800" w:rsidRPr="001271E8" w:rsidRDefault="00D33800" w:rsidP="00D33800">
      <w:pPr>
        <w:pStyle w:val="Ref"/>
        <w:spacing w:after="160"/>
      </w:pPr>
      <w:r w:rsidRPr="001271E8">
        <w:rPr>
          <w:smallCaps/>
          <w:lang w:val="en-IE"/>
        </w:rPr>
        <w:t xml:space="preserve">Schat K.A. &amp; Nair V (2013). </w:t>
      </w:r>
      <w:r w:rsidRPr="001271E8">
        <w:t xml:space="preserve">Marek’s disease. </w:t>
      </w:r>
      <w:r w:rsidRPr="001271E8">
        <w:rPr>
          <w:i/>
        </w:rPr>
        <w:t xml:space="preserve">In: </w:t>
      </w:r>
      <w:r w:rsidRPr="001271E8">
        <w:t xml:space="preserve">Diseases of Poultry, Thirteenth Edition, Swayne D.E. </w:t>
      </w:r>
      <w:r w:rsidRPr="001271E8">
        <w:rPr>
          <w:i/>
          <w:iCs/>
        </w:rPr>
        <w:t>et al</w:t>
      </w:r>
      <w:r w:rsidRPr="001271E8">
        <w:t>., eds. Wiley-Blackwell Publishing, Ames Iowa, USA, 515–552.</w:t>
      </w:r>
    </w:p>
    <w:p w14:paraId="47E6C6C5" w14:textId="7145F887" w:rsidR="00946E8A" w:rsidRPr="006927BC" w:rsidRDefault="00946E8A" w:rsidP="00F12F01">
      <w:pPr>
        <w:pStyle w:val="Ref"/>
        <w:rPr>
          <w:strike/>
        </w:rPr>
      </w:pPr>
      <w:r w:rsidRPr="006927BC">
        <w:rPr>
          <w:smallCaps/>
          <w:strike/>
        </w:rPr>
        <w:t>Sharma J.M</w:t>
      </w:r>
      <w:r w:rsidRPr="006927BC">
        <w:rPr>
          <w:strike/>
        </w:rPr>
        <w:t xml:space="preserve">. (1998). Marek’s disease. </w:t>
      </w:r>
      <w:r w:rsidRPr="006927BC">
        <w:rPr>
          <w:i/>
          <w:strike/>
        </w:rPr>
        <w:t>In:</w:t>
      </w:r>
      <w:r w:rsidRPr="006927BC">
        <w:rPr>
          <w:strike/>
        </w:rPr>
        <w:t xml:space="preserve"> A Laboratory Manual for the Isolation and Identification of Avian Pathogens, </w:t>
      </w:r>
      <w:r w:rsidR="000807D5" w:rsidRPr="006927BC">
        <w:rPr>
          <w:strike/>
        </w:rPr>
        <w:t>4th</w:t>
      </w:r>
      <w:r w:rsidRPr="006927BC">
        <w:rPr>
          <w:strike/>
        </w:rPr>
        <w:t xml:space="preserve"> Edition. Swayne D.E. </w:t>
      </w:r>
      <w:r w:rsidRPr="006927BC">
        <w:rPr>
          <w:i/>
          <w:strike/>
        </w:rPr>
        <w:t>et al</w:t>
      </w:r>
      <w:r w:rsidRPr="006927BC">
        <w:rPr>
          <w:strike/>
        </w:rPr>
        <w:t>., eds. American Association of Avian Pathologists, 116–124.</w:t>
      </w:r>
    </w:p>
    <w:p w14:paraId="7B645E90" w14:textId="77777777" w:rsidR="00946E8A" w:rsidRPr="001271E8" w:rsidRDefault="00946E8A" w:rsidP="00F12F01">
      <w:pPr>
        <w:pStyle w:val="Ref"/>
        <w:rPr>
          <w:smallCaps/>
        </w:rPr>
      </w:pPr>
      <w:r w:rsidRPr="001271E8">
        <w:rPr>
          <w:smallCaps/>
        </w:rPr>
        <w:t>Sharma</w:t>
      </w:r>
      <w:r w:rsidRPr="001271E8">
        <w:t xml:space="preserve"> J.M. (1999). Introduction to poultry vaccines and immunity. </w:t>
      </w:r>
      <w:r w:rsidRPr="001271E8">
        <w:rPr>
          <w:i/>
        </w:rPr>
        <w:t>Adv. Vet. Med.,</w:t>
      </w:r>
      <w:r w:rsidRPr="001271E8">
        <w:t xml:space="preserve"> </w:t>
      </w:r>
      <w:r w:rsidRPr="001271E8">
        <w:rPr>
          <w:b/>
          <w:bCs/>
        </w:rPr>
        <w:t>41</w:t>
      </w:r>
      <w:r w:rsidRPr="001271E8">
        <w:t>, 481–494.</w:t>
      </w:r>
    </w:p>
    <w:p w14:paraId="548CA2D6" w14:textId="77777777" w:rsidR="00946E8A" w:rsidRPr="000561C0" w:rsidRDefault="00946E8A" w:rsidP="00F12F01">
      <w:pPr>
        <w:pStyle w:val="Ref"/>
        <w:rPr>
          <w:strike/>
        </w:rPr>
      </w:pPr>
      <w:r w:rsidRPr="006927BC">
        <w:rPr>
          <w:smallCaps/>
          <w:strike/>
        </w:rPr>
        <w:t>Silva</w:t>
      </w:r>
      <w:r w:rsidRPr="006927BC">
        <w:rPr>
          <w:strike/>
        </w:rPr>
        <w:t xml:space="preserve"> R.F. (1992). Differentiation of pathogenic and non-pathogenic serotype 1 Marek’s disease viruses (MDVs) by the polymerase chain reaction amplification of the tandem direct repeats within the MDV genome. </w:t>
      </w:r>
      <w:r w:rsidRPr="000561C0">
        <w:rPr>
          <w:i/>
          <w:strike/>
        </w:rPr>
        <w:t>Avian Dis</w:t>
      </w:r>
      <w:r w:rsidRPr="000561C0">
        <w:rPr>
          <w:strike/>
        </w:rPr>
        <w:t xml:space="preserve">., </w:t>
      </w:r>
      <w:r w:rsidRPr="000561C0">
        <w:rPr>
          <w:b/>
          <w:bCs/>
          <w:strike/>
        </w:rPr>
        <w:t>36</w:t>
      </w:r>
      <w:r w:rsidRPr="000561C0">
        <w:rPr>
          <w:strike/>
        </w:rPr>
        <w:t>, 521–528.</w:t>
      </w:r>
    </w:p>
    <w:p w14:paraId="324FD491" w14:textId="77777777" w:rsidR="00946E8A" w:rsidRPr="000561C0" w:rsidRDefault="00946E8A" w:rsidP="00F12F01">
      <w:pPr>
        <w:pStyle w:val="Ref"/>
      </w:pPr>
      <w:r w:rsidRPr="000561C0">
        <w:rPr>
          <w:smallCaps/>
        </w:rPr>
        <w:t>Silva R.F., Calvert J.G. &amp; Lee L.F</w:t>
      </w:r>
      <w:r w:rsidRPr="000561C0">
        <w:t xml:space="preserve">. (1997). A simple immunoperoxidase plaque assay to detect and quantitate Marek’s disease virus plaques. </w:t>
      </w:r>
      <w:r w:rsidRPr="000561C0">
        <w:rPr>
          <w:i/>
        </w:rPr>
        <w:t>Avian Dis.,</w:t>
      </w:r>
      <w:r w:rsidRPr="000561C0">
        <w:t xml:space="preserve"> </w:t>
      </w:r>
      <w:r w:rsidRPr="000561C0">
        <w:rPr>
          <w:b/>
          <w:bCs/>
        </w:rPr>
        <w:t>41</w:t>
      </w:r>
      <w:r w:rsidRPr="000561C0">
        <w:t>, 528–534.</w:t>
      </w:r>
    </w:p>
    <w:p w14:paraId="3B9A9CF0" w14:textId="77777777" w:rsidR="00946E8A" w:rsidRPr="001271E8" w:rsidRDefault="00946E8A" w:rsidP="00F12F01">
      <w:pPr>
        <w:pStyle w:val="Ref"/>
      </w:pPr>
      <w:r w:rsidRPr="000561C0">
        <w:rPr>
          <w:smallCaps/>
        </w:rPr>
        <w:t>Spencer J.L. &amp; Calnek B.W</w:t>
      </w:r>
      <w:r w:rsidRPr="000561C0">
        <w:t xml:space="preserve">. (1970). </w:t>
      </w:r>
      <w:r w:rsidRPr="001271E8">
        <w:t xml:space="preserve">Marek’s </w:t>
      </w:r>
      <w:r w:rsidR="00864225" w:rsidRPr="001271E8">
        <w:t>disease</w:t>
      </w:r>
      <w:r w:rsidRPr="001271E8">
        <w:t xml:space="preserve">: application of </w:t>
      </w:r>
      <w:r w:rsidR="00864225" w:rsidRPr="001271E8">
        <w:t>immunofluorescence</w:t>
      </w:r>
      <w:r w:rsidRPr="001271E8">
        <w:t xml:space="preserve"> for detection of antigen and antibody. </w:t>
      </w:r>
      <w:r w:rsidRPr="001271E8">
        <w:rPr>
          <w:i/>
        </w:rPr>
        <w:t>Am. J. Vet. Res</w:t>
      </w:r>
      <w:r w:rsidRPr="001271E8">
        <w:t xml:space="preserve">., </w:t>
      </w:r>
      <w:r w:rsidRPr="001271E8">
        <w:rPr>
          <w:b/>
          <w:bCs/>
        </w:rPr>
        <w:t>31</w:t>
      </w:r>
      <w:r w:rsidRPr="001271E8">
        <w:t>, 345–358.</w:t>
      </w:r>
    </w:p>
    <w:p w14:paraId="358369FF" w14:textId="77777777" w:rsidR="00946E8A" w:rsidRPr="001271E8" w:rsidRDefault="00946E8A" w:rsidP="00F12F01">
      <w:pPr>
        <w:pStyle w:val="Ref"/>
      </w:pPr>
      <w:r w:rsidRPr="001271E8">
        <w:rPr>
          <w:smallCaps/>
        </w:rPr>
        <w:t>Thornton</w:t>
      </w:r>
      <w:r w:rsidRPr="001271E8">
        <w:t xml:space="preserve"> D.H. (1985). Quality control and standardisation of vaccines. </w:t>
      </w:r>
      <w:r w:rsidRPr="001271E8">
        <w:rPr>
          <w:i/>
        </w:rPr>
        <w:t>In:</w:t>
      </w:r>
      <w:r w:rsidRPr="001271E8">
        <w:t xml:space="preserve"> Marek’s Disease, Payne L.N. ed. Martinus Nijhoff, Boston, USA, 267–291.</w:t>
      </w:r>
    </w:p>
    <w:p w14:paraId="0D862811" w14:textId="77777777" w:rsidR="00326CB2" w:rsidRPr="001271E8" w:rsidRDefault="00326CB2" w:rsidP="00F12F01">
      <w:pPr>
        <w:pStyle w:val="Ref"/>
        <w:rPr>
          <w:strike/>
          <w:lang w:val="de-DE"/>
        </w:rPr>
      </w:pPr>
      <w:r w:rsidRPr="001271E8">
        <w:rPr>
          <w:smallCaps/>
          <w:strike/>
        </w:rPr>
        <w:t>Witter R.L. (2001).</w:t>
      </w:r>
      <w:r w:rsidR="005935AC" w:rsidRPr="001271E8">
        <w:rPr>
          <w:smallCaps/>
          <w:strike/>
        </w:rPr>
        <w:t xml:space="preserve"> </w:t>
      </w:r>
      <w:r w:rsidRPr="001271E8">
        <w:rPr>
          <w:strike/>
        </w:rPr>
        <w:t xml:space="preserve">Protective efficacy of Marek’s disease vaccines. </w:t>
      </w:r>
      <w:r w:rsidRPr="001271E8">
        <w:rPr>
          <w:i/>
          <w:iCs/>
          <w:strike/>
          <w:lang w:val="de-DE"/>
        </w:rPr>
        <w:t>In:</w:t>
      </w:r>
      <w:r w:rsidRPr="001271E8">
        <w:rPr>
          <w:strike/>
          <w:lang w:val="de-DE"/>
        </w:rPr>
        <w:t xml:space="preserve"> Marek’s disease, Hirai K</w:t>
      </w:r>
      <w:r w:rsidR="003C62F9" w:rsidRPr="001271E8">
        <w:rPr>
          <w:strike/>
          <w:lang w:val="de-DE"/>
        </w:rPr>
        <w:t>., ed.</w:t>
      </w:r>
      <w:r w:rsidRPr="001271E8">
        <w:rPr>
          <w:strike/>
          <w:lang w:val="de-DE"/>
        </w:rPr>
        <w:t xml:space="preserve"> Springer-Verlag, Berlin, </w:t>
      </w:r>
      <w:r w:rsidR="003C62F9" w:rsidRPr="001271E8">
        <w:rPr>
          <w:strike/>
          <w:lang w:val="de-DE"/>
        </w:rPr>
        <w:t xml:space="preserve">Germany, </w:t>
      </w:r>
      <w:r w:rsidRPr="001271E8">
        <w:rPr>
          <w:strike/>
          <w:lang w:val="de-DE"/>
        </w:rPr>
        <w:t>58–90.</w:t>
      </w:r>
    </w:p>
    <w:p w14:paraId="6EBBD224" w14:textId="7879A35A" w:rsidR="008E5762" w:rsidRPr="001271E8" w:rsidRDefault="00B24949" w:rsidP="00F12F01">
      <w:pPr>
        <w:pStyle w:val="Ref"/>
        <w:rPr>
          <w:lang w:val="de-DE"/>
        </w:rPr>
      </w:pPr>
      <w:r w:rsidRPr="001271E8">
        <w:rPr>
          <w:smallCaps/>
          <w:lang w:val="de-DE"/>
        </w:rPr>
        <w:t>Wozniakowski G., Samorek-Salamonowicz E. &amp; Kozdrun</w:t>
      </w:r>
      <w:r w:rsidR="008E5762" w:rsidRPr="001271E8">
        <w:rPr>
          <w:smallCaps/>
          <w:lang w:val="de-DE"/>
        </w:rPr>
        <w:t xml:space="preserve"> W</w:t>
      </w:r>
      <w:r w:rsidR="008E5762" w:rsidRPr="001271E8">
        <w:rPr>
          <w:lang w:val="de-DE"/>
        </w:rPr>
        <w:t>. (2013)</w:t>
      </w:r>
      <w:r w:rsidR="004C584F" w:rsidRPr="001271E8">
        <w:rPr>
          <w:lang w:val="de-DE"/>
        </w:rPr>
        <w:t xml:space="preserve">. </w:t>
      </w:r>
      <w:r w:rsidR="004C584F" w:rsidRPr="001271E8">
        <w:rPr>
          <w:lang w:val="en-IE"/>
        </w:rPr>
        <w:t>Comparison of loop-mediated isothermal amplification and PCR for the detection and differentiation of Marek</w:t>
      </w:r>
      <w:r w:rsidRPr="001271E8">
        <w:rPr>
          <w:lang w:val="en-IE"/>
        </w:rPr>
        <w:t>‘</w:t>
      </w:r>
      <w:r w:rsidR="004C584F" w:rsidRPr="001271E8">
        <w:rPr>
          <w:lang w:val="en-IE"/>
        </w:rPr>
        <w:t xml:space="preserve">s disease virus serotypes 1, 2, and 3. </w:t>
      </w:r>
      <w:r w:rsidR="004C584F" w:rsidRPr="001271E8">
        <w:rPr>
          <w:i/>
          <w:lang w:val="de-DE"/>
        </w:rPr>
        <w:t>Avian Dis</w:t>
      </w:r>
      <w:r w:rsidR="004C584F" w:rsidRPr="001271E8">
        <w:rPr>
          <w:lang w:val="de-DE"/>
        </w:rPr>
        <w:t>.</w:t>
      </w:r>
      <w:r w:rsidRPr="001271E8">
        <w:rPr>
          <w:lang w:val="de-DE"/>
        </w:rPr>
        <w:t>,</w:t>
      </w:r>
      <w:r w:rsidR="004C584F" w:rsidRPr="001271E8">
        <w:rPr>
          <w:lang w:val="de-DE"/>
        </w:rPr>
        <w:t xml:space="preserve"> </w:t>
      </w:r>
      <w:r w:rsidR="004C584F" w:rsidRPr="001271E8">
        <w:rPr>
          <w:b/>
          <w:lang w:val="de-DE"/>
        </w:rPr>
        <w:t>57</w:t>
      </w:r>
      <w:r w:rsidR="004C584F" w:rsidRPr="001271E8">
        <w:rPr>
          <w:lang w:val="de-DE"/>
        </w:rPr>
        <w:t xml:space="preserve"> (2 Suppl</w:t>
      </w:r>
      <w:r w:rsidRPr="001271E8">
        <w:rPr>
          <w:lang w:val="de-DE"/>
        </w:rPr>
        <w:t>.</w:t>
      </w:r>
      <w:r w:rsidR="004C584F" w:rsidRPr="001271E8">
        <w:rPr>
          <w:lang w:val="de-DE"/>
        </w:rPr>
        <w:t>)</w:t>
      </w:r>
      <w:r w:rsidRPr="001271E8">
        <w:rPr>
          <w:lang w:val="de-DE"/>
        </w:rPr>
        <w:t xml:space="preserve">, </w:t>
      </w:r>
      <w:r w:rsidR="004C584F" w:rsidRPr="001271E8">
        <w:rPr>
          <w:lang w:val="de-DE"/>
        </w:rPr>
        <w:t>539</w:t>
      </w:r>
      <w:r w:rsidRPr="001271E8">
        <w:rPr>
          <w:lang w:val="de-DE"/>
        </w:rPr>
        <w:t>–5</w:t>
      </w:r>
      <w:r w:rsidR="004C584F" w:rsidRPr="001271E8">
        <w:rPr>
          <w:lang w:val="de-DE"/>
        </w:rPr>
        <w:t>43.</w:t>
      </w:r>
    </w:p>
    <w:p w14:paraId="70C582D6" w14:textId="77777777" w:rsidR="00DA3519" w:rsidRPr="001271E8" w:rsidRDefault="0079169E" w:rsidP="00F12F01">
      <w:pPr>
        <w:pStyle w:val="Ref"/>
        <w:rPr>
          <w:rStyle w:val="RefChar"/>
          <w:rFonts w:eastAsia="MS Mincho"/>
        </w:rPr>
      </w:pPr>
      <w:r w:rsidRPr="001271E8">
        <w:rPr>
          <w:smallCaps/>
          <w:lang w:val="de-DE"/>
        </w:rPr>
        <w:t>Zelnik</w:t>
      </w:r>
      <w:r w:rsidR="00FC5080" w:rsidRPr="001271E8">
        <w:rPr>
          <w:smallCaps/>
          <w:lang w:val="de-DE"/>
        </w:rPr>
        <w:t xml:space="preserve"> V., Harlin</w:t>
      </w:r>
      <w:r w:rsidRPr="001271E8">
        <w:rPr>
          <w:smallCaps/>
          <w:lang w:val="de-DE"/>
        </w:rPr>
        <w:t xml:space="preserve"> O., Fehler F., Kaspers</w:t>
      </w:r>
      <w:r w:rsidR="00FC5080" w:rsidRPr="001271E8">
        <w:rPr>
          <w:smallCaps/>
          <w:lang w:val="de-DE"/>
        </w:rPr>
        <w:t xml:space="preserve"> B., Goebel</w:t>
      </w:r>
      <w:r w:rsidRPr="001271E8">
        <w:rPr>
          <w:smallCaps/>
          <w:lang w:val="de-DE"/>
        </w:rPr>
        <w:t xml:space="preserve"> T. W., Nair V. &amp; Osterrieder</w:t>
      </w:r>
      <w:r w:rsidR="00FC5080" w:rsidRPr="001271E8">
        <w:rPr>
          <w:smallCaps/>
          <w:lang w:val="de-DE"/>
        </w:rPr>
        <w:t xml:space="preserve"> N</w:t>
      </w:r>
      <w:r w:rsidR="006178CF" w:rsidRPr="001271E8">
        <w:rPr>
          <w:smallCaps/>
          <w:lang w:val="de-DE"/>
        </w:rPr>
        <w:t xml:space="preserve">. </w:t>
      </w:r>
      <w:r w:rsidR="006178CF" w:rsidRPr="001271E8">
        <w:rPr>
          <w:rStyle w:val="RefChar"/>
          <w:rFonts w:eastAsia="MS Mincho"/>
          <w:lang w:val="de-DE"/>
        </w:rPr>
        <w:t xml:space="preserve">(2004). </w:t>
      </w:r>
      <w:r w:rsidR="003027A2" w:rsidRPr="001271E8">
        <w:rPr>
          <w:rStyle w:val="RefChar"/>
          <w:rFonts w:eastAsia="MS Mincho"/>
        </w:rPr>
        <w:t>An</w:t>
      </w:r>
      <w:r w:rsidRPr="001271E8">
        <w:rPr>
          <w:rStyle w:val="RefChar"/>
          <w:rFonts w:eastAsia="MS Mincho"/>
        </w:rPr>
        <w:t xml:space="preserve"> enzyme-linked immunosorbent assay</w:t>
      </w:r>
      <w:r w:rsidR="006178CF" w:rsidRPr="001271E8">
        <w:rPr>
          <w:rStyle w:val="RefChar"/>
          <w:rFonts w:eastAsia="MS Mincho"/>
        </w:rPr>
        <w:t xml:space="preserve"> (ELISA) for </w:t>
      </w:r>
      <w:r w:rsidRPr="001271E8">
        <w:rPr>
          <w:rStyle w:val="RefChar"/>
          <w:rFonts w:eastAsia="MS Mincho"/>
        </w:rPr>
        <w:t xml:space="preserve">detection of marek’s disease virus-specific antibodies and its application in an experimental vaccine trial. </w:t>
      </w:r>
      <w:r w:rsidR="006178CF" w:rsidRPr="001271E8">
        <w:rPr>
          <w:rStyle w:val="RefChar"/>
          <w:rFonts w:eastAsia="MS Mincho"/>
          <w:i/>
          <w:iCs/>
        </w:rPr>
        <w:t>J</w:t>
      </w:r>
      <w:r w:rsidRPr="001271E8">
        <w:rPr>
          <w:rStyle w:val="RefChar"/>
          <w:rFonts w:eastAsia="MS Mincho"/>
          <w:i/>
          <w:iCs/>
        </w:rPr>
        <w:t>.</w:t>
      </w:r>
      <w:r w:rsidR="006178CF" w:rsidRPr="001271E8">
        <w:rPr>
          <w:rStyle w:val="RefChar"/>
          <w:rFonts w:eastAsia="MS Mincho"/>
          <w:i/>
          <w:iCs/>
        </w:rPr>
        <w:t xml:space="preserve"> Vet</w:t>
      </w:r>
      <w:r w:rsidRPr="001271E8">
        <w:rPr>
          <w:rStyle w:val="RefChar"/>
          <w:rFonts w:eastAsia="MS Mincho"/>
          <w:i/>
          <w:iCs/>
        </w:rPr>
        <w:t>.</w:t>
      </w:r>
      <w:r w:rsidR="006178CF" w:rsidRPr="001271E8">
        <w:rPr>
          <w:rStyle w:val="RefChar"/>
          <w:rFonts w:eastAsia="MS Mincho"/>
          <w:i/>
          <w:iCs/>
        </w:rPr>
        <w:t xml:space="preserve"> Med</w:t>
      </w:r>
      <w:r w:rsidRPr="001271E8">
        <w:rPr>
          <w:rStyle w:val="RefChar"/>
          <w:rFonts w:eastAsia="MS Mincho"/>
          <w:i/>
          <w:iCs/>
        </w:rPr>
        <w:t>.</w:t>
      </w:r>
      <w:r w:rsidR="006178CF" w:rsidRPr="001271E8">
        <w:rPr>
          <w:rStyle w:val="RefChar"/>
          <w:rFonts w:eastAsia="MS Mincho"/>
          <w:i/>
          <w:iCs/>
        </w:rPr>
        <w:t xml:space="preserve"> B Infect</w:t>
      </w:r>
      <w:r w:rsidRPr="001271E8">
        <w:rPr>
          <w:rStyle w:val="RefChar"/>
          <w:rFonts w:eastAsia="MS Mincho"/>
          <w:i/>
          <w:iCs/>
        </w:rPr>
        <w:t>.</w:t>
      </w:r>
      <w:r w:rsidR="006178CF" w:rsidRPr="001271E8">
        <w:rPr>
          <w:rStyle w:val="RefChar"/>
          <w:rFonts w:eastAsia="MS Mincho"/>
          <w:i/>
          <w:iCs/>
        </w:rPr>
        <w:t xml:space="preserve"> Dis</w:t>
      </w:r>
      <w:r w:rsidRPr="001271E8">
        <w:rPr>
          <w:rStyle w:val="RefChar"/>
          <w:rFonts w:eastAsia="MS Mincho"/>
          <w:i/>
          <w:iCs/>
        </w:rPr>
        <w:t>.</w:t>
      </w:r>
      <w:r w:rsidR="006178CF" w:rsidRPr="001271E8">
        <w:rPr>
          <w:rStyle w:val="RefChar"/>
          <w:rFonts w:eastAsia="MS Mincho"/>
          <w:i/>
          <w:iCs/>
        </w:rPr>
        <w:t xml:space="preserve"> Vet</w:t>
      </w:r>
      <w:r w:rsidRPr="001271E8">
        <w:rPr>
          <w:rStyle w:val="RefChar"/>
          <w:rFonts w:eastAsia="MS Mincho"/>
          <w:i/>
          <w:iCs/>
        </w:rPr>
        <w:t>.</w:t>
      </w:r>
      <w:r w:rsidR="006178CF" w:rsidRPr="001271E8">
        <w:rPr>
          <w:rStyle w:val="RefChar"/>
          <w:rFonts w:eastAsia="MS Mincho"/>
          <w:i/>
          <w:iCs/>
        </w:rPr>
        <w:t xml:space="preserve"> Public Health</w:t>
      </w:r>
      <w:r w:rsidR="006178CF" w:rsidRPr="001271E8">
        <w:rPr>
          <w:rStyle w:val="RefChar"/>
          <w:rFonts w:eastAsia="MS Mincho"/>
        </w:rPr>
        <w:t>, 51</w:t>
      </w:r>
      <w:r w:rsidRPr="001271E8">
        <w:rPr>
          <w:rStyle w:val="RefChar"/>
          <w:rFonts w:eastAsia="MS Mincho"/>
        </w:rPr>
        <w:t>,</w:t>
      </w:r>
      <w:r w:rsidR="006178CF" w:rsidRPr="001271E8">
        <w:rPr>
          <w:rStyle w:val="RefChar"/>
          <w:rFonts w:eastAsia="MS Mincho"/>
        </w:rPr>
        <w:t xml:space="preserve"> 61</w:t>
      </w:r>
      <w:r w:rsidRPr="001271E8">
        <w:rPr>
          <w:rStyle w:val="RefChar"/>
          <w:rFonts w:eastAsia="MS Mincho"/>
        </w:rPr>
        <w:t>–</w:t>
      </w:r>
      <w:r w:rsidR="00864225" w:rsidRPr="001271E8">
        <w:rPr>
          <w:rStyle w:val="RefChar"/>
          <w:rFonts w:eastAsia="MS Mincho"/>
        </w:rPr>
        <w:t>6</w:t>
      </w:r>
      <w:r w:rsidR="006178CF" w:rsidRPr="001271E8">
        <w:rPr>
          <w:rStyle w:val="RefChar"/>
          <w:rFonts w:eastAsia="MS Mincho"/>
        </w:rPr>
        <w:t>7.</w:t>
      </w:r>
    </w:p>
    <w:p w14:paraId="6F4D06DF" w14:textId="523833CC" w:rsidR="007063A3" w:rsidRPr="00182C05" w:rsidRDefault="00F45401" w:rsidP="000561C0">
      <w:pPr>
        <w:pStyle w:val="Ref"/>
        <w:rPr>
          <w:u w:val="double"/>
          <w:lang w:val="es-ES"/>
        </w:rPr>
      </w:pPr>
      <w:r w:rsidRPr="000561C0">
        <w:rPr>
          <w:smallCaps/>
          <w:highlight w:val="yellow"/>
          <w:u w:val="double"/>
        </w:rPr>
        <w:t>Zhang Y</w:t>
      </w:r>
      <w:r w:rsidR="000561C0" w:rsidRPr="000561C0">
        <w:rPr>
          <w:smallCaps/>
          <w:highlight w:val="yellow"/>
          <w:u w:val="double"/>
        </w:rPr>
        <w:t>.</w:t>
      </w:r>
      <w:r w:rsidRPr="000561C0">
        <w:rPr>
          <w:smallCaps/>
          <w:highlight w:val="yellow"/>
          <w:u w:val="double"/>
        </w:rPr>
        <w:t>, Liu C</w:t>
      </w:r>
      <w:r w:rsidR="000561C0" w:rsidRPr="000561C0">
        <w:rPr>
          <w:smallCaps/>
          <w:highlight w:val="yellow"/>
          <w:u w:val="double"/>
        </w:rPr>
        <w:t>.</w:t>
      </w:r>
      <w:r w:rsidRPr="000561C0">
        <w:rPr>
          <w:smallCaps/>
          <w:highlight w:val="yellow"/>
          <w:u w:val="double"/>
        </w:rPr>
        <w:t>, Yan F</w:t>
      </w:r>
      <w:r w:rsidR="000561C0" w:rsidRPr="000561C0">
        <w:rPr>
          <w:smallCaps/>
          <w:highlight w:val="yellow"/>
          <w:u w:val="double"/>
        </w:rPr>
        <w:t>.</w:t>
      </w:r>
      <w:r w:rsidRPr="000561C0">
        <w:rPr>
          <w:smallCaps/>
          <w:highlight w:val="yellow"/>
          <w:u w:val="double"/>
        </w:rPr>
        <w:t>, Liu A</w:t>
      </w:r>
      <w:r w:rsidR="000561C0" w:rsidRPr="000561C0">
        <w:rPr>
          <w:smallCaps/>
          <w:highlight w:val="yellow"/>
          <w:u w:val="double"/>
        </w:rPr>
        <w:t>.</w:t>
      </w:r>
      <w:r w:rsidRPr="000561C0">
        <w:rPr>
          <w:smallCaps/>
          <w:highlight w:val="yellow"/>
          <w:u w:val="double"/>
        </w:rPr>
        <w:t>, Cheng Y</w:t>
      </w:r>
      <w:r w:rsidR="000561C0" w:rsidRPr="000561C0">
        <w:rPr>
          <w:smallCaps/>
          <w:highlight w:val="yellow"/>
          <w:u w:val="double"/>
        </w:rPr>
        <w:t>.</w:t>
      </w:r>
      <w:r w:rsidRPr="000561C0">
        <w:rPr>
          <w:smallCaps/>
          <w:highlight w:val="yellow"/>
          <w:u w:val="double"/>
        </w:rPr>
        <w:t>, Li Z</w:t>
      </w:r>
      <w:r w:rsidR="000561C0" w:rsidRPr="000561C0">
        <w:rPr>
          <w:smallCaps/>
          <w:highlight w:val="yellow"/>
          <w:u w:val="double"/>
        </w:rPr>
        <w:t>.</w:t>
      </w:r>
      <w:r w:rsidRPr="000561C0">
        <w:rPr>
          <w:smallCaps/>
          <w:highlight w:val="yellow"/>
          <w:u w:val="double"/>
        </w:rPr>
        <w:t>, Sun G</w:t>
      </w:r>
      <w:r w:rsidR="000561C0" w:rsidRPr="000561C0">
        <w:rPr>
          <w:smallCaps/>
          <w:highlight w:val="yellow"/>
          <w:u w:val="double"/>
        </w:rPr>
        <w:t>.</w:t>
      </w:r>
      <w:r w:rsidRPr="000561C0">
        <w:rPr>
          <w:smallCaps/>
          <w:highlight w:val="yellow"/>
          <w:u w:val="double"/>
        </w:rPr>
        <w:t>, Lv H</w:t>
      </w:r>
      <w:r w:rsidR="000561C0" w:rsidRPr="000561C0">
        <w:rPr>
          <w:smallCaps/>
          <w:highlight w:val="yellow"/>
          <w:u w:val="double"/>
        </w:rPr>
        <w:t>. &amp;</w:t>
      </w:r>
      <w:r w:rsidRPr="000561C0">
        <w:rPr>
          <w:smallCaps/>
          <w:highlight w:val="yellow"/>
          <w:u w:val="double"/>
        </w:rPr>
        <w:t xml:space="preserve"> Wang X.</w:t>
      </w:r>
      <w:r w:rsidRPr="000561C0">
        <w:rPr>
          <w:highlight w:val="yellow"/>
          <w:u w:val="double"/>
        </w:rPr>
        <w:t xml:space="preserve"> </w:t>
      </w:r>
      <w:r w:rsidR="000561C0" w:rsidRPr="000561C0">
        <w:rPr>
          <w:highlight w:val="yellow"/>
          <w:u w:val="double"/>
        </w:rPr>
        <w:t xml:space="preserve">(2017). </w:t>
      </w:r>
      <w:r w:rsidRPr="000561C0">
        <w:rPr>
          <w:highlight w:val="yellow"/>
          <w:u w:val="double"/>
        </w:rPr>
        <w:t xml:space="preserve">Recombinant Gallidherpesvirus 2 with interrupted meq genes confers safe and efficacious protection against virulent field strains. </w:t>
      </w:r>
      <w:r w:rsidRPr="00182C05">
        <w:rPr>
          <w:i/>
          <w:iCs/>
          <w:highlight w:val="yellow"/>
          <w:u w:val="double"/>
          <w:lang w:val="es-ES"/>
        </w:rPr>
        <w:t>Vaccine</w:t>
      </w:r>
      <w:r w:rsidR="000561C0" w:rsidRPr="00182C05">
        <w:rPr>
          <w:highlight w:val="yellow"/>
          <w:u w:val="double"/>
          <w:lang w:val="es-ES"/>
        </w:rPr>
        <w:t xml:space="preserve">, </w:t>
      </w:r>
      <w:r w:rsidRPr="00182C05">
        <w:rPr>
          <w:b/>
          <w:bCs/>
          <w:highlight w:val="yellow"/>
          <w:u w:val="double"/>
          <w:lang w:val="es-ES"/>
        </w:rPr>
        <w:t>35</w:t>
      </w:r>
      <w:r w:rsidR="000561C0" w:rsidRPr="00182C05">
        <w:rPr>
          <w:highlight w:val="yellow"/>
          <w:u w:val="double"/>
          <w:lang w:val="es-ES"/>
        </w:rPr>
        <w:t xml:space="preserve">, </w:t>
      </w:r>
      <w:r w:rsidRPr="00182C05">
        <w:rPr>
          <w:highlight w:val="yellow"/>
          <w:u w:val="double"/>
          <w:lang w:val="es-ES"/>
        </w:rPr>
        <w:t>4695</w:t>
      </w:r>
      <w:r w:rsidR="000561C0" w:rsidRPr="00182C05">
        <w:rPr>
          <w:highlight w:val="yellow"/>
          <w:u w:val="double"/>
          <w:lang w:val="es-ES"/>
        </w:rPr>
        <w:t>–</w:t>
      </w:r>
      <w:r w:rsidRPr="00182C05">
        <w:rPr>
          <w:highlight w:val="yellow"/>
          <w:u w:val="double"/>
          <w:lang w:val="es-ES"/>
        </w:rPr>
        <w:t>4701.</w:t>
      </w:r>
    </w:p>
    <w:p w14:paraId="626D7ED6" w14:textId="5469862B" w:rsidR="003900A0" w:rsidRPr="001271E8" w:rsidRDefault="003900A0" w:rsidP="00F12F01">
      <w:pPr>
        <w:pStyle w:val="Ref"/>
      </w:pPr>
      <w:r w:rsidRPr="00182C05">
        <w:rPr>
          <w:smallCaps/>
          <w:lang w:val="es-ES"/>
        </w:rPr>
        <w:t>Zhu G.-S., Ojima T., Hironaka T., Ihara T., Mizukoshi N., Kato A., Ueda S. &amp; Hirai K</w:t>
      </w:r>
      <w:r w:rsidRPr="00182C05">
        <w:rPr>
          <w:lang w:val="es-ES"/>
        </w:rPr>
        <w:t xml:space="preserve">. (1992). </w:t>
      </w:r>
      <w:r w:rsidRPr="001271E8">
        <w:t xml:space="preserve">Differentiation of oncogenic and non-oncogenic strains of Marek’s disease virus type 1 by using polymerase chain reaction DNA amplification. </w:t>
      </w:r>
      <w:r w:rsidRPr="001271E8">
        <w:rPr>
          <w:i/>
        </w:rPr>
        <w:t>Avian Dis</w:t>
      </w:r>
      <w:r w:rsidRPr="001271E8">
        <w:t xml:space="preserve">., </w:t>
      </w:r>
      <w:r w:rsidRPr="001271E8">
        <w:rPr>
          <w:b/>
          <w:bCs/>
        </w:rPr>
        <w:t>36</w:t>
      </w:r>
      <w:r w:rsidRPr="001271E8">
        <w:t>, 637–645.</w:t>
      </w:r>
    </w:p>
    <w:p w14:paraId="643935FD" w14:textId="77777777" w:rsidR="003E008D" w:rsidRPr="001A68E6" w:rsidRDefault="003E008D" w:rsidP="003E008D">
      <w:pPr>
        <w:pStyle w:val="rtoiles"/>
        <w:spacing w:before="0"/>
        <w:rPr>
          <w:lang w:val="en-GB"/>
        </w:rPr>
      </w:pPr>
      <w:r w:rsidRPr="001A68E6">
        <w:rPr>
          <w:lang w:val="en-GB"/>
        </w:rPr>
        <w:t>*</w:t>
      </w:r>
      <w:r w:rsidRPr="001A68E6">
        <w:rPr>
          <w:lang w:val="en-GB"/>
        </w:rPr>
        <w:br/>
        <w:t>*   *</w:t>
      </w:r>
    </w:p>
    <w:p w14:paraId="01D91AA2" w14:textId="30A66E1D" w:rsidR="008A6FE4" w:rsidRPr="001A68E6" w:rsidRDefault="008A6FE4" w:rsidP="00682656">
      <w:pPr>
        <w:tabs>
          <w:tab w:val="clear" w:pos="-720"/>
        </w:tabs>
        <w:spacing w:before="120" w:after="240" w:line="240" w:lineRule="auto"/>
        <w:jc w:val="center"/>
        <w:rPr>
          <w:rFonts w:ascii="Söhne" w:hAnsi="Söhne"/>
        </w:rPr>
      </w:pPr>
      <w:r w:rsidRPr="001A68E6">
        <w:rPr>
          <w:rStyle w:val="ReflabnoteCar"/>
          <w:rFonts w:ascii="Söhne" w:hAnsi="Söhne"/>
          <w:b/>
        </w:rPr>
        <w:t>NB:</w:t>
      </w:r>
      <w:r w:rsidRPr="001A68E6">
        <w:rPr>
          <w:rStyle w:val="ReflabnoteCar"/>
          <w:rFonts w:ascii="Söhne" w:hAnsi="Söhne"/>
        </w:rPr>
        <w:t xml:space="preserve"> There </w:t>
      </w:r>
      <w:r w:rsidR="003C3507" w:rsidRPr="001A68E6">
        <w:rPr>
          <w:rStyle w:val="ReflabnoteCar"/>
          <w:rFonts w:ascii="Söhne" w:hAnsi="Söhne"/>
        </w:rPr>
        <w:t>is a</w:t>
      </w:r>
      <w:r w:rsidRPr="001A68E6">
        <w:rPr>
          <w:rStyle w:val="ReflabnoteCar"/>
          <w:rFonts w:ascii="Söhne" w:hAnsi="Söhne"/>
        </w:rPr>
        <w:t xml:space="preserve"> </w:t>
      </w:r>
      <w:r w:rsidR="00E82A80">
        <w:rPr>
          <w:rStyle w:val="ReflabnoteCar"/>
          <w:rFonts w:ascii="Söhne" w:hAnsi="Söhne"/>
        </w:rPr>
        <w:t>WOAH</w:t>
      </w:r>
      <w:r w:rsidRPr="001A68E6">
        <w:rPr>
          <w:rStyle w:val="ReflabnoteCar"/>
          <w:rFonts w:ascii="Söhne" w:hAnsi="Söhne"/>
        </w:rPr>
        <w:t xml:space="preserve"> Reference Laborator</w:t>
      </w:r>
      <w:r w:rsidR="003C3507" w:rsidRPr="001A68E6">
        <w:rPr>
          <w:rStyle w:val="ReflabnoteCar"/>
          <w:rFonts w:ascii="Söhne" w:hAnsi="Söhne"/>
        </w:rPr>
        <w:t>y</w:t>
      </w:r>
      <w:r w:rsidRPr="001A68E6">
        <w:rPr>
          <w:rStyle w:val="ReflabnoteCar"/>
          <w:rFonts w:ascii="Söhne" w:hAnsi="Söhne"/>
        </w:rPr>
        <w:t xml:space="preserve"> for </w:t>
      </w:r>
      <w:r w:rsidR="009F3B96" w:rsidRPr="001A68E6">
        <w:rPr>
          <w:rFonts w:ascii="Söhne" w:hAnsi="Söhne"/>
          <w:iCs/>
        </w:rPr>
        <w:t>Marek’s disease</w:t>
      </w:r>
      <w:r w:rsidR="003C3507" w:rsidRPr="001A68E6">
        <w:rPr>
          <w:rFonts w:ascii="Söhne" w:hAnsi="Söhne"/>
          <w:iCs/>
        </w:rPr>
        <w:t xml:space="preserve"> </w:t>
      </w:r>
      <w:bookmarkStart w:id="12" w:name="_Hlk87023019"/>
      <w:bookmarkStart w:id="13" w:name="_Hlk87015577"/>
      <w:bookmarkStart w:id="14" w:name="_Hlk87004075"/>
      <w:r w:rsidR="003C3507" w:rsidRPr="001A68E6">
        <w:rPr>
          <w:rStyle w:val="ReflabnoteCar"/>
          <w:rFonts w:ascii="Söhne" w:hAnsi="Söhne"/>
        </w:rPr>
        <w:t>(</w:t>
      </w:r>
      <w:bookmarkStart w:id="15" w:name="_Hlk87022483"/>
      <w:bookmarkStart w:id="16" w:name="_Hlk87004342"/>
      <w:r w:rsidR="003C3507" w:rsidRPr="001A68E6">
        <w:rPr>
          <w:rStyle w:val="ReflabnoteCar"/>
          <w:rFonts w:ascii="Söhne" w:hAnsi="Söhne"/>
        </w:rPr>
        <w:t xml:space="preserve">please consult the </w:t>
      </w:r>
      <w:r w:rsidR="00E82A80">
        <w:rPr>
          <w:rStyle w:val="ReflabnoteCar"/>
          <w:rFonts w:ascii="Söhne" w:hAnsi="Söhne"/>
        </w:rPr>
        <w:t>WOAH</w:t>
      </w:r>
      <w:r w:rsidR="003C3507" w:rsidRPr="001A68E6">
        <w:rPr>
          <w:rStyle w:val="ReflabnoteCar"/>
          <w:rFonts w:ascii="Söhne" w:hAnsi="Söhne"/>
        </w:rPr>
        <w:t xml:space="preserve"> Web site: </w:t>
      </w:r>
      <w:r w:rsidR="003C3507" w:rsidRPr="001A68E6">
        <w:rPr>
          <w:rStyle w:val="ReflabnoteCar"/>
          <w:rFonts w:ascii="Söhne" w:hAnsi="Söhne"/>
        </w:rPr>
        <w:br/>
      </w:r>
      <w:hyperlink r:id="rId13" w:anchor="ui-id-3" w:history="1">
        <w:r w:rsidR="002F5B80" w:rsidRPr="001A68E6">
          <w:rPr>
            <w:rStyle w:val="Hyperlink"/>
            <w:rFonts w:ascii="Söhne" w:hAnsi="Söhne"/>
          </w:rPr>
          <w:t>https://www.woah.org/en/what-we-offer/expertise-network/reference-laboratories/#ui-id-3</w:t>
        </w:r>
      </w:hyperlink>
      <w:bookmarkEnd w:id="12"/>
      <w:bookmarkEnd w:id="15"/>
      <w:r w:rsidR="003C3507" w:rsidRPr="001A68E6">
        <w:rPr>
          <w:rFonts w:ascii="Söhne" w:hAnsi="Söhne"/>
        </w:rPr>
        <w:fldChar w:fldCharType="begin"/>
      </w:r>
      <w:r w:rsidR="003C3507" w:rsidRPr="001A68E6">
        <w:rPr>
          <w:rFonts w:ascii="Söhne" w:hAnsi="Söhne"/>
        </w:rPr>
        <w:instrText xml:space="preserve"> HYPERLINK "http://www.oie.int" </w:instrText>
      </w:r>
      <w:r w:rsidR="003C3507" w:rsidRPr="001A68E6">
        <w:rPr>
          <w:rFonts w:ascii="Söhne" w:hAnsi="Söhne"/>
        </w:rPr>
      </w:r>
      <w:r w:rsidR="003B0CD5">
        <w:rPr>
          <w:rFonts w:ascii="Söhne" w:hAnsi="Söhne"/>
        </w:rPr>
        <w:fldChar w:fldCharType="separate"/>
      </w:r>
      <w:r w:rsidR="003C3507" w:rsidRPr="001A68E6">
        <w:rPr>
          <w:rFonts w:ascii="Söhne" w:hAnsi="Söhne"/>
        </w:rPr>
        <w:fldChar w:fldCharType="end"/>
      </w:r>
      <w:r w:rsidR="003C3507" w:rsidRPr="001A68E6">
        <w:rPr>
          <w:rStyle w:val="ReflabnoteCar"/>
          <w:rFonts w:ascii="Söhne" w:hAnsi="Söhne"/>
        </w:rPr>
        <w:t>)</w:t>
      </w:r>
      <w:bookmarkEnd w:id="13"/>
      <w:r w:rsidR="003C3507" w:rsidRPr="001A68E6">
        <w:rPr>
          <w:rStyle w:val="ReflabnoteCar"/>
          <w:rFonts w:ascii="Söhne" w:hAnsi="Söhne"/>
        </w:rPr>
        <w:t>.</w:t>
      </w:r>
      <w:bookmarkEnd w:id="14"/>
      <w:bookmarkEnd w:id="16"/>
      <w:r w:rsidRPr="001A68E6">
        <w:rPr>
          <w:rStyle w:val="ReflabnoteCar"/>
          <w:rFonts w:ascii="Söhne" w:hAnsi="Söhne"/>
        </w:rPr>
        <w:br/>
      </w:r>
      <w:r w:rsidRPr="001A68E6">
        <w:rPr>
          <w:rFonts w:ascii="Söhne" w:hAnsi="Söhne"/>
        </w:rPr>
        <w:t xml:space="preserve">Please contact the </w:t>
      </w:r>
      <w:r w:rsidR="00E82A80">
        <w:rPr>
          <w:rFonts w:ascii="Söhne" w:hAnsi="Söhne"/>
        </w:rPr>
        <w:t>WOAH</w:t>
      </w:r>
      <w:r w:rsidRPr="001A68E6">
        <w:rPr>
          <w:rFonts w:ascii="Söhne" w:hAnsi="Söhne"/>
        </w:rPr>
        <w:t xml:space="preserve"> Reference Laboratories for any further information on </w:t>
      </w:r>
      <w:r w:rsidRPr="001A68E6">
        <w:rPr>
          <w:rFonts w:ascii="Söhne" w:hAnsi="Söhne"/>
        </w:rPr>
        <w:br/>
        <w:t xml:space="preserve">diagnostic tests, reagents and vaccines for </w:t>
      </w:r>
      <w:r w:rsidR="009F3B96" w:rsidRPr="001A68E6">
        <w:rPr>
          <w:rFonts w:ascii="Söhne" w:hAnsi="Söhne"/>
          <w:iCs/>
        </w:rPr>
        <w:t>Marek</w:t>
      </w:r>
      <w:r w:rsidR="000532C4" w:rsidRPr="001A68E6">
        <w:rPr>
          <w:rFonts w:ascii="Söhne" w:hAnsi="Söhne"/>
          <w:iCs/>
        </w:rPr>
        <w:t>’</w:t>
      </w:r>
      <w:r w:rsidR="009F3B96" w:rsidRPr="001A68E6">
        <w:rPr>
          <w:rFonts w:ascii="Söhne" w:hAnsi="Söhne"/>
          <w:iCs/>
        </w:rPr>
        <w:t>s disease</w:t>
      </w:r>
    </w:p>
    <w:p w14:paraId="4184C5D8" w14:textId="7CD92310" w:rsidR="00A81567" w:rsidRPr="002F5B80" w:rsidRDefault="00A81567" w:rsidP="005E31E4">
      <w:pPr>
        <w:spacing w:before="120" w:line="240" w:lineRule="auto"/>
        <w:jc w:val="center"/>
        <w:rPr>
          <w:rFonts w:ascii="Söhne" w:hAnsi="Söhne"/>
          <w:lang w:val="en-IE"/>
        </w:rPr>
      </w:pPr>
      <w:r w:rsidRPr="001A68E6">
        <w:rPr>
          <w:rFonts w:ascii="Söhne" w:hAnsi="Söhne"/>
          <w:b/>
          <w:smallCaps/>
        </w:rPr>
        <w:t>NB:</w:t>
      </w:r>
      <w:r w:rsidRPr="001A68E6">
        <w:rPr>
          <w:rFonts w:ascii="Söhne" w:hAnsi="Söhne"/>
          <w:smallCaps/>
        </w:rPr>
        <w:t xml:space="preserve"> First adopted in 19</w:t>
      </w:r>
      <w:r w:rsidR="008B2E2E" w:rsidRPr="001A68E6">
        <w:rPr>
          <w:rFonts w:ascii="Söhne" w:hAnsi="Söhne"/>
          <w:smallCaps/>
        </w:rPr>
        <w:t>90</w:t>
      </w:r>
      <w:r w:rsidR="00A367F0" w:rsidRPr="001A68E6">
        <w:rPr>
          <w:rFonts w:ascii="Söhne" w:hAnsi="Söhne"/>
          <w:smallCaps/>
        </w:rPr>
        <w:t>.</w:t>
      </w:r>
      <w:r w:rsidRPr="001A68E6">
        <w:rPr>
          <w:rFonts w:ascii="Söhne" w:hAnsi="Söhne"/>
          <w:smallCaps/>
        </w:rPr>
        <w:t xml:space="preserve"> Most recent updates adopted in 201</w:t>
      </w:r>
      <w:r w:rsidR="00A367F0" w:rsidRPr="001A68E6">
        <w:rPr>
          <w:rFonts w:ascii="Söhne" w:hAnsi="Söhne"/>
          <w:smallCaps/>
        </w:rPr>
        <w:t>7</w:t>
      </w:r>
      <w:r w:rsidR="00596AF4" w:rsidRPr="001A68E6">
        <w:rPr>
          <w:rFonts w:ascii="Söhne" w:hAnsi="Söhne"/>
          <w:smallCaps/>
        </w:rPr>
        <w:t>.</w:t>
      </w:r>
    </w:p>
    <w:sectPr w:rsidR="00A81567" w:rsidRPr="002F5B80" w:rsidSect="0017069A">
      <w:headerReference w:type="even" r:id="rId14"/>
      <w:headerReference w:type="default" r:id="rId15"/>
      <w:footerReference w:type="even" r:id="rId16"/>
      <w:footerReference w:type="default" r:id="rId17"/>
      <w:footerReference w:type="first" r:id="rId18"/>
      <w:type w:val="oddPage"/>
      <w:pgSz w:w="11907" w:h="16840" w:code="9"/>
      <w:pgMar w:top="-1418" w:right="1418" w:bottom="1418" w:left="1418" w:header="567" w:footer="567" w:gutter="0"/>
      <w:paperSrc w:first="7" w:other="7"/>
      <w:lnNumType w:countBy="1" w:restart="continuous"/>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A901" w14:textId="77777777" w:rsidR="00AB03F9" w:rsidRDefault="00AB03F9">
      <w:r>
        <w:separator/>
      </w:r>
    </w:p>
  </w:endnote>
  <w:endnote w:type="continuationSeparator" w:id="0">
    <w:p w14:paraId="47981DEA" w14:textId="77777777" w:rsidR="00AB03F9" w:rsidRDefault="00AB03F9">
      <w:r>
        <w:continuationSeparator/>
      </w:r>
    </w:p>
  </w:endnote>
  <w:endnote w:type="continuationNotice" w:id="1">
    <w:p w14:paraId="3F1ABE27" w14:textId="77777777" w:rsidR="00AB03F9" w:rsidRDefault="00AB03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C782" w14:textId="12D3B42D" w:rsidR="009F5C69" w:rsidRPr="007308B2" w:rsidRDefault="009F5C69" w:rsidP="00AE138F">
    <w:pPr>
      <w:pStyle w:val="Footer"/>
    </w:pPr>
    <w:r>
      <w:fldChar w:fldCharType="begin"/>
    </w:r>
    <w:r>
      <w:instrText>PAGE</w:instrText>
    </w:r>
    <w:r>
      <w:fldChar w:fldCharType="separate"/>
    </w:r>
    <w:r w:rsidR="00596AF4">
      <w:rPr>
        <w:noProof/>
      </w:rPr>
      <w:t>12</w:t>
    </w:r>
    <w:r>
      <w:fldChar w:fldCharType="end"/>
    </w:r>
    <w:r>
      <w:tab/>
    </w:r>
    <w:r w:rsidR="00E82A80">
      <w:t>WOAH</w:t>
    </w:r>
    <w:r>
      <w:t xml:space="preserve"> </w:t>
    </w:r>
    <w:r>
      <w:rPr>
        <w:i/>
        <w:iCs/>
      </w:rPr>
      <w:t>Terrestrial</w:t>
    </w:r>
    <w:r>
      <w:t xml:space="preserve"> </w:t>
    </w:r>
    <w:r>
      <w:rPr>
        <w:i/>
      </w:rPr>
      <w:t>Manual</w:t>
    </w:r>
    <w:r>
      <w:t xml:space="preserve"> 20</w:t>
    </w:r>
    <w:r w:rsidR="0017069A">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AA48" w14:textId="32AC1060" w:rsidR="009F5C69" w:rsidRPr="007308B2" w:rsidRDefault="00E82A80" w:rsidP="00AE138F">
    <w:pPr>
      <w:pStyle w:val="Footer"/>
    </w:pPr>
    <w:r>
      <w:t>WOAH</w:t>
    </w:r>
    <w:r w:rsidR="009F5C69">
      <w:t xml:space="preserve"> </w:t>
    </w:r>
    <w:r w:rsidR="009F5C69">
      <w:rPr>
        <w:i/>
        <w:iCs/>
      </w:rPr>
      <w:t>Terrestrial</w:t>
    </w:r>
    <w:r w:rsidR="009F5C69">
      <w:t xml:space="preserve"> </w:t>
    </w:r>
    <w:r w:rsidR="009F5C69">
      <w:rPr>
        <w:i/>
      </w:rPr>
      <w:t>Manual</w:t>
    </w:r>
    <w:r w:rsidR="009F5C69">
      <w:t xml:space="preserve"> 20</w:t>
    </w:r>
    <w:r w:rsidR="0017069A">
      <w:t>23</w:t>
    </w:r>
    <w:r w:rsidR="009F5C69">
      <w:tab/>
    </w:r>
    <w:r w:rsidR="009F5C69">
      <w:fldChar w:fldCharType="begin"/>
    </w:r>
    <w:r w:rsidR="009F5C69">
      <w:instrText>PAGE</w:instrText>
    </w:r>
    <w:r w:rsidR="009F5C69">
      <w:fldChar w:fldCharType="separate"/>
    </w:r>
    <w:r w:rsidR="00596AF4">
      <w:rPr>
        <w:noProof/>
      </w:rPr>
      <w:t>11</w:t>
    </w:r>
    <w:r w:rsidR="009F5C6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2BB" w14:textId="3F705F11" w:rsidR="009F5C69" w:rsidRDefault="00E82A80" w:rsidP="00AE138F">
    <w:pPr>
      <w:pStyle w:val="Footer"/>
    </w:pPr>
    <w:r>
      <w:t>WOAH</w:t>
    </w:r>
    <w:r w:rsidR="0017069A">
      <w:t xml:space="preserve"> </w:t>
    </w:r>
    <w:r w:rsidR="0017069A">
      <w:rPr>
        <w:i/>
        <w:iCs/>
      </w:rPr>
      <w:t>Terrestrial</w:t>
    </w:r>
    <w:r w:rsidR="0017069A">
      <w:t xml:space="preserve"> </w:t>
    </w:r>
    <w:r w:rsidR="0017069A">
      <w:rPr>
        <w:i/>
      </w:rPr>
      <w:t>Manual</w:t>
    </w:r>
    <w:r w:rsidR="0017069A">
      <w:t xml:space="preserve"> 2023</w:t>
    </w:r>
    <w:r w:rsidR="0017069A">
      <w:tab/>
    </w:r>
    <w:r w:rsidR="00486CD0">
      <w:fldChar w:fldCharType="begin"/>
    </w:r>
    <w:r w:rsidR="00486CD0">
      <w:instrText>PAGE</w:instrText>
    </w:r>
    <w:r w:rsidR="00486CD0">
      <w:fldChar w:fldCharType="separate"/>
    </w:r>
    <w:r w:rsidR="00486CD0">
      <w:t>942</w:t>
    </w:r>
    <w:r w:rsidR="00486C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49DD" w14:textId="77777777" w:rsidR="00AB03F9" w:rsidRDefault="00AB03F9">
      <w:r>
        <w:separator/>
      </w:r>
    </w:p>
  </w:footnote>
  <w:footnote w:type="continuationSeparator" w:id="0">
    <w:p w14:paraId="7FAE1095" w14:textId="77777777" w:rsidR="00AB03F9" w:rsidRDefault="00AB03F9">
      <w:r>
        <w:continuationSeparator/>
      </w:r>
    </w:p>
  </w:footnote>
  <w:footnote w:type="continuationNotice" w:id="1">
    <w:p w14:paraId="678B3B11" w14:textId="77777777" w:rsidR="00AB03F9" w:rsidRDefault="00AB03F9">
      <w:pPr>
        <w:spacing w:line="240" w:lineRule="auto"/>
      </w:pPr>
    </w:p>
  </w:footnote>
  <w:footnote w:id="2">
    <w:p w14:paraId="21E88E00" w14:textId="625F132F" w:rsidR="00556B1C" w:rsidRPr="0042526E" w:rsidRDefault="00556B1C" w:rsidP="00556B1C">
      <w:pPr>
        <w:pStyle w:val="FootnoteText"/>
        <w:spacing w:line="240" w:lineRule="auto"/>
        <w:ind w:left="425" w:hanging="425"/>
        <w:rPr>
          <w:rFonts w:ascii="Söhne" w:hAnsi="Söhne"/>
          <w:sz w:val="16"/>
          <w:szCs w:val="16"/>
          <w:lang w:val="fr-FR"/>
        </w:rPr>
      </w:pPr>
      <w:r w:rsidRPr="0042526E">
        <w:rPr>
          <w:rStyle w:val="FootnoteReference"/>
          <w:rFonts w:ascii="Söhne" w:hAnsi="Söhne"/>
          <w:sz w:val="16"/>
          <w:szCs w:val="16"/>
          <w:vertAlign w:val="baseline"/>
        </w:rPr>
        <w:footnoteRef/>
      </w:r>
      <w:r w:rsidRPr="0042526E">
        <w:rPr>
          <w:rFonts w:ascii="Söhne" w:hAnsi="Söhne"/>
          <w:sz w:val="16"/>
          <w:szCs w:val="16"/>
        </w:rPr>
        <w:t xml:space="preserve"> </w:t>
      </w:r>
      <w:r w:rsidRPr="0042526E">
        <w:rPr>
          <w:rFonts w:ascii="Söhne" w:hAnsi="Söhne"/>
          <w:sz w:val="16"/>
          <w:szCs w:val="16"/>
          <w:lang w:val="fr-FR"/>
        </w:rPr>
        <w:tab/>
      </w:r>
      <w:hyperlink r:id="rId1" w:anchor="ui-id-3" w:history="1">
        <w:r w:rsidRPr="0042526E">
          <w:rPr>
            <w:rStyle w:val="Hyperlink"/>
            <w:rFonts w:ascii="Söhne" w:hAnsi="Söhne"/>
            <w:sz w:val="16"/>
            <w:szCs w:val="16"/>
            <w:lang w:val="fr-FR"/>
          </w:rPr>
          <w:t>https://www.woah.org/en/what-we-offer/expertise-network/reference-laboratories/#ui-id-3</w:t>
        </w:r>
      </w:hyperlink>
      <w:r w:rsidRPr="0042526E">
        <w:rPr>
          <w:rFonts w:ascii="Söhne" w:hAnsi="Söhne"/>
          <w:sz w:val="16"/>
          <w:szCs w:val="16"/>
          <w:lang w:val="fr-FR"/>
        </w:rPr>
        <w:t xml:space="preserve"> </w:t>
      </w:r>
    </w:p>
  </w:footnote>
  <w:footnote w:id="3">
    <w:p w14:paraId="732432BF" w14:textId="3D7B45EF" w:rsidR="00A068D8" w:rsidRPr="00A068D8" w:rsidRDefault="00A068D8" w:rsidP="00A068D8">
      <w:pPr>
        <w:pStyle w:val="FootnoteText"/>
        <w:spacing w:line="240" w:lineRule="auto"/>
        <w:ind w:left="425" w:hanging="425"/>
        <w:rPr>
          <w:rFonts w:ascii="Söhne" w:hAnsi="Söhne"/>
          <w:sz w:val="16"/>
          <w:szCs w:val="16"/>
          <w:u w:val="double"/>
          <w:lang w:val="fr-FR"/>
        </w:rPr>
      </w:pPr>
      <w:r w:rsidRPr="00A068D8">
        <w:rPr>
          <w:rStyle w:val="FootnoteReference"/>
          <w:rFonts w:ascii="Söhne" w:hAnsi="Söhne"/>
          <w:sz w:val="16"/>
          <w:szCs w:val="16"/>
          <w:u w:val="double"/>
          <w:vertAlign w:val="baseline"/>
        </w:rPr>
        <w:footnoteRef/>
      </w:r>
      <w:r w:rsidRPr="00A068D8">
        <w:rPr>
          <w:rFonts w:ascii="Söhne" w:hAnsi="Söhne"/>
          <w:sz w:val="16"/>
          <w:szCs w:val="16"/>
          <w:u w:val="double"/>
          <w:lang w:val="fr-FR"/>
        </w:rPr>
        <w:t xml:space="preserve"> </w:t>
      </w:r>
      <w:r w:rsidRPr="00A068D8">
        <w:rPr>
          <w:rFonts w:ascii="Söhne" w:hAnsi="Söhne"/>
          <w:sz w:val="16"/>
          <w:szCs w:val="16"/>
          <w:u w:val="double"/>
          <w:lang w:val="fr-FR"/>
        </w:rPr>
        <w:tab/>
      </w:r>
      <w:hyperlink r:id="rId2" w:history="1">
        <w:r w:rsidRPr="00A068D8">
          <w:rPr>
            <w:rStyle w:val="Hyperlink"/>
            <w:rFonts w:ascii="Söhne" w:hAnsi="Söhne"/>
            <w:sz w:val="16"/>
            <w:szCs w:val="16"/>
            <w:u w:val="double"/>
            <w:lang w:val="fr-FR"/>
          </w:rPr>
          <w:t>https://www.aphis.usda.gov/animal_health/vet_biologics/publications/memo_800_65.pdf</w:t>
        </w:r>
      </w:hyperlink>
      <w:r w:rsidRPr="00A068D8">
        <w:rPr>
          <w:rFonts w:ascii="Söhne" w:hAnsi="Söhne"/>
          <w:sz w:val="16"/>
          <w:szCs w:val="16"/>
          <w:u w:val="double"/>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FD3D" w14:textId="512D9DC3" w:rsidR="009F5C69" w:rsidRPr="007308B2" w:rsidRDefault="009F5C69" w:rsidP="00AE138F">
    <w:pPr>
      <w:pStyle w:val="Header"/>
    </w:pPr>
    <w:r w:rsidRPr="007308B2">
      <w:t xml:space="preserve">Chapter </w:t>
    </w:r>
    <w:r w:rsidR="009D5565">
      <w:t>3</w:t>
    </w:r>
    <w:r w:rsidRPr="007308B2">
      <w:t>.3.13. – Marek’s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2133" w14:textId="015035F7" w:rsidR="009F5C69" w:rsidRPr="007308B2" w:rsidRDefault="009F5C69" w:rsidP="00AE138F">
    <w:pPr>
      <w:pStyle w:val="Header"/>
    </w:pPr>
    <w:r w:rsidRPr="007308B2">
      <w:t xml:space="preserve">Chapter </w:t>
    </w:r>
    <w:r w:rsidR="009D5565">
      <w:t>3</w:t>
    </w:r>
    <w:r w:rsidRPr="007308B2">
      <w:t>.3.13. – Marek’s disease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837"/>
    <w:multiLevelType w:val="hybridMultilevel"/>
    <w:tmpl w:val="5D142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A4176D6"/>
    <w:multiLevelType w:val="hybridMultilevel"/>
    <w:tmpl w:val="2F08C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0B196E"/>
    <w:multiLevelType w:val="hybridMultilevel"/>
    <w:tmpl w:val="2E221922"/>
    <w:lvl w:ilvl="0" w:tplc="AE185354">
      <w:start w:val="1"/>
      <w:numFmt w:val="lowerLetter"/>
      <w:lvlText w:val="%1)"/>
      <w:lvlJc w:val="left"/>
      <w:pPr>
        <w:ind w:left="855" w:hanging="43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642821D9"/>
    <w:multiLevelType w:val="hybridMultilevel"/>
    <w:tmpl w:val="071E4BF2"/>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15A4D86"/>
    <w:multiLevelType w:val="hybridMultilevel"/>
    <w:tmpl w:val="01183F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76C329B"/>
    <w:multiLevelType w:val="hybridMultilevel"/>
    <w:tmpl w:val="C8B44FEC"/>
    <w:lvl w:ilvl="0" w:tplc="0409000F">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7" w15:restartNumberingAfterBreak="0">
    <w:nsid w:val="7D2A7960"/>
    <w:multiLevelType w:val="hybridMultilevel"/>
    <w:tmpl w:val="EF063956"/>
    <w:lvl w:ilvl="0" w:tplc="0809000F">
      <w:start w:val="3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1168716054">
    <w:abstractNumId w:val="6"/>
  </w:num>
  <w:num w:numId="2" w16cid:durableId="604460472">
    <w:abstractNumId w:val="8"/>
  </w:num>
  <w:num w:numId="3" w16cid:durableId="441073928">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1747999120">
    <w:abstractNumId w:val="1"/>
  </w:num>
  <w:num w:numId="5" w16cid:durableId="898713087">
    <w:abstractNumId w:val="5"/>
  </w:num>
  <w:num w:numId="6" w16cid:durableId="431123347">
    <w:abstractNumId w:val="0"/>
  </w:num>
  <w:num w:numId="7" w16cid:durableId="2134980940">
    <w:abstractNumId w:val="4"/>
  </w:num>
  <w:num w:numId="8" w16cid:durableId="525758688">
    <w:abstractNumId w:val="3"/>
  </w:num>
  <w:num w:numId="9" w16cid:durableId="1191410071">
    <w:abstractNumId w:val="7"/>
  </w:num>
  <w:num w:numId="10" w16cid:durableId="403573248">
    <w:abstractNumId w:val="2"/>
  </w:num>
  <w:num w:numId="11" w16cid:durableId="733965488">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12" w16cid:durableId="1969504617">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13" w16cid:durableId="1475872635">
    <w:abstractNumId w:val="8"/>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de-DE" w:vendorID="64" w:dllVersion="0" w:nlCheck="1" w:checkStyle="1"/>
  <w:activeWritingStyle w:appName="MSWord" w:lang="en-IE" w:vendorID="64" w:dllVersion="0" w:nlCheck="1" w:checkStyle="1"/>
  <w:activeWritingStyle w:appName="MSWord" w:lang="es-ES" w:vendorID="64" w:dllVersion="0" w:nlCheck="1" w:checkStyle="0"/>
  <w:activeWritingStyle w:appName="MSWord" w:lang="en-US" w:vendorID="64" w:dllVersion="0" w:nlCheck="1" w:checkStyle="1"/>
  <w:activeWritingStyle w:appName="MSWord" w:lang="en-GB" w:vendorID="64" w:dllVersion="6" w:nlCheck="1" w:checkStyle="1"/>
  <w:activeWritingStyle w:appName="MSWord" w:lang="en-IE"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nl-NL" w:vendorID="64" w:dllVersion="0" w:nlCheck="1" w:checkStyle="0"/>
  <w:activeWritingStyle w:appName="MSWord" w:lang="es-SV" w:vendorID="64" w:dllVersion="0" w:nlCheck="1" w:checkStyle="0"/>
  <w:activeWritingStyle w:appName="MSWord" w:lang="it-IT" w:vendorID="64" w:dllVersion="0" w:nlCheck="1" w:checkStyle="0"/>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nl-NL" w:vendorID="1"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ibraries" w:val="&lt;ENLibraries&gt;&lt;Libraries&gt;&lt;item&gt;Mareks and Herpesviruses LARGE.enl&lt;/item&gt;&lt;/Libraries&gt;&lt;/ENLibraries&gt;"/>
  </w:docVars>
  <w:rsids>
    <w:rsidRoot w:val="00665657"/>
    <w:rsid w:val="000018A7"/>
    <w:rsid w:val="00011922"/>
    <w:rsid w:val="00014734"/>
    <w:rsid w:val="00014B18"/>
    <w:rsid w:val="00023EFE"/>
    <w:rsid w:val="000247C5"/>
    <w:rsid w:val="000261B9"/>
    <w:rsid w:val="0002636C"/>
    <w:rsid w:val="00026EBD"/>
    <w:rsid w:val="000342EE"/>
    <w:rsid w:val="00041DC9"/>
    <w:rsid w:val="00051427"/>
    <w:rsid w:val="00051D86"/>
    <w:rsid w:val="000532C4"/>
    <w:rsid w:val="000544C5"/>
    <w:rsid w:val="00054E90"/>
    <w:rsid w:val="00055650"/>
    <w:rsid w:val="00055C8A"/>
    <w:rsid w:val="000561C0"/>
    <w:rsid w:val="00056552"/>
    <w:rsid w:val="00056A8B"/>
    <w:rsid w:val="00056FBC"/>
    <w:rsid w:val="00061515"/>
    <w:rsid w:val="0006236A"/>
    <w:rsid w:val="00067920"/>
    <w:rsid w:val="00072A48"/>
    <w:rsid w:val="00074416"/>
    <w:rsid w:val="000807D5"/>
    <w:rsid w:val="00081B98"/>
    <w:rsid w:val="00082C28"/>
    <w:rsid w:val="00090A5C"/>
    <w:rsid w:val="00091FBF"/>
    <w:rsid w:val="00095262"/>
    <w:rsid w:val="0009644C"/>
    <w:rsid w:val="000A2D9D"/>
    <w:rsid w:val="000A3E69"/>
    <w:rsid w:val="000A4A0F"/>
    <w:rsid w:val="000B1179"/>
    <w:rsid w:val="000B1A9E"/>
    <w:rsid w:val="000B4952"/>
    <w:rsid w:val="000B54FA"/>
    <w:rsid w:val="000B5E44"/>
    <w:rsid w:val="000B747E"/>
    <w:rsid w:val="000C1B1E"/>
    <w:rsid w:val="000C4352"/>
    <w:rsid w:val="000C4C1F"/>
    <w:rsid w:val="000C63B8"/>
    <w:rsid w:val="000C74A3"/>
    <w:rsid w:val="000D0A5C"/>
    <w:rsid w:val="000D1A49"/>
    <w:rsid w:val="000D1DBA"/>
    <w:rsid w:val="000E1BC7"/>
    <w:rsid w:val="000E2D56"/>
    <w:rsid w:val="000E60DD"/>
    <w:rsid w:val="000E6FBD"/>
    <w:rsid w:val="000E7316"/>
    <w:rsid w:val="000F464D"/>
    <w:rsid w:val="000F55AC"/>
    <w:rsid w:val="000F6E0B"/>
    <w:rsid w:val="00102199"/>
    <w:rsid w:val="00106489"/>
    <w:rsid w:val="00121BDA"/>
    <w:rsid w:val="0012674D"/>
    <w:rsid w:val="001269F5"/>
    <w:rsid w:val="001271E8"/>
    <w:rsid w:val="0012759E"/>
    <w:rsid w:val="00133488"/>
    <w:rsid w:val="00136411"/>
    <w:rsid w:val="00140D23"/>
    <w:rsid w:val="001417D6"/>
    <w:rsid w:val="00144332"/>
    <w:rsid w:val="00145636"/>
    <w:rsid w:val="0016041D"/>
    <w:rsid w:val="001616C7"/>
    <w:rsid w:val="001637C5"/>
    <w:rsid w:val="00163F9E"/>
    <w:rsid w:val="00167E70"/>
    <w:rsid w:val="0017069A"/>
    <w:rsid w:val="00170A71"/>
    <w:rsid w:val="00173952"/>
    <w:rsid w:val="0017428D"/>
    <w:rsid w:val="00174311"/>
    <w:rsid w:val="0017533F"/>
    <w:rsid w:val="0017647A"/>
    <w:rsid w:val="00182C05"/>
    <w:rsid w:val="001925F3"/>
    <w:rsid w:val="001946DE"/>
    <w:rsid w:val="00196B13"/>
    <w:rsid w:val="001A0A04"/>
    <w:rsid w:val="001A2AE9"/>
    <w:rsid w:val="001A68E6"/>
    <w:rsid w:val="001B195A"/>
    <w:rsid w:val="001B48DD"/>
    <w:rsid w:val="001B7BDA"/>
    <w:rsid w:val="001C21F3"/>
    <w:rsid w:val="001C5818"/>
    <w:rsid w:val="001C7198"/>
    <w:rsid w:val="001D3125"/>
    <w:rsid w:val="001D43F6"/>
    <w:rsid w:val="001D4967"/>
    <w:rsid w:val="001D51B6"/>
    <w:rsid w:val="001E7A32"/>
    <w:rsid w:val="001F07A7"/>
    <w:rsid w:val="001F1171"/>
    <w:rsid w:val="001F246B"/>
    <w:rsid w:val="001F2955"/>
    <w:rsid w:val="00200A06"/>
    <w:rsid w:val="002014EC"/>
    <w:rsid w:val="002061CC"/>
    <w:rsid w:val="002078D6"/>
    <w:rsid w:val="0021058D"/>
    <w:rsid w:val="00213033"/>
    <w:rsid w:val="0021450C"/>
    <w:rsid w:val="002206FA"/>
    <w:rsid w:val="00222C04"/>
    <w:rsid w:val="002235E0"/>
    <w:rsid w:val="00227886"/>
    <w:rsid w:val="002322D2"/>
    <w:rsid w:val="002327D5"/>
    <w:rsid w:val="0023483D"/>
    <w:rsid w:val="00241CBA"/>
    <w:rsid w:val="00242905"/>
    <w:rsid w:val="00242EC5"/>
    <w:rsid w:val="002439EF"/>
    <w:rsid w:val="002453F8"/>
    <w:rsid w:val="00246EB4"/>
    <w:rsid w:val="002513FB"/>
    <w:rsid w:val="00251D96"/>
    <w:rsid w:val="00254522"/>
    <w:rsid w:val="0026052B"/>
    <w:rsid w:val="00260F5E"/>
    <w:rsid w:val="00262934"/>
    <w:rsid w:val="00264B66"/>
    <w:rsid w:val="00267053"/>
    <w:rsid w:val="0027166D"/>
    <w:rsid w:val="00276F5D"/>
    <w:rsid w:val="002826E4"/>
    <w:rsid w:val="00285672"/>
    <w:rsid w:val="00287EBB"/>
    <w:rsid w:val="002938D2"/>
    <w:rsid w:val="002A0520"/>
    <w:rsid w:val="002A1623"/>
    <w:rsid w:val="002A451E"/>
    <w:rsid w:val="002A7626"/>
    <w:rsid w:val="002B1EBB"/>
    <w:rsid w:val="002B2F66"/>
    <w:rsid w:val="002B3B08"/>
    <w:rsid w:val="002B49B7"/>
    <w:rsid w:val="002B4F4B"/>
    <w:rsid w:val="002C31EF"/>
    <w:rsid w:val="002C6A46"/>
    <w:rsid w:val="002C74D9"/>
    <w:rsid w:val="002D1676"/>
    <w:rsid w:val="002D5356"/>
    <w:rsid w:val="002E01B1"/>
    <w:rsid w:val="002E45D3"/>
    <w:rsid w:val="002E489C"/>
    <w:rsid w:val="002F1BC0"/>
    <w:rsid w:val="002F2A8D"/>
    <w:rsid w:val="002F4DB8"/>
    <w:rsid w:val="002F4EC8"/>
    <w:rsid w:val="002F5B80"/>
    <w:rsid w:val="00300A7F"/>
    <w:rsid w:val="00301570"/>
    <w:rsid w:val="00301BF4"/>
    <w:rsid w:val="003027A2"/>
    <w:rsid w:val="00305BB0"/>
    <w:rsid w:val="0030677A"/>
    <w:rsid w:val="00311CF0"/>
    <w:rsid w:val="00314287"/>
    <w:rsid w:val="003156B0"/>
    <w:rsid w:val="003172FC"/>
    <w:rsid w:val="00326CB2"/>
    <w:rsid w:val="0033106F"/>
    <w:rsid w:val="003325FE"/>
    <w:rsid w:val="003353EE"/>
    <w:rsid w:val="0033566B"/>
    <w:rsid w:val="003429C8"/>
    <w:rsid w:val="003430E5"/>
    <w:rsid w:val="00343A28"/>
    <w:rsid w:val="0034410A"/>
    <w:rsid w:val="00345E9D"/>
    <w:rsid w:val="00356D7A"/>
    <w:rsid w:val="003577E0"/>
    <w:rsid w:val="00362D7C"/>
    <w:rsid w:val="00366C55"/>
    <w:rsid w:val="00374872"/>
    <w:rsid w:val="00375278"/>
    <w:rsid w:val="00380A5C"/>
    <w:rsid w:val="003900A0"/>
    <w:rsid w:val="00394BD2"/>
    <w:rsid w:val="00395572"/>
    <w:rsid w:val="003A02CE"/>
    <w:rsid w:val="003A0D8E"/>
    <w:rsid w:val="003A5285"/>
    <w:rsid w:val="003A6A89"/>
    <w:rsid w:val="003A7AF3"/>
    <w:rsid w:val="003B0CD5"/>
    <w:rsid w:val="003B23ED"/>
    <w:rsid w:val="003C3507"/>
    <w:rsid w:val="003C3A4F"/>
    <w:rsid w:val="003C62F9"/>
    <w:rsid w:val="003C6AC2"/>
    <w:rsid w:val="003D049D"/>
    <w:rsid w:val="003D2D92"/>
    <w:rsid w:val="003D6AC2"/>
    <w:rsid w:val="003D6D1E"/>
    <w:rsid w:val="003D7006"/>
    <w:rsid w:val="003D74EC"/>
    <w:rsid w:val="003D782B"/>
    <w:rsid w:val="003E008D"/>
    <w:rsid w:val="003E0701"/>
    <w:rsid w:val="003E4542"/>
    <w:rsid w:val="003E691E"/>
    <w:rsid w:val="003E6F88"/>
    <w:rsid w:val="003E7F80"/>
    <w:rsid w:val="003F09DE"/>
    <w:rsid w:val="003F2995"/>
    <w:rsid w:val="003F2CB6"/>
    <w:rsid w:val="003F4192"/>
    <w:rsid w:val="003F6D0A"/>
    <w:rsid w:val="00401A48"/>
    <w:rsid w:val="004049A8"/>
    <w:rsid w:val="00413342"/>
    <w:rsid w:val="004133B5"/>
    <w:rsid w:val="00413BB7"/>
    <w:rsid w:val="00413C72"/>
    <w:rsid w:val="0042526E"/>
    <w:rsid w:val="00427384"/>
    <w:rsid w:val="00434479"/>
    <w:rsid w:val="00434BF5"/>
    <w:rsid w:val="00441EC9"/>
    <w:rsid w:val="00442B35"/>
    <w:rsid w:val="00443232"/>
    <w:rsid w:val="00443750"/>
    <w:rsid w:val="00452996"/>
    <w:rsid w:val="00456C6E"/>
    <w:rsid w:val="004628C2"/>
    <w:rsid w:val="00463565"/>
    <w:rsid w:val="00463FC6"/>
    <w:rsid w:val="00464F5C"/>
    <w:rsid w:val="00470303"/>
    <w:rsid w:val="00470774"/>
    <w:rsid w:val="00472DC2"/>
    <w:rsid w:val="0047312B"/>
    <w:rsid w:val="00480681"/>
    <w:rsid w:val="004832E7"/>
    <w:rsid w:val="00485785"/>
    <w:rsid w:val="0048600F"/>
    <w:rsid w:val="00486CD0"/>
    <w:rsid w:val="00487A3D"/>
    <w:rsid w:val="00487E81"/>
    <w:rsid w:val="00492696"/>
    <w:rsid w:val="0049479A"/>
    <w:rsid w:val="00495F76"/>
    <w:rsid w:val="004A035A"/>
    <w:rsid w:val="004A20FD"/>
    <w:rsid w:val="004A3791"/>
    <w:rsid w:val="004A79CA"/>
    <w:rsid w:val="004C54A4"/>
    <w:rsid w:val="004C584F"/>
    <w:rsid w:val="004C6D9F"/>
    <w:rsid w:val="004D029A"/>
    <w:rsid w:val="004D1799"/>
    <w:rsid w:val="004D1DD5"/>
    <w:rsid w:val="004E17A2"/>
    <w:rsid w:val="004E3061"/>
    <w:rsid w:val="004E3BDF"/>
    <w:rsid w:val="004F10ED"/>
    <w:rsid w:val="004F1438"/>
    <w:rsid w:val="004F3ED3"/>
    <w:rsid w:val="004F63F9"/>
    <w:rsid w:val="00510561"/>
    <w:rsid w:val="00516435"/>
    <w:rsid w:val="00517668"/>
    <w:rsid w:val="00517E65"/>
    <w:rsid w:val="00520AAE"/>
    <w:rsid w:val="005221A8"/>
    <w:rsid w:val="00525072"/>
    <w:rsid w:val="0052625C"/>
    <w:rsid w:val="00527550"/>
    <w:rsid w:val="00527705"/>
    <w:rsid w:val="005327F8"/>
    <w:rsid w:val="00535409"/>
    <w:rsid w:val="005369F6"/>
    <w:rsid w:val="00542310"/>
    <w:rsid w:val="00543D19"/>
    <w:rsid w:val="00546E5D"/>
    <w:rsid w:val="00551BD6"/>
    <w:rsid w:val="00553A2E"/>
    <w:rsid w:val="00553E79"/>
    <w:rsid w:val="00556B1C"/>
    <w:rsid w:val="005614DB"/>
    <w:rsid w:val="00567806"/>
    <w:rsid w:val="005779D0"/>
    <w:rsid w:val="00583BD0"/>
    <w:rsid w:val="00586529"/>
    <w:rsid w:val="005935AC"/>
    <w:rsid w:val="00593A43"/>
    <w:rsid w:val="00596AF4"/>
    <w:rsid w:val="005A0988"/>
    <w:rsid w:val="005A165C"/>
    <w:rsid w:val="005A2AC0"/>
    <w:rsid w:val="005A2AC8"/>
    <w:rsid w:val="005A3774"/>
    <w:rsid w:val="005A64C4"/>
    <w:rsid w:val="005B185A"/>
    <w:rsid w:val="005B7617"/>
    <w:rsid w:val="005B7981"/>
    <w:rsid w:val="005C00D9"/>
    <w:rsid w:val="005C039D"/>
    <w:rsid w:val="005C24E0"/>
    <w:rsid w:val="005D05F1"/>
    <w:rsid w:val="005D1CE5"/>
    <w:rsid w:val="005D373B"/>
    <w:rsid w:val="005D5890"/>
    <w:rsid w:val="005D5DFE"/>
    <w:rsid w:val="005D6DA9"/>
    <w:rsid w:val="005E31E4"/>
    <w:rsid w:val="005E3302"/>
    <w:rsid w:val="005E66C5"/>
    <w:rsid w:val="005F1DEA"/>
    <w:rsid w:val="005F3089"/>
    <w:rsid w:val="005F50E7"/>
    <w:rsid w:val="005F676D"/>
    <w:rsid w:val="0060189D"/>
    <w:rsid w:val="006021C1"/>
    <w:rsid w:val="006054C9"/>
    <w:rsid w:val="006064B6"/>
    <w:rsid w:val="006101B6"/>
    <w:rsid w:val="00612B73"/>
    <w:rsid w:val="00614F04"/>
    <w:rsid w:val="0061769C"/>
    <w:rsid w:val="006178CF"/>
    <w:rsid w:val="00617E67"/>
    <w:rsid w:val="00622310"/>
    <w:rsid w:val="0062388F"/>
    <w:rsid w:val="00627F51"/>
    <w:rsid w:val="00630F69"/>
    <w:rsid w:val="00631E52"/>
    <w:rsid w:val="00631EB4"/>
    <w:rsid w:val="00632CD7"/>
    <w:rsid w:val="00633F0E"/>
    <w:rsid w:val="00643FC6"/>
    <w:rsid w:val="00647CAE"/>
    <w:rsid w:val="006505B9"/>
    <w:rsid w:val="0065119E"/>
    <w:rsid w:val="00651BC3"/>
    <w:rsid w:val="00652920"/>
    <w:rsid w:val="00653618"/>
    <w:rsid w:val="0066420D"/>
    <w:rsid w:val="00665657"/>
    <w:rsid w:val="00670D17"/>
    <w:rsid w:val="006717FC"/>
    <w:rsid w:val="006726CB"/>
    <w:rsid w:val="00673B52"/>
    <w:rsid w:val="00674C3E"/>
    <w:rsid w:val="00681FD3"/>
    <w:rsid w:val="00682656"/>
    <w:rsid w:val="006830D1"/>
    <w:rsid w:val="00685058"/>
    <w:rsid w:val="006853BD"/>
    <w:rsid w:val="006927BC"/>
    <w:rsid w:val="006959B7"/>
    <w:rsid w:val="0069636E"/>
    <w:rsid w:val="006968AE"/>
    <w:rsid w:val="006A2861"/>
    <w:rsid w:val="006A46F0"/>
    <w:rsid w:val="006B092D"/>
    <w:rsid w:val="006B1110"/>
    <w:rsid w:val="006B1E29"/>
    <w:rsid w:val="006B20C9"/>
    <w:rsid w:val="006B624F"/>
    <w:rsid w:val="006C0D0F"/>
    <w:rsid w:val="006C206D"/>
    <w:rsid w:val="006C6F04"/>
    <w:rsid w:val="006D0AFE"/>
    <w:rsid w:val="006D1D5A"/>
    <w:rsid w:val="006D3D0D"/>
    <w:rsid w:val="006D66AD"/>
    <w:rsid w:val="006D74F9"/>
    <w:rsid w:val="006E1743"/>
    <w:rsid w:val="006E722D"/>
    <w:rsid w:val="006F0699"/>
    <w:rsid w:val="006F1D43"/>
    <w:rsid w:val="006F353A"/>
    <w:rsid w:val="006F46A6"/>
    <w:rsid w:val="006F5BC3"/>
    <w:rsid w:val="006F6BE2"/>
    <w:rsid w:val="00703742"/>
    <w:rsid w:val="00705AF8"/>
    <w:rsid w:val="007063A3"/>
    <w:rsid w:val="00707425"/>
    <w:rsid w:val="007101CB"/>
    <w:rsid w:val="00710C37"/>
    <w:rsid w:val="00710D37"/>
    <w:rsid w:val="00710FE0"/>
    <w:rsid w:val="00716459"/>
    <w:rsid w:val="0072196C"/>
    <w:rsid w:val="00721DFD"/>
    <w:rsid w:val="0072655E"/>
    <w:rsid w:val="007308B2"/>
    <w:rsid w:val="007370BF"/>
    <w:rsid w:val="0074014E"/>
    <w:rsid w:val="0074377E"/>
    <w:rsid w:val="007505AE"/>
    <w:rsid w:val="00761295"/>
    <w:rsid w:val="00765597"/>
    <w:rsid w:val="00767F3F"/>
    <w:rsid w:val="00771A51"/>
    <w:rsid w:val="00780E75"/>
    <w:rsid w:val="00782929"/>
    <w:rsid w:val="00782A17"/>
    <w:rsid w:val="00782D1F"/>
    <w:rsid w:val="0079169E"/>
    <w:rsid w:val="00794029"/>
    <w:rsid w:val="00795D3E"/>
    <w:rsid w:val="0079629D"/>
    <w:rsid w:val="00796D01"/>
    <w:rsid w:val="007A2629"/>
    <w:rsid w:val="007A2D66"/>
    <w:rsid w:val="007A4A8A"/>
    <w:rsid w:val="007A52AC"/>
    <w:rsid w:val="007A5781"/>
    <w:rsid w:val="007A5B54"/>
    <w:rsid w:val="007A6A13"/>
    <w:rsid w:val="007A7C17"/>
    <w:rsid w:val="007A7D53"/>
    <w:rsid w:val="007B68A5"/>
    <w:rsid w:val="007B6FC6"/>
    <w:rsid w:val="007C0701"/>
    <w:rsid w:val="007C215B"/>
    <w:rsid w:val="007D193E"/>
    <w:rsid w:val="007D1991"/>
    <w:rsid w:val="007D40B3"/>
    <w:rsid w:val="007D4DEA"/>
    <w:rsid w:val="007D4E6C"/>
    <w:rsid w:val="007E15AD"/>
    <w:rsid w:val="007E1A0C"/>
    <w:rsid w:val="007E1EC8"/>
    <w:rsid w:val="007E45D6"/>
    <w:rsid w:val="007F52D8"/>
    <w:rsid w:val="007F7F59"/>
    <w:rsid w:val="00804B32"/>
    <w:rsid w:val="00807599"/>
    <w:rsid w:val="008079EB"/>
    <w:rsid w:val="008100FC"/>
    <w:rsid w:val="008113B3"/>
    <w:rsid w:val="00812682"/>
    <w:rsid w:val="0082177C"/>
    <w:rsid w:val="00821DFA"/>
    <w:rsid w:val="00827D83"/>
    <w:rsid w:val="0083027F"/>
    <w:rsid w:val="008322A7"/>
    <w:rsid w:val="008333F8"/>
    <w:rsid w:val="00836EC3"/>
    <w:rsid w:val="008377AA"/>
    <w:rsid w:val="00844DD7"/>
    <w:rsid w:val="0084683F"/>
    <w:rsid w:val="00846E95"/>
    <w:rsid w:val="0085592A"/>
    <w:rsid w:val="00864225"/>
    <w:rsid w:val="00874691"/>
    <w:rsid w:val="008817F3"/>
    <w:rsid w:val="0088291F"/>
    <w:rsid w:val="00883E06"/>
    <w:rsid w:val="00884184"/>
    <w:rsid w:val="0089091C"/>
    <w:rsid w:val="008931E9"/>
    <w:rsid w:val="00893AF8"/>
    <w:rsid w:val="008960B4"/>
    <w:rsid w:val="00896307"/>
    <w:rsid w:val="00896A42"/>
    <w:rsid w:val="008A092B"/>
    <w:rsid w:val="008A1777"/>
    <w:rsid w:val="008A6E0C"/>
    <w:rsid w:val="008A6FE4"/>
    <w:rsid w:val="008B2E2E"/>
    <w:rsid w:val="008B34CF"/>
    <w:rsid w:val="008B7655"/>
    <w:rsid w:val="008B7C52"/>
    <w:rsid w:val="008C76E1"/>
    <w:rsid w:val="008C7F9A"/>
    <w:rsid w:val="008D1CA8"/>
    <w:rsid w:val="008D20ED"/>
    <w:rsid w:val="008D2321"/>
    <w:rsid w:val="008D38CF"/>
    <w:rsid w:val="008D4D97"/>
    <w:rsid w:val="008D65E2"/>
    <w:rsid w:val="008E19E6"/>
    <w:rsid w:val="008E5762"/>
    <w:rsid w:val="008E5844"/>
    <w:rsid w:val="008E69D9"/>
    <w:rsid w:val="008F1C71"/>
    <w:rsid w:val="008F24BF"/>
    <w:rsid w:val="008F323E"/>
    <w:rsid w:val="008F6434"/>
    <w:rsid w:val="00900472"/>
    <w:rsid w:val="00901F40"/>
    <w:rsid w:val="00902A23"/>
    <w:rsid w:val="009109B7"/>
    <w:rsid w:val="00913418"/>
    <w:rsid w:val="00920071"/>
    <w:rsid w:val="00921057"/>
    <w:rsid w:val="0093199A"/>
    <w:rsid w:val="009352AB"/>
    <w:rsid w:val="0094162C"/>
    <w:rsid w:val="00942498"/>
    <w:rsid w:val="00946E8A"/>
    <w:rsid w:val="0095471C"/>
    <w:rsid w:val="00954F0C"/>
    <w:rsid w:val="009552A3"/>
    <w:rsid w:val="009607EF"/>
    <w:rsid w:val="009678BC"/>
    <w:rsid w:val="00970DE0"/>
    <w:rsid w:val="00975BB3"/>
    <w:rsid w:val="0099441E"/>
    <w:rsid w:val="00995F25"/>
    <w:rsid w:val="009962A3"/>
    <w:rsid w:val="009A2715"/>
    <w:rsid w:val="009A2A29"/>
    <w:rsid w:val="009A4FE9"/>
    <w:rsid w:val="009A7DC9"/>
    <w:rsid w:val="009B020C"/>
    <w:rsid w:val="009B541B"/>
    <w:rsid w:val="009B61B4"/>
    <w:rsid w:val="009B64D0"/>
    <w:rsid w:val="009D224F"/>
    <w:rsid w:val="009D50BF"/>
    <w:rsid w:val="009D5565"/>
    <w:rsid w:val="009D7C4B"/>
    <w:rsid w:val="009E0CFB"/>
    <w:rsid w:val="009E21F2"/>
    <w:rsid w:val="009F3B96"/>
    <w:rsid w:val="009F5C69"/>
    <w:rsid w:val="009F605D"/>
    <w:rsid w:val="00A016D2"/>
    <w:rsid w:val="00A02924"/>
    <w:rsid w:val="00A04843"/>
    <w:rsid w:val="00A068D8"/>
    <w:rsid w:val="00A07CF1"/>
    <w:rsid w:val="00A147C8"/>
    <w:rsid w:val="00A1668A"/>
    <w:rsid w:val="00A171A1"/>
    <w:rsid w:val="00A2266C"/>
    <w:rsid w:val="00A2621F"/>
    <w:rsid w:val="00A27BF9"/>
    <w:rsid w:val="00A30367"/>
    <w:rsid w:val="00A328AC"/>
    <w:rsid w:val="00A33C8D"/>
    <w:rsid w:val="00A3494C"/>
    <w:rsid w:val="00A367F0"/>
    <w:rsid w:val="00A42F38"/>
    <w:rsid w:val="00A444FC"/>
    <w:rsid w:val="00A4595D"/>
    <w:rsid w:val="00A45D92"/>
    <w:rsid w:val="00A470AA"/>
    <w:rsid w:val="00A53F29"/>
    <w:rsid w:val="00A54B62"/>
    <w:rsid w:val="00A552BE"/>
    <w:rsid w:val="00A573EC"/>
    <w:rsid w:val="00A6413A"/>
    <w:rsid w:val="00A646E8"/>
    <w:rsid w:val="00A66D50"/>
    <w:rsid w:val="00A6725F"/>
    <w:rsid w:val="00A7036F"/>
    <w:rsid w:val="00A73163"/>
    <w:rsid w:val="00A74541"/>
    <w:rsid w:val="00A773D6"/>
    <w:rsid w:val="00A7755C"/>
    <w:rsid w:val="00A81567"/>
    <w:rsid w:val="00A81BFD"/>
    <w:rsid w:val="00A84377"/>
    <w:rsid w:val="00A9027E"/>
    <w:rsid w:val="00A91162"/>
    <w:rsid w:val="00A915FA"/>
    <w:rsid w:val="00A95A65"/>
    <w:rsid w:val="00AA2150"/>
    <w:rsid w:val="00AA3A78"/>
    <w:rsid w:val="00AA4172"/>
    <w:rsid w:val="00AA761E"/>
    <w:rsid w:val="00AB03F9"/>
    <w:rsid w:val="00AB3288"/>
    <w:rsid w:val="00AC2E05"/>
    <w:rsid w:val="00AC55BF"/>
    <w:rsid w:val="00AD1FFD"/>
    <w:rsid w:val="00AD4CBF"/>
    <w:rsid w:val="00AD73B9"/>
    <w:rsid w:val="00AD7AFC"/>
    <w:rsid w:val="00AE0017"/>
    <w:rsid w:val="00AE138F"/>
    <w:rsid w:val="00AE1444"/>
    <w:rsid w:val="00AE2472"/>
    <w:rsid w:val="00AF0844"/>
    <w:rsid w:val="00AF609A"/>
    <w:rsid w:val="00AF6F93"/>
    <w:rsid w:val="00B00E71"/>
    <w:rsid w:val="00B019A6"/>
    <w:rsid w:val="00B02A76"/>
    <w:rsid w:val="00B03754"/>
    <w:rsid w:val="00B07314"/>
    <w:rsid w:val="00B11C93"/>
    <w:rsid w:val="00B13993"/>
    <w:rsid w:val="00B164DB"/>
    <w:rsid w:val="00B20771"/>
    <w:rsid w:val="00B2257C"/>
    <w:rsid w:val="00B22888"/>
    <w:rsid w:val="00B22B9C"/>
    <w:rsid w:val="00B23ABA"/>
    <w:rsid w:val="00B24949"/>
    <w:rsid w:val="00B2668C"/>
    <w:rsid w:val="00B26783"/>
    <w:rsid w:val="00B30E4D"/>
    <w:rsid w:val="00B35B1C"/>
    <w:rsid w:val="00B37504"/>
    <w:rsid w:val="00B40C8C"/>
    <w:rsid w:val="00B46501"/>
    <w:rsid w:val="00B46FB6"/>
    <w:rsid w:val="00B5053B"/>
    <w:rsid w:val="00B53FA2"/>
    <w:rsid w:val="00B540FC"/>
    <w:rsid w:val="00B60D7C"/>
    <w:rsid w:val="00B60FC0"/>
    <w:rsid w:val="00B638A6"/>
    <w:rsid w:val="00B648E9"/>
    <w:rsid w:val="00B66B07"/>
    <w:rsid w:val="00B67D79"/>
    <w:rsid w:val="00B75634"/>
    <w:rsid w:val="00B7593F"/>
    <w:rsid w:val="00B845F0"/>
    <w:rsid w:val="00B87EF0"/>
    <w:rsid w:val="00B902D5"/>
    <w:rsid w:val="00B9243E"/>
    <w:rsid w:val="00B97799"/>
    <w:rsid w:val="00BA1529"/>
    <w:rsid w:val="00BA4E58"/>
    <w:rsid w:val="00BB45E0"/>
    <w:rsid w:val="00BB705C"/>
    <w:rsid w:val="00BC523B"/>
    <w:rsid w:val="00BD0E43"/>
    <w:rsid w:val="00BD1165"/>
    <w:rsid w:val="00BD5A88"/>
    <w:rsid w:val="00BD619A"/>
    <w:rsid w:val="00BE03AC"/>
    <w:rsid w:val="00BE067C"/>
    <w:rsid w:val="00BE1A3C"/>
    <w:rsid w:val="00BE58BD"/>
    <w:rsid w:val="00BE6D28"/>
    <w:rsid w:val="00BF0EB8"/>
    <w:rsid w:val="00BF1ABF"/>
    <w:rsid w:val="00BF5060"/>
    <w:rsid w:val="00BF555A"/>
    <w:rsid w:val="00BF58E8"/>
    <w:rsid w:val="00C0381A"/>
    <w:rsid w:val="00C15810"/>
    <w:rsid w:val="00C20AE8"/>
    <w:rsid w:val="00C20D95"/>
    <w:rsid w:val="00C24607"/>
    <w:rsid w:val="00C2520A"/>
    <w:rsid w:val="00C25DBA"/>
    <w:rsid w:val="00C26D60"/>
    <w:rsid w:val="00C275E0"/>
    <w:rsid w:val="00C3259E"/>
    <w:rsid w:val="00C3467D"/>
    <w:rsid w:val="00C3775E"/>
    <w:rsid w:val="00C403C2"/>
    <w:rsid w:val="00C4147C"/>
    <w:rsid w:val="00C42611"/>
    <w:rsid w:val="00C45027"/>
    <w:rsid w:val="00C4696B"/>
    <w:rsid w:val="00C5564C"/>
    <w:rsid w:val="00C573E8"/>
    <w:rsid w:val="00C62A78"/>
    <w:rsid w:val="00C6365B"/>
    <w:rsid w:val="00C63E3B"/>
    <w:rsid w:val="00C65AC4"/>
    <w:rsid w:val="00C662D2"/>
    <w:rsid w:val="00C7020C"/>
    <w:rsid w:val="00C71DD5"/>
    <w:rsid w:val="00C75C78"/>
    <w:rsid w:val="00C760F2"/>
    <w:rsid w:val="00C77337"/>
    <w:rsid w:val="00C831B5"/>
    <w:rsid w:val="00C84833"/>
    <w:rsid w:val="00C92167"/>
    <w:rsid w:val="00C9275D"/>
    <w:rsid w:val="00C95E53"/>
    <w:rsid w:val="00C97E7E"/>
    <w:rsid w:val="00CA16F8"/>
    <w:rsid w:val="00CA1764"/>
    <w:rsid w:val="00CA25A9"/>
    <w:rsid w:val="00CA2ADB"/>
    <w:rsid w:val="00CA796A"/>
    <w:rsid w:val="00CB0F28"/>
    <w:rsid w:val="00CB26E7"/>
    <w:rsid w:val="00CB2E9A"/>
    <w:rsid w:val="00CB6FCC"/>
    <w:rsid w:val="00CC129A"/>
    <w:rsid w:val="00CC2DF8"/>
    <w:rsid w:val="00CC458F"/>
    <w:rsid w:val="00CC6F3A"/>
    <w:rsid w:val="00CC754D"/>
    <w:rsid w:val="00CD0755"/>
    <w:rsid w:val="00CD164B"/>
    <w:rsid w:val="00CD1E6C"/>
    <w:rsid w:val="00CE07EB"/>
    <w:rsid w:val="00CE1E43"/>
    <w:rsid w:val="00CE2C59"/>
    <w:rsid w:val="00CE36AE"/>
    <w:rsid w:val="00CE3876"/>
    <w:rsid w:val="00CE712E"/>
    <w:rsid w:val="00CF0E36"/>
    <w:rsid w:val="00D07EF6"/>
    <w:rsid w:val="00D10816"/>
    <w:rsid w:val="00D14C8F"/>
    <w:rsid w:val="00D16606"/>
    <w:rsid w:val="00D16B94"/>
    <w:rsid w:val="00D20045"/>
    <w:rsid w:val="00D21E09"/>
    <w:rsid w:val="00D25BFE"/>
    <w:rsid w:val="00D27033"/>
    <w:rsid w:val="00D321D5"/>
    <w:rsid w:val="00D323A9"/>
    <w:rsid w:val="00D33800"/>
    <w:rsid w:val="00D34B14"/>
    <w:rsid w:val="00D34B6B"/>
    <w:rsid w:val="00D364BC"/>
    <w:rsid w:val="00D36687"/>
    <w:rsid w:val="00D40BB8"/>
    <w:rsid w:val="00D463E2"/>
    <w:rsid w:val="00D52F6A"/>
    <w:rsid w:val="00D66B0A"/>
    <w:rsid w:val="00D73822"/>
    <w:rsid w:val="00D7564F"/>
    <w:rsid w:val="00D80233"/>
    <w:rsid w:val="00D8711A"/>
    <w:rsid w:val="00D87713"/>
    <w:rsid w:val="00D9340F"/>
    <w:rsid w:val="00DA0BC2"/>
    <w:rsid w:val="00DA2203"/>
    <w:rsid w:val="00DA3519"/>
    <w:rsid w:val="00DA79B8"/>
    <w:rsid w:val="00DB42CF"/>
    <w:rsid w:val="00DB43AF"/>
    <w:rsid w:val="00DB6F2E"/>
    <w:rsid w:val="00DC7C4E"/>
    <w:rsid w:val="00DD078B"/>
    <w:rsid w:val="00DD20CB"/>
    <w:rsid w:val="00DD35E2"/>
    <w:rsid w:val="00DD3851"/>
    <w:rsid w:val="00DD5A56"/>
    <w:rsid w:val="00DD5F37"/>
    <w:rsid w:val="00DF1069"/>
    <w:rsid w:val="00DF6E7B"/>
    <w:rsid w:val="00DF7258"/>
    <w:rsid w:val="00DF7CEF"/>
    <w:rsid w:val="00DF7DDF"/>
    <w:rsid w:val="00E0003B"/>
    <w:rsid w:val="00E006E2"/>
    <w:rsid w:val="00E02705"/>
    <w:rsid w:val="00E04656"/>
    <w:rsid w:val="00E10641"/>
    <w:rsid w:val="00E1234A"/>
    <w:rsid w:val="00E152C8"/>
    <w:rsid w:val="00E211D9"/>
    <w:rsid w:val="00E25947"/>
    <w:rsid w:val="00E269F1"/>
    <w:rsid w:val="00E27B92"/>
    <w:rsid w:val="00E320EE"/>
    <w:rsid w:val="00E40583"/>
    <w:rsid w:val="00E544D6"/>
    <w:rsid w:val="00E57005"/>
    <w:rsid w:val="00E57E84"/>
    <w:rsid w:val="00E630CE"/>
    <w:rsid w:val="00E63C97"/>
    <w:rsid w:val="00E664D5"/>
    <w:rsid w:val="00E7092E"/>
    <w:rsid w:val="00E71FE1"/>
    <w:rsid w:val="00E766AF"/>
    <w:rsid w:val="00E80ED7"/>
    <w:rsid w:val="00E82126"/>
    <w:rsid w:val="00E82A80"/>
    <w:rsid w:val="00E8503D"/>
    <w:rsid w:val="00E86F0D"/>
    <w:rsid w:val="00E931F9"/>
    <w:rsid w:val="00EA0816"/>
    <w:rsid w:val="00EA1E02"/>
    <w:rsid w:val="00EA3550"/>
    <w:rsid w:val="00EA5997"/>
    <w:rsid w:val="00EB3D7E"/>
    <w:rsid w:val="00EB689F"/>
    <w:rsid w:val="00EB6DBE"/>
    <w:rsid w:val="00EB7FEC"/>
    <w:rsid w:val="00EC348D"/>
    <w:rsid w:val="00EC5F57"/>
    <w:rsid w:val="00EC64BA"/>
    <w:rsid w:val="00ED0922"/>
    <w:rsid w:val="00ED457F"/>
    <w:rsid w:val="00ED6731"/>
    <w:rsid w:val="00EE1528"/>
    <w:rsid w:val="00EE4C0B"/>
    <w:rsid w:val="00F001F1"/>
    <w:rsid w:val="00F00973"/>
    <w:rsid w:val="00F0749F"/>
    <w:rsid w:val="00F10E46"/>
    <w:rsid w:val="00F12D42"/>
    <w:rsid w:val="00F12F01"/>
    <w:rsid w:val="00F17D1F"/>
    <w:rsid w:val="00F34AA2"/>
    <w:rsid w:val="00F3601A"/>
    <w:rsid w:val="00F41217"/>
    <w:rsid w:val="00F45401"/>
    <w:rsid w:val="00F46E7E"/>
    <w:rsid w:val="00F47F57"/>
    <w:rsid w:val="00F50913"/>
    <w:rsid w:val="00F51001"/>
    <w:rsid w:val="00F51679"/>
    <w:rsid w:val="00F546A4"/>
    <w:rsid w:val="00F55DE7"/>
    <w:rsid w:val="00F576D4"/>
    <w:rsid w:val="00F57E92"/>
    <w:rsid w:val="00F62307"/>
    <w:rsid w:val="00F63264"/>
    <w:rsid w:val="00F74565"/>
    <w:rsid w:val="00F77420"/>
    <w:rsid w:val="00F77E55"/>
    <w:rsid w:val="00F83A3D"/>
    <w:rsid w:val="00F83E4E"/>
    <w:rsid w:val="00F84C32"/>
    <w:rsid w:val="00F9225E"/>
    <w:rsid w:val="00F92D97"/>
    <w:rsid w:val="00F9385E"/>
    <w:rsid w:val="00F93AB4"/>
    <w:rsid w:val="00F9686E"/>
    <w:rsid w:val="00FA18C0"/>
    <w:rsid w:val="00FA19EB"/>
    <w:rsid w:val="00FA2442"/>
    <w:rsid w:val="00FA54DD"/>
    <w:rsid w:val="00FA7056"/>
    <w:rsid w:val="00FB5DBF"/>
    <w:rsid w:val="00FB680C"/>
    <w:rsid w:val="00FB6D12"/>
    <w:rsid w:val="00FC5080"/>
    <w:rsid w:val="00FD027F"/>
    <w:rsid w:val="00FD1ABB"/>
    <w:rsid w:val="00FD4E4E"/>
    <w:rsid w:val="00FD5747"/>
    <w:rsid w:val="00FD58AF"/>
    <w:rsid w:val="00FD5B49"/>
    <w:rsid w:val="00FD69D7"/>
    <w:rsid w:val="00FE1EBE"/>
    <w:rsid w:val="00FE4D2F"/>
    <w:rsid w:val="00FE77A1"/>
    <w:rsid w:val="00FF6531"/>
    <w:rsid w:val="3F75FA11"/>
    <w:rsid w:val="4560AA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E99B81B"/>
  <w15:docId w15:val="{52FFDF0E-29BE-442C-94A5-1DA6F8A8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BD0"/>
    <w:pPr>
      <w:tabs>
        <w:tab w:val="left" w:pos="-720"/>
      </w:tabs>
      <w:spacing w:line="360" w:lineRule="atLeast"/>
      <w:jc w:val="both"/>
    </w:pPr>
    <w:rPr>
      <w:rFonts w:ascii="Arial" w:hAnsi="Arial" w:cs="Arial"/>
      <w:sz w:val="18"/>
      <w:szCs w:val="18"/>
      <w:lang w:eastAsia="fr-FR"/>
    </w:rPr>
  </w:style>
  <w:style w:type="paragraph" w:styleId="Heading1">
    <w:name w:val="heading 1"/>
    <w:basedOn w:val="Normal"/>
    <w:next w:val="Normal"/>
    <w:link w:val="Heading1Char"/>
    <w:uiPriority w:val="99"/>
    <w:qFormat/>
    <w:pPr>
      <w:spacing w:before="240"/>
      <w:outlineLvl w:val="0"/>
    </w:pPr>
    <w:rPr>
      <w:b/>
      <w:bCs/>
      <w:sz w:val="24"/>
      <w:szCs w:val="24"/>
      <w:u w:val="single"/>
    </w:rPr>
  </w:style>
  <w:style w:type="paragraph" w:styleId="Heading2">
    <w:name w:val="heading 2"/>
    <w:basedOn w:val="Normal"/>
    <w:next w:val="Normal"/>
    <w:qFormat/>
    <w:pPr>
      <w:spacing w:before="120"/>
      <w:outlineLvl w:val="1"/>
    </w:pPr>
    <w:rPr>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12D42"/>
    <w:rPr>
      <w:rFonts w:ascii="Arial" w:hAnsi="Arial"/>
      <w:sz w:val="16"/>
    </w:rPr>
  </w:style>
  <w:style w:type="paragraph" w:styleId="Header">
    <w:name w:val="header"/>
    <w:basedOn w:val="Normal"/>
    <w:link w:val="HeaderChar"/>
    <w:uiPriority w:val="99"/>
    <w:rsid w:val="00AE138F"/>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cs="Times New Roman"/>
      <w:i/>
      <w:sz w:val="16"/>
      <w:szCs w:val="22"/>
      <w:lang w:val="en-US" w:eastAsia="en-US"/>
    </w:rPr>
  </w:style>
  <w:style w:type="paragraph" w:customStyle="1" w:styleId="notedebas">
    <w:name w:val="note de bas"/>
    <w:basedOn w:val="Normal"/>
    <w:pPr>
      <w:widowControl w:val="0"/>
      <w:spacing w:line="240" w:lineRule="auto"/>
      <w:ind w:left="425" w:hanging="425"/>
    </w:pPr>
    <w:rPr>
      <w:sz w:val="16"/>
      <w:szCs w:val="16"/>
      <w:lang w:val="en-US"/>
    </w:rPr>
  </w:style>
  <w:style w:type="paragraph" w:customStyle="1" w:styleId="a">
    <w:name w:val="a)"/>
    <w:basedOn w:val="Normal"/>
    <w:rsid w:val="00CA1764"/>
    <w:pPr>
      <w:tabs>
        <w:tab w:val="clear" w:pos="-720"/>
      </w:tabs>
      <w:spacing w:after="120" w:line="240" w:lineRule="auto"/>
      <w:ind w:left="425" w:hanging="425"/>
    </w:pPr>
    <w:rPr>
      <w:rFonts w:ascii="Ottawa" w:hAnsi="Ottawa"/>
      <w:b/>
      <w:bCs/>
      <w:sz w:val="20"/>
    </w:rPr>
  </w:style>
  <w:style w:type="paragraph" w:customStyle="1" w:styleId="paraa">
    <w:name w:val="paraa)"/>
    <w:basedOn w:val="Normal"/>
    <w:pPr>
      <w:spacing w:after="240" w:line="240" w:lineRule="auto"/>
      <w:ind w:left="425"/>
    </w:pPr>
  </w:style>
  <w:style w:type="paragraph" w:customStyle="1" w:styleId="1">
    <w:name w:val="1"/>
    <w:basedOn w:val="Normal"/>
    <w:uiPriority w:val="99"/>
    <w:rsid w:val="003D2D92"/>
    <w:pPr>
      <w:tabs>
        <w:tab w:val="clear" w:pos="-720"/>
      </w:tabs>
      <w:spacing w:after="240" w:line="240" w:lineRule="auto"/>
      <w:ind w:left="425" w:hanging="425"/>
    </w:pPr>
    <w:rPr>
      <w:rFonts w:ascii="Söhne Halbfett" w:eastAsiaTheme="minorEastAsia" w:hAnsi="Söhne Halbfett"/>
      <w:bCs/>
      <w:color w:val="000000"/>
      <w:sz w:val="22"/>
      <w:lang w:eastAsia="en-US"/>
    </w:rPr>
  </w:style>
  <w:style w:type="paragraph" w:customStyle="1" w:styleId="para1">
    <w:name w:val="para1"/>
    <w:basedOn w:val="Normal"/>
    <w:rsid w:val="003D2D92"/>
    <w:pPr>
      <w:spacing w:after="240" w:line="240" w:lineRule="auto"/>
    </w:pPr>
    <w:rPr>
      <w:rFonts w:ascii="Söhne" w:hAnsi="Söhne"/>
    </w:rPr>
  </w:style>
  <w:style w:type="paragraph" w:customStyle="1" w:styleId="i">
    <w:name w:val="i)"/>
    <w:basedOn w:val="Normal"/>
    <w:link w:val="iCar1"/>
    <w:uiPriority w:val="99"/>
    <w:rsid w:val="00AE138F"/>
    <w:pPr>
      <w:tabs>
        <w:tab w:val="clear" w:pos="-720"/>
      </w:tabs>
      <w:spacing w:after="120" w:line="240" w:lineRule="auto"/>
      <w:ind w:left="1843" w:hanging="425"/>
    </w:pPr>
    <w:rPr>
      <w:rFonts w:ascii="Söhne" w:eastAsiaTheme="minorEastAsia" w:hAnsi="Söhne"/>
      <w:lang w:eastAsia="en-US"/>
    </w:rPr>
  </w:style>
  <w:style w:type="paragraph" w:customStyle="1" w:styleId="A0">
    <w:name w:val="A"/>
    <w:basedOn w:val="Normal"/>
    <w:uiPriority w:val="99"/>
    <w:rsid w:val="00AE138F"/>
    <w:pPr>
      <w:spacing w:after="240" w:line="240" w:lineRule="auto"/>
      <w:jc w:val="center"/>
    </w:pPr>
    <w:rPr>
      <w:rFonts w:ascii="Söhne Halbfett" w:hAnsi="Söhne Halbfett" w:cs="Times New Roman"/>
      <w:bCs/>
      <w:caps/>
      <w:sz w:val="24"/>
      <w:szCs w:val="24"/>
    </w:rPr>
  </w:style>
  <w:style w:type="paragraph" w:customStyle="1" w:styleId="Ref">
    <w:name w:val="Ref."/>
    <w:basedOn w:val="Normal"/>
    <w:link w:val="RefChar"/>
    <w:rsid w:val="002F5B80"/>
    <w:pPr>
      <w:spacing w:after="240" w:line="240" w:lineRule="auto"/>
    </w:pPr>
    <w:rPr>
      <w:rFonts w:ascii="Söhne" w:hAnsi="Söhne"/>
    </w:rPr>
  </w:style>
  <w:style w:type="paragraph" w:customStyle="1" w:styleId="sumtexte">
    <w:name w:val="sumtexte"/>
    <w:basedOn w:val="Normal"/>
    <w:rsid w:val="00AE138F"/>
    <w:pPr>
      <w:spacing w:after="120" w:line="240" w:lineRule="exact"/>
      <w:ind w:left="567" w:right="567"/>
    </w:pPr>
    <w:rPr>
      <w:rFonts w:ascii="Söhne" w:hAnsi="Söhne"/>
      <w:i/>
      <w:iCs/>
    </w:rPr>
  </w:style>
  <w:style w:type="paragraph" w:customStyle="1" w:styleId="paraA0">
    <w:name w:val="paraA"/>
    <w:basedOn w:val="Normal"/>
    <w:link w:val="paraACar"/>
    <w:uiPriority w:val="99"/>
    <w:rsid w:val="00AE138F"/>
    <w:pPr>
      <w:spacing w:after="240" w:line="240" w:lineRule="auto"/>
    </w:pPr>
    <w:rPr>
      <w:rFonts w:ascii="Söhne" w:hAnsi="Söhne" w:cs="Times New Roman"/>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AE138F"/>
    <w:pPr>
      <w:widowControl w:val="0"/>
      <w:pBdr>
        <w:top w:val="single" w:sz="4" w:space="5" w:color="auto"/>
      </w:pBdr>
      <w:tabs>
        <w:tab w:val="clear" w:pos="-720"/>
        <w:tab w:val="right" w:pos="9072"/>
      </w:tabs>
      <w:spacing w:line="240" w:lineRule="auto"/>
      <w:jc w:val="left"/>
    </w:pPr>
    <w:rPr>
      <w:rFonts w:ascii="Söhne" w:eastAsiaTheme="minorEastAsia" w:hAnsi="Söhne" w:cs="Times New Roman"/>
      <w:sz w:val="16"/>
      <w:szCs w:val="22"/>
      <w:lang w:val="en-US" w:eastAsia="en-US"/>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customStyle="1" w:styleId="sumtextelastpara">
    <w:name w:val="sumtexte last para"/>
    <w:basedOn w:val="sumtexte"/>
    <w:pPr>
      <w:spacing w:after="480"/>
    </w:pPr>
  </w:style>
  <w:style w:type="paragraph" w:customStyle="1" w:styleId="b">
    <w:name w:val="b)"/>
    <w:basedOn w:val="Normal"/>
    <w:pPr>
      <w:spacing w:after="120" w:line="240" w:lineRule="auto"/>
      <w:ind w:left="850" w:hanging="425"/>
    </w:pPr>
    <w:rPr>
      <w:rFonts w:ascii="Ottawa" w:hAnsi="Ottawa"/>
      <w:b/>
    </w:rPr>
  </w:style>
  <w:style w:type="paragraph" w:customStyle="1" w:styleId="ipara">
    <w:name w:val="i_para"/>
    <w:basedOn w:val="i"/>
    <w:pPr>
      <w:spacing w:line="200" w:lineRule="exact"/>
      <w:ind w:left="851" w:firstLine="0"/>
    </w:pPr>
  </w:style>
  <w:style w:type="paragraph" w:customStyle="1" w:styleId="iparalast">
    <w:name w:val="i_para_last"/>
    <w:basedOn w:val="i"/>
    <w:pPr>
      <w:spacing w:after="240" w:line="200" w:lineRule="exact"/>
    </w:pPr>
  </w:style>
  <w:style w:type="paragraph" w:customStyle="1" w:styleId="Referencetitle">
    <w:name w:val="Reference_title"/>
    <w:basedOn w:val="Normal"/>
    <w:uiPriority w:val="99"/>
    <w:rsid w:val="00AE138F"/>
    <w:pPr>
      <w:widowControl w:val="0"/>
      <w:tabs>
        <w:tab w:val="left" w:pos="2410"/>
      </w:tabs>
      <w:spacing w:after="240" w:line="240" w:lineRule="auto"/>
      <w:jc w:val="center"/>
    </w:pPr>
    <w:rPr>
      <w:rFonts w:ascii="Söhne Halbfett" w:hAnsi="Söhne Halbfett" w:cs="Times New Roman"/>
      <w:sz w:val="22"/>
      <w:szCs w:val="20"/>
    </w:rPr>
  </w:style>
  <w:style w:type="paragraph" w:customStyle="1" w:styleId="Chatperno">
    <w:name w:val="Chatper_no"/>
    <w:basedOn w:val="Normal"/>
    <w:uiPriority w:val="99"/>
    <w:rsid w:val="00AE138F"/>
    <w:pPr>
      <w:spacing w:after="240" w:line="240" w:lineRule="auto"/>
      <w:jc w:val="center"/>
    </w:pPr>
    <w:rPr>
      <w:rFonts w:ascii="Söhne Kräftig" w:hAnsi="Söhne Kräftig" w:cs="Times New Roman"/>
      <w:caps/>
      <w:spacing w:val="60"/>
      <w:sz w:val="24"/>
      <w:szCs w:val="20"/>
    </w:rPr>
  </w:style>
  <w:style w:type="paragraph" w:customStyle="1" w:styleId="Chaptertitle">
    <w:name w:val="Chapter_title"/>
    <w:basedOn w:val="Normal"/>
    <w:rsid w:val="00AE138F"/>
    <w:pPr>
      <w:pBdr>
        <w:bottom w:val="single" w:sz="6" w:space="10" w:color="auto"/>
      </w:pBdr>
      <w:spacing w:line="240" w:lineRule="auto"/>
      <w:jc w:val="center"/>
    </w:pPr>
    <w:rPr>
      <w:rFonts w:ascii="Söhne Halbfett" w:hAnsi="Söhne Halbfett" w:cs="Times New Roman"/>
      <w:caps/>
      <w:spacing w:val="40"/>
      <w:sz w:val="32"/>
      <w:szCs w:val="20"/>
    </w:rPr>
  </w:style>
  <w:style w:type="paragraph" w:customStyle="1" w:styleId="Summarytitle">
    <w:name w:val="Summary_title"/>
    <w:basedOn w:val="Normal"/>
    <w:uiPriority w:val="99"/>
    <w:rsid w:val="00AE138F"/>
    <w:pPr>
      <w:spacing w:before="1200" w:after="240" w:line="240" w:lineRule="auto"/>
      <w:jc w:val="center"/>
    </w:pPr>
    <w:rPr>
      <w:rFonts w:ascii="Söhne Halbfett" w:hAnsi="Söhne Halbfett" w:cs="Times New Roman"/>
      <w:bCs/>
      <w:caps/>
      <w:sz w:val="24"/>
      <w:szCs w:val="24"/>
    </w:rPr>
  </w:style>
  <w:style w:type="paragraph" w:customStyle="1" w:styleId="rtoiles">
    <w:name w:val="r_étoiles"/>
    <w:basedOn w:val="Normal"/>
    <w:next w:val="Normal"/>
    <w:uiPriority w:val="99"/>
    <w:rsid w:val="00AE138F"/>
    <w:pPr>
      <w:keepLines/>
      <w:tabs>
        <w:tab w:val="clear" w:pos="-720"/>
      </w:tabs>
      <w:spacing w:before="240" w:after="240" w:line="240" w:lineRule="atLeast"/>
      <w:jc w:val="center"/>
    </w:pPr>
    <w:rPr>
      <w:rFonts w:ascii="Times New Roman" w:hAnsi="Times New Roman" w:cs="Times New Roman"/>
      <w:sz w:val="20"/>
      <w:szCs w:val="20"/>
      <w:lang w:val="fr-FR"/>
    </w:rPr>
  </w:style>
  <w:style w:type="paragraph" w:styleId="BalloonText">
    <w:name w:val="Balloon Text"/>
    <w:basedOn w:val="Normal"/>
    <w:semiHidden/>
    <w:rPr>
      <w:rFonts w:ascii="Tahoma" w:hAnsi="Tahoma" w:cs="Tahoma"/>
      <w:sz w:val="16"/>
      <w:szCs w:val="16"/>
    </w:rPr>
  </w:style>
  <w:style w:type="character" w:styleId="Hyperlink">
    <w:name w:val="Hyperlink"/>
    <w:rsid w:val="00BF58E8"/>
    <w:rPr>
      <w:color w:val="0033CC"/>
      <w:u w:val="single"/>
    </w:rPr>
  </w:style>
  <w:style w:type="character" w:customStyle="1" w:styleId="RefChar">
    <w:name w:val="Ref. Char"/>
    <w:link w:val="Ref"/>
    <w:rsid w:val="002F5B80"/>
    <w:rPr>
      <w:rFonts w:ascii="Söhne" w:hAnsi="Söhne" w:cs="Arial"/>
      <w:sz w:val="18"/>
      <w:szCs w:val="18"/>
      <w:lang w:eastAsia="fr-FR"/>
    </w:rPr>
  </w:style>
  <w:style w:type="character" w:styleId="CommentReference">
    <w:name w:val="annotation reference"/>
    <w:semiHidden/>
    <w:rsid w:val="00443232"/>
    <w:rPr>
      <w:sz w:val="16"/>
      <w:szCs w:val="16"/>
    </w:rPr>
  </w:style>
  <w:style w:type="paragraph" w:styleId="CommentText">
    <w:name w:val="annotation text"/>
    <w:basedOn w:val="Normal"/>
    <w:semiHidden/>
    <w:rsid w:val="00443232"/>
    <w:rPr>
      <w:sz w:val="20"/>
      <w:szCs w:val="20"/>
    </w:rPr>
  </w:style>
  <w:style w:type="paragraph" w:styleId="CommentSubject">
    <w:name w:val="annotation subject"/>
    <w:basedOn w:val="CommentText"/>
    <w:next w:val="CommentText"/>
    <w:semiHidden/>
    <w:rsid w:val="00443232"/>
    <w:rPr>
      <w:b/>
      <w:bCs/>
    </w:rPr>
  </w:style>
  <w:style w:type="character" w:customStyle="1" w:styleId="ti">
    <w:name w:val="ti"/>
    <w:basedOn w:val="DefaultParagraphFont"/>
    <w:rsid w:val="003A5285"/>
  </w:style>
  <w:style w:type="paragraph" w:customStyle="1" w:styleId="Rvision1">
    <w:name w:val="Révision1"/>
    <w:hidden/>
    <w:uiPriority w:val="99"/>
    <w:semiHidden/>
    <w:rsid w:val="007C215B"/>
    <w:rPr>
      <w:rFonts w:ascii="Arial" w:hAnsi="Arial" w:cs="Arial"/>
      <w:sz w:val="18"/>
      <w:szCs w:val="18"/>
      <w:lang w:eastAsia="fr-FR"/>
    </w:rPr>
  </w:style>
  <w:style w:type="character" w:customStyle="1" w:styleId="iCar1">
    <w:name w:val="i) Car1"/>
    <w:link w:val="i"/>
    <w:uiPriority w:val="99"/>
    <w:rsid w:val="00F51679"/>
    <w:rPr>
      <w:rFonts w:ascii="Söhne" w:eastAsiaTheme="minorEastAsia" w:hAnsi="Söhne" w:cs="Arial"/>
      <w:sz w:val="18"/>
      <w:szCs w:val="18"/>
      <w:lang w:eastAsia="en-US"/>
    </w:rPr>
  </w:style>
  <w:style w:type="character" w:customStyle="1" w:styleId="HeaderChar">
    <w:name w:val="Header Char"/>
    <w:basedOn w:val="DefaultParagraphFont"/>
    <w:link w:val="Header"/>
    <w:uiPriority w:val="99"/>
    <w:rsid w:val="00AE138F"/>
    <w:rPr>
      <w:rFonts w:ascii="Söhne" w:eastAsiaTheme="minorEastAsia" w:hAnsi="Söhne"/>
      <w:i/>
      <w:sz w:val="16"/>
      <w:szCs w:val="22"/>
      <w:lang w:val="en-US" w:eastAsia="en-US"/>
    </w:rPr>
  </w:style>
  <w:style w:type="paragraph" w:customStyle="1" w:styleId="Reflabnote">
    <w:name w:val="Ref_lab_note"/>
    <w:basedOn w:val="Normal"/>
    <w:link w:val="ReflabnoteCar"/>
    <w:rsid w:val="008A6FE4"/>
    <w:pPr>
      <w:tabs>
        <w:tab w:val="clear" w:pos="-720"/>
      </w:tabs>
      <w:spacing w:before="120" w:after="120" w:line="240" w:lineRule="auto"/>
      <w:jc w:val="center"/>
    </w:pPr>
  </w:style>
  <w:style w:type="character" w:customStyle="1" w:styleId="ReflabnoteCar">
    <w:name w:val="Ref_lab_note Car"/>
    <w:link w:val="Reflabnote"/>
    <w:rsid w:val="008A6FE4"/>
    <w:rPr>
      <w:rFonts w:ascii="Arial" w:hAnsi="Arial" w:cs="Arial"/>
      <w:sz w:val="18"/>
      <w:szCs w:val="18"/>
      <w:lang w:eastAsia="fr-FR"/>
    </w:rPr>
  </w:style>
  <w:style w:type="character" w:customStyle="1" w:styleId="FootnoteTextChar">
    <w:name w:val="Footnote Text Char"/>
    <w:basedOn w:val="DefaultParagraphFont"/>
    <w:link w:val="FootnoteText"/>
    <w:uiPriority w:val="99"/>
    <w:rsid w:val="00F51679"/>
    <w:rPr>
      <w:rFonts w:ascii="Arial" w:hAnsi="Arial" w:cs="Arial"/>
      <w:sz w:val="18"/>
      <w:szCs w:val="18"/>
      <w:lang w:eastAsia="fr-FR"/>
    </w:rPr>
  </w:style>
  <w:style w:type="paragraph" w:customStyle="1" w:styleId="TableHead">
    <w:name w:val="Table Head"/>
    <w:basedOn w:val="Normal"/>
    <w:uiPriority w:val="99"/>
    <w:rsid w:val="00F51679"/>
    <w:pPr>
      <w:tabs>
        <w:tab w:val="clear" w:pos="-720"/>
      </w:tabs>
      <w:spacing w:before="120" w:after="120" w:line="240" w:lineRule="auto"/>
      <w:jc w:val="center"/>
    </w:pPr>
    <w:rPr>
      <w:rFonts w:ascii="Ottawa" w:hAnsi="Ottawa" w:cs="Times New Roman"/>
      <w:b/>
      <w:bCs/>
      <w:szCs w:val="22"/>
      <w:lang w:val="en-IE" w:eastAsia="en-US" w:bidi="en-US"/>
    </w:rPr>
  </w:style>
  <w:style w:type="paragraph" w:customStyle="1" w:styleId="Tabletext">
    <w:name w:val="Table text"/>
    <w:basedOn w:val="Normal"/>
    <w:uiPriority w:val="99"/>
    <w:rsid w:val="001F246B"/>
    <w:pPr>
      <w:tabs>
        <w:tab w:val="clear" w:pos="-720"/>
      </w:tabs>
      <w:spacing w:before="120" w:after="120" w:line="240" w:lineRule="auto"/>
      <w:jc w:val="center"/>
    </w:pPr>
    <w:rPr>
      <w:rFonts w:ascii="Söhne" w:hAnsi="Söhne"/>
      <w:bCs/>
      <w:sz w:val="16"/>
      <w:szCs w:val="22"/>
      <w:lang w:val="en-IE" w:eastAsia="en-US" w:bidi="en-US"/>
    </w:rPr>
  </w:style>
  <w:style w:type="paragraph" w:customStyle="1" w:styleId="Tabletitle">
    <w:name w:val="Table title"/>
    <w:basedOn w:val="Normal"/>
    <w:autoRedefine/>
    <w:uiPriority w:val="99"/>
    <w:rsid w:val="001F246B"/>
    <w:pPr>
      <w:tabs>
        <w:tab w:val="clear" w:pos="-720"/>
      </w:tabs>
      <w:spacing w:before="240" w:after="120" w:line="240" w:lineRule="auto"/>
      <w:jc w:val="center"/>
    </w:pPr>
    <w:rPr>
      <w:rFonts w:ascii="Söhne Kräftig" w:hAnsi="Söhne Kräftig" w:cs="Calibri"/>
      <w:b/>
      <w:bCs/>
      <w:i/>
      <w:szCs w:val="22"/>
      <w:lang w:eastAsia="en-US" w:bidi="en-US"/>
    </w:rPr>
  </w:style>
  <w:style w:type="paragraph" w:styleId="PlainText">
    <w:name w:val="Plain Text"/>
    <w:basedOn w:val="Normal"/>
    <w:link w:val="PlainTextChar"/>
    <w:uiPriority w:val="99"/>
    <w:unhideWhenUsed/>
    <w:rsid w:val="00F51679"/>
    <w:pPr>
      <w:tabs>
        <w:tab w:val="clear" w:pos="-720"/>
      </w:tabs>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51679"/>
    <w:rPr>
      <w:rFonts w:ascii="Calibri" w:eastAsiaTheme="minorHAnsi" w:hAnsi="Calibri" w:cstheme="minorBidi"/>
      <w:sz w:val="22"/>
      <w:szCs w:val="21"/>
      <w:lang w:eastAsia="en-US"/>
    </w:rPr>
  </w:style>
  <w:style w:type="paragraph" w:customStyle="1" w:styleId="A1">
    <w:name w:val="A1"/>
    <w:basedOn w:val="Heading1"/>
    <w:qFormat/>
    <w:rsid w:val="00F51679"/>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AE138F"/>
    <w:pPr>
      <w:tabs>
        <w:tab w:val="clear" w:pos="-720"/>
      </w:tabs>
      <w:spacing w:after="240" w:line="240" w:lineRule="auto"/>
    </w:pPr>
    <w:rPr>
      <w:rFonts w:ascii="Söhne" w:eastAsiaTheme="minorEastAsia" w:hAnsi="Söhne"/>
      <w:lang w:eastAsia="en-US"/>
    </w:rPr>
  </w:style>
  <w:style w:type="paragraph" w:customStyle="1" w:styleId="11">
    <w:name w:val="1.1"/>
    <w:basedOn w:val="Normal"/>
    <w:uiPriority w:val="99"/>
    <w:rsid w:val="00AE138F"/>
    <w:pPr>
      <w:tabs>
        <w:tab w:val="clear" w:pos="-720"/>
      </w:tabs>
      <w:spacing w:after="240" w:line="240" w:lineRule="auto"/>
      <w:ind w:left="850" w:hanging="425"/>
      <w:jc w:val="left"/>
    </w:pPr>
    <w:rPr>
      <w:rFonts w:ascii="Söhne Halbfett" w:eastAsiaTheme="minorEastAsia" w:hAnsi="Söhne Halbfett"/>
      <w:sz w:val="20"/>
      <w:szCs w:val="22"/>
      <w:lang w:eastAsia="en-US"/>
    </w:rPr>
  </w:style>
  <w:style w:type="paragraph" w:customStyle="1" w:styleId="11Para">
    <w:name w:val="1.1_Para"/>
    <w:basedOn w:val="Normal"/>
    <w:uiPriority w:val="99"/>
    <w:rsid w:val="00AE138F"/>
    <w:pPr>
      <w:tabs>
        <w:tab w:val="clear" w:pos="-720"/>
      </w:tabs>
      <w:spacing w:after="240" w:line="240" w:lineRule="auto"/>
      <w:ind w:left="851"/>
    </w:pPr>
    <w:rPr>
      <w:rFonts w:ascii="Söhne" w:eastAsiaTheme="minorEastAsia" w:hAnsi="Söhne"/>
      <w:lang w:eastAsia="en-US"/>
    </w:rPr>
  </w:style>
  <w:style w:type="paragraph" w:customStyle="1" w:styleId="111">
    <w:name w:val="1.1.1"/>
    <w:basedOn w:val="Normal"/>
    <w:uiPriority w:val="99"/>
    <w:qFormat/>
    <w:rsid w:val="00AE138F"/>
    <w:pPr>
      <w:tabs>
        <w:tab w:val="clear" w:pos="-720"/>
      </w:tabs>
      <w:spacing w:after="120" w:line="240" w:lineRule="auto"/>
      <w:ind w:left="1418" w:hanging="567"/>
      <w:jc w:val="left"/>
    </w:pPr>
    <w:rPr>
      <w:rFonts w:ascii="Söhne Kräftig" w:eastAsiaTheme="minorEastAsia" w:hAnsi="Söhne Kräftig"/>
      <w:sz w:val="19"/>
      <w:szCs w:val="20"/>
      <w:lang w:eastAsia="en-US"/>
    </w:rPr>
  </w:style>
  <w:style w:type="paragraph" w:customStyle="1" w:styleId="111Para">
    <w:name w:val="1.1.1_Para"/>
    <w:basedOn w:val="Normal"/>
    <w:qFormat/>
    <w:rsid w:val="00AE138F"/>
    <w:pPr>
      <w:tabs>
        <w:tab w:val="clear" w:pos="-720"/>
      </w:tabs>
      <w:spacing w:after="240" w:line="240" w:lineRule="auto"/>
      <w:ind w:left="1418"/>
    </w:pPr>
    <w:rPr>
      <w:rFonts w:ascii="Söhne" w:eastAsiaTheme="minorEastAsia" w:hAnsi="Söhne"/>
      <w:lang w:eastAsia="en-US"/>
    </w:rPr>
  </w:style>
  <w:style w:type="paragraph" w:customStyle="1" w:styleId="ilast">
    <w:name w:val="i)_last"/>
    <w:basedOn w:val="Normal"/>
    <w:uiPriority w:val="99"/>
    <w:rsid w:val="00AE138F"/>
    <w:pPr>
      <w:tabs>
        <w:tab w:val="clear" w:pos="-720"/>
      </w:tabs>
      <w:spacing w:after="240" w:line="240" w:lineRule="auto"/>
      <w:ind w:left="1843" w:hanging="425"/>
      <w:jc w:val="left"/>
    </w:pPr>
    <w:rPr>
      <w:rFonts w:eastAsiaTheme="minorEastAsia"/>
      <w:lang w:eastAsia="en-US"/>
    </w:rPr>
  </w:style>
  <w:style w:type="paragraph" w:customStyle="1" w:styleId="afourthlevel">
    <w:name w:val="a)_fourth_level"/>
    <w:basedOn w:val="Normal"/>
    <w:uiPriority w:val="99"/>
    <w:rsid w:val="00AE138F"/>
    <w:pPr>
      <w:tabs>
        <w:tab w:val="clear" w:pos="-720"/>
      </w:tabs>
      <w:spacing w:after="120" w:line="240" w:lineRule="auto"/>
      <w:ind w:left="1843" w:hanging="425"/>
      <w:jc w:val="left"/>
    </w:pPr>
    <w:rPr>
      <w:rFonts w:ascii="Söhne Kräftig" w:eastAsiaTheme="minorEastAsia" w:hAnsi="Söhne Kräftig"/>
      <w:szCs w:val="20"/>
      <w:lang w:eastAsia="en-US"/>
    </w:rPr>
  </w:style>
  <w:style w:type="paragraph" w:customStyle="1" w:styleId="afourthpara">
    <w:name w:val="a)_fourth_para"/>
    <w:basedOn w:val="Normal"/>
    <w:uiPriority w:val="99"/>
    <w:rsid w:val="00AE138F"/>
    <w:pPr>
      <w:tabs>
        <w:tab w:val="clear" w:pos="-720"/>
      </w:tabs>
      <w:spacing w:after="240" w:line="240" w:lineRule="auto"/>
      <w:ind w:left="1843"/>
    </w:pPr>
    <w:rPr>
      <w:rFonts w:ascii="Söhne" w:eastAsiaTheme="minorEastAsia" w:hAnsi="Söhne"/>
      <w:lang w:eastAsia="en-US"/>
    </w:rPr>
  </w:style>
  <w:style w:type="paragraph" w:customStyle="1" w:styleId="ififthlevel">
    <w:name w:val="i)_fifth_level"/>
    <w:basedOn w:val="Normal"/>
    <w:uiPriority w:val="99"/>
    <w:rsid w:val="00AE138F"/>
    <w:pPr>
      <w:tabs>
        <w:tab w:val="clear" w:pos="-720"/>
      </w:tabs>
      <w:spacing w:after="120" w:line="240" w:lineRule="auto"/>
      <w:ind w:left="2268" w:hanging="425"/>
      <w:jc w:val="left"/>
    </w:pPr>
    <w:rPr>
      <w:rFonts w:ascii="Ottawa" w:eastAsiaTheme="minorEastAsia" w:hAnsi="Ottawa"/>
      <w:b/>
      <w:sz w:val="17"/>
      <w:lang w:eastAsia="en-US"/>
    </w:rPr>
  </w:style>
  <w:style w:type="paragraph" w:customStyle="1" w:styleId="ififthpara">
    <w:name w:val="i)_fifth_para"/>
    <w:basedOn w:val="Normal"/>
    <w:uiPriority w:val="99"/>
    <w:rsid w:val="00AE138F"/>
    <w:pPr>
      <w:tabs>
        <w:tab w:val="clear" w:pos="-720"/>
      </w:tabs>
      <w:spacing w:after="240" w:line="240" w:lineRule="auto"/>
      <w:ind w:left="1843"/>
    </w:pPr>
    <w:rPr>
      <w:rFonts w:ascii="Söhne" w:eastAsiaTheme="minorEastAsia" w:hAnsi="Söhne"/>
      <w:lang w:eastAsia="en-US"/>
    </w:rPr>
  </w:style>
  <w:style w:type="paragraph" w:customStyle="1" w:styleId="dotsixthlevel">
    <w:name w:val="dot_sixth_level"/>
    <w:basedOn w:val="Normal"/>
    <w:uiPriority w:val="99"/>
    <w:rsid w:val="00AE138F"/>
    <w:pPr>
      <w:tabs>
        <w:tab w:val="clear" w:pos="-720"/>
      </w:tabs>
      <w:spacing w:after="120" w:line="240" w:lineRule="auto"/>
      <w:ind w:left="2268" w:hanging="425"/>
    </w:pPr>
    <w:rPr>
      <w:rFonts w:ascii="Söhne" w:eastAsiaTheme="minorEastAsia" w:hAnsi="Söhne"/>
      <w:lang w:eastAsia="en-US"/>
    </w:rPr>
  </w:style>
  <w:style w:type="paragraph" w:customStyle="1" w:styleId="dotsixthpara">
    <w:name w:val="dot_sixth_para"/>
    <w:basedOn w:val="Normal"/>
    <w:uiPriority w:val="99"/>
    <w:rsid w:val="00AE138F"/>
    <w:pPr>
      <w:tabs>
        <w:tab w:val="clear" w:pos="-720"/>
      </w:tabs>
      <w:spacing w:after="240" w:line="240" w:lineRule="auto"/>
      <w:ind w:left="2268"/>
    </w:pPr>
    <w:rPr>
      <w:rFonts w:ascii="Söhne" w:eastAsiaTheme="minorEastAsia" w:hAnsi="Söhne"/>
      <w:lang w:eastAsia="en-US"/>
    </w:rPr>
  </w:style>
  <w:style w:type="paragraph" w:customStyle="1" w:styleId="ififthlevellist">
    <w:name w:val="i_fifth_level_list"/>
    <w:basedOn w:val="ififthpara"/>
    <w:uiPriority w:val="99"/>
    <w:rsid w:val="00AE138F"/>
    <w:pPr>
      <w:spacing w:after="120"/>
      <w:ind w:hanging="425"/>
    </w:pPr>
  </w:style>
  <w:style w:type="paragraph" w:customStyle="1" w:styleId="11ilist">
    <w:name w:val="1.1.i_list"/>
    <w:basedOn w:val="ListParagraph"/>
    <w:uiPriority w:val="99"/>
    <w:rsid w:val="00AE138F"/>
    <w:pPr>
      <w:tabs>
        <w:tab w:val="clear" w:pos="-720"/>
        <w:tab w:val="left" w:pos="851"/>
      </w:tabs>
      <w:spacing w:after="120" w:line="240" w:lineRule="auto"/>
      <w:ind w:left="1276" w:hanging="425"/>
      <w:contextualSpacing w:val="0"/>
    </w:pPr>
    <w:rPr>
      <w:rFonts w:ascii="Söhne" w:eastAsiaTheme="minorEastAsia" w:hAnsi="Söhne"/>
      <w:lang w:eastAsia="en-US"/>
    </w:rPr>
  </w:style>
  <w:style w:type="character" w:customStyle="1" w:styleId="Heading1Char">
    <w:name w:val="Heading 1 Char"/>
    <w:basedOn w:val="DefaultParagraphFont"/>
    <w:link w:val="Heading1"/>
    <w:uiPriority w:val="99"/>
    <w:rsid w:val="00AC55BF"/>
    <w:rPr>
      <w:rFonts w:ascii="Arial" w:hAnsi="Arial" w:cs="Arial"/>
      <w:b/>
      <w:bCs/>
      <w:sz w:val="24"/>
      <w:szCs w:val="24"/>
      <w:u w:val="single"/>
      <w:lang w:eastAsia="fr-FR"/>
    </w:rPr>
  </w:style>
  <w:style w:type="paragraph" w:styleId="BodyText">
    <w:name w:val="Body Text"/>
    <w:basedOn w:val="Normal"/>
    <w:link w:val="BodyTextChar"/>
    <w:uiPriority w:val="99"/>
    <w:rsid w:val="00AC55BF"/>
    <w:pPr>
      <w:widowControl w:val="0"/>
      <w:tabs>
        <w:tab w:val="clear" w:pos="-720"/>
      </w:tabs>
      <w:spacing w:after="120" w:line="240" w:lineRule="auto"/>
    </w:pPr>
    <w:rPr>
      <w:rFonts w:ascii="Times New Roman" w:hAnsi="Times New Roman" w:cs="Times New Roman"/>
      <w:sz w:val="20"/>
      <w:szCs w:val="20"/>
      <w:lang w:val="fr-FR"/>
    </w:rPr>
  </w:style>
  <w:style w:type="character" w:customStyle="1" w:styleId="BodyTextChar">
    <w:name w:val="Body Text Char"/>
    <w:basedOn w:val="DefaultParagraphFont"/>
    <w:link w:val="BodyText"/>
    <w:uiPriority w:val="99"/>
    <w:rsid w:val="00AC55BF"/>
    <w:rPr>
      <w:lang w:val="fr-FR" w:eastAsia="fr-FR"/>
    </w:rPr>
  </w:style>
  <w:style w:type="paragraph" w:styleId="ListParagraph">
    <w:name w:val="List Paragraph"/>
    <w:basedOn w:val="Normal"/>
    <w:uiPriority w:val="34"/>
    <w:qFormat/>
    <w:rsid w:val="00596AF4"/>
    <w:pPr>
      <w:ind w:left="720"/>
      <w:contextualSpacing/>
    </w:pPr>
  </w:style>
  <w:style w:type="paragraph" w:styleId="Revision">
    <w:name w:val="Revision"/>
    <w:hidden/>
    <w:uiPriority w:val="99"/>
    <w:semiHidden/>
    <w:rsid w:val="00B37504"/>
    <w:rPr>
      <w:rFonts w:ascii="Arial" w:hAnsi="Arial" w:cs="Arial"/>
      <w:sz w:val="18"/>
      <w:szCs w:val="18"/>
      <w:lang w:eastAsia="fr-FR"/>
    </w:rPr>
  </w:style>
  <w:style w:type="character" w:customStyle="1" w:styleId="cf01">
    <w:name w:val="cf01"/>
    <w:basedOn w:val="DefaultParagraphFont"/>
    <w:rsid w:val="00FE4D2F"/>
    <w:rPr>
      <w:rFonts w:ascii="Segoe UI" w:hAnsi="Segoe UI" w:cs="Segoe UI" w:hint="default"/>
      <w:sz w:val="18"/>
      <w:szCs w:val="18"/>
    </w:rPr>
  </w:style>
  <w:style w:type="character" w:customStyle="1" w:styleId="cf11">
    <w:name w:val="cf11"/>
    <w:basedOn w:val="DefaultParagraphFont"/>
    <w:rsid w:val="00FE4D2F"/>
    <w:rPr>
      <w:rFonts w:ascii="Segoe UI" w:hAnsi="Segoe UI" w:cs="Segoe UI" w:hint="default"/>
      <w:i/>
      <w:iCs/>
      <w:sz w:val="18"/>
      <w:szCs w:val="18"/>
    </w:rPr>
  </w:style>
  <w:style w:type="paragraph" w:customStyle="1" w:styleId="1111">
    <w:name w:val="1.1.1.1"/>
    <w:basedOn w:val="Normal"/>
    <w:uiPriority w:val="99"/>
    <w:qFormat/>
    <w:rsid w:val="00AE138F"/>
    <w:pPr>
      <w:tabs>
        <w:tab w:val="clear" w:pos="-720"/>
      </w:tabs>
      <w:spacing w:after="120" w:line="240" w:lineRule="auto"/>
      <w:ind w:left="1843" w:hanging="425"/>
      <w:jc w:val="left"/>
    </w:pPr>
    <w:rPr>
      <w:rFonts w:ascii="Söhne Kräftig" w:eastAsiaTheme="minorEastAsia" w:hAnsi="Söhne Kräftig"/>
      <w:lang w:eastAsia="en-US"/>
    </w:rPr>
  </w:style>
  <w:style w:type="paragraph" w:customStyle="1" w:styleId="11111">
    <w:name w:val="1.1.1.1.1"/>
    <w:basedOn w:val="Normal"/>
    <w:uiPriority w:val="99"/>
    <w:rsid w:val="00AE138F"/>
    <w:pPr>
      <w:tabs>
        <w:tab w:val="clear" w:pos="-720"/>
      </w:tabs>
      <w:spacing w:after="120" w:line="240" w:lineRule="auto"/>
      <w:ind w:left="1588"/>
      <w:jc w:val="left"/>
    </w:pPr>
    <w:rPr>
      <w:rFonts w:ascii="Söhne" w:eastAsiaTheme="minorEastAsia" w:hAnsi="Söhne"/>
      <w:lang w:eastAsia="en-US"/>
    </w:rPr>
  </w:style>
  <w:style w:type="character" w:customStyle="1" w:styleId="FooterChar">
    <w:name w:val="Footer Char"/>
    <w:basedOn w:val="DefaultParagraphFont"/>
    <w:link w:val="Footer"/>
    <w:uiPriority w:val="99"/>
    <w:rsid w:val="00AE138F"/>
    <w:rPr>
      <w:rFonts w:ascii="Söhne" w:eastAsiaTheme="minorEastAsia" w:hAnsi="Söhne"/>
      <w:sz w:val="16"/>
      <w:szCs w:val="22"/>
      <w:lang w:val="en-US" w:eastAsia="en-US"/>
    </w:rPr>
  </w:style>
  <w:style w:type="character" w:customStyle="1" w:styleId="paraACar">
    <w:name w:val="paraA Car"/>
    <w:link w:val="paraA0"/>
    <w:uiPriority w:val="99"/>
    <w:locked/>
    <w:rsid w:val="00AE138F"/>
    <w:rPr>
      <w:rFonts w:ascii="Söhne" w:hAnsi="Söhne"/>
      <w:sz w:val="18"/>
      <w:szCs w:val="18"/>
      <w:lang w:eastAsia="fr-FR"/>
    </w:rPr>
  </w:style>
  <w:style w:type="paragraph" w:customStyle="1" w:styleId="rfrences">
    <w:name w:val="références"/>
    <w:basedOn w:val="Normal"/>
    <w:link w:val="rfrencesChar"/>
    <w:rsid w:val="00AE138F"/>
    <w:pPr>
      <w:tabs>
        <w:tab w:val="clear" w:pos="-720"/>
      </w:tabs>
      <w:spacing w:after="240" w:line="240" w:lineRule="auto"/>
    </w:pPr>
    <w:rPr>
      <w:rFonts w:ascii="Söhne" w:hAnsi="Söhne" w:cs="Times New Roman"/>
      <w:szCs w:val="22"/>
      <w:lang w:val="fr-FR" w:bidi="en-US"/>
    </w:rPr>
  </w:style>
  <w:style w:type="character" w:customStyle="1" w:styleId="rfrencesChar">
    <w:name w:val="références Char"/>
    <w:link w:val="rfrences"/>
    <w:rsid w:val="00AE138F"/>
    <w:rPr>
      <w:rFonts w:ascii="Söhne" w:hAnsi="Söhne"/>
      <w:sz w:val="18"/>
      <w:szCs w:val="22"/>
      <w:lang w:val="fr-FR" w:eastAsia="fr-FR" w:bidi="en-US"/>
    </w:rPr>
  </w:style>
  <w:style w:type="character" w:styleId="UnresolvedMention">
    <w:name w:val="Unresolved Mention"/>
    <w:basedOn w:val="DefaultParagraphFont"/>
    <w:uiPriority w:val="99"/>
    <w:semiHidden/>
    <w:unhideWhenUsed/>
    <w:rsid w:val="002F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3524">
      <w:bodyDiv w:val="1"/>
      <w:marLeft w:val="0"/>
      <w:marRight w:val="0"/>
      <w:marTop w:val="0"/>
      <w:marBottom w:val="0"/>
      <w:divBdr>
        <w:top w:val="none" w:sz="0" w:space="0" w:color="auto"/>
        <w:left w:val="none" w:sz="0" w:space="0" w:color="auto"/>
        <w:bottom w:val="none" w:sz="0" w:space="0" w:color="auto"/>
        <w:right w:val="none" w:sz="0" w:space="0" w:color="auto"/>
      </w:divBdr>
    </w:div>
    <w:div w:id="481317293">
      <w:bodyDiv w:val="1"/>
      <w:marLeft w:val="0"/>
      <w:marRight w:val="0"/>
      <w:marTop w:val="0"/>
      <w:marBottom w:val="0"/>
      <w:divBdr>
        <w:top w:val="none" w:sz="0" w:space="0" w:color="auto"/>
        <w:left w:val="none" w:sz="0" w:space="0" w:color="auto"/>
        <w:bottom w:val="none" w:sz="0" w:space="0" w:color="auto"/>
        <w:right w:val="none" w:sz="0" w:space="0" w:color="auto"/>
      </w:divBdr>
    </w:div>
    <w:div w:id="1162354521">
      <w:bodyDiv w:val="1"/>
      <w:marLeft w:val="0"/>
      <w:marRight w:val="0"/>
      <w:marTop w:val="0"/>
      <w:marBottom w:val="0"/>
      <w:divBdr>
        <w:top w:val="none" w:sz="0" w:space="0" w:color="auto"/>
        <w:left w:val="none" w:sz="0" w:space="0" w:color="auto"/>
        <w:bottom w:val="none" w:sz="0" w:space="0" w:color="auto"/>
        <w:right w:val="none" w:sz="0" w:space="0" w:color="auto"/>
      </w:divBdr>
    </w:div>
    <w:div w:id="1380545371">
      <w:bodyDiv w:val="1"/>
      <w:marLeft w:val="0"/>
      <w:marRight w:val="0"/>
      <w:marTop w:val="0"/>
      <w:marBottom w:val="0"/>
      <w:divBdr>
        <w:top w:val="none" w:sz="0" w:space="0" w:color="auto"/>
        <w:left w:val="none" w:sz="0" w:space="0" w:color="auto"/>
        <w:bottom w:val="none" w:sz="0" w:space="0" w:color="auto"/>
        <w:right w:val="none" w:sz="0" w:space="0" w:color="auto"/>
      </w:divBdr>
      <w:divsChild>
        <w:div w:id="1908610138">
          <w:marLeft w:val="0"/>
          <w:marRight w:val="0"/>
          <w:marTop w:val="0"/>
          <w:marBottom w:val="0"/>
          <w:divBdr>
            <w:top w:val="none" w:sz="0" w:space="0" w:color="auto"/>
            <w:left w:val="none" w:sz="0" w:space="0" w:color="auto"/>
            <w:bottom w:val="none" w:sz="0" w:space="0" w:color="auto"/>
            <w:right w:val="none" w:sz="0" w:space="0" w:color="auto"/>
          </w:divBdr>
        </w:div>
      </w:divsChild>
    </w:div>
    <w:div w:id="1421678503">
      <w:bodyDiv w:val="1"/>
      <w:marLeft w:val="0"/>
      <w:marRight w:val="0"/>
      <w:marTop w:val="0"/>
      <w:marBottom w:val="0"/>
      <w:divBdr>
        <w:top w:val="none" w:sz="0" w:space="0" w:color="auto"/>
        <w:left w:val="none" w:sz="0" w:space="0" w:color="auto"/>
        <w:bottom w:val="none" w:sz="0" w:space="0" w:color="auto"/>
        <w:right w:val="none" w:sz="0" w:space="0" w:color="auto"/>
      </w:divBdr>
    </w:div>
    <w:div w:id="1548297752">
      <w:bodyDiv w:val="1"/>
      <w:marLeft w:val="0"/>
      <w:marRight w:val="0"/>
      <w:marTop w:val="0"/>
      <w:marBottom w:val="0"/>
      <w:divBdr>
        <w:top w:val="none" w:sz="0" w:space="0" w:color="auto"/>
        <w:left w:val="none" w:sz="0" w:space="0" w:color="auto"/>
        <w:bottom w:val="none" w:sz="0" w:space="0" w:color="auto"/>
        <w:right w:val="none" w:sz="0" w:space="0" w:color="auto"/>
      </w:divBdr>
    </w:div>
    <w:div w:id="1910192051">
      <w:bodyDiv w:val="1"/>
      <w:marLeft w:val="0"/>
      <w:marRight w:val="0"/>
      <w:marTop w:val="0"/>
      <w:marBottom w:val="0"/>
      <w:divBdr>
        <w:top w:val="none" w:sz="0" w:space="0" w:color="auto"/>
        <w:left w:val="none" w:sz="0" w:space="0" w:color="auto"/>
        <w:bottom w:val="none" w:sz="0" w:space="0" w:color="auto"/>
        <w:right w:val="none" w:sz="0" w:space="0" w:color="auto"/>
      </w:divBdr>
    </w:div>
    <w:div w:id="1962884484">
      <w:bodyDiv w:val="1"/>
      <w:marLeft w:val="0"/>
      <w:marRight w:val="0"/>
      <w:marTop w:val="0"/>
      <w:marBottom w:val="0"/>
      <w:divBdr>
        <w:top w:val="none" w:sz="0" w:space="0" w:color="auto"/>
        <w:left w:val="none" w:sz="0" w:space="0" w:color="auto"/>
        <w:bottom w:val="none" w:sz="0" w:space="0" w:color="auto"/>
        <w:right w:val="none" w:sz="0" w:space="0" w:color="auto"/>
      </w:divBdr>
    </w:div>
    <w:div w:id="2053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offer/expertise-network/reference-laboratori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i.nlm.nih.gov/sites/entrez?Db=pubmed&amp;Cmd=ShowDetailView&amp;TermToSearch=15158591&amp;ordinalpos=3&amp;itool=EntrezSystem2.PEntrez.Pubmed.Pubmed_ResultsPanel.Pubmed_RVDocS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entrez?Db=pubmed&amp;Cmd=Search&amp;Term=%22Abdul-Careem%20MF%22%5BAuthor%5D&amp;itool=EntrezSystem2.PEntrez.Pubmed.Pubmed_ResultsPanel.Pubmed_RVAbstractPl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his.usda.gov/animal_health/vet_biologics/publications/memo_800_65.pdf" TargetMode="External"/><Relationship Id="rId1" Type="http://schemas.openxmlformats.org/officeDocument/2006/relationships/hyperlink" Target="https://www.woah.org/en/what-we-offer/expertise-network/reference-labora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4500-22BD-442C-851B-94326FCA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39000-E76F-4A79-AF4A-8D88A5B47C28}">
  <ds:schemaRefs>
    <ds:schemaRef ds:uri="http://schemas.microsoft.com/sharepoint/v3/contenttype/forms"/>
  </ds:schemaRefs>
</ds:datastoreItem>
</file>

<file path=customXml/itemProps3.xml><?xml version="1.0" encoding="utf-8"?>
<ds:datastoreItem xmlns:ds="http://schemas.openxmlformats.org/officeDocument/2006/customXml" ds:itemID="{8D6EB02A-DB82-4FB7-B9D2-09968AE1D117}">
  <ds:schemaRefs>
    <ds:schemaRef ds:uri="2d8f2bc2-ce05-4280-abbb-a54dfdc4c8e8"/>
    <ds:schemaRef ds:uri="http://purl.org/dc/elements/1.1/"/>
    <ds:schemaRef ds:uri="http://purl.org/dc/terms/"/>
    <ds:schemaRef ds:uri="dd973180-a4c1-4e52-b4bc-58f54f6e421a"/>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18FB93C-ACD6-499B-8391-2972A5E2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MANUAL96</Template>
  <TotalTime>32</TotalTime>
  <Pages>15</Pages>
  <Words>9355</Words>
  <Characters>52183</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Marek’s disease</vt:lpstr>
      <vt:lpstr>Marek's</vt:lpstr>
    </vt:vector>
  </TitlesOfParts>
  <Company>Microsoft</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marek’s disease</dc:title>
  <dc:subject>arial/trait</dc:subject>
  <dc:creator>sara</dc:creator>
  <cp:keywords/>
  <cp:lastModifiedBy>Duncan, Britteny - MRP-APHIS</cp:lastModifiedBy>
  <cp:revision>15</cp:revision>
  <cp:lastPrinted>2017-06-01T23:28:00Z</cp:lastPrinted>
  <dcterms:created xsi:type="dcterms:W3CDTF">2023-05-08T17:39:00Z</dcterms:created>
  <dcterms:modified xsi:type="dcterms:W3CDTF">2023-06-01T14:55:00Z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0x01010064DB0BF52150DC4BA0EA570882AE60A4</vt:lpwstr>
  </property>
</Properties>
</file>