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64DA" w14:textId="799FB1C2" w:rsidR="00A809DB" w:rsidRPr="000A7B67" w:rsidRDefault="00A809DB" w:rsidP="001A551D">
      <w:pPr>
        <w:pStyle w:val="Chatperno"/>
      </w:pPr>
      <w:r w:rsidRPr="000A7B67">
        <w:t xml:space="preserve">Chapter </w:t>
      </w:r>
      <w:r w:rsidR="00EF28D6">
        <w:t>3</w:t>
      </w:r>
      <w:r w:rsidRPr="000A7B67">
        <w:t>.</w:t>
      </w:r>
      <w:r w:rsidR="001A551D" w:rsidRPr="000A7B67">
        <w:t>1</w:t>
      </w:r>
      <w:r w:rsidRPr="000A7B67">
        <w:t>.</w:t>
      </w:r>
      <w:r w:rsidR="009971B1" w:rsidRPr="000A7B67">
        <w:t>1</w:t>
      </w:r>
      <w:r w:rsidR="00347529">
        <w:t>8</w:t>
      </w:r>
      <w:r w:rsidRPr="000A7B67">
        <w:t>.</w:t>
      </w:r>
    </w:p>
    <w:p w14:paraId="0E7BCF5F" w14:textId="77777777" w:rsidR="00A809DB" w:rsidRPr="000A7B67" w:rsidRDefault="0043401A">
      <w:pPr>
        <w:pStyle w:val="Chaptertitle"/>
      </w:pPr>
      <w:r w:rsidRPr="000A7B67">
        <w:t>rabies (infection with rabies virus</w:t>
      </w:r>
      <w:r w:rsidR="005E4E88" w:rsidRPr="000A7B67">
        <w:t xml:space="preserve"> </w:t>
      </w:r>
      <w:r w:rsidR="009F4B77" w:rsidRPr="000A7B67">
        <w:br/>
      </w:r>
      <w:r w:rsidR="005E4E88" w:rsidRPr="000A7B67">
        <w:t>and other lyssaviruses</w:t>
      </w:r>
      <w:r w:rsidR="00486AA3" w:rsidRPr="000A7B67">
        <w:t>)</w:t>
      </w:r>
    </w:p>
    <w:p w14:paraId="3ECF30A0" w14:textId="77777777" w:rsidR="00A809DB" w:rsidRPr="000A7B67" w:rsidRDefault="00A809DB" w:rsidP="00E92CCC">
      <w:pPr>
        <w:pStyle w:val="Summarytitle"/>
      </w:pPr>
      <w:r w:rsidRPr="000A7B67">
        <w:t>SUMMARY</w:t>
      </w:r>
    </w:p>
    <w:p w14:paraId="2D893E0C" w14:textId="77777777" w:rsidR="00DD6EB9" w:rsidRPr="000A7B67" w:rsidRDefault="00DD6EB9" w:rsidP="00DD6EB9">
      <w:pPr>
        <w:pStyle w:val="sumtexte"/>
        <w:rPr>
          <w:color w:val="000000" w:themeColor="text1"/>
        </w:rPr>
      </w:pPr>
      <w:r w:rsidRPr="000A7B67">
        <w:t xml:space="preserve">Rabies is a major zoonosis for which diagnostic techniques have been standardised inter-nationally. As there are neither gross pathognomonic lesions nor specific and constant clinical signs for rabies, </w:t>
      </w:r>
      <w:r w:rsidR="009800F2" w:rsidRPr="000A7B67">
        <w:t xml:space="preserve">confirmatory </w:t>
      </w:r>
      <w:r w:rsidRPr="000A7B67">
        <w:t xml:space="preserve">diagnosis can only be made in the laboratory. Laboratory techniques are preferably undertaken on central nervous system </w:t>
      </w:r>
      <w:r w:rsidRPr="000A7B67">
        <w:rPr>
          <w:rFonts w:ascii="Arial MT" w:hAnsi="Arial MT" w:cs="Arial MT"/>
          <w:i w:val="0"/>
        </w:rPr>
        <w:t>(</w:t>
      </w:r>
      <w:r w:rsidRPr="000A7B67">
        <w:t>CNS</w:t>
      </w:r>
      <w:r w:rsidRPr="000A7B67">
        <w:rPr>
          <w:rFonts w:ascii="Arial MT" w:hAnsi="Arial MT" w:cs="Arial MT"/>
          <w:i w:val="0"/>
        </w:rPr>
        <w:t>)</w:t>
      </w:r>
      <w:r w:rsidRPr="000A7B67">
        <w:rPr>
          <w:rFonts w:ascii="Arial MT" w:hAnsi="Arial MT" w:cs="Arial MT"/>
        </w:rPr>
        <w:t xml:space="preserve"> </w:t>
      </w:r>
      <w:r w:rsidRPr="000A7B67">
        <w:t xml:space="preserve">tissue removed from the cranium </w:t>
      </w:r>
      <w:r w:rsidRPr="000A7B67">
        <w:rPr>
          <w:i w:val="0"/>
        </w:rPr>
        <w:t>(</w:t>
      </w:r>
      <w:r w:rsidRPr="000A7B67">
        <w:t>for example brain stem, Ammon’s horn, thalamus, cerebral cortex</w:t>
      </w:r>
      <w:r w:rsidR="00786274" w:rsidRPr="000A7B67">
        <w:t>, cerebellum</w:t>
      </w:r>
      <w:r w:rsidRPr="000A7B67">
        <w:t xml:space="preserve"> and medulla oblongata</w:t>
      </w:r>
      <w:r w:rsidRPr="000A7B67">
        <w:rPr>
          <w:i w:val="0"/>
        </w:rPr>
        <w:t>)</w:t>
      </w:r>
      <w:r w:rsidRPr="000A7B67">
        <w:t xml:space="preserve">. A composite of CNS samples should be tested and the brain stem is the most important component of the sample. Laboratories </w:t>
      </w:r>
      <w:r w:rsidRPr="000A7B67">
        <w:rPr>
          <w:rFonts w:ascii="Arial MT" w:hAnsi="Arial MT" w:cs="Arial MT"/>
        </w:rPr>
        <w:t>should follow</w:t>
      </w:r>
      <w:r w:rsidRPr="000A7B67">
        <w:t xml:space="preserve"> appropriate biosafety and containment procedures as determined by </w:t>
      </w:r>
      <w:proofErr w:type="spellStart"/>
      <w:r w:rsidRPr="000A7B67">
        <w:t>biorisk</w:t>
      </w:r>
      <w:proofErr w:type="spellEnd"/>
      <w:r w:rsidRPr="000A7B67">
        <w:t xml:space="preserve"> analysis.</w:t>
      </w:r>
    </w:p>
    <w:p w14:paraId="051E169F" w14:textId="7E6F58A6" w:rsidR="00DD6EB9" w:rsidRPr="00426923" w:rsidRDefault="00E22E80" w:rsidP="00DD6EB9">
      <w:pPr>
        <w:pStyle w:val="sumtexte"/>
      </w:pPr>
      <w:r w:rsidRPr="00B64074">
        <w:rPr>
          <w:b/>
          <w:bCs/>
          <w:color w:val="000000" w:themeColor="text1"/>
          <w:highlight w:val="yellow"/>
          <w:u w:val="double"/>
        </w:rPr>
        <w:t>Detection and</w:t>
      </w:r>
      <w:r w:rsidR="00426923">
        <w:rPr>
          <w:b/>
          <w:bCs/>
          <w:color w:val="000000" w:themeColor="text1"/>
        </w:rPr>
        <w:t xml:space="preserve"> </w:t>
      </w:r>
      <w:r w:rsidR="00FB4F67">
        <w:rPr>
          <w:b/>
          <w:bCs/>
          <w:color w:val="000000" w:themeColor="text1"/>
        </w:rPr>
        <w:t>identification</w:t>
      </w:r>
      <w:r w:rsidR="00FB4F67" w:rsidRPr="000A7B67">
        <w:rPr>
          <w:b/>
          <w:bCs/>
          <w:color w:val="000000" w:themeColor="text1"/>
        </w:rPr>
        <w:t xml:space="preserve"> </w:t>
      </w:r>
      <w:r w:rsidR="00DD6EB9" w:rsidRPr="000A7B67">
        <w:rPr>
          <w:b/>
          <w:bCs/>
          <w:color w:val="000000" w:themeColor="text1"/>
        </w:rPr>
        <w:t>of the agent:</w:t>
      </w:r>
      <w:r w:rsidR="00DD6EB9" w:rsidRPr="000A7B67">
        <w:rPr>
          <w:color w:val="000000" w:themeColor="text1"/>
        </w:rPr>
        <w:t xml:space="preserve"> Agent </w:t>
      </w:r>
      <w:r w:rsidR="00DD6EB9" w:rsidRPr="00A67A15">
        <w:rPr>
          <w:strike/>
          <w:color w:val="000000" w:themeColor="text1"/>
          <w:highlight w:val="yellow"/>
        </w:rPr>
        <w:t xml:space="preserve">identification </w:t>
      </w:r>
      <w:r w:rsidR="00A67A15" w:rsidRPr="00A67A15">
        <w:rPr>
          <w:color w:val="000000" w:themeColor="text1"/>
          <w:highlight w:val="yellow"/>
          <w:u w:val="double"/>
        </w:rPr>
        <w:t>detection</w:t>
      </w:r>
      <w:r w:rsidR="00A67A15">
        <w:rPr>
          <w:color w:val="000000" w:themeColor="text1"/>
        </w:rPr>
        <w:t xml:space="preserve"> </w:t>
      </w:r>
      <w:r w:rsidR="00DD6EB9" w:rsidRPr="000A7B67">
        <w:rPr>
          <w:color w:val="000000" w:themeColor="text1"/>
        </w:rPr>
        <w:t xml:space="preserve">is preferably undertaken using primary </w:t>
      </w:r>
      <w:r w:rsidR="00DD6EB9" w:rsidRPr="00426923">
        <w:rPr>
          <w:color w:val="000000" w:themeColor="text1"/>
        </w:rPr>
        <w:t xml:space="preserve">diagnostic tests such as the direct fluorescent antibody </w:t>
      </w:r>
      <w:r w:rsidR="00DD6EB9" w:rsidRPr="00426923">
        <w:rPr>
          <w:rFonts w:cs="Arial MT"/>
          <w:i w:val="0"/>
          <w:iCs w:val="0"/>
          <w:color w:val="000000" w:themeColor="text1"/>
        </w:rPr>
        <w:t>(</w:t>
      </w:r>
      <w:r w:rsidR="00DD6EB9" w:rsidRPr="00426923">
        <w:rPr>
          <w:color w:val="000000" w:themeColor="text1"/>
        </w:rPr>
        <w:t>DFA</w:t>
      </w:r>
      <w:r w:rsidR="00DD6EB9" w:rsidRPr="00426923">
        <w:rPr>
          <w:rFonts w:cs="Arial MT"/>
          <w:i w:val="0"/>
          <w:iCs w:val="0"/>
          <w:color w:val="000000" w:themeColor="text1"/>
        </w:rPr>
        <w:t xml:space="preserve">) </w:t>
      </w:r>
      <w:r w:rsidR="00DD6EB9" w:rsidRPr="00426923">
        <w:rPr>
          <w:color w:val="000000" w:themeColor="text1"/>
        </w:rPr>
        <w:t>test</w:t>
      </w:r>
      <w:r w:rsidR="00657D00" w:rsidRPr="00426923">
        <w:rPr>
          <w:color w:val="000000" w:themeColor="text1"/>
        </w:rPr>
        <w:t>,</w:t>
      </w:r>
      <w:r w:rsidR="00DD6EB9" w:rsidRPr="00426923">
        <w:rPr>
          <w:color w:val="000000" w:themeColor="text1"/>
        </w:rPr>
        <w:t xml:space="preserve"> </w:t>
      </w:r>
      <w:r w:rsidR="00DD6EB9" w:rsidRPr="00426923">
        <w:rPr>
          <w:rFonts w:cs="Arial MT"/>
          <w:iCs w:val="0"/>
          <w:color w:val="000000" w:themeColor="text1"/>
        </w:rPr>
        <w:t>the direct rapid immunohistochemistry test</w:t>
      </w:r>
      <w:r w:rsidR="00DD6EB9" w:rsidRPr="00426923">
        <w:rPr>
          <w:rFonts w:cs="Arial MT"/>
          <w:i w:val="0"/>
          <w:iCs w:val="0"/>
          <w:color w:val="000000" w:themeColor="text1"/>
        </w:rPr>
        <w:t xml:space="preserve"> (</w:t>
      </w:r>
      <w:proofErr w:type="spellStart"/>
      <w:r w:rsidR="00DD6EB9" w:rsidRPr="00426923">
        <w:rPr>
          <w:rFonts w:cs="Arial MT"/>
          <w:iCs w:val="0"/>
          <w:color w:val="000000" w:themeColor="text1"/>
        </w:rPr>
        <w:t>dRIT</w:t>
      </w:r>
      <w:proofErr w:type="spellEnd"/>
      <w:r w:rsidR="00DD6EB9" w:rsidRPr="00426923">
        <w:rPr>
          <w:rFonts w:cs="Arial MT"/>
          <w:i w:val="0"/>
          <w:iCs w:val="0"/>
          <w:color w:val="000000" w:themeColor="text1"/>
        </w:rPr>
        <w:t>)</w:t>
      </w:r>
      <w:r w:rsidR="00657D00" w:rsidRPr="00426923">
        <w:rPr>
          <w:rFonts w:cs="Arial MT"/>
          <w:i w:val="0"/>
          <w:iCs w:val="0"/>
          <w:color w:val="000000" w:themeColor="text1"/>
        </w:rPr>
        <w:t xml:space="preserve">, </w:t>
      </w:r>
      <w:r w:rsidR="00657D00" w:rsidRPr="00426923">
        <w:rPr>
          <w:rFonts w:cs="Arial MT"/>
          <w:iCs w:val="0"/>
          <w:color w:val="000000" w:themeColor="text1"/>
        </w:rPr>
        <w:t xml:space="preserve">or </w:t>
      </w:r>
      <w:r w:rsidR="005F2940" w:rsidRPr="00426923">
        <w:rPr>
          <w:rFonts w:cs="Arial MT"/>
          <w:iCs w:val="0"/>
          <w:color w:val="000000" w:themeColor="text1"/>
        </w:rPr>
        <w:t xml:space="preserve">pan-lyssavirus </w:t>
      </w:r>
      <w:r w:rsidR="00B31215" w:rsidRPr="00B64074">
        <w:rPr>
          <w:rFonts w:cs="Arial MT"/>
          <w:iCs w:val="0"/>
          <w:color w:val="000000" w:themeColor="text1"/>
          <w:highlight w:val="yellow"/>
          <w:u w:val="double"/>
        </w:rPr>
        <w:t>reverse</w:t>
      </w:r>
      <w:r w:rsidR="00426923" w:rsidRPr="00B64074">
        <w:rPr>
          <w:rFonts w:cs="Arial MT"/>
          <w:iCs w:val="0"/>
          <w:color w:val="000000" w:themeColor="text1"/>
          <w:highlight w:val="yellow"/>
          <w:u w:val="double"/>
        </w:rPr>
        <w:t>-</w:t>
      </w:r>
      <w:r w:rsidR="00B31215" w:rsidRPr="00B64074">
        <w:rPr>
          <w:rFonts w:cs="Arial MT"/>
          <w:iCs w:val="0"/>
          <w:color w:val="000000" w:themeColor="text1"/>
          <w:highlight w:val="yellow"/>
          <w:u w:val="double"/>
        </w:rPr>
        <w:t>transcription</w:t>
      </w:r>
      <w:r w:rsidR="00426923">
        <w:rPr>
          <w:rFonts w:cs="Arial MT"/>
          <w:iCs w:val="0"/>
          <w:color w:val="000000" w:themeColor="text1"/>
        </w:rPr>
        <w:t xml:space="preserve"> </w:t>
      </w:r>
      <w:r w:rsidR="005F2940" w:rsidRPr="00426923">
        <w:rPr>
          <w:rFonts w:cs="Arial MT"/>
          <w:iCs w:val="0"/>
          <w:color w:val="000000" w:themeColor="text1"/>
        </w:rPr>
        <w:t>polymerase chain reaction</w:t>
      </w:r>
      <w:r w:rsidR="00271728" w:rsidRPr="00426923">
        <w:rPr>
          <w:rFonts w:cs="Arial MT"/>
          <w:i w:val="0"/>
          <w:iCs w:val="0"/>
          <w:color w:val="000000" w:themeColor="text1"/>
        </w:rPr>
        <w:t xml:space="preserve"> (</w:t>
      </w:r>
      <w:r w:rsidR="00B31215" w:rsidRPr="00B64074">
        <w:rPr>
          <w:rFonts w:cs="Arial MT"/>
          <w:color w:val="000000" w:themeColor="text1"/>
          <w:highlight w:val="yellow"/>
          <w:u w:val="double"/>
        </w:rPr>
        <w:t>RT-</w:t>
      </w:r>
      <w:r w:rsidR="00271728" w:rsidRPr="00426923">
        <w:rPr>
          <w:rFonts w:cs="Arial MT"/>
          <w:iCs w:val="0"/>
          <w:color w:val="000000" w:themeColor="text1"/>
        </w:rPr>
        <w:t>PCR</w:t>
      </w:r>
      <w:r w:rsidR="00271728" w:rsidRPr="00426923">
        <w:rPr>
          <w:rFonts w:cs="Arial MT"/>
          <w:i w:val="0"/>
          <w:iCs w:val="0"/>
          <w:color w:val="000000" w:themeColor="text1"/>
        </w:rPr>
        <w:t>)</w:t>
      </w:r>
      <w:r w:rsidR="005F2940" w:rsidRPr="00426923">
        <w:rPr>
          <w:rFonts w:cs="Arial MT"/>
          <w:i w:val="0"/>
          <w:iCs w:val="0"/>
          <w:color w:val="000000" w:themeColor="text1"/>
        </w:rPr>
        <w:t xml:space="preserve"> </w:t>
      </w:r>
      <w:r w:rsidR="005F2940" w:rsidRPr="00426923">
        <w:rPr>
          <w:rFonts w:cs="Arial MT"/>
          <w:iCs w:val="0"/>
          <w:color w:val="000000" w:themeColor="text1"/>
        </w:rPr>
        <w:t>assays</w:t>
      </w:r>
      <w:r w:rsidR="00DD6EB9" w:rsidRPr="00426923">
        <w:rPr>
          <w:iCs w:val="0"/>
          <w:color w:val="000000" w:themeColor="text1"/>
        </w:rPr>
        <w:t xml:space="preserve">. </w:t>
      </w:r>
      <w:r w:rsidR="00DD6EB9" w:rsidRPr="00426923">
        <w:rPr>
          <w:color w:val="000000" w:themeColor="text1"/>
        </w:rPr>
        <w:t>DFA test</w:t>
      </w:r>
      <w:r w:rsidR="00271728" w:rsidRPr="00426923">
        <w:rPr>
          <w:color w:val="000000" w:themeColor="text1"/>
        </w:rPr>
        <w:t>,</w:t>
      </w:r>
      <w:r w:rsidR="00DD6EB9" w:rsidRPr="00426923">
        <w:rPr>
          <w:color w:val="000000" w:themeColor="text1"/>
        </w:rPr>
        <w:t xml:space="preserve"> </w:t>
      </w:r>
      <w:proofErr w:type="spellStart"/>
      <w:r w:rsidR="00DD6EB9" w:rsidRPr="00426923">
        <w:rPr>
          <w:color w:val="000000" w:themeColor="text1"/>
        </w:rPr>
        <w:t>dRIT</w:t>
      </w:r>
      <w:proofErr w:type="spellEnd"/>
      <w:r w:rsidR="00271728" w:rsidRPr="00426923">
        <w:rPr>
          <w:color w:val="000000" w:themeColor="text1"/>
        </w:rPr>
        <w:t xml:space="preserve">, and </w:t>
      </w:r>
      <w:r w:rsidR="00DB6470" w:rsidRPr="00B64074">
        <w:rPr>
          <w:rFonts w:cs="Arial MT"/>
          <w:color w:val="000000" w:themeColor="text1"/>
          <w:highlight w:val="yellow"/>
          <w:u w:val="double"/>
        </w:rPr>
        <w:t>RT-</w:t>
      </w:r>
      <w:r w:rsidR="00DB6470" w:rsidRPr="00426923">
        <w:rPr>
          <w:rFonts w:cs="Arial MT"/>
          <w:iCs w:val="0"/>
          <w:color w:val="000000" w:themeColor="text1"/>
        </w:rPr>
        <w:t>PCR</w:t>
      </w:r>
      <w:r w:rsidR="00DD6EB9" w:rsidRPr="00426923">
        <w:rPr>
          <w:color w:val="000000" w:themeColor="text1"/>
        </w:rPr>
        <w:t xml:space="preserve"> provide a reliable diagnosis in 98–100% of cases for all </w:t>
      </w:r>
      <w:r w:rsidR="00AB109E" w:rsidRPr="00426923">
        <w:rPr>
          <w:rFonts w:cs="Arial MT"/>
          <w:iCs w:val="0"/>
          <w:color w:val="000000" w:themeColor="text1"/>
        </w:rPr>
        <w:t>lyssa</w:t>
      </w:r>
      <w:r w:rsidR="00DD6EB9" w:rsidRPr="00426923">
        <w:rPr>
          <w:color w:val="000000" w:themeColor="text1"/>
        </w:rPr>
        <w:t>virus strains if a</w:t>
      </w:r>
      <w:r w:rsidR="005B57AE" w:rsidRPr="00426923">
        <w:rPr>
          <w:color w:val="000000" w:themeColor="text1"/>
        </w:rPr>
        <w:t>n appropriate</w:t>
      </w:r>
      <w:r w:rsidR="00DD6EB9" w:rsidRPr="00426923">
        <w:rPr>
          <w:color w:val="000000" w:themeColor="text1"/>
        </w:rPr>
        <w:t xml:space="preserve"> conjugate</w:t>
      </w:r>
      <w:r w:rsidR="00271728" w:rsidRPr="00426923">
        <w:rPr>
          <w:color w:val="000000" w:themeColor="text1"/>
        </w:rPr>
        <w:t xml:space="preserve"> or primer/probe</w:t>
      </w:r>
      <w:r w:rsidR="00DD6EB9" w:rsidRPr="00426923">
        <w:rPr>
          <w:color w:val="000000" w:themeColor="text1"/>
        </w:rPr>
        <w:t xml:space="preserve"> is used. For a large number </w:t>
      </w:r>
      <w:r w:rsidR="00DD6EB9" w:rsidRPr="00426923">
        <w:t xml:space="preserve">of samples, conventional and real-time </w:t>
      </w:r>
      <w:r w:rsidR="00DB6470" w:rsidRPr="00B64074">
        <w:rPr>
          <w:rFonts w:cs="Arial MT"/>
          <w:color w:val="000000" w:themeColor="text1"/>
          <w:highlight w:val="yellow"/>
          <w:u w:val="double"/>
        </w:rPr>
        <w:t>RT-</w:t>
      </w:r>
      <w:r w:rsidR="00DB6470" w:rsidRPr="00426923">
        <w:rPr>
          <w:rFonts w:cs="Arial MT"/>
          <w:iCs w:val="0"/>
          <w:color w:val="000000" w:themeColor="text1"/>
        </w:rPr>
        <w:t>PCR</w:t>
      </w:r>
      <w:r w:rsidR="00DD6EB9" w:rsidRPr="00426923">
        <w:rPr>
          <w:rFonts w:cs="Arial MT"/>
        </w:rPr>
        <w:t xml:space="preserve"> </w:t>
      </w:r>
      <w:r w:rsidR="00DD6EB9" w:rsidRPr="00426923">
        <w:t>can provide rapid results in specially equipped laboratories.</w:t>
      </w:r>
    </w:p>
    <w:p w14:paraId="6E569771" w14:textId="2302B647" w:rsidR="00DD6EB9" w:rsidRPr="00426923" w:rsidRDefault="00DD6EB9" w:rsidP="00DD6EB9">
      <w:pPr>
        <w:pStyle w:val="sumtexte"/>
      </w:pPr>
      <w:r w:rsidRPr="00426923">
        <w:t>Histological techniques such as Seller</w:t>
      </w:r>
      <w:r w:rsidR="00D049A8" w:rsidRPr="002B6DC1">
        <w:rPr>
          <w:highlight w:val="yellow"/>
          <w:u w:val="double"/>
        </w:rPr>
        <w:t>’s</w:t>
      </w:r>
      <w:r w:rsidRPr="00426923">
        <w:t xml:space="preserve"> staining </w:t>
      </w:r>
      <w:r w:rsidRPr="00426923">
        <w:rPr>
          <w:i w:val="0"/>
        </w:rPr>
        <w:t>(</w:t>
      </w:r>
      <w:r w:rsidRPr="00426923">
        <w:t>Negri bodies</w:t>
      </w:r>
      <w:r w:rsidRPr="00426923">
        <w:rPr>
          <w:i w:val="0"/>
        </w:rPr>
        <w:t>)</w:t>
      </w:r>
      <w:r w:rsidRPr="00426923">
        <w:t xml:space="preserve"> are no longer recommended for diagnosis. </w:t>
      </w:r>
    </w:p>
    <w:p w14:paraId="0AFCC769" w14:textId="00BE9E69" w:rsidR="00DD6EB9" w:rsidRPr="00426923" w:rsidRDefault="00DD6EB9" w:rsidP="00DD6EB9">
      <w:pPr>
        <w:pStyle w:val="sumtexte"/>
      </w:pPr>
      <w:r w:rsidRPr="00426923">
        <w:t xml:space="preserve">In cases of inconclusive results from primary diagnostic tests </w:t>
      </w:r>
      <w:r w:rsidRPr="00426923">
        <w:rPr>
          <w:i w:val="0"/>
        </w:rPr>
        <w:t>(</w:t>
      </w:r>
      <w:r w:rsidRPr="00426923">
        <w:t>DFA test</w:t>
      </w:r>
      <w:r w:rsidR="00271728" w:rsidRPr="00426923">
        <w:t>,</w:t>
      </w:r>
      <w:r w:rsidRPr="00426923">
        <w:t xml:space="preserve"> </w:t>
      </w:r>
      <w:proofErr w:type="spellStart"/>
      <w:r w:rsidRPr="00426923">
        <w:t>dRIT</w:t>
      </w:r>
      <w:proofErr w:type="spellEnd"/>
      <w:r w:rsidR="00271728" w:rsidRPr="00426923">
        <w:t xml:space="preserve">, or pan-Lyssavirus </w:t>
      </w:r>
      <w:r w:rsidR="00DB6470" w:rsidRPr="00B64074">
        <w:rPr>
          <w:rFonts w:cs="Arial MT"/>
          <w:color w:val="000000" w:themeColor="text1"/>
          <w:highlight w:val="yellow"/>
          <w:u w:val="double"/>
        </w:rPr>
        <w:t>RT-</w:t>
      </w:r>
      <w:r w:rsidR="00DB6470" w:rsidRPr="00426923">
        <w:rPr>
          <w:rFonts w:cs="Arial MT"/>
          <w:iCs w:val="0"/>
          <w:color w:val="000000" w:themeColor="text1"/>
        </w:rPr>
        <w:t>PCR</w:t>
      </w:r>
      <w:r w:rsidRPr="00426923">
        <w:rPr>
          <w:i w:val="0"/>
        </w:rPr>
        <w:t>)</w:t>
      </w:r>
      <w:r w:rsidRPr="00426923">
        <w:t xml:space="preserve">, further confirmatory tests </w:t>
      </w:r>
      <w:r w:rsidRPr="00426923">
        <w:rPr>
          <w:i w:val="0"/>
        </w:rPr>
        <w:t>(</w:t>
      </w:r>
      <w:r w:rsidRPr="00426923">
        <w:t>molecular tests, cell culture or mouse inoculation tests</w:t>
      </w:r>
      <w:r w:rsidRPr="00426923">
        <w:rPr>
          <w:i w:val="0"/>
        </w:rPr>
        <w:t>)</w:t>
      </w:r>
      <w:r w:rsidRPr="00426923">
        <w:t xml:space="preserve"> on the same sample or repeat primary diagnostic tests on other samples are recommended. Wherever possible, virus isolation in cell culture should replace mouse inoculation tests. </w:t>
      </w:r>
    </w:p>
    <w:p w14:paraId="1E7AB647" w14:textId="77777777" w:rsidR="00DD6EB9" w:rsidRPr="000A7B67" w:rsidRDefault="00DD6EB9" w:rsidP="00DD6EB9">
      <w:pPr>
        <w:pStyle w:val="sumtexte"/>
      </w:pPr>
      <w:r w:rsidRPr="00426923">
        <w:t>Characterisation of the agent can be carried out in specialised laboratories using monoclonal antibodies, partial and full genome sequencing</w:t>
      </w:r>
      <w:r w:rsidRPr="000A7B67">
        <w:t xml:space="preserve"> followed by phylogenetic analysis. Such techniques can distinguish between field and vaccine strains, and identify the geographical origin of the field strains. These very sensitive tests should be </w:t>
      </w:r>
      <w:r w:rsidR="004661FE" w:rsidRPr="000A7B67">
        <w:t xml:space="preserve">conducted and </w:t>
      </w:r>
      <w:r w:rsidR="00D8113B" w:rsidRPr="000A7B67">
        <w:t xml:space="preserve">interpreted </w:t>
      </w:r>
      <w:r w:rsidRPr="000A7B67">
        <w:t xml:space="preserve">by </w:t>
      </w:r>
      <w:proofErr w:type="spellStart"/>
      <w:r w:rsidRPr="000A7B67">
        <w:t>well</w:t>
      </w:r>
      <w:r w:rsidR="00EF28D6">
        <w:t xml:space="preserve"> </w:t>
      </w:r>
      <w:r w:rsidRPr="000A7B67">
        <w:t>trained</w:t>
      </w:r>
      <w:proofErr w:type="spellEnd"/>
      <w:r w:rsidR="00D8113B" w:rsidRPr="000A7B67">
        <w:t xml:space="preserve"> expert</w:t>
      </w:r>
      <w:r w:rsidRPr="000A7B67">
        <w:t xml:space="preserve"> personnel. </w:t>
      </w:r>
    </w:p>
    <w:p w14:paraId="64AF7EEF" w14:textId="78A297B9" w:rsidR="00DD6EB9" w:rsidRPr="000A7B67" w:rsidRDefault="00DD6EB9" w:rsidP="00DD6EB9">
      <w:pPr>
        <w:pStyle w:val="sumtexte"/>
      </w:pPr>
      <w:r w:rsidRPr="796A39FB">
        <w:rPr>
          <w:b/>
          <w:bCs/>
        </w:rPr>
        <w:t>Serological tests:</w:t>
      </w:r>
      <w:r>
        <w:t xml:space="preserve"> Virus neutralisation </w:t>
      </w:r>
      <w:r w:rsidRPr="796A39FB">
        <w:rPr>
          <w:rFonts w:ascii="Arial MT" w:hAnsi="Arial MT" w:cs="Arial MT"/>
          <w:i w:val="0"/>
          <w:iCs w:val="0"/>
        </w:rPr>
        <w:t>(</w:t>
      </w:r>
      <w:r>
        <w:t>VN</w:t>
      </w:r>
      <w:r w:rsidRPr="796A39FB">
        <w:rPr>
          <w:rFonts w:ascii="Arial MT" w:hAnsi="Arial MT" w:cs="Arial MT"/>
          <w:i w:val="0"/>
          <w:iCs w:val="0"/>
        </w:rPr>
        <w:t>)</w:t>
      </w:r>
      <w:r>
        <w:t xml:space="preserve"> and enzyme-linked immunosorbent assays</w:t>
      </w:r>
      <w:r w:rsidR="00A80B9B">
        <w:t xml:space="preserve"> </w:t>
      </w:r>
      <w:r w:rsidR="00A80B9B" w:rsidRPr="00426923">
        <w:rPr>
          <w:i w:val="0"/>
          <w:iCs w:val="0"/>
        </w:rPr>
        <w:t>(</w:t>
      </w:r>
      <w:r w:rsidR="00A80B9B" w:rsidRPr="00426923">
        <w:t>ELISA</w:t>
      </w:r>
      <w:r w:rsidR="00A80B9B" w:rsidRPr="00426923">
        <w:rPr>
          <w:i w:val="0"/>
          <w:iCs w:val="0"/>
        </w:rPr>
        <w:t>)</w:t>
      </w:r>
      <w:r>
        <w:t xml:space="preserve"> are suitable tests for monitoring </w:t>
      </w:r>
      <w:r w:rsidR="00CD096B">
        <w:t xml:space="preserve">the </w:t>
      </w:r>
      <w:r>
        <w:t xml:space="preserve">antibody response of vaccinated animals in the framework of rabies control. For the purposes of </w:t>
      </w:r>
      <w:r w:rsidR="00797479">
        <w:t xml:space="preserve">measuring antibody responses to vaccination prior to </w:t>
      </w:r>
      <w:r>
        <w:t xml:space="preserve">international animal movement </w:t>
      </w:r>
      <w:r w:rsidR="00457043">
        <w:t>or</w:t>
      </w:r>
      <w:r>
        <w:t xml:space="preserve"> trade, only VN</w:t>
      </w:r>
      <w:r w:rsidR="00217D85">
        <w:t xml:space="preserve"> methods</w:t>
      </w:r>
      <w:r>
        <w:t xml:space="preserve"> </w:t>
      </w:r>
      <w:r w:rsidR="004661FE" w:rsidRPr="796A39FB">
        <w:rPr>
          <w:i w:val="0"/>
          <w:iCs w:val="0"/>
        </w:rPr>
        <w:t>(</w:t>
      </w:r>
      <w:r w:rsidR="000412FA" w:rsidRPr="000A7B67">
        <w:t>fluorescent antibody virus neutralisation test</w:t>
      </w:r>
      <w:r w:rsidR="000412FA">
        <w:t xml:space="preserve"> </w:t>
      </w:r>
      <w:r w:rsidR="009800F2">
        <w:t xml:space="preserve">and </w:t>
      </w:r>
      <w:r w:rsidR="000412FA" w:rsidRPr="000A7B67">
        <w:t>rapid fluorescent focus inhibition test</w:t>
      </w:r>
      <w:r w:rsidR="004661FE" w:rsidRPr="796A39FB">
        <w:rPr>
          <w:i w:val="0"/>
          <w:iCs w:val="0"/>
        </w:rPr>
        <w:t>)</w:t>
      </w:r>
      <w:r w:rsidR="009800F2">
        <w:t xml:space="preserve"> </w:t>
      </w:r>
      <w:r>
        <w:t>are acceptable. Serological tests should not be used for primary diagnosis.</w:t>
      </w:r>
    </w:p>
    <w:p w14:paraId="3BA5790E" w14:textId="09948B55" w:rsidR="00DD6EB9" w:rsidRPr="000A7B67" w:rsidRDefault="00DD6EB9" w:rsidP="00DD6EB9">
      <w:pPr>
        <w:pStyle w:val="sumtexte"/>
      </w:pPr>
      <w:r w:rsidRPr="000A7B67">
        <w:rPr>
          <w:b/>
          <w:bCs/>
        </w:rPr>
        <w:t>Requirements for vaccines:</w:t>
      </w:r>
      <w:r w:rsidRPr="000A7B67">
        <w:t xml:space="preserve"> For rabies vaccination in animals, inactivated virus </w:t>
      </w:r>
      <w:r w:rsidRPr="000A7B67">
        <w:rPr>
          <w:i w:val="0"/>
        </w:rPr>
        <w:t>(</w:t>
      </w:r>
      <w:r w:rsidRPr="000A7B67">
        <w:t>for companion animals and livestock</w:t>
      </w:r>
      <w:r w:rsidRPr="000A7B67">
        <w:rPr>
          <w:i w:val="0"/>
        </w:rPr>
        <w:t xml:space="preserve">), </w:t>
      </w:r>
      <w:r w:rsidR="00E37290" w:rsidRPr="002B6DC1">
        <w:rPr>
          <w:iCs w:val="0"/>
          <w:strike/>
          <w:highlight w:val="yellow"/>
        </w:rPr>
        <w:t>and</w:t>
      </w:r>
      <w:r w:rsidR="00E37290" w:rsidRPr="00DB6470">
        <w:rPr>
          <w:i w:val="0"/>
          <w:strike/>
        </w:rPr>
        <w:t xml:space="preserve"> </w:t>
      </w:r>
      <w:r w:rsidRPr="000A7B67">
        <w:t xml:space="preserve">live attenuated virus </w:t>
      </w:r>
      <w:r w:rsidRPr="000A7B67">
        <w:rPr>
          <w:i w:val="0"/>
        </w:rPr>
        <w:t>(</w:t>
      </w:r>
      <w:r w:rsidRPr="000A7B67">
        <w:t>for wildlife and free-roaming dogs</w:t>
      </w:r>
      <w:r w:rsidRPr="000A7B67">
        <w:rPr>
          <w:i w:val="0"/>
        </w:rPr>
        <w:t>),</w:t>
      </w:r>
      <w:r w:rsidR="00426923">
        <w:rPr>
          <w:i w:val="0"/>
        </w:rPr>
        <w:t xml:space="preserve"> </w:t>
      </w:r>
      <w:r w:rsidR="00241F72" w:rsidRPr="00DB6470">
        <w:rPr>
          <w:i w:val="0"/>
          <w:highlight w:val="yellow"/>
          <w:u w:val="double"/>
        </w:rPr>
        <w:t>and</w:t>
      </w:r>
      <w:r w:rsidRPr="000A7B67">
        <w:t xml:space="preserve"> </w:t>
      </w:r>
      <w:r w:rsidRPr="00E37290">
        <w:rPr>
          <w:strike/>
        </w:rPr>
        <w:t xml:space="preserve">or </w:t>
      </w:r>
      <w:r w:rsidRPr="000A7B67">
        <w:t xml:space="preserve">recombinant vaccines </w:t>
      </w:r>
      <w:r w:rsidRPr="000A7B67">
        <w:rPr>
          <w:i w:val="0"/>
        </w:rPr>
        <w:t>(</w:t>
      </w:r>
      <w:r w:rsidRPr="000A7B67">
        <w:t>for wildlife</w:t>
      </w:r>
      <w:r w:rsidR="009800F2" w:rsidRPr="000A7B67">
        <w:t>, cats</w:t>
      </w:r>
      <w:r w:rsidRPr="000A7B67">
        <w:t xml:space="preserve"> and dogs</w:t>
      </w:r>
      <w:r w:rsidRPr="000A7B67">
        <w:rPr>
          <w:i w:val="0"/>
        </w:rPr>
        <w:t>)</w:t>
      </w:r>
      <w:r w:rsidRPr="000A7B67">
        <w:t xml:space="preserve"> are used</w:t>
      </w:r>
      <w:r w:rsidR="00E37290" w:rsidRPr="00DB6470">
        <w:rPr>
          <w:strike/>
          <w:highlight w:val="yellow"/>
        </w:rPr>
        <w:t xml:space="preserve">, </w:t>
      </w:r>
      <w:r w:rsidR="00E37290" w:rsidRPr="00DB6470">
        <w:rPr>
          <w:i w:val="0"/>
          <w:strike/>
          <w:highlight w:val="yellow"/>
        </w:rPr>
        <w:t xml:space="preserve">while </w:t>
      </w:r>
      <w:r w:rsidR="00E37290" w:rsidRPr="00DB6470">
        <w:rPr>
          <w:strike/>
          <w:highlight w:val="yellow"/>
        </w:rPr>
        <w:t xml:space="preserve">non-replicating, nonviable biological or </w:t>
      </w:r>
      <w:r w:rsidR="00E37290" w:rsidRPr="00DB6470">
        <w:rPr>
          <w:strike/>
          <w:highlight w:val="yellow"/>
          <w:lang w:val="en-US"/>
        </w:rPr>
        <w:t>replication-restricted rabies vaccines</w:t>
      </w:r>
      <w:r w:rsidR="00E37290" w:rsidRPr="00DB6470">
        <w:rPr>
          <w:strike/>
          <w:highlight w:val="yellow"/>
        </w:rPr>
        <w:t xml:space="preserve"> </w:t>
      </w:r>
      <w:r w:rsidR="00E37290" w:rsidRPr="00DB6470">
        <w:rPr>
          <w:i w:val="0"/>
          <w:iCs w:val="0"/>
          <w:strike/>
          <w:highlight w:val="yellow"/>
        </w:rPr>
        <w:t>(</w:t>
      </w:r>
      <w:r w:rsidR="00E37290" w:rsidRPr="00DB6470">
        <w:rPr>
          <w:strike/>
          <w:highlight w:val="yellow"/>
        </w:rPr>
        <w:t>for dogs and cats</w:t>
      </w:r>
      <w:r w:rsidR="00E37290" w:rsidRPr="00DB6470">
        <w:rPr>
          <w:i w:val="0"/>
          <w:iCs w:val="0"/>
          <w:strike/>
          <w:highlight w:val="yellow"/>
        </w:rPr>
        <w:t xml:space="preserve">) </w:t>
      </w:r>
      <w:r w:rsidR="00E37290" w:rsidRPr="00DB6470">
        <w:rPr>
          <w:strike/>
          <w:highlight w:val="yellow"/>
        </w:rPr>
        <w:t>are still under development</w:t>
      </w:r>
      <w:r w:rsidR="00E37290" w:rsidRPr="00DB6470">
        <w:t>.</w:t>
      </w:r>
      <w:r w:rsidR="00E37290" w:rsidRPr="00E37290">
        <w:rPr>
          <w:u w:val="double"/>
        </w:rPr>
        <w:t xml:space="preserve"> Certain vaccines can be categori</w:t>
      </w:r>
      <w:r w:rsidR="00E37290">
        <w:rPr>
          <w:u w:val="double"/>
        </w:rPr>
        <w:t>s</w:t>
      </w:r>
      <w:r w:rsidR="00E37290" w:rsidRPr="00E37290">
        <w:rPr>
          <w:u w:val="double"/>
        </w:rPr>
        <w:t>ed in more than one of these groups</w:t>
      </w:r>
      <w:r w:rsidRPr="000A7B67">
        <w:t xml:space="preserve">. </w:t>
      </w:r>
    </w:p>
    <w:p w14:paraId="5621ECF2" w14:textId="77777777" w:rsidR="00DD6EB9" w:rsidRPr="000A7B67" w:rsidRDefault="00DD6EB9" w:rsidP="00DD6EB9">
      <w:pPr>
        <w:pStyle w:val="sumtexte"/>
      </w:pPr>
      <w:r w:rsidRPr="000A7B67">
        <w:rPr>
          <w:lang w:val="en-US"/>
        </w:rPr>
        <w:t xml:space="preserve">Vaccine manufacturers should make known the characteristics of the product and </w:t>
      </w:r>
      <w:r w:rsidR="00CD096B" w:rsidRPr="000A7B67">
        <w:rPr>
          <w:lang w:val="en-US"/>
        </w:rPr>
        <w:t>undertake</w:t>
      </w:r>
      <w:r w:rsidRPr="000A7B67">
        <w:rPr>
          <w:lang w:val="en-US"/>
        </w:rPr>
        <w:t xml:space="preserve"> necessary experiments satisfying minimum requirements established at national and international levels. </w:t>
      </w:r>
      <w:r w:rsidRPr="000A7B67">
        <w:t xml:space="preserve">Before vaccines can </w:t>
      </w:r>
      <w:r w:rsidR="009971B1" w:rsidRPr="000A7B67">
        <w:t>receive relevant regulatory approval</w:t>
      </w:r>
      <w:r w:rsidRPr="000A7B67">
        <w:t xml:space="preserve">, the duration of immunity resulting from their use should be determined in vaccinated animals of the target species. Vaccines should confer protective immunity for at least 1 year. </w:t>
      </w:r>
    </w:p>
    <w:p w14:paraId="6E8BD81A" w14:textId="77777777" w:rsidR="00AE506F" w:rsidRPr="000A7B67" w:rsidRDefault="00DD6EB9" w:rsidP="00F51117">
      <w:pPr>
        <w:pStyle w:val="sumtexte"/>
        <w:spacing w:after="480"/>
        <w:rPr>
          <w:rFonts w:ascii="Ottawa" w:hAnsi="Ottawa"/>
          <w:b/>
          <w:bCs/>
          <w:caps/>
          <w:sz w:val="24"/>
          <w:szCs w:val="24"/>
        </w:rPr>
      </w:pPr>
      <w:r w:rsidRPr="000A7B67">
        <w:t>The potency, efficacy and safety of vaccines are established and controlled using tests formulated by recognised pharmacopoeia.</w:t>
      </w:r>
    </w:p>
    <w:p w14:paraId="05EE55A2" w14:textId="77777777" w:rsidR="00A809DB" w:rsidRPr="000A7B67" w:rsidRDefault="00E23229" w:rsidP="006E17A0">
      <w:pPr>
        <w:pStyle w:val="A"/>
        <w:spacing w:after="220"/>
      </w:pPr>
      <w:r w:rsidRPr="000A7B67">
        <w:lastRenderedPageBreak/>
        <w:t xml:space="preserve">a.  </w:t>
      </w:r>
      <w:r w:rsidR="00A809DB" w:rsidRPr="000A7B67">
        <w:t>introDuction</w:t>
      </w:r>
    </w:p>
    <w:p w14:paraId="2357E8D1" w14:textId="3830D49F" w:rsidR="00DD6EB9" w:rsidRDefault="00DD6EB9" w:rsidP="006E17A0">
      <w:pPr>
        <w:pStyle w:val="paraA0"/>
        <w:spacing w:after="220"/>
      </w:pPr>
      <w:r>
        <w:t xml:space="preserve">Rabies is caused by neurotropic viruses of the genus </w:t>
      </w:r>
      <w:r w:rsidRPr="0C08F6F3">
        <w:rPr>
          <w:i/>
          <w:iCs/>
        </w:rPr>
        <w:t>Lyssavirus</w:t>
      </w:r>
      <w:r>
        <w:t xml:space="preserve"> in the family </w:t>
      </w:r>
      <w:proofErr w:type="spellStart"/>
      <w:r w:rsidRPr="0C08F6F3">
        <w:rPr>
          <w:i/>
          <w:iCs/>
        </w:rPr>
        <w:t>Rhabdoviridae</w:t>
      </w:r>
      <w:proofErr w:type="spellEnd"/>
      <w:r w:rsidR="00CE0B46" w:rsidRPr="0C08F6F3">
        <w:rPr>
          <w:i/>
          <w:iCs/>
        </w:rPr>
        <w:t xml:space="preserve"> </w:t>
      </w:r>
      <w:r w:rsidR="00CE0B46">
        <w:t xml:space="preserve">of the order </w:t>
      </w:r>
      <w:proofErr w:type="spellStart"/>
      <w:r w:rsidR="00CE0B46" w:rsidRPr="0C08F6F3">
        <w:rPr>
          <w:i/>
          <w:iCs/>
        </w:rPr>
        <w:t>Mononegavirales</w:t>
      </w:r>
      <w:proofErr w:type="spellEnd"/>
      <w:r w:rsidR="00E37290" w:rsidRPr="0C08F6F3">
        <w:rPr>
          <w:i/>
          <w:iCs/>
        </w:rPr>
        <w:t xml:space="preserve"> </w:t>
      </w:r>
      <w:r w:rsidR="00E37290" w:rsidRPr="0C08F6F3">
        <w:rPr>
          <w:u w:val="double"/>
        </w:rPr>
        <w:t xml:space="preserve">(Kuhn </w:t>
      </w:r>
      <w:r w:rsidR="00E37290" w:rsidRPr="0C08F6F3">
        <w:rPr>
          <w:i/>
          <w:iCs/>
          <w:u w:val="double"/>
        </w:rPr>
        <w:t>et al.,</w:t>
      </w:r>
      <w:r w:rsidR="00E37290" w:rsidRPr="0C08F6F3">
        <w:rPr>
          <w:u w:val="double"/>
        </w:rPr>
        <w:t xml:space="preserve"> 2021; Walker </w:t>
      </w:r>
      <w:r w:rsidR="00E37290" w:rsidRPr="0C08F6F3">
        <w:rPr>
          <w:i/>
          <w:iCs/>
          <w:u w:val="double"/>
        </w:rPr>
        <w:t>et al.,</w:t>
      </w:r>
      <w:r w:rsidR="00E37290" w:rsidRPr="0C08F6F3">
        <w:rPr>
          <w:u w:val="double"/>
        </w:rPr>
        <w:t xml:space="preserve"> 2022)</w:t>
      </w:r>
      <w:r>
        <w:t xml:space="preserve">, and is transmissible to all mammals. </w:t>
      </w:r>
      <w:r w:rsidR="00AF0247" w:rsidRPr="00426923">
        <w:rPr>
          <w:rStyle w:val="cf01"/>
          <w:rFonts w:ascii="Söhne" w:hAnsi="Söhne"/>
          <w:highlight w:val="yellow"/>
          <w:u w:val="double"/>
        </w:rPr>
        <w:t>Rabies causes 60,000 human fatalities annually, approximately 1 death every 10 minutes.</w:t>
      </w:r>
      <w:r w:rsidR="00AF0247" w:rsidRPr="00111383">
        <w:t xml:space="preserve"> </w:t>
      </w:r>
      <w:r>
        <w:t xml:space="preserve">As the viruses are transmissible to humans, all suspect infected human material must be handled under the appropriate safety conditions specified by the World Health Organization (WHO, </w:t>
      </w:r>
      <w:r w:rsidRPr="00111383">
        <w:rPr>
          <w:strike/>
        </w:rPr>
        <w:t>1996</w:t>
      </w:r>
      <w:r w:rsidR="00111383" w:rsidRPr="00111383">
        <w:rPr>
          <w:strike/>
        </w:rPr>
        <w:t xml:space="preserve"> </w:t>
      </w:r>
      <w:r w:rsidR="00111383" w:rsidRPr="00111383">
        <w:rPr>
          <w:u w:val="double"/>
        </w:rPr>
        <w:t>2018</w:t>
      </w:r>
      <w:r>
        <w:t xml:space="preserve">). </w:t>
      </w:r>
      <w:r w:rsidR="00DB6470" w:rsidRPr="00DB6470">
        <w:rPr>
          <w:rStyle w:val="cf01"/>
          <w:rFonts w:ascii="Söhne" w:hAnsi="Söhne"/>
          <w:strike/>
          <w:highlight w:val="yellow"/>
        </w:rPr>
        <w:t>Rabies causes 60,000 human fatalities annually, approximately 1 death every 10 minutes.</w:t>
      </w:r>
      <w:r w:rsidR="00DB6470" w:rsidRPr="00DB6470">
        <w:rPr>
          <w:strike/>
        </w:rPr>
        <w:t xml:space="preserve"> </w:t>
      </w:r>
      <w:r w:rsidRPr="00111383">
        <w:t>Laboratories working with lyss</w:t>
      </w:r>
      <w:r>
        <w:t xml:space="preserve">aviruses or suspect animal material must comply with national biocontainment and biosafety regulations as well as following appropriate biosafety and containment procedures as determined by </w:t>
      </w:r>
      <w:proofErr w:type="spellStart"/>
      <w:r>
        <w:t>biorisk</w:t>
      </w:r>
      <w:proofErr w:type="spellEnd"/>
      <w:r>
        <w:t xml:space="preserve"> analysis (see Chapter 1.1.4 </w:t>
      </w:r>
      <w:r w:rsidRPr="0C08F6F3">
        <w:rPr>
          <w:i/>
          <w:iCs/>
        </w:rPr>
        <w:t>Biosafety and biosecurity: Standard for managing biological risk in the veterinary laboratory and animal facilities</w:t>
      </w:r>
      <w:r>
        <w:t>).</w:t>
      </w:r>
    </w:p>
    <w:p w14:paraId="7E8B5FE8" w14:textId="6D1F6731" w:rsidR="00DD6EB9" w:rsidRPr="000A7B67" w:rsidRDefault="00F653D6" w:rsidP="006E17A0">
      <w:pPr>
        <w:pStyle w:val="paraA0"/>
        <w:spacing w:after="220"/>
      </w:pPr>
      <w:r w:rsidRPr="000A7B67">
        <w:t>Rabies virus (RABV) represent</w:t>
      </w:r>
      <w:r w:rsidR="00016423" w:rsidRPr="000A7B67">
        <w:t>s</w:t>
      </w:r>
      <w:r w:rsidRPr="000A7B67">
        <w:t xml:space="preserve"> the taxonomic </w:t>
      </w:r>
      <w:r w:rsidR="00DC5B52" w:rsidRPr="000A7B67">
        <w:t xml:space="preserve">prototype species </w:t>
      </w:r>
      <w:r w:rsidR="00685D63" w:rsidRPr="00DB6470">
        <w:rPr>
          <w:highlight w:val="yellow"/>
          <w:u w:val="double"/>
        </w:rPr>
        <w:t>“</w:t>
      </w:r>
      <w:r w:rsidRPr="000A7B67">
        <w:t>Rabies lyssavirus</w:t>
      </w:r>
      <w:r w:rsidR="00102A73" w:rsidRPr="00DB6470">
        <w:rPr>
          <w:highlight w:val="yellow"/>
          <w:u w:val="double"/>
        </w:rPr>
        <w:t>”</w:t>
      </w:r>
      <w:r w:rsidRPr="000A7B67">
        <w:t xml:space="preserve"> </w:t>
      </w:r>
      <w:r w:rsidR="00DC5B52" w:rsidRPr="000A7B67">
        <w:t>in the Lyssavirus genus, which includes other genetic and antigenically-related lyssavirus species</w:t>
      </w:r>
      <w:r w:rsidR="00D577CF" w:rsidRPr="000A7B67">
        <w:t xml:space="preserve"> (</w:t>
      </w:r>
      <w:r w:rsidR="00300166" w:rsidRPr="000A7B67">
        <w:t>ICTV, 2017)</w:t>
      </w:r>
      <w:r w:rsidR="007F02F0" w:rsidRPr="00D9477C">
        <w:rPr>
          <w:rStyle w:val="FootnoteReference"/>
          <w:szCs w:val="14"/>
        </w:rPr>
        <w:footnoteReference w:id="2"/>
      </w:r>
      <w:r w:rsidR="00DC5B52" w:rsidRPr="000A7B67">
        <w:t>.</w:t>
      </w:r>
      <w:r w:rsidR="00DD6EB9" w:rsidRPr="000A7B67">
        <w:t xml:space="preserve"> RABV is found worldwide, and is responsible for the overwhelming majority of reported animal and human </w:t>
      </w:r>
      <w:r w:rsidR="0037390A" w:rsidRPr="000A7B67">
        <w:t>rabies</w:t>
      </w:r>
      <w:r w:rsidR="00E0096B" w:rsidRPr="000A7B67">
        <w:t xml:space="preserve"> </w:t>
      </w:r>
      <w:r w:rsidR="00DD6EB9" w:rsidRPr="000A7B67">
        <w:t xml:space="preserve">cases. Other lyssaviruses appear to have more restricted geographical and host range, with the majority having been isolated from bats with limited public and animal health implications. However, all lyssaviruses tested cause clinical disease indistinguishable from RABV. </w:t>
      </w:r>
    </w:p>
    <w:p w14:paraId="43EB3A25" w14:textId="6382B977" w:rsidR="00DD6EB9" w:rsidRPr="000A7B67" w:rsidRDefault="00DD6EB9" w:rsidP="006E17A0">
      <w:pPr>
        <w:pStyle w:val="paraA0"/>
        <w:spacing w:after="220"/>
      </w:pPr>
      <w:r w:rsidRPr="000A7B67">
        <w:t xml:space="preserve">The lyssaviruses have been divided into at least three phylogroups with distinct pathogenicity and immunogenicity (Kuzmin </w:t>
      </w:r>
      <w:r w:rsidR="00944968" w:rsidRPr="000A7B67">
        <w:rPr>
          <w:i/>
        </w:rPr>
        <w:t>et al</w:t>
      </w:r>
      <w:r w:rsidRPr="000A7B67">
        <w:t xml:space="preserve">., 2010). </w:t>
      </w:r>
      <w:r w:rsidRPr="00DB6470">
        <w:rPr>
          <w:strike/>
          <w:highlight w:val="yellow"/>
        </w:rPr>
        <w:t>Rabies virus</w:t>
      </w:r>
      <w:r w:rsidR="00DB6470">
        <w:rPr>
          <w:strike/>
          <w:highlight w:val="yellow"/>
        </w:rPr>
        <w:t xml:space="preserve"> </w:t>
      </w:r>
      <w:r w:rsidR="00FE07F0" w:rsidRPr="00DB6470">
        <w:rPr>
          <w:highlight w:val="yellow"/>
          <w:u w:val="double"/>
        </w:rPr>
        <w:t>RABV</w:t>
      </w:r>
      <w:r w:rsidRPr="000A7B67">
        <w:t xml:space="preserve"> vaccines </w:t>
      </w:r>
      <w:r w:rsidRPr="00DB6470">
        <w:rPr>
          <w:strike/>
          <w:highlight w:val="yellow"/>
        </w:rPr>
        <w:t>however,</w:t>
      </w:r>
      <w:r w:rsidRPr="00DB6470">
        <w:rPr>
          <w:strike/>
        </w:rPr>
        <w:t xml:space="preserve"> </w:t>
      </w:r>
      <w:r w:rsidRPr="000A7B67">
        <w:t>may not provide adequate cross-protection against all genetically divergent lyssaviruses. Little or no cross-protection with pre-exposure vaccination and with conventional rabies post-exposure prophylaxis was observed against lyssaviruses of phylogroups 2 and 3 (</w:t>
      </w:r>
      <w:proofErr w:type="spellStart"/>
      <w:r w:rsidRPr="000A7B67">
        <w:t>Badrane</w:t>
      </w:r>
      <w:proofErr w:type="spellEnd"/>
      <w:r w:rsidRPr="000A7B67">
        <w:t xml:space="preserve"> </w:t>
      </w:r>
      <w:r w:rsidR="00944968" w:rsidRPr="000A7B67">
        <w:rPr>
          <w:i/>
        </w:rPr>
        <w:t>et al</w:t>
      </w:r>
      <w:r w:rsidRPr="000A7B67">
        <w:t xml:space="preserve">., 2001; Brookes </w:t>
      </w:r>
      <w:r w:rsidR="00944968" w:rsidRPr="000A7B67">
        <w:rPr>
          <w:i/>
        </w:rPr>
        <w:t>et al</w:t>
      </w:r>
      <w:r w:rsidRPr="000A7B67">
        <w:t xml:space="preserve">., 2005; Hanlon </w:t>
      </w:r>
      <w:r w:rsidR="00944968" w:rsidRPr="000A7B67">
        <w:rPr>
          <w:i/>
        </w:rPr>
        <w:t>et al</w:t>
      </w:r>
      <w:r w:rsidRPr="000A7B67">
        <w:t xml:space="preserve">., 2005). WHO recommends the preventive immunisation of all staff handling infected or suspect materials (WHO, 2013). </w:t>
      </w:r>
    </w:p>
    <w:p w14:paraId="322288D1" w14:textId="77777777" w:rsidR="00DD6EB9" w:rsidRPr="000A7B67" w:rsidRDefault="00DD6EB9" w:rsidP="00602343">
      <w:pPr>
        <w:pStyle w:val="paraA0"/>
        <w:spacing w:after="480"/>
      </w:pPr>
      <w:r w:rsidRPr="000A7B67">
        <w:t xml:space="preserve">As no clinical sign or gross post-mortem lesion can be considered pathognomonic in domestic or wild animals, the diagnosis of rabies has to rely on laboratory testing. Serological testing is not used for ante-mortem diagnosis because of late seroconversion and the high mortality rate of host species, but is very useful for assessing </w:t>
      </w:r>
      <w:proofErr w:type="spellStart"/>
      <w:r w:rsidRPr="000A7B67">
        <w:t>sero</w:t>
      </w:r>
      <w:proofErr w:type="spellEnd"/>
      <w:r w:rsidRPr="000A7B67">
        <w:t>-conversion following vaccination and for epidemiological studies.</w:t>
      </w:r>
    </w:p>
    <w:p w14:paraId="71E77890" w14:textId="77777777" w:rsidR="00DD6EB9" w:rsidRPr="000A7B67" w:rsidRDefault="00DD6EB9" w:rsidP="00DD6EB9">
      <w:pPr>
        <w:pStyle w:val="A"/>
      </w:pPr>
      <w:r w:rsidRPr="000A7B67">
        <w:t>B.  DIAGNOSTIC TECHNIQUES</w:t>
      </w:r>
    </w:p>
    <w:p w14:paraId="580926D2" w14:textId="77777777" w:rsidR="00DD6EB9" w:rsidRPr="000A7B67" w:rsidRDefault="00DD6EB9" w:rsidP="002A10C6">
      <w:pPr>
        <w:pStyle w:val="Tabletitle"/>
      </w:pPr>
      <w:r w:rsidRPr="000A7B67">
        <w:t xml:space="preserve">Table 1. </w:t>
      </w:r>
      <w:r w:rsidRPr="003D2BF1">
        <w:rPr>
          <w:b w:val="0"/>
          <w:bCs w:val="0"/>
        </w:rPr>
        <w:t>Test methods available for the diagnosis of rabies 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89"/>
        <w:gridCol w:w="1134"/>
        <w:gridCol w:w="1418"/>
        <w:gridCol w:w="1134"/>
        <w:gridCol w:w="1134"/>
        <w:gridCol w:w="1134"/>
        <w:gridCol w:w="1404"/>
      </w:tblGrid>
      <w:tr w:rsidR="00DD6EB9" w:rsidRPr="000A7B67" w14:paraId="0D8CD4D0" w14:textId="77777777" w:rsidTr="25F0BC72">
        <w:trPr>
          <w:trHeight w:val="402"/>
          <w:tblHeader/>
          <w:jc w:val="center"/>
        </w:trPr>
        <w:tc>
          <w:tcPr>
            <w:tcW w:w="1689" w:type="dxa"/>
            <w:vMerge w:val="restart"/>
            <w:vAlign w:val="center"/>
          </w:tcPr>
          <w:p w14:paraId="72231F87" w14:textId="77777777" w:rsidR="00DD6EB9" w:rsidRPr="00347529" w:rsidRDefault="00DD6EB9" w:rsidP="00EF28D6">
            <w:pPr>
              <w:pStyle w:val="TableHead"/>
              <w:spacing w:before="60" w:after="60"/>
              <w:rPr>
                <w:rFonts w:cs="Arial"/>
                <w:b w:val="0"/>
                <w:bCs w:val="0"/>
                <w:sz w:val="16"/>
                <w:szCs w:val="16"/>
                <w:lang w:val="en-GB"/>
              </w:rPr>
            </w:pPr>
            <w:r w:rsidRPr="00347529">
              <w:rPr>
                <w:rFonts w:cs="Arial"/>
                <w:b w:val="0"/>
                <w:bCs w:val="0"/>
                <w:lang w:val="en-GB"/>
              </w:rPr>
              <w:t>Method</w:t>
            </w:r>
          </w:p>
        </w:tc>
        <w:tc>
          <w:tcPr>
            <w:tcW w:w="7358" w:type="dxa"/>
            <w:gridSpan w:val="6"/>
            <w:vAlign w:val="center"/>
          </w:tcPr>
          <w:p w14:paraId="487D64B2" w14:textId="77777777" w:rsidR="00DD6EB9" w:rsidRPr="00347529" w:rsidRDefault="00DD6EB9" w:rsidP="00EF28D6">
            <w:pPr>
              <w:pStyle w:val="Tabletext"/>
              <w:spacing w:before="60" w:after="60"/>
              <w:rPr>
                <w:rFonts w:ascii="Söhne Kräftig" w:hAnsi="Söhne Kräftig"/>
                <w:sz w:val="16"/>
                <w:szCs w:val="16"/>
                <w:lang w:val="en-GB"/>
              </w:rPr>
            </w:pPr>
            <w:r w:rsidRPr="00347529">
              <w:rPr>
                <w:rFonts w:ascii="Söhne Kräftig" w:hAnsi="Söhne Kräftig"/>
                <w:lang w:val="en-GB"/>
              </w:rPr>
              <w:t>Purpose</w:t>
            </w:r>
          </w:p>
        </w:tc>
      </w:tr>
      <w:tr w:rsidR="00DD6EB9" w:rsidRPr="000A7B67" w14:paraId="6EA811D2" w14:textId="77777777" w:rsidTr="25F0BC72">
        <w:trPr>
          <w:trHeight w:val="402"/>
          <w:tblHeader/>
          <w:jc w:val="center"/>
        </w:trPr>
        <w:tc>
          <w:tcPr>
            <w:tcW w:w="1689" w:type="dxa"/>
            <w:vMerge/>
            <w:vAlign w:val="center"/>
          </w:tcPr>
          <w:p w14:paraId="6ECCE25D" w14:textId="77777777" w:rsidR="00DD6EB9" w:rsidRPr="00347529" w:rsidRDefault="00DD6EB9" w:rsidP="00EF28D6">
            <w:pPr>
              <w:pStyle w:val="TableHead"/>
              <w:spacing w:before="60" w:after="60"/>
              <w:jc w:val="both"/>
              <w:rPr>
                <w:rFonts w:cs="Arial"/>
                <w:b w:val="0"/>
                <w:bCs w:val="0"/>
                <w:sz w:val="16"/>
                <w:szCs w:val="16"/>
                <w:lang w:val="en-GB"/>
              </w:rPr>
            </w:pPr>
          </w:p>
        </w:tc>
        <w:tc>
          <w:tcPr>
            <w:tcW w:w="1134" w:type="dxa"/>
            <w:vAlign w:val="center"/>
          </w:tcPr>
          <w:p w14:paraId="4514E978" w14:textId="77777777" w:rsidR="00DD6EB9" w:rsidRPr="00347529" w:rsidRDefault="00DD6EB9" w:rsidP="00EF28D6">
            <w:pPr>
              <w:pStyle w:val="Tabletext"/>
              <w:spacing w:before="60" w:after="60"/>
              <w:rPr>
                <w:rFonts w:ascii="Söhne Kräftig" w:hAnsi="Söhne Kräftig"/>
                <w:sz w:val="16"/>
                <w:szCs w:val="16"/>
                <w:lang w:val="en-GB"/>
              </w:rPr>
            </w:pPr>
            <w:r w:rsidRPr="00347529">
              <w:rPr>
                <w:rFonts w:ascii="Söhne Kräftig" w:hAnsi="Söhne Kräftig"/>
                <w:sz w:val="16"/>
                <w:szCs w:val="16"/>
                <w:lang w:val="en-GB"/>
              </w:rPr>
              <w:t>Population freedom from infection</w:t>
            </w:r>
          </w:p>
        </w:tc>
        <w:tc>
          <w:tcPr>
            <w:tcW w:w="1418" w:type="dxa"/>
            <w:vAlign w:val="center"/>
          </w:tcPr>
          <w:p w14:paraId="4E4D78C9" w14:textId="77777777" w:rsidR="00DD6EB9" w:rsidRPr="00347529" w:rsidRDefault="00DD6EB9" w:rsidP="00EF28D6">
            <w:pPr>
              <w:pStyle w:val="Tabletext"/>
              <w:spacing w:before="60" w:after="60"/>
              <w:rPr>
                <w:rFonts w:ascii="Söhne Kräftig" w:hAnsi="Söhne Kräftig"/>
                <w:sz w:val="16"/>
                <w:szCs w:val="16"/>
                <w:lang w:val="en-GB"/>
              </w:rPr>
            </w:pPr>
            <w:r w:rsidRPr="00347529">
              <w:rPr>
                <w:rFonts w:ascii="Söhne Kräftig" w:hAnsi="Söhne Kräftig"/>
                <w:sz w:val="16"/>
                <w:szCs w:val="16"/>
                <w:lang w:val="en-GB"/>
              </w:rPr>
              <w:t>Individual animal freedom from infection prior to movement</w:t>
            </w:r>
          </w:p>
        </w:tc>
        <w:tc>
          <w:tcPr>
            <w:tcW w:w="1134" w:type="dxa"/>
            <w:vAlign w:val="center"/>
          </w:tcPr>
          <w:p w14:paraId="0D1F88D8" w14:textId="77777777" w:rsidR="00DD6EB9" w:rsidRPr="00347529" w:rsidRDefault="00DD6EB9" w:rsidP="00EF28D6">
            <w:pPr>
              <w:pStyle w:val="Tabletext"/>
              <w:spacing w:before="60" w:after="60"/>
              <w:rPr>
                <w:rFonts w:ascii="Söhne Kräftig" w:hAnsi="Söhne Kräftig"/>
                <w:sz w:val="16"/>
                <w:szCs w:val="16"/>
                <w:lang w:val="en-GB"/>
              </w:rPr>
            </w:pPr>
            <w:r w:rsidRPr="00347529">
              <w:rPr>
                <w:rFonts w:ascii="Söhne Kräftig" w:hAnsi="Söhne Kräftig"/>
                <w:sz w:val="16"/>
                <w:szCs w:val="16"/>
                <w:lang w:val="en-GB"/>
              </w:rPr>
              <w:t>Contribute to eradication policies</w:t>
            </w:r>
          </w:p>
        </w:tc>
        <w:tc>
          <w:tcPr>
            <w:tcW w:w="1134" w:type="dxa"/>
            <w:vAlign w:val="center"/>
          </w:tcPr>
          <w:p w14:paraId="0DD1876F" w14:textId="77777777" w:rsidR="00DD6EB9" w:rsidRPr="00347529" w:rsidRDefault="00DD6EB9" w:rsidP="00EF28D6">
            <w:pPr>
              <w:pStyle w:val="Tabletext"/>
              <w:spacing w:before="60" w:after="60"/>
              <w:rPr>
                <w:rFonts w:ascii="Söhne Kräftig" w:hAnsi="Söhne Kräftig"/>
                <w:sz w:val="16"/>
                <w:szCs w:val="16"/>
                <w:lang w:val="en-GB"/>
              </w:rPr>
            </w:pPr>
            <w:r w:rsidRPr="00347529">
              <w:rPr>
                <w:rFonts w:ascii="Söhne Kräftig" w:hAnsi="Söhne Kräftig"/>
                <w:sz w:val="16"/>
                <w:szCs w:val="16"/>
                <w:lang w:val="en-GB"/>
              </w:rPr>
              <w:t>Confirmation of clinical cases</w:t>
            </w:r>
          </w:p>
        </w:tc>
        <w:tc>
          <w:tcPr>
            <w:tcW w:w="1134" w:type="dxa"/>
            <w:vAlign w:val="center"/>
          </w:tcPr>
          <w:p w14:paraId="3A45734F" w14:textId="77777777" w:rsidR="00DD6EB9" w:rsidRPr="00347529" w:rsidRDefault="00DD6EB9" w:rsidP="00EF28D6">
            <w:pPr>
              <w:pStyle w:val="Tabletext"/>
              <w:spacing w:before="60" w:after="60"/>
              <w:rPr>
                <w:rFonts w:ascii="Söhne Kräftig" w:hAnsi="Söhne Kräftig"/>
                <w:sz w:val="16"/>
                <w:szCs w:val="16"/>
                <w:lang w:val="en-GB"/>
              </w:rPr>
            </w:pPr>
            <w:r w:rsidRPr="00347529">
              <w:rPr>
                <w:rFonts w:ascii="Söhne Kräftig" w:hAnsi="Söhne Kräftig"/>
                <w:sz w:val="16"/>
                <w:szCs w:val="16"/>
                <w:lang w:val="en-GB"/>
              </w:rPr>
              <w:t>Prevalence of infection – surveillance</w:t>
            </w:r>
          </w:p>
        </w:tc>
        <w:tc>
          <w:tcPr>
            <w:tcW w:w="1404" w:type="dxa"/>
            <w:vAlign w:val="center"/>
          </w:tcPr>
          <w:p w14:paraId="15656A34" w14:textId="77777777" w:rsidR="00DD6EB9" w:rsidRPr="00347529" w:rsidRDefault="00DD6EB9" w:rsidP="00EF28D6">
            <w:pPr>
              <w:pStyle w:val="Tabletext"/>
              <w:spacing w:before="60" w:after="60"/>
              <w:rPr>
                <w:rFonts w:ascii="Söhne Kräftig" w:hAnsi="Söhne Kräftig"/>
                <w:sz w:val="16"/>
                <w:szCs w:val="16"/>
                <w:lang w:val="en-GB"/>
              </w:rPr>
            </w:pPr>
            <w:r w:rsidRPr="00347529">
              <w:rPr>
                <w:rFonts w:ascii="Söhne Kräftig" w:hAnsi="Söhne Kräftig"/>
                <w:sz w:val="16"/>
                <w:szCs w:val="16"/>
                <w:lang w:val="en-GB"/>
              </w:rPr>
              <w:t>Immune status in individual animals or populations post-vaccination</w:t>
            </w:r>
          </w:p>
        </w:tc>
      </w:tr>
      <w:tr w:rsidR="00DD6EB9" w:rsidRPr="000A7B67" w14:paraId="3A3A9D47" w14:textId="77777777" w:rsidTr="25F0BC72">
        <w:trPr>
          <w:trHeight w:val="283"/>
          <w:jc w:val="center"/>
        </w:trPr>
        <w:tc>
          <w:tcPr>
            <w:tcW w:w="9047" w:type="dxa"/>
            <w:gridSpan w:val="7"/>
            <w:tcBorders>
              <w:bottom w:val="single" w:sz="4" w:space="0" w:color="auto"/>
            </w:tcBorders>
            <w:shd w:val="clear" w:color="auto" w:fill="auto"/>
          </w:tcPr>
          <w:p w14:paraId="40C0A9B0" w14:textId="13DBE604" w:rsidR="00DD6EB9" w:rsidRPr="00347529" w:rsidRDefault="0034152D" w:rsidP="00EF28D6">
            <w:pPr>
              <w:pStyle w:val="Tabletext"/>
              <w:spacing w:before="60" w:after="60"/>
              <w:rPr>
                <w:rFonts w:ascii="Söhne Kräftig" w:hAnsi="Söhne Kräftig"/>
                <w:lang w:val="en-GB"/>
              </w:rPr>
            </w:pPr>
            <w:r w:rsidRPr="0034152D">
              <w:rPr>
                <w:rFonts w:ascii="Söhne Kräftig" w:hAnsi="Söhne Kräftig"/>
                <w:sz w:val="16"/>
                <w:szCs w:val="16"/>
                <w:highlight w:val="yellow"/>
                <w:u w:val="double"/>
              </w:rPr>
              <w:t>Detection and</w:t>
            </w:r>
            <w:r>
              <w:rPr>
                <w:rFonts w:ascii="Söhne Kräftig" w:hAnsi="Söhne Kräftig"/>
                <w:sz w:val="16"/>
                <w:szCs w:val="16"/>
              </w:rPr>
              <w:t xml:space="preserve"> </w:t>
            </w:r>
            <w:r w:rsidRPr="00347529">
              <w:rPr>
                <w:rFonts w:ascii="Söhne Kräftig" w:hAnsi="Söhne Kräftig"/>
                <w:sz w:val="16"/>
                <w:szCs w:val="16"/>
              </w:rPr>
              <w:t xml:space="preserve">identification </w:t>
            </w:r>
            <w:r w:rsidR="00177C7A" w:rsidRPr="00347529">
              <w:rPr>
                <w:rFonts w:ascii="Söhne Kräftig" w:hAnsi="Söhne Kräftig"/>
                <w:sz w:val="16"/>
                <w:szCs w:val="16"/>
              </w:rPr>
              <w:t>of the agent</w:t>
            </w:r>
          </w:p>
        </w:tc>
      </w:tr>
      <w:tr w:rsidR="00DD6EB9" w:rsidRPr="000A7B67" w14:paraId="3033D69A" w14:textId="77777777" w:rsidTr="25F0BC72">
        <w:trPr>
          <w:trHeight w:val="402"/>
          <w:jc w:val="center"/>
        </w:trPr>
        <w:tc>
          <w:tcPr>
            <w:tcW w:w="1689" w:type="dxa"/>
            <w:vAlign w:val="center"/>
          </w:tcPr>
          <w:p w14:paraId="75B08C8C" w14:textId="77777777" w:rsidR="00DD6EB9" w:rsidRPr="00347529" w:rsidRDefault="00DD6EB9" w:rsidP="00EF28D6">
            <w:pPr>
              <w:spacing w:before="60" w:after="60" w:line="240" w:lineRule="auto"/>
              <w:jc w:val="center"/>
              <w:rPr>
                <w:rFonts w:ascii="Söhne Kräftig" w:eastAsiaTheme="minorHAnsi" w:hAnsi="Söhne Kräftig" w:cs="Arial"/>
                <w:bCs/>
                <w:sz w:val="16"/>
                <w:szCs w:val="16"/>
              </w:rPr>
            </w:pPr>
            <w:r w:rsidRPr="00347529">
              <w:rPr>
                <w:rFonts w:ascii="Söhne Kräftig" w:hAnsi="Söhne Kräftig" w:cs="Arial"/>
                <w:bCs/>
                <w:sz w:val="16"/>
                <w:szCs w:val="16"/>
              </w:rPr>
              <w:t>DFA (antigen detection)</w:t>
            </w:r>
          </w:p>
        </w:tc>
        <w:tc>
          <w:tcPr>
            <w:tcW w:w="1134" w:type="dxa"/>
            <w:vAlign w:val="center"/>
          </w:tcPr>
          <w:p w14:paraId="110CDC4F"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18" w:type="dxa"/>
            <w:vAlign w:val="center"/>
          </w:tcPr>
          <w:p w14:paraId="356C8982" w14:textId="0F3DE831"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1FE40CA8"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0AC64700"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739E86CA"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04" w:type="dxa"/>
            <w:vAlign w:val="center"/>
          </w:tcPr>
          <w:p w14:paraId="23A5F1A4" w14:textId="1D49F78C" w:rsidR="00DD6EB9" w:rsidRPr="00347529" w:rsidRDefault="00805E5E" w:rsidP="00EF28D6">
            <w:pPr>
              <w:pStyle w:val="Tabletext"/>
              <w:spacing w:before="60" w:after="60"/>
              <w:rPr>
                <w:rFonts w:ascii="Söhne" w:hAnsi="Söhne"/>
                <w:sz w:val="16"/>
                <w:szCs w:val="16"/>
                <w:lang w:val="en-GB"/>
              </w:rPr>
            </w:pPr>
            <w:r>
              <w:rPr>
                <w:rFonts w:ascii="Söhne" w:hAnsi="Söhne"/>
                <w:sz w:val="16"/>
                <w:szCs w:val="16"/>
                <w:lang w:val="en-GB"/>
              </w:rPr>
              <w:t>–</w:t>
            </w:r>
          </w:p>
        </w:tc>
      </w:tr>
      <w:tr w:rsidR="00DD6EB9" w:rsidRPr="000A7B67" w14:paraId="20C3765B" w14:textId="77777777" w:rsidTr="25F0BC72">
        <w:trPr>
          <w:trHeight w:val="402"/>
          <w:jc w:val="center"/>
        </w:trPr>
        <w:tc>
          <w:tcPr>
            <w:tcW w:w="1689" w:type="dxa"/>
            <w:vAlign w:val="center"/>
          </w:tcPr>
          <w:p w14:paraId="4FBCAA5C" w14:textId="77777777" w:rsidR="00DD6EB9" w:rsidRPr="00347529" w:rsidRDefault="00DD6EB9" w:rsidP="00EF28D6">
            <w:pPr>
              <w:spacing w:before="60" w:after="60" w:line="240" w:lineRule="auto"/>
              <w:jc w:val="center"/>
              <w:rPr>
                <w:rFonts w:ascii="Söhne Kräftig" w:hAnsi="Söhne Kräftig" w:cs="Arial"/>
                <w:bCs/>
                <w:sz w:val="16"/>
                <w:szCs w:val="16"/>
              </w:rPr>
            </w:pPr>
            <w:proofErr w:type="spellStart"/>
            <w:r w:rsidRPr="00347529">
              <w:rPr>
                <w:rFonts w:ascii="Söhne Kräftig" w:hAnsi="Söhne Kräftig" w:cs="Arial"/>
                <w:bCs/>
                <w:sz w:val="16"/>
                <w:szCs w:val="16"/>
              </w:rPr>
              <w:t>dRIT</w:t>
            </w:r>
            <w:proofErr w:type="spellEnd"/>
            <w:r w:rsidR="00C97390" w:rsidRPr="00347529">
              <w:rPr>
                <w:rFonts w:ascii="Söhne Kräftig" w:hAnsi="Söhne Kräftig" w:cs="Arial"/>
                <w:bCs/>
                <w:sz w:val="16"/>
                <w:szCs w:val="16"/>
              </w:rPr>
              <w:t xml:space="preserve"> </w:t>
            </w:r>
            <w:r w:rsidRPr="00347529">
              <w:rPr>
                <w:rFonts w:ascii="Söhne Kräftig" w:hAnsi="Söhne Kräftig" w:cs="Arial"/>
                <w:bCs/>
                <w:sz w:val="16"/>
                <w:szCs w:val="16"/>
              </w:rPr>
              <w:t>(antigen detection)</w:t>
            </w:r>
          </w:p>
        </w:tc>
        <w:tc>
          <w:tcPr>
            <w:tcW w:w="1134" w:type="dxa"/>
            <w:vAlign w:val="center"/>
          </w:tcPr>
          <w:p w14:paraId="13E07227"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18" w:type="dxa"/>
            <w:vAlign w:val="center"/>
          </w:tcPr>
          <w:p w14:paraId="2487F6C5" w14:textId="15B158A3"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0F12AAAD"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5A2A70C9"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2935A2DE"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04" w:type="dxa"/>
            <w:vAlign w:val="center"/>
          </w:tcPr>
          <w:p w14:paraId="09B5DBF2" w14:textId="75762BBF"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r>
      <w:tr w:rsidR="00114AA9" w:rsidRPr="00112124" w14:paraId="0A164F44" w14:textId="77777777" w:rsidTr="25F0BC72">
        <w:trPr>
          <w:trHeight w:val="402"/>
          <w:jc w:val="center"/>
        </w:trPr>
        <w:tc>
          <w:tcPr>
            <w:tcW w:w="1689" w:type="dxa"/>
            <w:vAlign w:val="center"/>
          </w:tcPr>
          <w:p w14:paraId="05A057AE" w14:textId="77777777" w:rsidR="00114AA9" w:rsidRPr="00112124" w:rsidRDefault="00114AA9" w:rsidP="796A39FB">
            <w:pPr>
              <w:spacing w:before="60" w:after="60" w:line="240" w:lineRule="auto"/>
              <w:jc w:val="center"/>
              <w:rPr>
                <w:rFonts w:ascii="Söhne Kräftig" w:hAnsi="Söhne Kräftig" w:cs="Arial"/>
                <w:strike/>
                <w:sz w:val="16"/>
                <w:szCs w:val="16"/>
              </w:rPr>
            </w:pPr>
            <w:r w:rsidRPr="00112124">
              <w:rPr>
                <w:rFonts w:ascii="Söhne Kräftig" w:hAnsi="Söhne Kräftig" w:cs="Arial"/>
                <w:strike/>
                <w:sz w:val="16"/>
                <w:szCs w:val="16"/>
              </w:rPr>
              <w:t>ELISA (antigen detection)</w:t>
            </w:r>
          </w:p>
        </w:tc>
        <w:tc>
          <w:tcPr>
            <w:tcW w:w="1134" w:type="dxa"/>
            <w:vAlign w:val="center"/>
          </w:tcPr>
          <w:p w14:paraId="735060C9" w14:textId="77777777" w:rsidR="00114AA9" w:rsidRPr="00112124" w:rsidRDefault="00114AA9" w:rsidP="00EF28D6">
            <w:pPr>
              <w:pStyle w:val="Tabletext"/>
              <w:spacing w:before="60" w:after="60"/>
              <w:rPr>
                <w:rFonts w:ascii="Söhne" w:hAnsi="Söhne"/>
                <w:strike/>
                <w:sz w:val="16"/>
                <w:szCs w:val="16"/>
                <w:lang w:val="en-GB"/>
              </w:rPr>
            </w:pPr>
            <w:r w:rsidRPr="00112124">
              <w:rPr>
                <w:rFonts w:ascii="Söhne" w:hAnsi="Söhne"/>
                <w:strike/>
                <w:sz w:val="16"/>
                <w:szCs w:val="16"/>
                <w:lang w:val="en-GB"/>
              </w:rPr>
              <w:t>+</w:t>
            </w:r>
          </w:p>
        </w:tc>
        <w:tc>
          <w:tcPr>
            <w:tcW w:w="1418" w:type="dxa"/>
            <w:vAlign w:val="center"/>
          </w:tcPr>
          <w:p w14:paraId="6D9DF029" w14:textId="25CC7CD8" w:rsidR="00114AA9" w:rsidRPr="00112124" w:rsidRDefault="00FD4633" w:rsidP="00EF28D6">
            <w:pPr>
              <w:pStyle w:val="Tabletext"/>
              <w:spacing w:before="60" w:after="60"/>
              <w:rPr>
                <w:rFonts w:ascii="Söhne" w:hAnsi="Söhne"/>
                <w:strike/>
                <w:sz w:val="16"/>
                <w:szCs w:val="16"/>
                <w:lang w:val="en-GB"/>
              </w:rPr>
            </w:pPr>
            <w:r w:rsidRPr="00112124">
              <w:rPr>
                <w:rFonts w:ascii="Söhne" w:hAnsi="Söhne"/>
                <w:strike/>
                <w:sz w:val="16"/>
                <w:szCs w:val="16"/>
                <w:lang w:val="en-GB"/>
              </w:rPr>
              <w:t>–</w:t>
            </w:r>
          </w:p>
        </w:tc>
        <w:tc>
          <w:tcPr>
            <w:tcW w:w="1134" w:type="dxa"/>
            <w:vAlign w:val="center"/>
          </w:tcPr>
          <w:p w14:paraId="5F133986" w14:textId="77777777" w:rsidR="00114AA9" w:rsidRPr="00112124" w:rsidRDefault="00114AA9" w:rsidP="00EF28D6">
            <w:pPr>
              <w:pStyle w:val="Tabletext"/>
              <w:spacing w:before="60" w:after="60"/>
              <w:rPr>
                <w:rFonts w:ascii="Söhne" w:hAnsi="Söhne"/>
                <w:strike/>
                <w:sz w:val="16"/>
                <w:szCs w:val="16"/>
                <w:lang w:val="en-GB"/>
              </w:rPr>
            </w:pPr>
            <w:r w:rsidRPr="00112124">
              <w:rPr>
                <w:rFonts w:ascii="Söhne" w:hAnsi="Söhne"/>
                <w:strike/>
                <w:sz w:val="16"/>
                <w:szCs w:val="16"/>
                <w:lang w:val="en-GB"/>
              </w:rPr>
              <w:t>+</w:t>
            </w:r>
          </w:p>
        </w:tc>
        <w:tc>
          <w:tcPr>
            <w:tcW w:w="1134" w:type="dxa"/>
            <w:vAlign w:val="center"/>
          </w:tcPr>
          <w:p w14:paraId="7F92A16B" w14:textId="77777777" w:rsidR="00114AA9" w:rsidRPr="00112124" w:rsidRDefault="00114AA9" w:rsidP="00EF28D6">
            <w:pPr>
              <w:pStyle w:val="Tabletext"/>
              <w:spacing w:before="60" w:after="60"/>
              <w:rPr>
                <w:rFonts w:ascii="Söhne" w:hAnsi="Söhne"/>
                <w:strike/>
                <w:sz w:val="16"/>
                <w:szCs w:val="16"/>
                <w:lang w:val="en-GB"/>
              </w:rPr>
            </w:pPr>
            <w:r w:rsidRPr="00112124">
              <w:rPr>
                <w:rFonts w:ascii="Söhne" w:hAnsi="Söhne"/>
                <w:strike/>
                <w:sz w:val="16"/>
                <w:szCs w:val="16"/>
                <w:lang w:val="en-GB"/>
              </w:rPr>
              <w:t>+</w:t>
            </w:r>
          </w:p>
        </w:tc>
        <w:tc>
          <w:tcPr>
            <w:tcW w:w="1134" w:type="dxa"/>
            <w:vAlign w:val="center"/>
          </w:tcPr>
          <w:p w14:paraId="37477A9C" w14:textId="77777777" w:rsidR="00114AA9" w:rsidRPr="00112124" w:rsidRDefault="00114AA9" w:rsidP="00EF28D6">
            <w:pPr>
              <w:pStyle w:val="Tabletext"/>
              <w:spacing w:before="60" w:after="60"/>
              <w:rPr>
                <w:rFonts w:ascii="Söhne" w:hAnsi="Söhne"/>
                <w:strike/>
                <w:sz w:val="16"/>
                <w:szCs w:val="16"/>
                <w:lang w:val="en-GB"/>
              </w:rPr>
            </w:pPr>
            <w:r w:rsidRPr="00112124">
              <w:rPr>
                <w:rFonts w:ascii="Söhne" w:hAnsi="Söhne"/>
                <w:strike/>
                <w:sz w:val="16"/>
                <w:szCs w:val="16"/>
                <w:lang w:val="en-GB"/>
              </w:rPr>
              <w:t>+</w:t>
            </w:r>
          </w:p>
        </w:tc>
        <w:tc>
          <w:tcPr>
            <w:tcW w:w="1404" w:type="dxa"/>
            <w:vAlign w:val="center"/>
          </w:tcPr>
          <w:p w14:paraId="4C378C83" w14:textId="30CC9C9C" w:rsidR="00114AA9" w:rsidRPr="00112124" w:rsidRDefault="00FD4633" w:rsidP="00EF28D6">
            <w:pPr>
              <w:pStyle w:val="Tabletext"/>
              <w:spacing w:before="60" w:after="60"/>
              <w:rPr>
                <w:rFonts w:ascii="Söhne" w:hAnsi="Söhne"/>
                <w:strike/>
                <w:sz w:val="16"/>
                <w:szCs w:val="16"/>
                <w:lang w:val="en-GB"/>
              </w:rPr>
            </w:pPr>
            <w:r w:rsidRPr="00112124">
              <w:rPr>
                <w:rFonts w:ascii="Söhne" w:hAnsi="Söhne"/>
                <w:strike/>
                <w:sz w:val="16"/>
                <w:szCs w:val="16"/>
                <w:lang w:val="en-GB"/>
              </w:rPr>
              <w:t>–</w:t>
            </w:r>
          </w:p>
        </w:tc>
      </w:tr>
      <w:tr w:rsidR="00DD6EB9" w:rsidRPr="000A7B67" w14:paraId="65D32288" w14:textId="77777777" w:rsidTr="25F0BC72">
        <w:trPr>
          <w:trHeight w:val="402"/>
          <w:jc w:val="center"/>
        </w:trPr>
        <w:tc>
          <w:tcPr>
            <w:tcW w:w="1689" w:type="dxa"/>
            <w:vAlign w:val="center"/>
          </w:tcPr>
          <w:p w14:paraId="14EB96BB" w14:textId="09487C8B" w:rsidR="00DD6EB9" w:rsidRPr="00112124" w:rsidRDefault="00DD6EB9" w:rsidP="00EF28D6">
            <w:pPr>
              <w:spacing w:before="60" w:after="60" w:line="240" w:lineRule="auto"/>
              <w:jc w:val="center"/>
              <w:rPr>
                <w:rFonts w:ascii="Söhne Kräftig" w:hAnsi="Söhne Kräftig" w:cs="Arial"/>
                <w:bCs/>
                <w:sz w:val="16"/>
                <w:szCs w:val="16"/>
                <w:lang w:val="fr-FR"/>
              </w:rPr>
            </w:pPr>
            <w:proofErr w:type="spellStart"/>
            <w:r w:rsidRPr="00112124">
              <w:rPr>
                <w:rFonts w:ascii="Söhne Kräftig" w:hAnsi="Söhne Kräftig" w:cs="Arial"/>
                <w:bCs/>
                <w:strike/>
                <w:sz w:val="16"/>
                <w:szCs w:val="16"/>
                <w:lang w:val="fr-FR"/>
              </w:rPr>
              <w:t>Cell</w:t>
            </w:r>
            <w:proofErr w:type="spellEnd"/>
            <w:r w:rsidRPr="00112124">
              <w:rPr>
                <w:rFonts w:ascii="Söhne Kräftig" w:hAnsi="Söhne Kräftig" w:cs="Arial"/>
                <w:bCs/>
                <w:strike/>
                <w:sz w:val="16"/>
                <w:szCs w:val="16"/>
                <w:lang w:val="fr-FR"/>
              </w:rPr>
              <w:t xml:space="preserve"> culture</w:t>
            </w:r>
            <w:r w:rsidRPr="00112124">
              <w:rPr>
                <w:rFonts w:ascii="Söhne Kräftig" w:hAnsi="Söhne Kräftig" w:cs="Arial"/>
                <w:bCs/>
                <w:sz w:val="16"/>
                <w:szCs w:val="16"/>
                <w:lang w:val="fr-FR"/>
              </w:rPr>
              <w:t xml:space="preserve"> </w:t>
            </w:r>
            <w:r w:rsidR="00E06B0A" w:rsidRPr="00112124">
              <w:rPr>
                <w:rFonts w:ascii="Söhne Kräftig" w:hAnsi="Söhne Kräftig" w:cs="Arial"/>
                <w:bCs/>
                <w:sz w:val="16"/>
                <w:szCs w:val="16"/>
                <w:u w:val="double"/>
                <w:lang w:val="fr-FR"/>
              </w:rPr>
              <w:t>RTCIT</w:t>
            </w:r>
            <w:r w:rsidRPr="00112124">
              <w:rPr>
                <w:rFonts w:ascii="Söhne Kräftig" w:hAnsi="Söhne Kräftig" w:cs="Arial"/>
                <w:bCs/>
                <w:sz w:val="16"/>
                <w:szCs w:val="16"/>
                <w:lang w:val="fr-FR"/>
              </w:rPr>
              <w:br/>
              <w:t>(virus isolation)</w:t>
            </w:r>
          </w:p>
        </w:tc>
        <w:tc>
          <w:tcPr>
            <w:tcW w:w="1134" w:type="dxa"/>
            <w:vAlign w:val="center"/>
          </w:tcPr>
          <w:p w14:paraId="2D025229" w14:textId="177072A3" w:rsidR="00DD6EB9" w:rsidRPr="00112124" w:rsidRDefault="00007841" w:rsidP="00EF28D6">
            <w:pPr>
              <w:pStyle w:val="Tabletext"/>
              <w:spacing w:before="60" w:after="60"/>
              <w:rPr>
                <w:rFonts w:ascii="Söhne" w:hAnsi="Söhne"/>
                <w:sz w:val="16"/>
                <w:szCs w:val="16"/>
                <w:lang w:val="en-GB"/>
              </w:rPr>
            </w:pPr>
            <w:r w:rsidRPr="00112124">
              <w:rPr>
                <w:rFonts w:ascii="Söhne" w:hAnsi="Söhne"/>
                <w:strike/>
                <w:sz w:val="16"/>
                <w:szCs w:val="16"/>
                <w:lang w:val="en-GB"/>
              </w:rPr>
              <w:t>+</w:t>
            </w:r>
            <w:r w:rsidR="00E06B0A" w:rsidRPr="00112124">
              <w:rPr>
                <w:rFonts w:ascii="Söhne" w:hAnsi="Söhne"/>
                <w:sz w:val="16"/>
                <w:szCs w:val="16"/>
                <w:lang w:val="en-GB"/>
              </w:rPr>
              <w:t xml:space="preserve"> </w:t>
            </w:r>
            <w:r w:rsidR="00E06B0A" w:rsidRPr="00112124">
              <w:rPr>
                <w:rFonts w:ascii="Söhne" w:hAnsi="Söhne"/>
                <w:sz w:val="16"/>
                <w:szCs w:val="16"/>
                <w:u w:val="double"/>
                <w:lang w:val="en-GB"/>
              </w:rPr>
              <w:t>–</w:t>
            </w:r>
          </w:p>
        </w:tc>
        <w:tc>
          <w:tcPr>
            <w:tcW w:w="1418" w:type="dxa"/>
            <w:vAlign w:val="center"/>
          </w:tcPr>
          <w:p w14:paraId="4D16BAA6" w14:textId="48064561" w:rsidR="00DD6EB9" w:rsidRPr="00112124" w:rsidRDefault="00FD4633" w:rsidP="00EF28D6">
            <w:pPr>
              <w:pStyle w:val="Tabletext"/>
              <w:spacing w:before="60" w:after="60"/>
              <w:rPr>
                <w:rFonts w:ascii="Söhne" w:hAnsi="Söhne"/>
                <w:sz w:val="16"/>
                <w:szCs w:val="16"/>
                <w:lang w:val="en-GB"/>
              </w:rPr>
            </w:pPr>
            <w:r w:rsidRPr="00112124">
              <w:rPr>
                <w:rFonts w:ascii="Söhne" w:hAnsi="Söhne"/>
                <w:sz w:val="16"/>
                <w:szCs w:val="16"/>
                <w:lang w:val="en-GB"/>
              </w:rPr>
              <w:t>–</w:t>
            </w:r>
          </w:p>
        </w:tc>
        <w:tc>
          <w:tcPr>
            <w:tcW w:w="1134" w:type="dxa"/>
            <w:vAlign w:val="center"/>
          </w:tcPr>
          <w:p w14:paraId="7C033E47" w14:textId="77777777" w:rsidR="00DD6EB9" w:rsidRPr="00112124" w:rsidRDefault="00DD6EB9" w:rsidP="00EF28D6">
            <w:pPr>
              <w:pStyle w:val="Tabletext"/>
              <w:spacing w:before="60" w:after="60"/>
              <w:rPr>
                <w:rFonts w:ascii="Söhne" w:hAnsi="Söhne"/>
                <w:sz w:val="16"/>
                <w:szCs w:val="16"/>
                <w:lang w:val="en-GB"/>
              </w:rPr>
            </w:pPr>
            <w:r w:rsidRPr="00112124">
              <w:rPr>
                <w:rFonts w:ascii="Söhne" w:hAnsi="Söhne"/>
                <w:sz w:val="16"/>
                <w:szCs w:val="16"/>
                <w:lang w:val="en-GB"/>
              </w:rPr>
              <w:t>+++</w:t>
            </w:r>
          </w:p>
        </w:tc>
        <w:tc>
          <w:tcPr>
            <w:tcW w:w="1134" w:type="dxa"/>
            <w:vAlign w:val="center"/>
          </w:tcPr>
          <w:p w14:paraId="2379310A" w14:textId="77777777" w:rsidR="00DD6EB9" w:rsidRPr="00112124" w:rsidRDefault="00DD6EB9" w:rsidP="00EF28D6">
            <w:pPr>
              <w:pStyle w:val="Tabletext"/>
              <w:spacing w:before="60" w:after="60"/>
              <w:rPr>
                <w:rFonts w:ascii="Söhne" w:hAnsi="Söhne"/>
                <w:sz w:val="16"/>
                <w:szCs w:val="16"/>
                <w:lang w:val="en-GB"/>
              </w:rPr>
            </w:pPr>
            <w:r w:rsidRPr="00112124">
              <w:rPr>
                <w:rFonts w:ascii="Söhne" w:hAnsi="Söhne"/>
                <w:sz w:val="16"/>
                <w:szCs w:val="16"/>
                <w:lang w:val="en-GB"/>
              </w:rPr>
              <w:t>+++</w:t>
            </w:r>
          </w:p>
        </w:tc>
        <w:tc>
          <w:tcPr>
            <w:tcW w:w="1134" w:type="dxa"/>
            <w:vAlign w:val="center"/>
          </w:tcPr>
          <w:p w14:paraId="7B5B2139" w14:textId="77777777" w:rsidR="00DD6EB9" w:rsidRPr="00112124" w:rsidRDefault="00DD6EB9" w:rsidP="00EF28D6">
            <w:pPr>
              <w:pStyle w:val="Tabletext"/>
              <w:spacing w:before="60" w:after="60"/>
              <w:rPr>
                <w:rFonts w:ascii="Söhne" w:hAnsi="Söhne"/>
                <w:sz w:val="16"/>
                <w:szCs w:val="16"/>
                <w:lang w:val="en-GB"/>
              </w:rPr>
            </w:pPr>
            <w:r w:rsidRPr="00112124">
              <w:rPr>
                <w:rFonts w:ascii="Söhne" w:hAnsi="Söhne"/>
                <w:sz w:val="16"/>
                <w:szCs w:val="16"/>
                <w:lang w:val="en-GB"/>
              </w:rPr>
              <w:t>+++</w:t>
            </w:r>
          </w:p>
        </w:tc>
        <w:tc>
          <w:tcPr>
            <w:tcW w:w="1404" w:type="dxa"/>
            <w:vAlign w:val="center"/>
          </w:tcPr>
          <w:p w14:paraId="72168AAE" w14:textId="5BC28571" w:rsidR="00DD6EB9" w:rsidRPr="00347529" w:rsidRDefault="00FD4633" w:rsidP="00EF28D6">
            <w:pPr>
              <w:pStyle w:val="Tabletext"/>
              <w:spacing w:before="60" w:after="60"/>
              <w:rPr>
                <w:rFonts w:ascii="Söhne" w:hAnsi="Söhne"/>
                <w:sz w:val="16"/>
                <w:szCs w:val="16"/>
                <w:lang w:val="en-GB"/>
              </w:rPr>
            </w:pPr>
            <w:r w:rsidRPr="00112124">
              <w:rPr>
                <w:rFonts w:ascii="Söhne" w:hAnsi="Söhne"/>
                <w:sz w:val="16"/>
                <w:szCs w:val="16"/>
                <w:lang w:val="en-GB"/>
              </w:rPr>
              <w:t>–</w:t>
            </w:r>
          </w:p>
        </w:tc>
      </w:tr>
      <w:tr w:rsidR="00E06B0A" w:rsidRPr="003055CF" w14:paraId="64A6F891" w14:textId="77777777" w:rsidTr="25F0BC72">
        <w:trPr>
          <w:trHeight w:val="402"/>
          <w:jc w:val="center"/>
        </w:trPr>
        <w:tc>
          <w:tcPr>
            <w:tcW w:w="1689" w:type="dxa"/>
            <w:vAlign w:val="center"/>
          </w:tcPr>
          <w:p w14:paraId="4353818B" w14:textId="5CE44906" w:rsidR="00E06B0A" w:rsidRPr="003055CF" w:rsidRDefault="00E06B0A" w:rsidP="00EF28D6">
            <w:pPr>
              <w:spacing w:before="60" w:after="60" w:line="240" w:lineRule="auto"/>
              <w:jc w:val="center"/>
              <w:rPr>
                <w:rFonts w:ascii="Söhne Kräftig" w:hAnsi="Söhne Kräftig" w:cs="Arial"/>
                <w:bCs/>
                <w:strike/>
                <w:sz w:val="16"/>
                <w:szCs w:val="16"/>
                <w:highlight w:val="yellow"/>
                <w:lang w:val="fr-FR"/>
              </w:rPr>
            </w:pPr>
            <w:r w:rsidRPr="003055CF">
              <w:rPr>
                <w:rFonts w:ascii="Söhne Kräftig" w:hAnsi="Söhne Kräftig" w:cs="Arial"/>
                <w:bCs/>
                <w:strike/>
                <w:sz w:val="16"/>
                <w:szCs w:val="16"/>
                <w:highlight w:val="yellow"/>
                <w:lang w:val="fr-FR"/>
              </w:rPr>
              <w:t>LFD/RICT (</w:t>
            </w:r>
            <w:proofErr w:type="spellStart"/>
            <w:r w:rsidRPr="003055CF">
              <w:rPr>
                <w:rFonts w:ascii="Söhne Kräftig" w:hAnsi="Söhne Kräftig" w:cs="Arial"/>
                <w:bCs/>
                <w:strike/>
                <w:sz w:val="16"/>
                <w:szCs w:val="16"/>
                <w:highlight w:val="yellow"/>
                <w:lang w:val="fr-FR"/>
              </w:rPr>
              <w:t>antigen</w:t>
            </w:r>
            <w:proofErr w:type="spellEnd"/>
            <w:r w:rsidRPr="003055CF">
              <w:rPr>
                <w:rFonts w:ascii="Söhne Kräftig" w:hAnsi="Söhne Kräftig" w:cs="Arial"/>
                <w:bCs/>
                <w:strike/>
                <w:sz w:val="16"/>
                <w:szCs w:val="16"/>
                <w:highlight w:val="yellow"/>
                <w:lang w:val="fr-FR"/>
              </w:rPr>
              <w:t xml:space="preserve"> </w:t>
            </w:r>
            <w:proofErr w:type="spellStart"/>
            <w:r w:rsidRPr="003055CF">
              <w:rPr>
                <w:rFonts w:ascii="Söhne Kräftig" w:hAnsi="Söhne Kräftig" w:cs="Arial"/>
                <w:bCs/>
                <w:strike/>
                <w:sz w:val="16"/>
                <w:szCs w:val="16"/>
                <w:highlight w:val="yellow"/>
                <w:lang w:val="fr-FR"/>
              </w:rPr>
              <w:t>detection</w:t>
            </w:r>
            <w:proofErr w:type="spellEnd"/>
            <w:r w:rsidRPr="003055CF">
              <w:rPr>
                <w:rFonts w:ascii="Söhne Kräftig" w:hAnsi="Söhne Kräftig" w:cs="Arial"/>
                <w:bCs/>
                <w:strike/>
                <w:sz w:val="16"/>
                <w:szCs w:val="16"/>
                <w:highlight w:val="yellow"/>
                <w:lang w:val="fr-FR"/>
              </w:rPr>
              <w:t>)</w:t>
            </w:r>
          </w:p>
        </w:tc>
        <w:tc>
          <w:tcPr>
            <w:tcW w:w="1134" w:type="dxa"/>
            <w:vAlign w:val="center"/>
          </w:tcPr>
          <w:p w14:paraId="759D7AA0" w14:textId="05F7397F" w:rsidR="00E06B0A" w:rsidRPr="003055CF" w:rsidRDefault="00E06B0A" w:rsidP="00EF28D6">
            <w:pPr>
              <w:pStyle w:val="Tabletext"/>
              <w:spacing w:before="60" w:after="60"/>
              <w:rPr>
                <w:rFonts w:ascii="Söhne" w:hAnsi="Söhne"/>
                <w:strike/>
                <w:sz w:val="16"/>
                <w:szCs w:val="16"/>
                <w:highlight w:val="yellow"/>
                <w:lang w:val="en-GB"/>
              </w:rPr>
            </w:pPr>
            <w:r w:rsidRPr="003055CF">
              <w:rPr>
                <w:rFonts w:ascii="Söhne" w:hAnsi="Söhne"/>
                <w:strike/>
                <w:sz w:val="16"/>
                <w:szCs w:val="16"/>
                <w:highlight w:val="yellow"/>
                <w:lang w:val="en-GB"/>
              </w:rPr>
              <w:t>–</w:t>
            </w:r>
          </w:p>
        </w:tc>
        <w:tc>
          <w:tcPr>
            <w:tcW w:w="1418" w:type="dxa"/>
            <w:vAlign w:val="center"/>
          </w:tcPr>
          <w:p w14:paraId="357630C1" w14:textId="78656239" w:rsidR="00E06B0A" w:rsidRPr="003055CF" w:rsidRDefault="00E06B0A" w:rsidP="00EF28D6">
            <w:pPr>
              <w:pStyle w:val="Tabletext"/>
              <w:spacing w:before="60" w:after="60"/>
              <w:rPr>
                <w:rFonts w:ascii="Söhne" w:hAnsi="Söhne"/>
                <w:strike/>
                <w:sz w:val="16"/>
                <w:szCs w:val="16"/>
                <w:highlight w:val="yellow"/>
                <w:lang w:val="en-GB"/>
              </w:rPr>
            </w:pPr>
            <w:r w:rsidRPr="003055CF">
              <w:rPr>
                <w:rFonts w:ascii="Söhne" w:hAnsi="Söhne"/>
                <w:strike/>
                <w:sz w:val="16"/>
                <w:szCs w:val="16"/>
                <w:highlight w:val="yellow"/>
                <w:lang w:val="en-GB"/>
              </w:rPr>
              <w:t>–</w:t>
            </w:r>
          </w:p>
        </w:tc>
        <w:tc>
          <w:tcPr>
            <w:tcW w:w="1134" w:type="dxa"/>
            <w:vAlign w:val="center"/>
          </w:tcPr>
          <w:p w14:paraId="123933DC" w14:textId="64762189" w:rsidR="00E06B0A" w:rsidRPr="003055CF" w:rsidRDefault="00E06B0A" w:rsidP="00EF28D6">
            <w:pPr>
              <w:pStyle w:val="Tabletext"/>
              <w:spacing w:before="60" w:after="60"/>
              <w:rPr>
                <w:rFonts w:ascii="Söhne" w:hAnsi="Söhne"/>
                <w:strike/>
                <w:sz w:val="16"/>
                <w:szCs w:val="16"/>
                <w:highlight w:val="yellow"/>
                <w:lang w:val="en-GB"/>
              </w:rPr>
            </w:pPr>
            <w:r w:rsidRPr="003055CF">
              <w:rPr>
                <w:rFonts w:ascii="Söhne" w:hAnsi="Söhne"/>
                <w:strike/>
                <w:sz w:val="16"/>
                <w:szCs w:val="16"/>
                <w:highlight w:val="yellow"/>
                <w:lang w:val="en-GB"/>
              </w:rPr>
              <w:t>+</w:t>
            </w:r>
          </w:p>
        </w:tc>
        <w:tc>
          <w:tcPr>
            <w:tcW w:w="1134" w:type="dxa"/>
            <w:vAlign w:val="center"/>
          </w:tcPr>
          <w:p w14:paraId="378726EF" w14:textId="22F1764A" w:rsidR="00E06B0A" w:rsidRPr="003055CF" w:rsidRDefault="00E06B0A" w:rsidP="00EF28D6">
            <w:pPr>
              <w:pStyle w:val="Tabletext"/>
              <w:spacing w:before="60" w:after="60"/>
              <w:rPr>
                <w:rFonts w:ascii="Söhne" w:hAnsi="Söhne"/>
                <w:strike/>
                <w:sz w:val="16"/>
                <w:szCs w:val="16"/>
                <w:highlight w:val="yellow"/>
                <w:lang w:val="en-GB"/>
              </w:rPr>
            </w:pPr>
            <w:r w:rsidRPr="003055CF">
              <w:rPr>
                <w:rFonts w:ascii="Söhne" w:hAnsi="Söhne"/>
                <w:strike/>
                <w:sz w:val="16"/>
                <w:szCs w:val="16"/>
                <w:highlight w:val="yellow"/>
                <w:lang w:val="en-GB"/>
              </w:rPr>
              <w:t>+</w:t>
            </w:r>
          </w:p>
        </w:tc>
        <w:tc>
          <w:tcPr>
            <w:tcW w:w="1134" w:type="dxa"/>
            <w:vAlign w:val="center"/>
          </w:tcPr>
          <w:p w14:paraId="56ED7883" w14:textId="397FB6CF" w:rsidR="00E06B0A" w:rsidRPr="003055CF" w:rsidRDefault="00E06B0A" w:rsidP="00EF28D6">
            <w:pPr>
              <w:pStyle w:val="Tabletext"/>
              <w:spacing w:before="60" w:after="60"/>
              <w:rPr>
                <w:rFonts w:ascii="Söhne" w:hAnsi="Söhne"/>
                <w:strike/>
                <w:sz w:val="16"/>
                <w:szCs w:val="16"/>
                <w:highlight w:val="yellow"/>
                <w:lang w:val="en-GB"/>
              </w:rPr>
            </w:pPr>
            <w:r w:rsidRPr="003055CF">
              <w:rPr>
                <w:rFonts w:ascii="Söhne" w:hAnsi="Söhne"/>
                <w:strike/>
                <w:sz w:val="16"/>
                <w:szCs w:val="16"/>
                <w:highlight w:val="yellow"/>
                <w:lang w:val="en-GB"/>
              </w:rPr>
              <w:t>++</w:t>
            </w:r>
          </w:p>
        </w:tc>
        <w:tc>
          <w:tcPr>
            <w:tcW w:w="1404" w:type="dxa"/>
            <w:vAlign w:val="center"/>
          </w:tcPr>
          <w:p w14:paraId="6F3523B0" w14:textId="7394F4B8" w:rsidR="00E06B0A" w:rsidRPr="003055CF" w:rsidRDefault="00E06B0A" w:rsidP="00EF28D6">
            <w:pPr>
              <w:pStyle w:val="Tabletext"/>
              <w:spacing w:before="60" w:after="60"/>
              <w:rPr>
                <w:rFonts w:ascii="Söhne" w:hAnsi="Söhne"/>
                <w:strike/>
                <w:sz w:val="16"/>
                <w:szCs w:val="16"/>
                <w:lang w:val="en-GB"/>
              </w:rPr>
            </w:pPr>
            <w:r w:rsidRPr="003055CF">
              <w:rPr>
                <w:rFonts w:ascii="Söhne" w:hAnsi="Söhne"/>
                <w:strike/>
                <w:sz w:val="16"/>
                <w:szCs w:val="16"/>
                <w:highlight w:val="yellow"/>
                <w:lang w:val="en-GB"/>
              </w:rPr>
              <w:t>–</w:t>
            </w:r>
          </w:p>
        </w:tc>
      </w:tr>
      <w:tr w:rsidR="00DD6EB9" w:rsidRPr="000A7B67" w14:paraId="25DD54F4" w14:textId="77777777" w:rsidTr="25F0BC72">
        <w:trPr>
          <w:trHeight w:val="402"/>
          <w:jc w:val="center"/>
        </w:trPr>
        <w:tc>
          <w:tcPr>
            <w:tcW w:w="1689" w:type="dxa"/>
            <w:vAlign w:val="center"/>
          </w:tcPr>
          <w:p w14:paraId="6FE095D8" w14:textId="77777777" w:rsidR="00DD6EB9" w:rsidRPr="00347529" w:rsidRDefault="00DD6EB9" w:rsidP="00EF28D6">
            <w:pPr>
              <w:spacing w:before="60" w:after="60" w:line="240" w:lineRule="auto"/>
              <w:jc w:val="center"/>
              <w:rPr>
                <w:rFonts w:ascii="Söhne Kräftig" w:hAnsi="Söhne Kräftig" w:cs="Arial"/>
                <w:bCs/>
                <w:sz w:val="16"/>
                <w:szCs w:val="16"/>
              </w:rPr>
            </w:pPr>
            <w:r w:rsidRPr="00347529">
              <w:rPr>
                <w:rFonts w:ascii="Söhne Kräftig" w:hAnsi="Söhne Kräftig" w:cs="Arial"/>
                <w:bCs/>
                <w:sz w:val="16"/>
                <w:szCs w:val="16"/>
              </w:rPr>
              <w:t xml:space="preserve">MIT </w:t>
            </w:r>
            <w:r w:rsidRPr="00347529">
              <w:rPr>
                <w:rFonts w:ascii="Söhne Kräftig" w:hAnsi="Söhne Kräftig" w:cs="Arial"/>
                <w:bCs/>
                <w:sz w:val="16"/>
                <w:szCs w:val="16"/>
              </w:rPr>
              <w:br/>
              <w:t>(virus isolation)</w:t>
            </w:r>
          </w:p>
        </w:tc>
        <w:tc>
          <w:tcPr>
            <w:tcW w:w="1134" w:type="dxa"/>
            <w:vAlign w:val="center"/>
          </w:tcPr>
          <w:p w14:paraId="15E16287" w14:textId="0ADF1D97" w:rsidR="00DD6EB9" w:rsidRPr="00347529" w:rsidRDefault="008F44B6" w:rsidP="00EF28D6">
            <w:pPr>
              <w:pStyle w:val="Tabletext"/>
              <w:spacing w:before="60" w:after="60"/>
              <w:rPr>
                <w:rFonts w:ascii="Söhne" w:hAnsi="Söhne"/>
                <w:sz w:val="16"/>
                <w:szCs w:val="16"/>
                <w:lang w:val="en-GB"/>
              </w:rPr>
            </w:pPr>
            <w:r>
              <w:rPr>
                <w:rFonts w:ascii="Söhne" w:hAnsi="Söhne"/>
                <w:sz w:val="16"/>
                <w:szCs w:val="16"/>
                <w:lang w:val="en-GB"/>
              </w:rPr>
              <w:t>–</w:t>
            </w:r>
          </w:p>
        </w:tc>
        <w:tc>
          <w:tcPr>
            <w:tcW w:w="1418" w:type="dxa"/>
            <w:vAlign w:val="center"/>
          </w:tcPr>
          <w:p w14:paraId="028D8D9E" w14:textId="616AC9A7"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0B7E9F33" w14:textId="77777777" w:rsidR="00DD6EB9" w:rsidRPr="00347529" w:rsidRDefault="0039724C"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13AE0EDF" w14:textId="77777777" w:rsidR="00DD6EB9" w:rsidRPr="00347529" w:rsidRDefault="0039724C"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177D32FB" w14:textId="77777777" w:rsidR="00DD6EB9" w:rsidRPr="00347529" w:rsidRDefault="0039724C"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04" w:type="dxa"/>
            <w:vAlign w:val="center"/>
          </w:tcPr>
          <w:p w14:paraId="391997B2" w14:textId="5CC259B4"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r>
      <w:tr w:rsidR="00DD6EB9" w:rsidRPr="000A7B67" w14:paraId="3712BCF5" w14:textId="77777777" w:rsidTr="25F0BC72">
        <w:trPr>
          <w:trHeight w:val="402"/>
          <w:jc w:val="center"/>
        </w:trPr>
        <w:tc>
          <w:tcPr>
            <w:tcW w:w="1689" w:type="dxa"/>
            <w:vAlign w:val="center"/>
          </w:tcPr>
          <w:p w14:paraId="3710E929" w14:textId="77777777" w:rsidR="00DD6EB9" w:rsidRPr="00347529" w:rsidRDefault="00DD6EB9" w:rsidP="00EF28D6">
            <w:pPr>
              <w:spacing w:before="60" w:after="60" w:line="240" w:lineRule="auto"/>
              <w:jc w:val="center"/>
              <w:rPr>
                <w:rFonts w:ascii="Söhne Kräftig" w:hAnsi="Söhne Kräftig" w:cs="Arial"/>
                <w:bCs/>
                <w:sz w:val="16"/>
                <w:szCs w:val="16"/>
              </w:rPr>
            </w:pPr>
            <w:r w:rsidRPr="00347529">
              <w:rPr>
                <w:rFonts w:ascii="Söhne Kräftig" w:hAnsi="Söhne Kräftig" w:cs="Arial"/>
                <w:bCs/>
                <w:sz w:val="16"/>
                <w:szCs w:val="16"/>
              </w:rPr>
              <w:t xml:space="preserve">Conventional </w:t>
            </w:r>
            <w:r w:rsidRPr="00347529">
              <w:rPr>
                <w:rFonts w:ascii="Söhne Kräftig" w:hAnsi="Söhne Kräftig" w:cs="Arial"/>
                <w:bCs/>
                <w:sz w:val="16"/>
                <w:szCs w:val="16"/>
              </w:rPr>
              <w:br/>
              <w:t xml:space="preserve">RT-PCR </w:t>
            </w:r>
            <w:r w:rsidRPr="00347529">
              <w:rPr>
                <w:rFonts w:ascii="Söhne Kräftig" w:hAnsi="Söhne Kräftig" w:cs="Arial"/>
                <w:bCs/>
                <w:sz w:val="16"/>
                <w:szCs w:val="16"/>
              </w:rPr>
              <w:br/>
              <w:t>(RNA detection)</w:t>
            </w:r>
          </w:p>
        </w:tc>
        <w:tc>
          <w:tcPr>
            <w:tcW w:w="1134" w:type="dxa"/>
            <w:vAlign w:val="center"/>
          </w:tcPr>
          <w:p w14:paraId="1ECD9F8A"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18" w:type="dxa"/>
            <w:vAlign w:val="center"/>
          </w:tcPr>
          <w:p w14:paraId="516E3C36" w14:textId="5BDF599C"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0D08BD9C"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235EC2EB"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05688286"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04" w:type="dxa"/>
            <w:vAlign w:val="center"/>
          </w:tcPr>
          <w:p w14:paraId="1563F74B" w14:textId="6DFC5307"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r>
      <w:tr w:rsidR="00DD6EB9" w:rsidRPr="000A7B67" w14:paraId="4F74516C" w14:textId="77777777" w:rsidTr="25F0BC72">
        <w:trPr>
          <w:trHeight w:val="402"/>
          <w:jc w:val="center"/>
        </w:trPr>
        <w:tc>
          <w:tcPr>
            <w:tcW w:w="1689" w:type="dxa"/>
            <w:vAlign w:val="center"/>
          </w:tcPr>
          <w:p w14:paraId="64E7CC22" w14:textId="77777777" w:rsidR="00DD6EB9" w:rsidRPr="00347529" w:rsidRDefault="00DD6EB9" w:rsidP="00EF28D6">
            <w:pPr>
              <w:spacing w:before="60" w:after="60" w:line="240" w:lineRule="auto"/>
              <w:jc w:val="center"/>
              <w:rPr>
                <w:rFonts w:ascii="Söhne Kräftig" w:hAnsi="Söhne Kräftig" w:cs="Arial"/>
                <w:bCs/>
                <w:sz w:val="16"/>
                <w:szCs w:val="16"/>
              </w:rPr>
            </w:pPr>
            <w:r w:rsidRPr="00347529">
              <w:rPr>
                <w:rFonts w:ascii="Söhne Kräftig" w:hAnsi="Söhne Kräftig" w:cs="Arial"/>
                <w:bCs/>
                <w:sz w:val="16"/>
                <w:szCs w:val="16"/>
              </w:rPr>
              <w:lastRenderedPageBreak/>
              <w:t xml:space="preserve">Real-time </w:t>
            </w:r>
            <w:r w:rsidRPr="00347529">
              <w:rPr>
                <w:rFonts w:ascii="Söhne Kräftig" w:hAnsi="Söhne Kräftig" w:cs="Arial"/>
                <w:bCs/>
                <w:sz w:val="16"/>
                <w:szCs w:val="16"/>
              </w:rPr>
              <w:br/>
              <w:t xml:space="preserve">RT-PCR </w:t>
            </w:r>
            <w:r w:rsidRPr="00347529">
              <w:rPr>
                <w:rFonts w:ascii="Söhne Kräftig" w:hAnsi="Söhne Kräftig" w:cs="Arial"/>
                <w:bCs/>
                <w:sz w:val="16"/>
                <w:szCs w:val="16"/>
              </w:rPr>
              <w:br/>
              <w:t>(RNA detection)</w:t>
            </w:r>
          </w:p>
        </w:tc>
        <w:tc>
          <w:tcPr>
            <w:tcW w:w="1134" w:type="dxa"/>
            <w:vAlign w:val="center"/>
          </w:tcPr>
          <w:p w14:paraId="2B8F18FB"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18" w:type="dxa"/>
            <w:vAlign w:val="center"/>
          </w:tcPr>
          <w:p w14:paraId="2BBE2CDA" w14:textId="104A338C"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39CB6E9A"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4C5EE7C1"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6FEDC0D6"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04" w:type="dxa"/>
            <w:vAlign w:val="center"/>
          </w:tcPr>
          <w:p w14:paraId="0F0BB6E6" w14:textId="1273DCA9"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r>
      <w:tr w:rsidR="00DD6EB9" w:rsidRPr="000A7B67" w14:paraId="75D31FE8" w14:textId="77777777" w:rsidTr="25F0BC72">
        <w:trPr>
          <w:trHeight w:val="283"/>
          <w:jc w:val="center"/>
        </w:trPr>
        <w:tc>
          <w:tcPr>
            <w:tcW w:w="9047" w:type="dxa"/>
            <w:gridSpan w:val="7"/>
            <w:shd w:val="clear" w:color="auto" w:fill="auto"/>
          </w:tcPr>
          <w:p w14:paraId="3C647B18" w14:textId="77777777" w:rsidR="00DD6EB9" w:rsidRPr="00347529" w:rsidRDefault="00DD6EB9" w:rsidP="00EF28D6">
            <w:pPr>
              <w:pStyle w:val="Tabletext"/>
              <w:spacing w:before="60" w:after="60"/>
              <w:rPr>
                <w:rFonts w:ascii="Söhne Kräftig" w:hAnsi="Söhne Kräftig"/>
                <w:bCs/>
                <w:sz w:val="16"/>
                <w:szCs w:val="16"/>
                <w:lang w:val="en-GB"/>
              </w:rPr>
            </w:pPr>
            <w:r w:rsidRPr="00347529">
              <w:rPr>
                <w:rFonts w:ascii="Söhne Kräftig" w:hAnsi="Söhne Kräftig"/>
                <w:bCs/>
                <w:sz w:val="16"/>
                <w:szCs w:val="16"/>
              </w:rPr>
              <w:t>Detection of immune response</w:t>
            </w:r>
          </w:p>
        </w:tc>
      </w:tr>
      <w:tr w:rsidR="00DD6EB9" w:rsidRPr="000A7B67" w14:paraId="0FDEC7CF" w14:textId="77777777" w:rsidTr="25F0BC72">
        <w:trPr>
          <w:trHeight w:val="402"/>
          <w:jc w:val="center"/>
        </w:trPr>
        <w:tc>
          <w:tcPr>
            <w:tcW w:w="1689" w:type="dxa"/>
            <w:vAlign w:val="center"/>
          </w:tcPr>
          <w:p w14:paraId="3F7BFF77" w14:textId="77777777" w:rsidR="00DD6EB9" w:rsidRPr="00347529" w:rsidRDefault="00DD6EB9" w:rsidP="00EF28D6">
            <w:pPr>
              <w:spacing w:before="60" w:after="60" w:line="240" w:lineRule="auto"/>
              <w:jc w:val="center"/>
              <w:rPr>
                <w:rFonts w:ascii="Söhne Kräftig" w:hAnsi="Söhne Kräftig" w:cs="Arial"/>
                <w:bCs/>
                <w:sz w:val="16"/>
                <w:szCs w:val="16"/>
              </w:rPr>
            </w:pPr>
            <w:r w:rsidRPr="00347529">
              <w:rPr>
                <w:rFonts w:ascii="Söhne Kräftig" w:hAnsi="Söhne Kräftig" w:cs="Arial"/>
                <w:bCs/>
                <w:sz w:val="16"/>
                <w:szCs w:val="16"/>
              </w:rPr>
              <w:t>VN</w:t>
            </w:r>
          </w:p>
        </w:tc>
        <w:tc>
          <w:tcPr>
            <w:tcW w:w="1134" w:type="dxa"/>
            <w:vAlign w:val="center"/>
          </w:tcPr>
          <w:p w14:paraId="13045F8F" w14:textId="49A1CB86"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18" w:type="dxa"/>
            <w:vAlign w:val="center"/>
          </w:tcPr>
          <w:p w14:paraId="29D2B6EF"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13C0BB54"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63DF4A73" w14:textId="1A5E352C"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0837FBD1" w14:textId="0EFDA3F5"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04" w:type="dxa"/>
            <w:vAlign w:val="center"/>
          </w:tcPr>
          <w:p w14:paraId="66C432D3"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r>
      <w:tr w:rsidR="00DD6EB9" w:rsidRPr="000A7B67" w14:paraId="1D5AF9C9" w14:textId="77777777" w:rsidTr="25F0BC72">
        <w:trPr>
          <w:trHeight w:val="402"/>
          <w:jc w:val="center"/>
        </w:trPr>
        <w:tc>
          <w:tcPr>
            <w:tcW w:w="1689" w:type="dxa"/>
            <w:vAlign w:val="center"/>
          </w:tcPr>
          <w:p w14:paraId="70A40D0A" w14:textId="77777777" w:rsidR="00DD6EB9" w:rsidRPr="00347529" w:rsidRDefault="00DD6EB9" w:rsidP="00EF28D6">
            <w:pPr>
              <w:spacing w:before="60" w:after="60" w:line="240" w:lineRule="auto"/>
              <w:jc w:val="center"/>
              <w:rPr>
                <w:rFonts w:ascii="Söhne Kräftig" w:hAnsi="Söhne Kräftig" w:cs="Arial"/>
                <w:bCs/>
                <w:sz w:val="16"/>
                <w:szCs w:val="16"/>
              </w:rPr>
            </w:pPr>
            <w:r w:rsidRPr="00347529">
              <w:rPr>
                <w:rFonts w:ascii="Söhne Kräftig" w:hAnsi="Söhne Kräftig" w:cs="Arial"/>
                <w:bCs/>
                <w:sz w:val="16"/>
                <w:szCs w:val="16"/>
              </w:rPr>
              <w:t>ELISA</w:t>
            </w:r>
          </w:p>
        </w:tc>
        <w:tc>
          <w:tcPr>
            <w:tcW w:w="1134" w:type="dxa"/>
            <w:vAlign w:val="center"/>
          </w:tcPr>
          <w:p w14:paraId="6095255A" w14:textId="7997D261"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18" w:type="dxa"/>
            <w:vAlign w:val="center"/>
          </w:tcPr>
          <w:p w14:paraId="54C6DD1D" w14:textId="00239B73" w:rsidR="00DD6EB9" w:rsidRPr="00347529" w:rsidRDefault="00FD4633" w:rsidP="00EF28D6">
            <w:pPr>
              <w:pStyle w:val="Tabletext"/>
              <w:spacing w:before="60" w:after="60"/>
              <w:rPr>
                <w:rFonts w:ascii="Söhne" w:hAnsi="Söhne"/>
                <w:strike/>
                <w:sz w:val="16"/>
                <w:szCs w:val="16"/>
                <w:lang w:val="en-GB"/>
              </w:rPr>
            </w:pPr>
            <w:r w:rsidRPr="00347529">
              <w:rPr>
                <w:rFonts w:ascii="Söhne" w:hAnsi="Söhne"/>
                <w:sz w:val="16"/>
                <w:szCs w:val="16"/>
                <w:lang w:val="en-GB"/>
              </w:rPr>
              <w:t>–</w:t>
            </w:r>
          </w:p>
        </w:tc>
        <w:tc>
          <w:tcPr>
            <w:tcW w:w="1134" w:type="dxa"/>
            <w:vAlign w:val="center"/>
          </w:tcPr>
          <w:p w14:paraId="6C1D7F31"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42A57CF4" w14:textId="1254040D"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134" w:type="dxa"/>
            <w:vAlign w:val="center"/>
          </w:tcPr>
          <w:p w14:paraId="61B763BF" w14:textId="6BCB8DEA" w:rsidR="00DD6EB9" w:rsidRPr="00347529" w:rsidRDefault="00FD4633" w:rsidP="00EF28D6">
            <w:pPr>
              <w:pStyle w:val="Tabletext"/>
              <w:spacing w:before="60" w:after="60"/>
              <w:rPr>
                <w:rFonts w:ascii="Söhne" w:hAnsi="Söhne"/>
                <w:sz w:val="16"/>
                <w:szCs w:val="16"/>
                <w:lang w:val="en-GB"/>
              </w:rPr>
            </w:pPr>
            <w:r w:rsidRPr="00347529">
              <w:rPr>
                <w:rFonts w:ascii="Söhne" w:hAnsi="Söhne"/>
                <w:sz w:val="16"/>
                <w:szCs w:val="16"/>
                <w:lang w:val="en-GB"/>
              </w:rPr>
              <w:t>–</w:t>
            </w:r>
          </w:p>
        </w:tc>
        <w:tc>
          <w:tcPr>
            <w:tcW w:w="1404" w:type="dxa"/>
            <w:vAlign w:val="center"/>
          </w:tcPr>
          <w:p w14:paraId="537A7EB0" w14:textId="77777777" w:rsidR="00DD6EB9" w:rsidRPr="00347529" w:rsidRDefault="00DD6EB9" w:rsidP="00EF28D6">
            <w:pPr>
              <w:pStyle w:val="Tabletext"/>
              <w:spacing w:before="60" w:after="60"/>
              <w:rPr>
                <w:rFonts w:ascii="Söhne" w:hAnsi="Söhne"/>
                <w:sz w:val="16"/>
                <w:szCs w:val="16"/>
                <w:lang w:val="en-GB"/>
              </w:rPr>
            </w:pPr>
            <w:r w:rsidRPr="00347529">
              <w:rPr>
                <w:rFonts w:ascii="Söhne" w:hAnsi="Söhne"/>
                <w:sz w:val="16"/>
                <w:szCs w:val="16"/>
                <w:lang w:val="en-GB"/>
              </w:rPr>
              <w:t>+++</w:t>
            </w:r>
          </w:p>
        </w:tc>
      </w:tr>
    </w:tbl>
    <w:p w14:paraId="462D5150" w14:textId="45CD8CBB" w:rsidR="00DD6EB9" w:rsidRPr="00805E5E" w:rsidRDefault="00FD4633" w:rsidP="00DD6EB9">
      <w:pPr>
        <w:pStyle w:val="PlainText"/>
        <w:spacing w:before="120"/>
        <w:jc w:val="center"/>
        <w:rPr>
          <w:rFonts w:ascii="Söhne" w:hAnsi="Söhne" w:cs="Arial"/>
          <w:color w:val="000000"/>
          <w:sz w:val="16"/>
          <w:szCs w:val="16"/>
        </w:rPr>
      </w:pPr>
      <w:bookmarkStart w:id="0" w:name="_Hlk87004624"/>
      <w:bookmarkStart w:id="1" w:name="_Hlk87005274"/>
      <w:r w:rsidRPr="00805E5E">
        <w:rPr>
          <w:rFonts w:ascii="Söhne" w:hAnsi="Söhne" w:cs="Arial"/>
          <w:color w:val="000000"/>
          <w:sz w:val="16"/>
          <w:szCs w:val="16"/>
        </w:rPr>
        <w:t xml:space="preserve">Key: +++ = recommended for this purpose; ++ recommended but has limitations; </w:t>
      </w:r>
      <w:r w:rsidRPr="00805E5E">
        <w:rPr>
          <w:rFonts w:ascii="Söhne" w:hAnsi="Söhne" w:cs="Arial"/>
          <w:color w:val="000000"/>
          <w:sz w:val="16"/>
          <w:szCs w:val="16"/>
        </w:rPr>
        <w:br/>
        <w:t>+ = suitable in very limited circumstances</w:t>
      </w:r>
      <w:r w:rsidRPr="00805E5E">
        <w:rPr>
          <w:rFonts w:ascii="Söhne" w:hAnsi="Söhne" w:cs="Arial"/>
          <w:sz w:val="16"/>
          <w:szCs w:val="16"/>
        </w:rPr>
        <w:t xml:space="preserve">; </w:t>
      </w:r>
      <w:r w:rsidRPr="00805E5E">
        <w:rPr>
          <w:rFonts w:ascii="Söhne" w:hAnsi="Söhne" w:cs="Arial"/>
          <w:color w:val="000000"/>
          <w:sz w:val="16"/>
          <w:szCs w:val="16"/>
        </w:rPr>
        <w:t>– = not appropriate for this purpose</w:t>
      </w:r>
      <w:bookmarkEnd w:id="0"/>
      <w:r w:rsidRPr="00805E5E">
        <w:rPr>
          <w:rFonts w:ascii="Söhne" w:hAnsi="Söhne" w:cs="Arial"/>
          <w:color w:val="000000"/>
          <w:sz w:val="16"/>
          <w:szCs w:val="16"/>
        </w:rPr>
        <w:t>.</w:t>
      </w:r>
      <w:bookmarkEnd w:id="1"/>
    </w:p>
    <w:p w14:paraId="539533DE" w14:textId="67FF7DC0" w:rsidR="00CD096B" w:rsidRPr="000A7B67" w:rsidRDefault="00DD6EB9" w:rsidP="00AB46DD">
      <w:pPr>
        <w:pStyle w:val="paraA0"/>
        <w:jc w:val="center"/>
        <w:rPr>
          <w:sz w:val="16"/>
          <w:szCs w:val="16"/>
        </w:rPr>
      </w:pPr>
      <w:r w:rsidRPr="000A7B67">
        <w:rPr>
          <w:sz w:val="16"/>
          <w:szCs w:val="16"/>
        </w:rPr>
        <w:t xml:space="preserve">DFA = direct fluorescent antibody test; </w:t>
      </w:r>
      <w:proofErr w:type="spellStart"/>
      <w:r w:rsidR="00514A74" w:rsidRPr="000A7B67">
        <w:rPr>
          <w:sz w:val="16"/>
          <w:szCs w:val="16"/>
        </w:rPr>
        <w:t>dRIT</w:t>
      </w:r>
      <w:proofErr w:type="spellEnd"/>
      <w:r w:rsidR="00514A74" w:rsidRPr="000A7B67">
        <w:rPr>
          <w:sz w:val="16"/>
          <w:szCs w:val="16"/>
        </w:rPr>
        <w:t xml:space="preserve"> = </w:t>
      </w:r>
      <w:r w:rsidR="00514A74" w:rsidRPr="000A7B67">
        <w:rPr>
          <w:color w:val="000000" w:themeColor="text1"/>
          <w:sz w:val="16"/>
          <w:szCs w:val="16"/>
        </w:rPr>
        <w:t xml:space="preserve">direct rapid immunohistochemistry test; </w:t>
      </w:r>
      <w:r w:rsidR="009826F2" w:rsidRPr="009826F2">
        <w:rPr>
          <w:sz w:val="16"/>
          <w:szCs w:val="16"/>
          <w:u w:val="double"/>
        </w:rPr>
        <w:t xml:space="preserve">RTCIT </w:t>
      </w:r>
      <w:r w:rsidR="009826F2">
        <w:rPr>
          <w:sz w:val="16"/>
          <w:szCs w:val="16"/>
          <w:u w:val="double"/>
        </w:rPr>
        <w:t xml:space="preserve">= </w:t>
      </w:r>
      <w:r w:rsidR="009826F2" w:rsidRPr="009826F2">
        <w:rPr>
          <w:sz w:val="16"/>
          <w:szCs w:val="16"/>
          <w:u w:val="double"/>
        </w:rPr>
        <w:t xml:space="preserve">rabies tissue </w:t>
      </w:r>
      <w:r w:rsidR="00A67A15" w:rsidRPr="00A67A15">
        <w:rPr>
          <w:sz w:val="16"/>
          <w:szCs w:val="16"/>
          <w:highlight w:val="yellow"/>
          <w:u w:val="double"/>
        </w:rPr>
        <w:t>infection</w:t>
      </w:r>
      <w:r w:rsidR="00A67A15">
        <w:rPr>
          <w:sz w:val="16"/>
          <w:szCs w:val="16"/>
          <w:u w:val="double"/>
        </w:rPr>
        <w:t xml:space="preserve"> </w:t>
      </w:r>
      <w:r w:rsidR="009826F2" w:rsidRPr="009826F2">
        <w:rPr>
          <w:sz w:val="16"/>
          <w:szCs w:val="16"/>
          <w:u w:val="double"/>
        </w:rPr>
        <w:t xml:space="preserve">culture test; </w:t>
      </w:r>
      <w:r w:rsidR="00A67A15">
        <w:rPr>
          <w:sz w:val="16"/>
          <w:szCs w:val="16"/>
          <w:u w:val="double"/>
        </w:rPr>
        <w:t xml:space="preserve"> </w:t>
      </w:r>
      <w:r w:rsidR="00514A74" w:rsidRPr="009826F2">
        <w:rPr>
          <w:sz w:val="16"/>
          <w:szCs w:val="16"/>
          <w:lang w:val="en-IE"/>
        </w:rPr>
        <w:t>R</w:t>
      </w:r>
      <w:r w:rsidRPr="009826F2">
        <w:rPr>
          <w:sz w:val="16"/>
          <w:szCs w:val="16"/>
        </w:rPr>
        <w:t xml:space="preserve">T-PCR = reverse-transcription polymerase chain reaction; </w:t>
      </w:r>
      <w:r w:rsidR="009826F2" w:rsidRPr="0034152D">
        <w:rPr>
          <w:rFonts w:cs="Arial"/>
          <w:bCs/>
          <w:strike/>
          <w:sz w:val="16"/>
          <w:szCs w:val="16"/>
          <w:highlight w:val="yellow"/>
        </w:rPr>
        <w:t xml:space="preserve">LFD/RICT = </w:t>
      </w:r>
      <w:r w:rsidR="009E5135" w:rsidRPr="0034152D">
        <w:rPr>
          <w:strike/>
          <w:sz w:val="16"/>
          <w:szCs w:val="16"/>
          <w:highlight w:val="yellow"/>
        </w:rPr>
        <w:t>lateral flow devices/</w:t>
      </w:r>
      <w:bookmarkStart w:id="2" w:name="_Hlk127463737"/>
      <w:r w:rsidR="009E5135" w:rsidRPr="0034152D">
        <w:rPr>
          <w:strike/>
          <w:sz w:val="16"/>
          <w:szCs w:val="16"/>
          <w:highlight w:val="yellow"/>
        </w:rPr>
        <w:t>rapid immunochromatographic tes</w:t>
      </w:r>
      <w:bookmarkEnd w:id="2"/>
      <w:r w:rsidR="009E5135" w:rsidRPr="0034152D">
        <w:rPr>
          <w:strike/>
          <w:sz w:val="16"/>
          <w:szCs w:val="16"/>
          <w:highlight w:val="yellow"/>
        </w:rPr>
        <w:t>t</w:t>
      </w:r>
      <w:r w:rsidR="009826F2" w:rsidRPr="0034152D">
        <w:rPr>
          <w:rFonts w:cs="Arial"/>
          <w:bCs/>
          <w:strike/>
          <w:sz w:val="16"/>
          <w:szCs w:val="16"/>
          <w:highlight w:val="yellow"/>
        </w:rPr>
        <w:t>;</w:t>
      </w:r>
      <w:r w:rsidR="009826F2" w:rsidRPr="0034152D">
        <w:rPr>
          <w:rFonts w:cs="Arial"/>
          <w:bCs/>
          <w:strike/>
          <w:sz w:val="16"/>
          <w:szCs w:val="16"/>
        </w:rPr>
        <w:t xml:space="preserve"> </w:t>
      </w:r>
      <w:r w:rsidRPr="009826F2">
        <w:rPr>
          <w:sz w:val="16"/>
          <w:szCs w:val="16"/>
        </w:rPr>
        <w:t>MIT = mouse inoculation test; VN = virus neutralisation; ELISA</w:t>
      </w:r>
      <w:r w:rsidRPr="000A7B67">
        <w:rPr>
          <w:sz w:val="16"/>
          <w:szCs w:val="16"/>
        </w:rPr>
        <w:t xml:space="preserve"> = enzyme-linked immunosorbent assay.</w:t>
      </w:r>
    </w:p>
    <w:p w14:paraId="1DF3A245" w14:textId="3CC60B22" w:rsidR="00DD6EB9" w:rsidRPr="000A7B67" w:rsidRDefault="00DD6EB9" w:rsidP="00DD6EB9">
      <w:pPr>
        <w:pStyle w:val="1"/>
      </w:pPr>
      <w:r w:rsidRPr="000A7B67">
        <w:t>1.</w:t>
      </w:r>
      <w:r w:rsidRPr="000A7B67">
        <w:tab/>
      </w:r>
      <w:r w:rsidR="0034152D" w:rsidRPr="0034152D">
        <w:rPr>
          <w:highlight w:val="yellow"/>
          <w:u w:val="double"/>
        </w:rPr>
        <w:t>Detection and</w:t>
      </w:r>
      <w:r w:rsidR="0034152D">
        <w:t xml:space="preserve"> identification</w:t>
      </w:r>
      <w:r w:rsidR="0034152D" w:rsidRPr="000A7B67">
        <w:t xml:space="preserve"> </w:t>
      </w:r>
      <w:r w:rsidRPr="000A7B67">
        <w:t>of the agent</w:t>
      </w:r>
    </w:p>
    <w:p w14:paraId="26A4E3A5" w14:textId="77777777" w:rsidR="00DD6EB9" w:rsidRPr="000A7B67" w:rsidRDefault="00DD6EB9" w:rsidP="00DD6EB9">
      <w:pPr>
        <w:pStyle w:val="1Para"/>
      </w:pPr>
      <w:r w:rsidRPr="000A7B67">
        <w:t xml:space="preserve">Clinical observation may only lead to a suspicion of rabies because signs of the disease are not characteristic and may vary greatly from one animal to another. The only way to undertake a reliable diagnosis of rabies is to identify the virus or some of its specific components using laboratory tests. </w:t>
      </w:r>
    </w:p>
    <w:p w14:paraId="1EBDFBB9" w14:textId="247AA110" w:rsidR="00DD6EB9" w:rsidRPr="000A7B67" w:rsidRDefault="00DD6EB9" w:rsidP="00DD6EB9">
      <w:pPr>
        <w:pStyle w:val="1Para"/>
      </w:pPr>
      <w:r w:rsidRPr="000A7B67">
        <w:t xml:space="preserve">As </w:t>
      </w:r>
      <w:r w:rsidR="00D63226"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is rapidly inactivated, refrigerated diagnostic specimens should be sent to the laboratory by the fastest means available. Shipment conditions must be considered to be part of the ‘rabies diagnostic chain’ and should follow international guidelines. </w:t>
      </w:r>
    </w:p>
    <w:p w14:paraId="796EA652" w14:textId="4436EFBE" w:rsidR="00DD6EB9" w:rsidRPr="000A7B67" w:rsidRDefault="00DD6EB9" w:rsidP="00DD6EB9">
      <w:pPr>
        <w:pStyle w:val="1Para"/>
      </w:pPr>
      <w:r w:rsidRPr="000A7B67">
        <w:t xml:space="preserve">Several laboratory techniques may be used that vary in their efficiency, specificity and reliability. </w:t>
      </w:r>
      <w:r w:rsidR="00C71303" w:rsidRPr="000A7B67">
        <w:t>In animals, t</w:t>
      </w:r>
      <w:r w:rsidRPr="000A7B67">
        <w:t>hey are classically applied to brain tissue, but they can also be applied with variable sensitivity and specificity to other organs (e.g. salivary glands)</w:t>
      </w:r>
      <w:r w:rsidR="00823C1D" w:rsidRPr="000A7B67">
        <w:t xml:space="preserve">. </w:t>
      </w:r>
      <w:r w:rsidRPr="000A7B67">
        <w:t xml:space="preserve">In the brain, </w:t>
      </w:r>
      <w:r w:rsidR="00D63226"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antigen is particularly abundant in the thalamus, pons and medulla. It is recommended that a pool of brain tissues</w:t>
      </w:r>
      <w:r w:rsidR="00E0096B" w:rsidRPr="000A7B67">
        <w:t>,</w:t>
      </w:r>
      <w:r w:rsidRPr="000A7B67">
        <w:t xml:space="preserve"> includ</w:t>
      </w:r>
      <w:r w:rsidR="00E0096B" w:rsidRPr="000A7B67">
        <w:t>ing</w:t>
      </w:r>
      <w:r w:rsidRPr="000A7B67">
        <w:t xml:space="preserve"> the brain stem</w:t>
      </w:r>
      <w:r w:rsidR="00E0096B" w:rsidRPr="000A7B67">
        <w:t>,</w:t>
      </w:r>
      <w:r w:rsidRPr="000A7B67">
        <w:t xml:space="preserve"> should be collected and tested (Bingham &amp; van der Merwe, 2002). The most widely used test for rabies diagnosis is the direct fluorescent antibody (DFA) test.</w:t>
      </w:r>
    </w:p>
    <w:p w14:paraId="24EF87E2" w14:textId="77777777" w:rsidR="00DD6EB9" w:rsidRPr="000A7B67" w:rsidRDefault="00DD6EB9" w:rsidP="00DD6EB9">
      <w:pPr>
        <w:pStyle w:val="11"/>
      </w:pPr>
      <w:r w:rsidRPr="000A7B67">
        <w:t>1.1.</w:t>
      </w:r>
      <w:r w:rsidRPr="000A7B67">
        <w:tab/>
        <w:t>Collection of brain samples</w:t>
      </w:r>
    </w:p>
    <w:p w14:paraId="792BA0CD" w14:textId="77777777" w:rsidR="00AF08C7" w:rsidRPr="00AF08C7" w:rsidRDefault="00AF08C7" w:rsidP="00AF08C7">
      <w:pPr>
        <w:pStyle w:val="11Para"/>
        <w:rPr>
          <w:u w:val="double"/>
        </w:rPr>
      </w:pPr>
      <w:r w:rsidRPr="00AF08C7">
        <w:rPr>
          <w:u w:val="double"/>
        </w:rPr>
        <w:t>Precautions should be taken when handling central nervous system tissues from suspected rabies cases. Protective personal equipment (such as gloves, face shield, mask) should always be worn and precautions must be taken to prevent aerosols. Cutting tools, scissors and scalpels, should be used with care to prevent injury and contamination.</w:t>
      </w:r>
    </w:p>
    <w:p w14:paraId="143CB8C1" w14:textId="780AE96A" w:rsidR="00DD6EB9" w:rsidRPr="000A7B67" w:rsidRDefault="00DD6EB9" w:rsidP="00DD6EB9">
      <w:pPr>
        <w:pStyle w:val="11Para"/>
      </w:pPr>
      <w:r w:rsidRPr="000A7B67">
        <w:t xml:space="preserve">Ideally, the brain is collected following the opening of the skull in a necropsy room, and the appropriate samples are collected, preferably </w:t>
      </w:r>
      <w:r w:rsidR="00007841" w:rsidRPr="000A7B67">
        <w:t xml:space="preserve">brain stem, </w:t>
      </w:r>
      <w:r w:rsidRPr="000A7B67">
        <w:t>Ammon’s horn, thalamus, cerebral cortex</w:t>
      </w:r>
      <w:r w:rsidR="00007841" w:rsidRPr="000A7B67">
        <w:t>, cerebellum</w:t>
      </w:r>
      <w:r w:rsidRPr="000A7B67">
        <w:t xml:space="preserve"> and medulla oblongata. Alternatively, methods of collecting some brain samples without opening the skull can also be applied</w:t>
      </w:r>
      <w:r w:rsidR="00AF08C7" w:rsidRPr="00112124">
        <w:t xml:space="preserve">; </w:t>
      </w:r>
      <w:r w:rsidR="00AF08C7" w:rsidRPr="00112124">
        <w:rPr>
          <w:u w:val="double"/>
        </w:rPr>
        <w:t xml:space="preserve">these methods are described in Sections B.1.1.1 </w:t>
      </w:r>
      <w:r w:rsidR="00AF08C7" w:rsidRPr="00112124">
        <w:rPr>
          <w:i/>
          <w:iCs/>
          <w:u w:val="double"/>
        </w:rPr>
        <w:t>Occipital foramen route for brain sampling</w:t>
      </w:r>
      <w:r w:rsidR="00AF08C7" w:rsidRPr="00112124">
        <w:rPr>
          <w:u w:val="double"/>
        </w:rPr>
        <w:t xml:space="preserve"> and B.1.1.2 </w:t>
      </w:r>
      <w:r w:rsidR="00AF08C7" w:rsidRPr="00112124">
        <w:rPr>
          <w:i/>
          <w:iCs/>
          <w:u w:val="double"/>
        </w:rPr>
        <w:t>Retro-orbital route for brain sampling</w:t>
      </w:r>
      <w:r w:rsidR="00AF08C7" w:rsidRPr="00112124">
        <w:t>.</w:t>
      </w:r>
    </w:p>
    <w:p w14:paraId="78887ACF" w14:textId="77777777" w:rsidR="00DD6EB9" w:rsidRPr="00AF08C7" w:rsidRDefault="00DD6EB9" w:rsidP="00DD6EB9">
      <w:pPr>
        <w:pStyle w:val="11Para"/>
        <w:rPr>
          <w:strike/>
        </w:rPr>
      </w:pPr>
      <w:r w:rsidRPr="00AF08C7">
        <w:rPr>
          <w:strike/>
        </w:rPr>
        <w:t xml:space="preserve">Precautions should be taken when handling central nervous system tissues from suspected rabies cases. </w:t>
      </w:r>
      <w:r w:rsidR="00C71303" w:rsidRPr="00AF08C7">
        <w:rPr>
          <w:strike/>
        </w:rPr>
        <w:t>Protective personal equipment (such as g</w:t>
      </w:r>
      <w:r w:rsidRPr="00AF08C7">
        <w:rPr>
          <w:strike/>
        </w:rPr>
        <w:t>loves</w:t>
      </w:r>
      <w:r w:rsidR="00C71303" w:rsidRPr="00AF08C7">
        <w:rPr>
          <w:strike/>
        </w:rPr>
        <w:t>, face shield, mask)</w:t>
      </w:r>
      <w:r w:rsidRPr="00AF08C7">
        <w:rPr>
          <w:strike/>
        </w:rPr>
        <w:t xml:space="preserve"> should always be worn and precautions must be taken to prevent aerosols. Cutting tools, scissors and scalpels, should be used with care to prevent injury and contamination.</w:t>
      </w:r>
    </w:p>
    <w:p w14:paraId="26DC47F8" w14:textId="77777777" w:rsidR="00DD6EB9" w:rsidRPr="000A7B67" w:rsidRDefault="00DD6EB9" w:rsidP="00DD6EB9">
      <w:pPr>
        <w:pStyle w:val="111"/>
      </w:pPr>
      <w:r w:rsidRPr="000A7B67">
        <w:t>1.1.1.</w:t>
      </w:r>
      <w:r w:rsidRPr="000A7B67">
        <w:tab/>
        <w:t>Occipital foramen route for brain sampling</w:t>
      </w:r>
    </w:p>
    <w:p w14:paraId="301D139B" w14:textId="00D53E99" w:rsidR="00AF08C7" w:rsidRPr="00AF08C7" w:rsidRDefault="00AF08C7" w:rsidP="00AF08C7">
      <w:pPr>
        <w:pStyle w:val="111Para"/>
        <w:rPr>
          <w:u w:val="double"/>
        </w:rPr>
      </w:pPr>
      <w:r w:rsidRPr="00112124">
        <w:rPr>
          <w:u w:val="double"/>
        </w:rPr>
        <w:t>A sample containing portions of medulla oblongata, base of the cerebellum, Ammon’s horn region and cerebral cortex can be obtained by introduction of an approximately 5 mm</w:t>
      </w:r>
      <w:r w:rsidR="004359BC" w:rsidRPr="00112124">
        <w:rPr>
          <w:u w:val="double"/>
        </w:rPr>
        <w:t xml:space="preserve"> in </w:t>
      </w:r>
      <w:r w:rsidRPr="00112124">
        <w:rPr>
          <w:u w:val="double"/>
        </w:rPr>
        <w:t>diameter sturdy plastic cylinder (e.g. 1–2 ml truncated syringe, artificial insemination sheath, 2 ml disposable plastic pipette with tip removed, or similar) into the occipital foramen in the direction of the eye (</w:t>
      </w:r>
      <w:proofErr w:type="spellStart"/>
      <w:r w:rsidRPr="00112124">
        <w:rPr>
          <w:u w:val="double"/>
        </w:rPr>
        <w:t>Barrat</w:t>
      </w:r>
      <w:proofErr w:type="spellEnd"/>
      <w:r w:rsidRPr="00112124">
        <w:rPr>
          <w:u w:val="double"/>
        </w:rPr>
        <w:t xml:space="preserve"> &amp; </w:t>
      </w:r>
      <w:proofErr w:type="spellStart"/>
      <w:r w:rsidRPr="00112124">
        <w:rPr>
          <w:u w:val="double"/>
        </w:rPr>
        <w:t>Blancou</w:t>
      </w:r>
      <w:proofErr w:type="spellEnd"/>
      <w:r w:rsidRPr="00112124">
        <w:rPr>
          <w:u w:val="double"/>
        </w:rPr>
        <w:t xml:space="preserve">, 1988). </w:t>
      </w:r>
      <w:r w:rsidRPr="00112124">
        <w:rPr>
          <w:u w:val="double"/>
          <w:lang w:val="en-US"/>
        </w:rPr>
        <w:t>Alternatively, a scalpel and thumb forceps can be used to harvest a complete cross-section of brain stem accessed through the foramen magnum, followed by retrieval of portions of cerebellum using a plastic pipette (</w:t>
      </w:r>
      <w:r w:rsidR="001B3C29">
        <w:rPr>
          <w:u w:val="double"/>
          <w:lang w:val="en-US"/>
        </w:rPr>
        <w:t xml:space="preserve">Patrick </w:t>
      </w:r>
      <w:r w:rsidR="001B3C29" w:rsidRPr="001B3C29">
        <w:rPr>
          <w:i/>
          <w:iCs/>
          <w:u w:val="double"/>
          <w:lang w:val="en-US"/>
        </w:rPr>
        <w:t>et al.,</w:t>
      </w:r>
      <w:r w:rsidR="001B3C29">
        <w:rPr>
          <w:u w:val="double"/>
          <w:lang w:val="en-US"/>
        </w:rPr>
        <w:t xml:space="preserve"> 2019; or see</w:t>
      </w:r>
      <w:r w:rsidR="00112124">
        <w:rPr>
          <w:u w:val="double"/>
          <w:lang w:val="en-US"/>
        </w:rPr>
        <w:t xml:space="preserve"> Kansas State Veterinary Laboratory for a video of the sampling technique</w:t>
      </w:r>
      <w:r w:rsidRPr="00112124">
        <w:rPr>
          <w:u w:val="double"/>
          <w:lang w:val="en-US"/>
        </w:rPr>
        <w:t>).</w:t>
      </w:r>
    </w:p>
    <w:p w14:paraId="6BC1B6CE" w14:textId="72FDD8A1" w:rsidR="007A2B1F" w:rsidRPr="00AF08C7" w:rsidRDefault="00DD6EB9" w:rsidP="00F51117">
      <w:pPr>
        <w:pStyle w:val="111Para"/>
        <w:rPr>
          <w:strike/>
        </w:rPr>
      </w:pPr>
      <w:r w:rsidRPr="00AF08C7">
        <w:rPr>
          <w:strike/>
        </w:rPr>
        <w:t>A 5 mm plastic drinking straw (</w:t>
      </w:r>
      <w:proofErr w:type="spellStart"/>
      <w:r w:rsidRPr="00AF08C7">
        <w:rPr>
          <w:strike/>
        </w:rPr>
        <w:t>Barrat</w:t>
      </w:r>
      <w:proofErr w:type="spellEnd"/>
      <w:r w:rsidRPr="00AF08C7">
        <w:rPr>
          <w:strike/>
        </w:rPr>
        <w:t xml:space="preserve"> &amp; </w:t>
      </w:r>
      <w:proofErr w:type="spellStart"/>
      <w:r w:rsidRPr="00AF08C7">
        <w:rPr>
          <w:strike/>
        </w:rPr>
        <w:t>Blancou</w:t>
      </w:r>
      <w:proofErr w:type="spellEnd"/>
      <w:r w:rsidRPr="00AF08C7">
        <w:rPr>
          <w:strike/>
        </w:rPr>
        <w:t>, 1988), a 2 ml disposable plastic pipette, or a 1</w:t>
      </w:r>
      <w:r w:rsidR="00944968" w:rsidRPr="00AF08C7">
        <w:rPr>
          <w:strike/>
        </w:rPr>
        <w:t>–</w:t>
      </w:r>
      <w:r w:rsidRPr="00AF08C7">
        <w:rPr>
          <w:strike/>
        </w:rPr>
        <w:t xml:space="preserve">2 ml truncated plastic syringe is introduced into the occipital foramen in the direction of an eye. Samples can be collected from the base of the </w:t>
      </w:r>
      <w:r w:rsidR="00D726F5" w:rsidRPr="00AF08C7">
        <w:rPr>
          <w:strike/>
        </w:rPr>
        <w:t xml:space="preserve">Ammon’s horn, </w:t>
      </w:r>
      <w:r w:rsidRPr="00AF08C7">
        <w:rPr>
          <w:strike/>
        </w:rPr>
        <w:t xml:space="preserve">cerebellum, cortex, and medulla oblongata. When using a straw it should be pinched between the fingers to prevent material escaping when withdrawing. </w:t>
      </w:r>
    </w:p>
    <w:p w14:paraId="018EE225" w14:textId="0C716A56" w:rsidR="00DD6EB9" w:rsidRPr="000A7B67" w:rsidRDefault="00DD6EB9" w:rsidP="00DD6EB9">
      <w:pPr>
        <w:pStyle w:val="111"/>
      </w:pPr>
      <w:r w:rsidRPr="000A7B67">
        <w:t>1.1.2.</w:t>
      </w:r>
      <w:r w:rsidRPr="000A7B67">
        <w:tab/>
        <w:t>Retro-orbital route for brain sampling</w:t>
      </w:r>
    </w:p>
    <w:p w14:paraId="618648BB" w14:textId="77777777" w:rsidR="00DD6EB9" w:rsidRPr="000A7B67" w:rsidRDefault="00DD6EB9" w:rsidP="00DD6EB9">
      <w:pPr>
        <w:pStyle w:val="111Para"/>
      </w:pPr>
      <w:r w:rsidRPr="000A7B67">
        <w:t xml:space="preserve">In this technique (Montano Hirose </w:t>
      </w:r>
      <w:r w:rsidR="00944968" w:rsidRPr="000A7B67">
        <w:rPr>
          <w:i/>
        </w:rPr>
        <w:t>et al</w:t>
      </w:r>
      <w:r w:rsidRPr="000A7B67">
        <w:t>., 1991), a trocar is used to make a hole in the posterior wall of the eye socket, and an appropriate biopsy needle is then introduced through this hole. The sampled parts of the brain are the same as in the former technique, but they are taken in the opposite direction.</w:t>
      </w:r>
    </w:p>
    <w:p w14:paraId="77A11CFA" w14:textId="77777777" w:rsidR="00DD6EB9" w:rsidRPr="000A7B67" w:rsidRDefault="00DD6EB9" w:rsidP="00EF28D6">
      <w:pPr>
        <w:pStyle w:val="11"/>
        <w:keepNext/>
      </w:pPr>
      <w:r w:rsidRPr="000A7B67">
        <w:t>1.2.</w:t>
      </w:r>
      <w:r w:rsidRPr="000A7B67">
        <w:tab/>
        <w:t>Shipment of samples</w:t>
      </w:r>
    </w:p>
    <w:p w14:paraId="7AE18F77" w14:textId="77777777" w:rsidR="00DD6EB9" w:rsidRPr="000A7B67" w:rsidRDefault="00DD6EB9" w:rsidP="00DD6EB9">
      <w:pPr>
        <w:pStyle w:val="11Para"/>
      </w:pPr>
      <w:r w:rsidRPr="000A7B67">
        <w:t xml:space="preserve">Suspect material should be transported by road according to the regulations given in the International Carriage of Dangerous Goods by Road (ADR). For international air transport, Dangerous Goods Regulations of the International Air Transport Association (IATA) should be followed. These regulations are summarised in Chapter 1.1.3 </w:t>
      </w:r>
      <w:r w:rsidRPr="000A7B67">
        <w:rPr>
          <w:i/>
        </w:rPr>
        <w:t xml:space="preserve">Transport of </w:t>
      </w:r>
      <w:r w:rsidR="00D9477C">
        <w:rPr>
          <w:i/>
        </w:rPr>
        <w:t>biological material</w:t>
      </w:r>
      <w:r w:rsidRPr="000A7B67">
        <w:t>.</w:t>
      </w:r>
    </w:p>
    <w:p w14:paraId="3A49B0C2" w14:textId="77777777" w:rsidR="00DD6EB9" w:rsidRPr="000A7B67" w:rsidRDefault="00DD6EB9" w:rsidP="00DD6EB9">
      <w:pPr>
        <w:pStyle w:val="11Para"/>
      </w:pPr>
      <w:r w:rsidRPr="000A7B67">
        <w:t>If refrigerated/frozen shipment of samples is not possible, other preservation techniques may be used. The choice of the preservative is dependent on the tests to be used for diagnosis:</w:t>
      </w:r>
    </w:p>
    <w:p w14:paraId="380EC4F0" w14:textId="77777777" w:rsidR="00DD6EB9" w:rsidRPr="000A7B67" w:rsidRDefault="00DD6EB9" w:rsidP="00DD6EB9">
      <w:pPr>
        <w:pStyle w:val="11ilist"/>
      </w:pPr>
      <w:r w:rsidRPr="000A7B67">
        <w:t>i)</w:t>
      </w:r>
      <w:r w:rsidRPr="000A7B67">
        <w:tab/>
        <w:t>Formalin-fixed specimens</w:t>
      </w:r>
    </w:p>
    <w:p w14:paraId="29A60973" w14:textId="2C114F8A" w:rsidR="00DD6EB9" w:rsidRPr="000A7B67" w:rsidRDefault="00DD6EB9" w:rsidP="005C13B7">
      <w:pPr>
        <w:pStyle w:val="11ipara"/>
        <w:spacing w:after="240"/>
      </w:pPr>
      <w:r w:rsidRPr="000A7B67">
        <w:t>Formalin fixation (</w:t>
      </w:r>
      <w:r w:rsidR="00CC7242" w:rsidRPr="000A7B67">
        <w:t>10</w:t>
      </w:r>
      <w:r w:rsidRPr="000A7B67">
        <w:t xml:space="preserve">% [w/v] solution in </w:t>
      </w:r>
      <w:r w:rsidR="008206D1" w:rsidRPr="000A7B67">
        <w:t>phosphate buffered saline [PBS]</w:t>
      </w:r>
      <w:r w:rsidRPr="000A7B67">
        <w:t xml:space="preserve">) allows testing with DFA test, immunohistochemistry, conventional and real-time </w:t>
      </w:r>
      <w:r w:rsidR="00E3570E" w:rsidRPr="00D63226">
        <w:rPr>
          <w:highlight w:val="yellow"/>
          <w:u w:val="double"/>
        </w:rPr>
        <w:t>RT-</w:t>
      </w:r>
      <w:r w:rsidR="00E3570E">
        <w:t>PCR</w:t>
      </w:r>
      <w:r w:rsidRPr="000A7B67">
        <w:t xml:space="preserve">, however modifications may be required and tests can be less sensitive compared with using fresh specimens (Warner </w:t>
      </w:r>
      <w:r w:rsidR="00944968" w:rsidRPr="000A7B67">
        <w:rPr>
          <w:i/>
        </w:rPr>
        <w:t>et al</w:t>
      </w:r>
      <w:r w:rsidRPr="000A7B67">
        <w:t>., 1997). Formalin fixation inactivates the virus thus preventing virus isolation.</w:t>
      </w:r>
    </w:p>
    <w:p w14:paraId="61C54795" w14:textId="77777777" w:rsidR="00DD6EB9" w:rsidRPr="000A7B67" w:rsidRDefault="00DD6EB9" w:rsidP="00DD6EB9">
      <w:pPr>
        <w:pStyle w:val="11ilist"/>
      </w:pPr>
      <w:r w:rsidRPr="000A7B67">
        <w:t>ii)</w:t>
      </w:r>
      <w:r w:rsidRPr="000A7B67">
        <w:tab/>
        <w:t>Glycerol/</w:t>
      </w:r>
      <w:r w:rsidR="008206D1" w:rsidRPr="000A7B67">
        <w:t xml:space="preserve"> phosphate buffered saline (</w:t>
      </w:r>
      <w:r w:rsidRPr="000A7B67">
        <w:t>PBS</w:t>
      </w:r>
      <w:r w:rsidR="008206D1" w:rsidRPr="000A7B67">
        <w:t>)</w:t>
      </w:r>
    </w:p>
    <w:p w14:paraId="685811EB" w14:textId="1BBC6462" w:rsidR="00DD6EB9" w:rsidRPr="000A7B67" w:rsidRDefault="00DD6EB9" w:rsidP="005C13B7">
      <w:pPr>
        <w:pStyle w:val="11ipara"/>
        <w:spacing w:after="240"/>
      </w:pPr>
      <w:r w:rsidRPr="000A7B67">
        <w:t xml:space="preserve">For transportation of specimens, infectivity may be extended for several days if diagnostic specimens are kept in a mixture of 50% glycerol in </w:t>
      </w:r>
      <w:r w:rsidR="008206D1" w:rsidRPr="000A7B67">
        <w:t>PBS</w:t>
      </w:r>
      <w:r w:rsidRPr="000A7B67">
        <w:t xml:space="preserve">. Glycerol/PBS slows bacterial action and therefore protects against the chemical and biological effects of putrefaction. Due to the fact that </w:t>
      </w:r>
      <w:r w:rsidR="00D63226"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is thermo-labile, this method does not prevent a decline in the viral load in the specimen. Under routine transport conditions in regions with high temperatures (above 30°C), this protection may only be effective for a matter of several days. Therefore, whenever possible specimens in glycerol/PBS should be kept refrigerated. As the virus is not inactivated by glycerol/PBS, all laboratory tests can be used to test these specimens. </w:t>
      </w:r>
    </w:p>
    <w:p w14:paraId="15B448B4" w14:textId="77777777" w:rsidR="00DD6EB9" w:rsidRPr="000A7B67" w:rsidRDefault="00DD6EB9" w:rsidP="00DD6EB9">
      <w:pPr>
        <w:pStyle w:val="11ilist"/>
      </w:pPr>
      <w:r w:rsidRPr="000A7B67">
        <w:t>iii)</w:t>
      </w:r>
      <w:r w:rsidRPr="000A7B67">
        <w:tab/>
        <w:t>Preservation for molecular techniques</w:t>
      </w:r>
    </w:p>
    <w:p w14:paraId="4055DD2F" w14:textId="087EB73B" w:rsidR="00DD6EB9" w:rsidRPr="000A7B67" w:rsidRDefault="00DD6EB9" w:rsidP="005C13B7">
      <w:pPr>
        <w:pStyle w:val="11ipara"/>
        <w:spacing w:after="240"/>
      </w:pPr>
      <w:r w:rsidRPr="000A7B67">
        <w:t xml:space="preserve">For molecular techniques, lysis buffers for nucleic acid extraction and RNA preservation buffers impregnated onto filter paper can be used (Picard-Meyer </w:t>
      </w:r>
      <w:r w:rsidR="00944968" w:rsidRPr="000A7B67">
        <w:rPr>
          <w:i/>
        </w:rPr>
        <w:t>et al</w:t>
      </w:r>
      <w:r w:rsidRPr="000A7B67">
        <w:t xml:space="preserve">., 2007). These buffers preserve </w:t>
      </w:r>
      <w:r w:rsidR="00D63226"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RNA and allow transport of specimens at ambient temperature without specific biohazard precautions for detection of viral RNA and further genetic characterisation of </w:t>
      </w:r>
      <w:r w:rsidR="00D63226"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strains.</w:t>
      </w:r>
    </w:p>
    <w:p w14:paraId="39132BF7" w14:textId="77777777" w:rsidR="00DD6EB9" w:rsidRPr="000A7B67" w:rsidRDefault="00DD6EB9" w:rsidP="00DD6EB9">
      <w:pPr>
        <w:pStyle w:val="11"/>
      </w:pPr>
      <w:r w:rsidRPr="000A7B67">
        <w:t>1.3.</w:t>
      </w:r>
      <w:r w:rsidRPr="000A7B67">
        <w:tab/>
        <w:t>Laboratory tests</w:t>
      </w:r>
    </w:p>
    <w:p w14:paraId="2F8A7F0B" w14:textId="77777777" w:rsidR="00DD6EB9" w:rsidRPr="000A7B67" w:rsidRDefault="00DD6EB9" w:rsidP="00DD6EB9">
      <w:pPr>
        <w:pStyle w:val="111"/>
      </w:pPr>
      <w:r w:rsidRPr="000A7B67">
        <w:t>1.3.1.</w:t>
      </w:r>
      <w:r w:rsidRPr="000A7B67">
        <w:tab/>
        <w:t>Immunochemical identification of rabies virus antigen</w:t>
      </w:r>
    </w:p>
    <w:p w14:paraId="6F389A71" w14:textId="77777777" w:rsidR="00DD6EB9" w:rsidRPr="000A7B67" w:rsidRDefault="00DD6EB9" w:rsidP="00DD6EB9">
      <w:pPr>
        <w:pStyle w:val="i"/>
      </w:pPr>
      <w:r w:rsidRPr="000A7B67">
        <w:t>i)</w:t>
      </w:r>
      <w:r w:rsidRPr="000A7B67">
        <w:tab/>
        <w:t>Direct fluorescent antibody (DFA) test</w:t>
      </w:r>
    </w:p>
    <w:p w14:paraId="6989CBE5" w14:textId="46D06E3D" w:rsidR="00DD6EB9" w:rsidRPr="000A7B67" w:rsidRDefault="00DD6EB9" w:rsidP="00DD6EB9">
      <w:pPr>
        <w:pStyle w:val="afourthpara"/>
      </w:pPr>
      <w:r w:rsidRPr="000A7B67">
        <w:t xml:space="preserve">The most widely used test for rabies diagnosis is the DFA, which is recommended by both WHO and </w:t>
      </w:r>
      <w:r w:rsidR="00A064B8">
        <w:t>WOAH</w:t>
      </w:r>
      <w:r w:rsidRPr="000A7B67">
        <w:t xml:space="preserve">. This test is used directly on a brain impression smear. It is also used to confirm the presence of </w:t>
      </w:r>
      <w:r w:rsidR="00D63226"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antigen in cell culture or in brain tissue of mice that have been inoculated for diagnosis. The DFA test is highly sensitive and specific (between 96% and 99%), and gives reliable results on fresh specimens in less than 2 hours. Sensitivity depends on the specimen, the degree of autolysis (McElhinney </w:t>
      </w:r>
      <w:r w:rsidR="00944968" w:rsidRPr="000A7B67">
        <w:rPr>
          <w:i/>
        </w:rPr>
        <w:t>et al</w:t>
      </w:r>
      <w:r w:rsidRPr="000A7B67">
        <w:t xml:space="preserve">., 2014) and the sample type (Barrat &amp; Aubert, 1995). </w:t>
      </w:r>
    </w:p>
    <w:p w14:paraId="6660114A" w14:textId="7C299F74" w:rsidR="00DD6EB9" w:rsidRPr="000A7B67" w:rsidRDefault="00DD6EB9" w:rsidP="00DD6EB9">
      <w:pPr>
        <w:pStyle w:val="afourthpara"/>
      </w:pPr>
      <w:r w:rsidRPr="000A7B67">
        <w:t xml:space="preserve">Impression smears </w:t>
      </w:r>
      <w:r w:rsidR="00E0096B" w:rsidRPr="000A7B67">
        <w:t xml:space="preserve">should be </w:t>
      </w:r>
      <w:r w:rsidRPr="000A7B67">
        <w:t>prepared from a composite sample of brain tissue, that includes the brain stem</w:t>
      </w:r>
      <w:r w:rsidR="00C71303" w:rsidRPr="000A7B67">
        <w:t xml:space="preserve"> and the cerebellum</w:t>
      </w:r>
      <w:r w:rsidR="00E0096B" w:rsidRPr="000A7B67">
        <w:t>.</w:t>
      </w:r>
      <w:r w:rsidR="00C71303" w:rsidRPr="000A7B67">
        <w:t xml:space="preserve"> </w:t>
      </w:r>
      <w:r w:rsidR="00E0096B" w:rsidRPr="000A7B67">
        <w:t>I</w:t>
      </w:r>
      <w:r w:rsidR="00C71303" w:rsidRPr="000A7B67">
        <w:t>f the cerebellum is not available, a cross</w:t>
      </w:r>
      <w:r w:rsidR="00F06F45">
        <w:t>-</w:t>
      </w:r>
      <w:r w:rsidR="00C71303" w:rsidRPr="000A7B67">
        <w:t>section of the Am</w:t>
      </w:r>
      <w:r w:rsidR="00842F46" w:rsidRPr="000A7B67">
        <w:t>m</w:t>
      </w:r>
      <w:r w:rsidR="00C71303" w:rsidRPr="000A7B67">
        <w:t>on</w:t>
      </w:r>
      <w:r w:rsidR="00842F46" w:rsidRPr="000A7B67">
        <w:t>’s</w:t>
      </w:r>
      <w:r w:rsidR="00C71303" w:rsidRPr="000A7B67">
        <w:t xml:space="preserve"> horns may be used</w:t>
      </w:r>
      <w:r w:rsidR="00E0096B" w:rsidRPr="000A7B67">
        <w:t>.</w:t>
      </w:r>
      <w:r w:rsidRPr="000A7B67">
        <w:t xml:space="preserve"> </w:t>
      </w:r>
      <w:r w:rsidR="00E0096B" w:rsidRPr="000A7B67">
        <w:t xml:space="preserve">The smears </w:t>
      </w:r>
      <w:r w:rsidRPr="000A7B67">
        <w:t>are fixed in 100% high-grade cold acetone</w:t>
      </w:r>
      <w:r w:rsidR="000B5DE5" w:rsidRPr="000A7B67">
        <w:t xml:space="preserve"> (</w:t>
      </w:r>
      <w:r w:rsidR="00712E17" w:rsidRPr="000A7B67">
        <w:t>–</w:t>
      </w:r>
      <w:r w:rsidR="000B5DE5" w:rsidRPr="000A7B67">
        <w:t>20°C)</w:t>
      </w:r>
      <w:r w:rsidRPr="000A7B67">
        <w:t xml:space="preserve"> for at least 20 minutes or </w:t>
      </w:r>
      <w:r w:rsidR="00DD646A" w:rsidRPr="000A7B67">
        <w:t>heat</w:t>
      </w:r>
      <w:r w:rsidR="00DD646A">
        <w:t>-</w:t>
      </w:r>
      <w:r w:rsidRPr="000A7B67">
        <w:t>fixed by passing the slide 2–3 times through a flame</w:t>
      </w:r>
      <w:r w:rsidR="00E0096B" w:rsidRPr="000A7B67">
        <w:t>.</w:t>
      </w:r>
      <w:r w:rsidRPr="000A7B67">
        <w:t xml:space="preserve"> </w:t>
      </w:r>
      <w:r w:rsidR="00E0096B" w:rsidRPr="000A7B67">
        <w:t>They are</w:t>
      </w:r>
      <w:r w:rsidRPr="000A7B67">
        <w:t xml:space="preserve"> subsequently air dried and then stained with specific FITC (fluorescein isothiocyanate)-labelled polyclonal or monoclonal anti-rabies antibod</w:t>
      </w:r>
      <w:r w:rsidR="00467133" w:rsidRPr="000A7B67">
        <w:t>y</w:t>
      </w:r>
      <w:r w:rsidRPr="000A7B67">
        <w:t xml:space="preserve"> conjugate</w:t>
      </w:r>
      <w:r w:rsidR="000B5DE5" w:rsidRPr="000A7B67">
        <w:t xml:space="preserve">, </w:t>
      </w:r>
      <w:r w:rsidR="0037390A" w:rsidRPr="000A7B67">
        <w:t xml:space="preserve">diluted to working </w:t>
      </w:r>
      <w:r w:rsidR="00F747A5" w:rsidRPr="000A7B67">
        <w:t>dilution</w:t>
      </w:r>
      <w:r w:rsidR="0037390A" w:rsidRPr="000A7B67">
        <w:t xml:space="preserve"> and </w:t>
      </w:r>
      <w:r w:rsidR="000B5DE5" w:rsidRPr="000A7B67">
        <w:t>sufficient to cover the whole smear,</w:t>
      </w:r>
      <w:r w:rsidRPr="000A7B67">
        <w:t xml:space="preserve"> for 30</w:t>
      </w:r>
      <w:r w:rsidR="000B0D27" w:rsidRPr="000A7B67">
        <w:t> </w:t>
      </w:r>
      <w:r w:rsidRPr="000A7B67">
        <w:t>minutes at 37°C</w:t>
      </w:r>
      <w:r w:rsidR="000B5DE5" w:rsidRPr="000A7B67">
        <w:t xml:space="preserve"> </w:t>
      </w:r>
      <w:r w:rsidR="00C71303" w:rsidRPr="000A7B67">
        <w:t xml:space="preserve">in a humid </w:t>
      </w:r>
      <w:r w:rsidR="00F747A5" w:rsidRPr="000A7B67">
        <w:t>chamber</w:t>
      </w:r>
      <w:r w:rsidRPr="000A7B67">
        <w:t>. DFA test slides should then be examined for specific fluorescence using a</w:t>
      </w:r>
      <w:r w:rsidR="0037390A" w:rsidRPr="00D63226">
        <w:rPr>
          <w:strike/>
          <w:highlight w:val="yellow"/>
        </w:rPr>
        <w:t>n</w:t>
      </w:r>
      <w:r w:rsidR="0037390A" w:rsidRPr="000A7B67">
        <w:t xml:space="preserve"> </w:t>
      </w:r>
      <w:r w:rsidR="0037390A" w:rsidRPr="00D63226">
        <w:rPr>
          <w:strike/>
          <w:highlight w:val="yellow"/>
        </w:rPr>
        <w:t>inverted</w:t>
      </w:r>
      <w:r w:rsidRPr="000548F1">
        <w:t xml:space="preserve"> </w:t>
      </w:r>
      <w:r w:rsidRPr="000A7B67">
        <w:t>fluorescen</w:t>
      </w:r>
      <w:r w:rsidR="00467133" w:rsidRPr="000A7B67">
        <w:t>ce</w:t>
      </w:r>
      <w:r w:rsidRPr="000A7B67">
        <w:t xml:space="preserve"> microscope and filter appropriate for the wavelength (490 nm and re-emits at 510 nm). Aggregates of nucleocapsid protein are identified by specific fluorescence of bound conjugate. It is recommended that two independent trained operators read each DFA test slide. Conserved antigenic sites on the nucleocapsid proteins permit </w:t>
      </w:r>
      <w:r w:rsidR="000B5DE5" w:rsidRPr="000A7B67">
        <w:t>identifica</w:t>
      </w:r>
      <w:r w:rsidRPr="000A7B67">
        <w:t xml:space="preserve">tion of all lyssaviruses with modern commercial preparations of </w:t>
      </w:r>
      <w:r w:rsidR="00280CEC" w:rsidRPr="000A7B67">
        <w:t xml:space="preserve">polyclonal </w:t>
      </w:r>
      <w:r w:rsidRPr="000A7B67">
        <w:t>anti-rabies antibody conjugates used for diagnostic tests on brain tissue</w:t>
      </w:r>
      <w:r w:rsidR="005201F3" w:rsidRPr="000A7B67">
        <w:t>,</w:t>
      </w:r>
      <w:r w:rsidRPr="000A7B67">
        <w:t xml:space="preserve"> </w:t>
      </w:r>
      <w:r w:rsidR="005201F3" w:rsidRPr="000A7B67">
        <w:t xml:space="preserve">while monoclonal anti-rabies antibody conjugates may have limited sensitivity regarding different lyssaviruses. </w:t>
      </w:r>
      <w:r w:rsidRPr="000A7B67">
        <w:t>Fluorescent antibody conjugates</w:t>
      </w:r>
      <w:r w:rsidR="005201F3" w:rsidRPr="000A7B67">
        <w:t>, in particular if</w:t>
      </w:r>
      <w:r w:rsidRPr="000A7B67">
        <w:t xml:space="preserve"> made locally, should be fully validated for specificity and sensitivity before use. </w:t>
      </w:r>
    </w:p>
    <w:p w14:paraId="0E8442D1" w14:textId="77777777" w:rsidR="00DD6EB9" w:rsidRPr="000A7B67" w:rsidRDefault="00DD6EB9" w:rsidP="00DD6EB9">
      <w:pPr>
        <w:pStyle w:val="afourthpara"/>
      </w:pPr>
      <w:r w:rsidRPr="000A7B67">
        <w:t xml:space="preserve">The DFA test may be applied to glycerol-preserved specimens after a washing step. If the specimen has been preserved in a formalin solution, the DFA test may be used only after the specimen has been treated with a proteolytic enzyme (Warner </w:t>
      </w:r>
      <w:r w:rsidR="00944968" w:rsidRPr="000A7B67">
        <w:rPr>
          <w:i/>
        </w:rPr>
        <w:t>et al</w:t>
      </w:r>
      <w:r w:rsidRPr="000A7B67">
        <w:t>., 1997). However, the DFA test on formalin-fixed and digested samples is always less reliable and more cumbersome than when performed on fresh tissue (Barrat, 1992).</w:t>
      </w:r>
    </w:p>
    <w:p w14:paraId="0303F3DE" w14:textId="77777777" w:rsidR="00DD6EB9" w:rsidRPr="000A7B67" w:rsidRDefault="00DD6EB9" w:rsidP="00DD6EB9">
      <w:pPr>
        <w:pStyle w:val="afourthpara"/>
      </w:pPr>
      <w:r w:rsidRPr="000A7B67">
        <w:t>In cases of inconclusive results from DFA test, or in all cases of human exposure, further tests on the same sample or repeat DFA test on other samples are recommended. This is particularly important where sample autolysis is confirmed or suspected.</w:t>
      </w:r>
    </w:p>
    <w:p w14:paraId="49AF3801" w14:textId="77777777" w:rsidR="00DD6EB9" w:rsidRPr="000A7B67" w:rsidRDefault="000B0D27" w:rsidP="00697141">
      <w:pPr>
        <w:pStyle w:val="afourthlevel"/>
      </w:pPr>
      <w:r w:rsidRPr="000A7B67">
        <w:t>a</w:t>
      </w:r>
      <w:r w:rsidR="00697141" w:rsidRPr="000A7B67">
        <w:t>)</w:t>
      </w:r>
      <w:r w:rsidR="00697141" w:rsidRPr="000A7B67">
        <w:tab/>
      </w:r>
      <w:r w:rsidR="001879BE" w:rsidRPr="000A7B67">
        <w:t>Test p</w:t>
      </w:r>
      <w:r w:rsidR="00697141" w:rsidRPr="000A7B67">
        <w:t>rotocol</w:t>
      </w:r>
    </w:p>
    <w:p w14:paraId="62046C95" w14:textId="77777777" w:rsidR="00DD6EB9" w:rsidRPr="000A7B67" w:rsidRDefault="00875DA4" w:rsidP="00697141">
      <w:pPr>
        <w:pStyle w:val="ififthlevellist"/>
      </w:pPr>
      <w:r w:rsidRPr="000A7B67">
        <w:t>1</w:t>
      </w:r>
      <w:r w:rsidR="00DD6EB9" w:rsidRPr="000A7B67">
        <w:t>)</w:t>
      </w:r>
      <w:r w:rsidR="00DD6EB9" w:rsidRPr="000A7B67">
        <w:tab/>
        <w:t xml:space="preserve">Label </w:t>
      </w:r>
      <w:r w:rsidR="00654235" w:rsidRPr="000A7B67">
        <w:t xml:space="preserve">four </w:t>
      </w:r>
      <w:r w:rsidR="00DD6EB9" w:rsidRPr="000A7B67">
        <w:t xml:space="preserve">microscope slides: </w:t>
      </w:r>
      <w:r w:rsidR="008611CD" w:rsidRPr="000A7B67">
        <w:t xml:space="preserve">two </w:t>
      </w:r>
      <w:r w:rsidR="00DD6EB9" w:rsidRPr="000A7B67">
        <w:t>control slide</w:t>
      </w:r>
      <w:r w:rsidR="008611CD" w:rsidRPr="000A7B67">
        <w:t>s</w:t>
      </w:r>
      <w:r w:rsidR="00DD6EB9" w:rsidRPr="000A7B67">
        <w:t xml:space="preserve"> </w:t>
      </w:r>
      <w:r w:rsidR="008611CD" w:rsidRPr="000A7B67">
        <w:t>for impression smears of control brain tissue (one positive and one negative)</w:t>
      </w:r>
      <w:r w:rsidR="00467133" w:rsidRPr="000A7B67">
        <w:t xml:space="preserve"> </w:t>
      </w:r>
      <w:r w:rsidR="00DD6EB9" w:rsidRPr="000A7B67">
        <w:t xml:space="preserve">and two slides for duplicate testing of the appropriate brain regions. </w:t>
      </w:r>
    </w:p>
    <w:p w14:paraId="5EC68863" w14:textId="77777777" w:rsidR="00DD6EB9" w:rsidRPr="000A7B67" w:rsidRDefault="007F1363" w:rsidP="00697141">
      <w:pPr>
        <w:pStyle w:val="ififthlevellist"/>
      </w:pPr>
      <w:r w:rsidRPr="000A7B67">
        <w:t>2</w:t>
      </w:r>
      <w:r w:rsidR="00DD6EB9" w:rsidRPr="000A7B67">
        <w:t>)</w:t>
      </w:r>
      <w:r w:rsidR="00DD6EB9" w:rsidRPr="000A7B67">
        <w:tab/>
      </w:r>
      <w:r w:rsidR="0037390A" w:rsidRPr="000A7B67">
        <w:t>P</w:t>
      </w:r>
      <w:r w:rsidR="008611CD" w:rsidRPr="000A7B67">
        <w:t>repare impression smears of control brain tissue (one positive and one negative), as well test samples, by inverting the microscope slide onto the tissue placed on blotting paper. Remove excess tissue by blotting the sl</w:t>
      </w:r>
      <w:r w:rsidR="00C97390" w:rsidRPr="000A7B67">
        <w:t xml:space="preserve">ide onto clear blotting paper. </w:t>
      </w:r>
      <w:r w:rsidR="008611CD" w:rsidRPr="000A7B67">
        <w:t>Work with one sample at a time, using fresh blotting paper for each, and proc</w:t>
      </w:r>
      <w:r w:rsidR="000B0D27" w:rsidRPr="000A7B67">
        <w:t xml:space="preserve">ess the positive control last. </w:t>
      </w:r>
    </w:p>
    <w:p w14:paraId="016B2C43" w14:textId="77777777" w:rsidR="00DD6EB9" w:rsidRPr="000A7B67" w:rsidRDefault="007F1363" w:rsidP="00697141">
      <w:pPr>
        <w:pStyle w:val="ififthlevellist"/>
      </w:pPr>
      <w:r w:rsidRPr="000A7B67">
        <w:t>3</w:t>
      </w:r>
      <w:r w:rsidR="00DD6EB9" w:rsidRPr="000A7B67">
        <w:t>)</w:t>
      </w:r>
      <w:r w:rsidR="00DD6EB9" w:rsidRPr="000A7B67">
        <w:tab/>
        <w:t xml:space="preserve">Allow the slides to air dry. </w:t>
      </w:r>
    </w:p>
    <w:p w14:paraId="078DC835" w14:textId="77777777" w:rsidR="00DD6EB9" w:rsidRPr="000A7B67" w:rsidRDefault="007F1363" w:rsidP="00697141">
      <w:pPr>
        <w:pStyle w:val="ififthlevellist"/>
      </w:pPr>
      <w:r w:rsidRPr="000A7B67">
        <w:t>4</w:t>
      </w:r>
      <w:r w:rsidR="00DD6EB9" w:rsidRPr="000A7B67">
        <w:t>)</w:t>
      </w:r>
      <w:r w:rsidR="00DD6EB9" w:rsidRPr="000A7B67">
        <w:tab/>
      </w:r>
      <w:r w:rsidRPr="000A7B67">
        <w:t>Within the biosafety cabinet p</w:t>
      </w:r>
      <w:r w:rsidR="00DD6EB9" w:rsidRPr="000A7B67">
        <w:t xml:space="preserve">lace all slides into a </w:t>
      </w:r>
      <w:r w:rsidRPr="000A7B67">
        <w:t>C</w:t>
      </w:r>
      <w:r w:rsidR="00DD6EB9" w:rsidRPr="000A7B67">
        <w:t xml:space="preserve">oplin jar containing </w:t>
      </w:r>
      <w:r w:rsidR="00654235" w:rsidRPr="000A7B67">
        <w:t xml:space="preserve">cold </w:t>
      </w:r>
      <w:r w:rsidR="00DD6EB9" w:rsidRPr="000A7B67">
        <w:t xml:space="preserve">acetone </w:t>
      </w:r>
      <w:r w:rsidR="00654235" w:rsidRPr="000A7B67">
        <w:t>(</w:t>
      </w:r>
      <w:r w:rsidR="00DD6EB9" w:rsidRPr="000A7B67">
        <w:t>–20°C</w:t>
      </w:r>
      <w:r w:rsidR="00654235" w:rsidRPr="000A7B67">
        <w:t>)</w:t>
      </w:r>
      <w:r w:rsidR="00DD6EB9" w:rsidRPr="000A7B67">
        <w:t xml:space="preserve"> for </w:t>
      </w:r>
      <w:r w:rsidR="00492330" w:rsidRPr="000A7B67">
        <w:t xml:space="preserve">at least </w:t>
      </w:r>
      <w:r w:rsidR="00DD6EB9" w:rsidRPr="000A7B67">
        <w:t xml:space="preserve">20 minutes. </w:t>
      </w:r>
    </w:p>
    <w:p w14:paraId="65463FC4" w14:textId="77777777" w:rsidR="00DD6EB9" w:rsidRPr="000A7B67" w:rsidRDefault="007F1363" w:rsidP="00697141">
      <w:pPr>
        <w:pStyle w:val="ififthlevellist"/>
      </w:pPr>
      <w:r w:rsidRPr="000A7B67">
        <w:t>5</w:t>
      </w:r>
      <w:r w:rsidR="00712E17" w:rsidRPr="000A7B67">
        <w:t>)</w:t>
      </w:r>
      <w:r w:rsidR="00DD6EB9" w:rsidRPr="000A7B67">
        <w:tab/>
        <w:t xml:space="preserve">Remove the slides from the </w:t>
      </w:r>
      <w:r w:rsidR="0037390A" w:rsidRPr="000A7B67">
        <w:t xml:space="preserve">Coplin </w:t>
      </w:r>
      <w:r w:rsidR="00DD6EB9" w:rsidRPr="000A7B67">
        <w:t xml:space="preserve">jar and allow to air dry. </w:t>
      </w:r>
    </w:p>
    <w:p w14:paraId="5309357B" w14:textId="77777777" w:rsidR="00DD6EB9" w:rsidRPr="000A7B67" w:rsidRDefault="007F1363" w:rsidP="00697141">
      <w:pPr>
        <w:pStyle w:val="ififthlevellist"/>
      </w:pPr>
      <w:r w:rsidRPr="000A7B67">
        <w:t>6</w:t>
      </w:r>
      <w:r w:rsidR="00712E17" w:rsidRPr="000A7B67">
        <w:t>)</w:t>
      </w:r>
      <w:r w:rsidR="00DD6EB9" w:rsidRPr="000A7B67">
        <w:tab/>
      </w:r>
      <w:r w:rsidRPr="000A7B67">
        <w:t xml:space="preserve">Prepare </w:t>
      </w:r>
      <w:r w:rsidR="00DD6EB9" w:rsidRPr="000A7B67">
        <w:t xml:space="preserve">FITC-labelled anti-rabies conjugate </w:t>
      </w:r>
      <w:r w:rsidRPr="000A7B67">
        <w:t>as directed by the manufacturer</w:t>
      </w:r>
      <w:r w:rsidR="00DD6EB9" w:rsidRPr="000A7B67">
        <w:t xml:space="preserve">. </w:t>
      </w:r>
    </w:p>
    <w:p w14:paraId="235587CD" w14:textId="77777777" w:rsidR="00DD6EB9" w:rsidRPr="000A7B67" w:rsidRDefault="007F1363" w:rsidP="00697141">
      <w:pPr>
        <w:pStyle w:val="ififthlevellist"/>
      </w:pPr>
      <w:r w:rsidRPr="000A7B67">
        <w:t>7</w:t>
      </w:r>
      <w:r w:rsidR="00DD6EB9" w:rsidRPr="000A7B67">
        <w:t>)</w:t>
      </w:r>
      <w:r w:rsidR="00DD6EB9" w:rsidRPr="000A7B67">
        <w:tab/>
        <w:t>Add conjugate</w:t>
      </w:r>
      <w:r w:rsidR="00654235" w:rsidRPr="000A7B67">
        <w:t xml:space="preserve"> at working dilution</w:t>
      </w:r>
      <w:r w:rsidR="00DD6EB9" w:rsidRPr="000A7B67">
        <w:t xml:space="preserve"> to the positive </w:t>
      </w:r>
      <w:r w:rsidR="00C71303" w:rsidRPr="000A7B67">
        <w:t xml:space="preserve">and negative </w:t>
      </w:r>
      <w:r w:rsidR="00DD6EB9" w:rsidRPr="000A7B67">
        <w:t>control smear</w:t>
      </w:r>
      <w:r w:rsidR="00C71303" w:rsidRPr="000A7B67">
        <w:t>s</w:t>
      </w:r>
      <w:r w:rsidR="00DD6EB9" w:rsidRPr="000A7B67">
        <w:t xml:space="preserve"> and to all smears</w:t>
      </w:r>
      <w:r w:rsidR="00C71303" w:rsidRPr="000A7B67">
        <w:t xml:space="preserve"> of test samples</w:t>
      </w:r>
      <w:r w:rsidR="000B5DE5" w:rsidRPr="000A7B67">
        <w:t xml:space="preserve">, </w:t>
      </w:r>
      <w:r w:rsidR="009E6C2A" w:rsidRPr="000A7B67">
        <w:t xml:space="preserve">in </w:t>
      </w:r>
      <w:r w:rsidR="000B5DE5" w:rsidRPr="000A7B67">
        <w:t>sufficient quantity to cover the whole</w:t>
      </w:r>
      <w:r w:rsidR="009E6C2A" w:rsidRPr="000A7B67">
        <w:t xml:space="preserve"> of the</w:t>
      </w:r>
      <w:r w:rsidR="000B5DE5" w:rsidRPr="000A7B67">
        <w:t xml:space="preserve"> smears</w:t>
      </w:r>
      <w:r w:rsidR="00DD6EB9" w:rsidRPr="000A7B67">
        <w:t xml:space="preserve">. </w:t>
      </w:r>
    </w:p>
    <w:p w14:paraId="23478E54" w14:textId="216CB856" w:rsidR="00DD6EB9" w:rsidRPr="000A7B67" w:rsidRDefault="004F6DD2" w:rsidP="00697141">
      <w:pPr>
        <w:pStyle w:val="ififthlevellist"/>
      </w:pPr>
      <w:r w:rsidRPr="000A7B67">
        <w:t>8</w:t>
      </w:r>
      <w:r w:rsidR="00DD6EB9" w:rsidRPr="000A7B67">
        <w:t>)</w:t>
      </w:r>
      <w:r w:rsidR="00DD6EB9" w:rsidRPr="000A7B67">
        <w:tab/>
        <w:t xml:space="preserve">Place the slides in a 37°C incubator in a humid </w:t>
      </w:r>
      <w:r w:rsidR="00F747A5" w:rsidRPr="000A7B67">
        <w:t>chamber</w:t>
      </w:r>
      <w:r w:rsidR="00DD6EB9" w:rsidRPr="000A7B67">
        <w:t xml:space="preserve"> for 30 minutes (45</w:t>
      </w:r>
      <w:r w:rsidR="00C649C9">
        <w:t> </w:t>
      </w:r>
      <w:r w:rsidR="00DD6EB9" w:rsidRPr="000A7B67">
        <w:t xml:space="preserve">minutes maximum). </w:t>
      </w:r>
    </w:p>
    <w:p w14:paraId="0B2BF19A" w14:textId="77777777" w:rsidR="00DD6EB9" w:rsidRPr="000A7B67" w:rsidRDefault="004F6DD2" w:rsidP="00697141">
      <w:pPr>
        <w:pStyle w:val="ififthlevellist"/>
      </w:pPr>
      <w:r w:rsidRPr="000A7B67">
        <w:t>9</w:t>
      </w:r>
      <w:r w:rsidR="00DD6EB9" w:rsidRPr="000A7B67">
        <w:t>)</w:t>
      </w:r>
      <w:r w:rsidR="00DD6EB9" w:rsidRPr="000A7B67">
        <w:tab/>
        <w:t xml:space="preserve">Remove the slides and wash in 0.1 M PBS 7.2 for 5 minutes in a </w:t>
      </w:r>
      <w:r w:rsidRPr="000A7B67">
        <w:t>C</w:t>
      </w:r>
      <w:r w:rsidR="00DD6EB9" w:rsidRPr="000A7B67">
        <w:t xml:space="preserve">oplin jar, then for a further 5 minutes with fresh PBS. </w:t>
      </w:r>
    </w:p>
    <w:p w14:paraId="2FE0668E" w14:textId="77777777" w:rsidR="00DD6EB9" w:rsidRPr="000A7B67" w:rsidRDefault="00875DA4" w:rsidP="00697141">
      <w:pPr>
        <w:pStyle w:val="ififthlevellist"/>
      </w:pPr>
      <w:r w:rsidRPr="000A7B67">
        <w:t>1</w:t>
      </w:r>
      <w:r w:rsidR="004F6DD2" w:rsidRPr="000A7B67">
        <w:t>0</w:t>
      </w:r>
      <w:r w:rsidR="00DD6EB9" w:rsidRPr="000A7B67">
        <w:t>)</w:t>
      </w:r>
      <w:r w:rsidR="00DD6EB9" w:rsidRPr="000A7B67">
        <w:tab/>
        <w:t xml:space="preserve">Allow the slides to air dry. </w:t>
      </w:r>
    </w:p>
    <w:p w14:paraId="4ECB259C" w14:textId="77777777" w:rsidR="00DD6EB9" w:rsidRPr="000A7B67" w:rsidRDefault="00875DA4" w:rsidP="00457043">
      <w:pPr>
        <w:pStyle w:val="ififthlevellist"/>
        <w:spacing w:after="240"/>
      </w:pPr>
      <w:r w:rsidRPr="000A7B67">
        <w:t>1</w:t>
      </w:r>
      <w:r w:rsidR="00457043">
        <w:t>1</w:t>
      </w:r>
      <w:r w:rsidR="00DD6EB9" w:rsidRPr="000A7B67">
        <w:t>)</w:t>
      </w:r>
      <w:r w:rsidR="00DD6EB9" w:rsidRPr="000A7B67">
        <w:tab/>
      </w:r>
      <w:r w:rsidR="004F6DD2" w:rsidRPr="000A7B67">
        <w:t>Mount cover slips on t</w:t>
      </w:r>
      <w:r w:rsidR="00DD6EB9" w:rsidRPr="000A7B67">
        <w:t xml:space="preserve">he slides using 50% glycerol/50% PBS solution. </w:t>
      </w:r>
    </w:p>
    <w:p w14:paraId="626EAB36" w14:textId="77777777" w:rsidR="00DD6EB9" w:rsidRPr="000A7B67" w:rsidRDefault="00457043" w:rsidP="00697141">
      <w:pPr>
        <w:pStyle w:val="afourthlevel"/>
      </w:pPr>
      <w:r>
        <w:t>b</w:t>
      </w:r>
      <w:r w:rsidR="00697141" w:rsidRPr="000A7B67">
        <w:t>)</w:t>
      </w:r>
      <w:r w:rsidR="00697141" w:rsidRPr="000A7B67">
        <w:tab/>
        <w:t>Results</w:t>
      </w:r>
    </w:p>
    <w:p w14:paraId="4AAB12C7" w14:textId="249B1A04" w:rsidR="00DD6EB9" w:rsidRPr="000A7B67" w:rsidRDefault="00DD6EB9" w:rsidP="00230732">
      <w:pPr>
        <w:pStyle w:val="ififthpara"/>
      </w:pPr>
      <w:r w:rsidRPr="000A7B67">
        <w:t>The slides are read on a fluorescen</w:t>
      </w:r>
      <w:r w:rsidR="00EE4F15" w:rsidRPr="000A7B67">
        <w:t>ce</w:t>
      </w:r>
      <w:r w:rsidRPr="000A7B67">
        <w:t xml:space="preserve"> microscope capable of excitation at 488 nm (FITC), using an excitation filter with narrow passband windows in the blue</w:t>
      </w:r>
      <w:r w:rsidR="00EE4F15" w:rsidRPr="000A7B67">
        <w:t xml:space="preserve"> spectrum</w:t>
      </w:r>
      <w:r w:rsidRPr="000A7B67">
        <w:t xml:space="preserve"> (475–490</w:t>
      </w:r>
      <w:r w:rsidR="00C649C9">
        <w:t> </w:t>
      </w:r>
      <w:r w:rsidRPr="000A7B67">
        <w:t>nm). The latter filter reduces breakthrough wavelength excitation. Each impression is observed for rabies</w:t>
      </w:r>
      <w:r w:rsidR="004F6DD2" w:rsidRPr="000A7B67">
        <w:t>-</w:t>
      </w:r>
      <w:r w:rsidRPr="000A7B67">
        <w:t xml:space="preserve">specific fluorescence (indicating the presence of viral antigen) </w:t>
      </w:r>
      <w:r w:rsidR="00EE4F15" w:rsidRPr="000A7B67">
        <w:t>at a</w:t>
      </w:r>
      <w:r w:rsidR="00320D49" w:rsidRPr="000A7B67">
        <w:t xml:space="preserve"> </w:t>
      </w:r>
      <w:r w:rsidR="00EE4F15" w:rsidRPr="000A7B67">
        <w:t>magnification of 200</w:t>
      </w:r>
      <w:r w:rsidR="00BE185F" w:rsidRPr="000A7B67">
        <w:t>×</w:t>
      </w:r>
      <w:r w:rsidR="00EE4F15" w:rsidRPr="000A7B67">
        <w:t xml:space="preserve"> or</w:t>
      </w:r>
      <w:r w:rsidR="00320D49" w:rsidRPr="000A7B67">
        <w:t xml:space="preserve"> </w:t>
      </w:r>
      <w:r w:rsidR="00EE4F15" w:rsidRPr="000A7B67">
        <w:t>greater</w:t>
      </w:r>
      <w:r w:rsidRPr="000A7B67">
        <w:t>. Specific fluorescence is denoted by bright ‘apple’ green fluorescence generally in the peri-nuclear area of cells, or longer ‘string-like’ neurons. Dull green or red/green auto-fluorescent granules should not b</w:t>
      </w:r>
      <w:r w:rsidR="007B4E2A">
        <w:t xml:space="preserve">e counted as positive antigen. </w:t>
      </w:r>
      <w:r w:rsidRPr="000A7B67">
        <w:t xml:space="preserve">Always read the positive control slide first. </w:t>
      </w:r>
    </w:p>
    <w:p w14:paraId="1FFC462B" w14:textId="77777777" w:rsidR="00DD6EB9" w:rsidRPr="000A7B67" w:rsidRDefault="00DD6EB9" w:rsidP="00230732">
      <w:pPr>
        <w:pStyle w:val="ififthpara"/>
      </w:pPr>
      <w:r w:rsidRPr="000A7B67">
        <w:t xml:space="preserve">Read the sample slide(s). Examine the tissue samples carefully, if necessary keep returning to the positive control for comparison. </w:t>
      </w:r>
    </w:p>
    <w:p w14:paraId="2C1CAC59" w14:textId="77777777" w:rsidR="00DD6EB9" w:rsidRPr="000A7B67" w:rsidRDefault="00DD6EB9" w:rsidP="00230732">
      <w:pPr>
        <w:pStyle w:val="ififthpara"/>
      </w:pPr>
      <w:r w:rsidRPr="000A7B67">
        <w:t xml:space="preserve">A second operator should </w:t>
      </w:r>
      <w:r w:rsidR="00EE4F15" w:rsidRPr="000A7B67">
        <w:t xml:space="preserve">examine </w:t>
      </w:r>
      <w:r w:rsidRPr="000A7B67">
        <w:t>all slides</w:t>
      </w:r>
      <w:r w:rsidR="00EE4F15" w:rsidRPr="000A7B67">
        <w:t xml:space="preserve"> and the diagnoses of both operators should be the same. </w:t>
      </w:r>
    </w:p>
    <w:p w14:paraId="630CAC2B" w14:textId="77777777" w:rsidR="00DD6EB9" w:rsidRPr="000A7B67" w:rsidRDefault="00DD6EB9" w:rsidP="00EE49C5">
      <w:pPr>
        <w:pStyle w:val="i"/>
      </w:pPr>
      <w:r w:rsidRPr="000A7B67">
        <w:t>ii)</w:t>
      </w:r>
      <w:r w:rsidRPr="000A7B67">
        <w:tab/>
        <w:t xml:space="preserve">Direct rapid immunohistochemistry test </w:t>
      </w:r>
      <w:r w:rsidR="001879BE" w:rsidRPr="000A7B67">
        <w:t>(</w:t>
      </w:r>
      <w:proofErr w:type="spellStart"/>
      <w:r w:rsidR="001879BE" w:rsidRPr="000A7B67">
        <w:t>dRIT</w:t>
      </w:r>
      <w:proofErr w:type="spellEnd"/>
      <w:r w:rsidR="001879BE" w:rsidRPr="000A7B67">
        <w:t>)</w:t>
      </w:r>
    </w:p>
    <w:p w14:paraId="7835E5A7" w14:textId="77777777" w:rsidR="00DD6EB9" w:rsidRPr="000A7B67" w:rsidRDefault="00DD6EB9" w:rsidP="00EE49C5">
      <w:pPr>
        <w:pStyle w:val="afourthpara"/>
      </w:pPr>
      <w:r w:rsidRPr="000A7B67">
        <w:t xml:space="preserve">The </w:t>
      </w:r>
      <w:proofErr w:type="spellStart"/>
      <w:r w:rsidRPr="000A7B67">
        <w:t>dRIT</w:t>
      </w:r>
      <w:proofErr w:type="spellEnd"/>
      <w:r w:rsidRPr="000A7B67">
        <w:t xml:space="preserve"> can be used as an alternative to DFA in routine rabies diagnosis as it has similar sensitivity and specificity (Lembo </w:t>
      </w:r>
      <w:r w:rsidR="00944968" w:rsidRPr="000A7B67">
        <w:rPr>
          <w:i/>
        </w:rPr>
        <w:t>et al</w:t>
      </w:r>
      <w:r w:rsidRPr="000A7B67">
        <w:t xml:space="preserve">., 2006). The principle is similar to the DFA except that the </w:t>
      </w:r>
      <w:proofErr w:type="spellStart"/>
      <w:r w:rsidRPr="000A7B67">
        <w:t>dRIT</w:t>
      </w:r>
      <w:proofErr w:type="spellEnd"/>
      <w:r w:rsidRPr="000A7B67">
        <w:t xml:space="preserve"> uses streptavidin–biotin peroxidase staining (Coetzer </w:t>
      </w:r>
      <w:r w:rsidR="00944968" w:rsidRPr="000A7B67">
        <w:rPr>
          <w:i/>
        </w:rPr>
        <w:t>et al</w:t>
      </w:r>
      <w:r w:rsidRPr="000A7B67">
        <w:t xml:space="preserve">., 2014; Madhusudana </w:t>
      </w:r>
      <w:r w:rsidR="00944968" w:rsidRPr="000A7B67">
        <w:rPr>
          <w:i/>
        </w:rPr>
        <w:t>et al</w:t>
      </w:r>
      <w:r w:rsidRPr="000A7B67">
        <w:t xml:space="preserve">., 2012; Rupprecht </w:t>
      </w:r>
      <w:r w:rsidR="00944968" w:rsidRPr="000A7B67">
        <w:rPr>
          <w:i/>
        </w:rPr>
        <w:t>et al</w:t>
      </w:r>
      <w:r w:rsidRPr="000A7B67">
        <w:t>., 2014). This test can be used in laboratories that do not have access to a fluorescen</w:t>
      </w:r>
      <w:r w:rsidR="00EE4F15" w:rsidRPr="000A7B67">
        <w:t>ce</w:t>
      </w:r>
      <w:r w:rsidRPr="000A7B67">
        <w:t xml:space="preserve"> microscope.</w:t>
      </w:r>
      <w:r w:rsidR="001E1348" w:rsidRPr="000A7B67">
        <w:t xml:space="preserve"> </w:t>
      </w:r>
      <w:r w:rsidR="00842F46" w:rsidRPr="000A7B67">
        <w:t xml:space="preserve">Primary antibodies should be fully validated for specificity and sensitivity before use, taking into consideration regional diversity of lyssaviruses. </w:t>
      </w:r>
    </w:p>
    <w:p w14:paraId="46B8376C" w14:textId="77777777" w:rsidR="00DD6EB9" w:rsidRPr="000A7B67" w:rsidRDefault="00823235" w:rsidP="00222839">
      <w:pPr>
        <w:pStyle w:val="afourthlevel"/>
        <w:keepNext/>
      </w:pPr>
      <w:r w:rsidRPr="000A7B67">
        <w:t>a</w:t>
      </w:r>
      <w:r w:rsidR="00DD6EB9" w:rsidRPr="000A7B67">
        <w:t>)</w:t>
      </w:r>
      <w:r w:rsidR="00DD6EB9" w:rsidRPr="000A7B67">
        <w:tab/>
      </w:r>
      <w:r w:rsidR="00A930A1" w:rsidRPr="000A7B67">
        <w:t>Test p</w:t>
      </w:r>
      <w:r w:rsidR="00DD6EB9" w:rsidRPr="000A7B67">
        <w:t>rotocol</w:t>
      </w:r>
    </w:p>
    <w:p w14:paraId="2432F889" w14:textId="77777777" w:rsidR="00DD6EB9" w:rsidRPr="000A7B67" w:rsidRDefault="00A930A1" w:rsidP="00230732">
      <w:pPr>
        <w:pStyle w:val="ififthlevellist"/>
      </w:pPr>
      <w:r w:rsidRPr="000A7B67">
        <w:t>1</w:t>
      </w:r>
      <w:r w:rsidR="00DD6EB9" w:rsidRPr="000A7B67">
        <w:t>)</w:t>
      </w:r>
      <w:r w:rsidR="00DD6EB9" w:rsidRPr="000A7B67">
        <w:tab/>
      </w:r>
      <w:r w:rsidR="009F4B77" w:rsidRPr="000A7B67">
        <w:t xml:space="preserve">Make </w:t>
      </w:r>
      <w:r w:rsidR="00DD6EB9" w:rsidRPr="000A7B67">
        <w:t>touch impressions of suspect CNS tissues (</w:t>
      </w:r>
      <w:r w:rsidR="004F6DD2" w:rsidRPr="000A7B67">
        <w:t xml:space="preserve">including </w:t>
      </w:r>
      <w:r w:rsidR="00DD6EB9" w:rsidRPr="000A7B67">
        <w:t>brainstem) on labelled glass microscope slides (always include standard positive and negative controls).</w:t>
      </w:r>
    </w:p>
    <w:p w14:paraId="5275727D" w14:textId="77777777" w:rsidR="00DD6EB9" w:rsidRPr="000A7B67" w:rsidRDefault="00A930A1" w:rsidP="00230732">
      <w:pPr>
        <w:pStyle w:val="ififthlevellist"/>
      </w:pPr>
      <w:r w:rsidRPr="000A7B67">
        <w:t>2</w:t>
      </w:r>
      <w:r w:rsidR="00DD6EB9" w:rsidRPr="000A7B67">
        <w:t>)</w:t>
      </w:r>
      <w:r w:rsidR="00DD6EB9" w:rsidRPr="000A7B67">
        <w:tab/>
        <w:t>Air-dry slides for ~ 5 minutes at room temperature.</w:t>
      </w:r>
    </w:p>
    <w:p w14:paraId="7EB613A0" w14:textId="77777777" w:rsidR="00DD6EB9" w:rsidRPr="000A7B67" w:rsidRDefault="00A930A1" w:rsidP="00230732">
      <w:pPr>
        <w:pStyle w:val="ififthlevellist"/>
      </w:pPr>
      <w:r w:rsidRPr="000A7B67">
        <w:t>3</w:t>
      </w:r>
      <w:r w:rsidR="00DD6EB9" w:rsidRPr="000A7B67">
        <w:t>)</w:t>
      </w:r>
      <w:r w:rsidR="00DD6EB9" w:rsidRPr="000A7B67">
        <w:tab/>
        <w:t xml:space="preserve">Immerse slides in 10% buffered formalin at room temperature for 10 minutes in a </w:t>
      </w:r>
      <w:r w:rsidR="0037390A" w:rsidRPr="000A7B67">
        <w:t xml:space="preserve">Coplin </w:t>
      </w:r>
      <w:r w:rsidR="00DD6EB9" w:rsidRPr="000A7B67">
        <w:t>jar or other suitable container.</w:t>
      </w:r>
    </w:p>
    <w:p w14:paraId="2A1BE8BF" w14:textId="77777777" w:rsidR="00DD6EB9" w:rsidRPr="000A7B67" w:rsidRDefault="00A930A1" w:rsidP="00230732">
      <w:pPr>
        <w:pStyle w:val="ififthlevellist"/>
      </w:pPr>
      <w:r w:rsidRPr="000A7B67">
        <w:t>4</w:t>
      </w:r>
      <w:r w:rsidR="00DD6EB9" w:rsidRPr="000A7B67">
        <w:t>)</w:t>
      </w:r>
      <w:r w:rsidR="00DD6EB9" w:rsidRPr="000A7B67">
        <w:tab/>
        <w:t xml:space="preserve">Dip-rinse slides several times to wash off any excess fixative in wash buffer </w:t>
      </w:r>
      <w:r w:rsidR="00E422CD" w:rsidRPr="000A7B67">
        <w:t>(</w:t>
      </w:r>
      <w:r w:rsidR="00DD6EB9" w:rsidRPr="000A7B67">
        <w:t xml:space="preserve">PBS plus 1% Tween 80 </w:t>
      </w:r>
      <w:r w:rsidR="00BE185F" w:rsidRPr="000A7B67">
        <w:t xml:space="preserve">– </w:t>
      </w:r>
      <w:r w:rsidR="00DD6EB9" w:rsidRPr="000A7B67">
        <w:t>TPBS).</w:t>
      </w:r>
    </w:p>
    <w:p w14:paraId="0BBCB88A" w14:textId="77777777" w:rsidR="00DD6EB9" w:rsidRPr="000A7B67" w:rsidRDefault="00A930A1" w:rsidP="00230732">
      <w:pPr>
        <w:pStyle w:val="ififthlevellist"/>
      </w:pPr>
      <w:r w:rsidRPr="000A7B67">
        <w:t>5</w:t>
      </w:r>
      <w:r w:rsidR="00DD6EB9" w:rsidRPr="000A7B67">
        <w:t>)</w:t>
      </w:r>
      <w:r w:rsidR="00DD6EB9" w:rsidRPr="000A7B67">
        <w:tab/>
        <w:t>Immerse slides in 3% hydrogen peroxide for 10 minutes.</w:t>
      </w:r>
    </w:p>
    <w:p w14:paraId="62002EBE" w14:textId="77777777" w:rsidR="00DD6EB9" w:rsidRPr="000A7B67" w:rsidRDefault="00A930A1" w:rsidP="00230732">
      <w:pPr>
        <w:pStyle w:val="ififthlevellist"/>
      </w:pPr>
      <w:r w:rsidRPr="000A7B67">
        <w:t>6</w:t>
      </w:r>
      <w:r w:rsidR="00DD6EB9" w:rsidRPr="000A7B67">
        <w:t>)</w:t>
      </w:r>
      <w:r w:rsidR="00DD6EB9" w:rsidRPr="000A7B67">
        <w:tab/>
        <w:t>Remove excess hydrogen peroxide by dip-rinsing slides in TPBS. Transfer slides to another TPBS rinse. Work with one slide at a time (leave the remaining slides immersed within the TPBS), remove slide, shake off excess buffer, and blot excess buffer from slide edges surrounding the tissue impression.</w:t>
      </w:r>
    </w:p>
    <w:p w14:paraId="3C0E1A19" w14:textId="360EE8F5" w:rsidR="00DD6EB9" w:rsidRPr="000A7B67" w:rsidRDefault="00A930A1" w:rsidP="00230732">
      <w:pPr>
        <w:pStyle w:val="ififthlevellist"/>
      </w:pPr>
      <w:r w:rsidRPr="000A7B67">
        <w:t>7</w:t>
      </w:r>
      <w:r w:rsidR="00DD6EB9" w:rsidRPr="000A7B67">
        <w:t>)</w:t>
      </w:r>
      <w:r w:rsidR="00DD6EB9" w:rsidRPr="000A7B67">
        <w:tab/>
      </w:r>
      <w:r w:rsidR="00483339" w:rsidRPr="000A7B67">
        <w:t>Add enough primary antibody conjugate (e.g. biotinylated anti-nucleoprotein poly- or monoclonal antibodies) to cove</w:t>
      </w:r>
      <w:r w:rsidR="006F1BA6" w:rsidRPr="000A7B67">
        <w:t xml:space="preserve">r the impression. </w:t>
      </w:r>
      <w:r w:rsidR="00483339" w:rsidRPr="000A7B67">
        <w:t>Incubate for 10</w:t>
      </w:r>
      <w:r w:rsidR="00C649C9">
        <w:t> </w:t>
      </w:r>
      <w:r w:rsidR="00483339" w:rsidRPr="000A7B67">
        <w:t>m</w:t>
      </w:r>
      <w:r w:rsidR="00BA50FE" w:rsidRPr="000A7B67">
        <w:t>inutes in a “humidity chamber”.</w:t>
      </w:r>
      <w:r w:rsidR="00483339" w:rsidRPr="000A7B67">
        <w:t xml:space="preserve"> This may be accomplished by placing slides on a moistened paper towel and covering with the plastic top of a cell culture plate or another simple cover.</w:t>
      </w:r>
    </w:p>
    <w:p w14:paraId="040BFA37" w14:textId="77777777" w:rsidR="00DD6EB9" w:rsidRPr="00DE460C" w:rsidRDefault="00A930A1" w:rsidP="00230732">
      <w:pPr>
        <w:pStyle w:val="ififthlevellist"/>
      </w:pPr>
      <w:r w:rsidRPr="000A7B67">
        <w:t>8</w:t>
      </w:r>
      <w:r w:rsidR="00DD6EB9" w:rsidRPr="000A7B67">
        <w:t>)</w:t>
      </w:r>
      <w:r w:rsidR="00DD6EB9" w:rsidRPr="000A7B67">
        <w:tab/>
        <w:t>After incubation shake off excess conjugate. Dip-rinse slides with TPBS</w:t>
      </w:r>
      <w:r w:rsidR="00E422CD" w:rsidRPr="000A7B67">
        <w:t>.</w:t>
      </w:r>
      <w:r w:rsidR="00DD6EB9" w:rsidRPr="000A7B67">
        <w:t xml:space="preserve"> </w:t>
      </w:r>
      <w:r w:rsidR="00E422CD" w:rsidRPr="000A7B67">
        <w:t>S</w:t>
      </w:r>
      <w:r w:rsidR="00DD6EB9" w:rsidRPr="000A7B67">
        <w:t xml:space="preserve">hake off excess TPBS and blot buffer from slide edges surrounding the </w:t>
      </w:r>
      <w:r w:rsidR="00DD6EB9" w:rsidRPr="00DE460C">
        <w:t xml:space="preserve">impression. </w:t>
      </w:r>
    </w:p>
    <w:p w14:paraId="5A8ACE3F" w14:textId="77777777" w:rsidR="00DD6EB9" w:rsidRPr="000A7B67" w:rsidRDefault="00A930A1" w:rsidP="00230732">
      <w:pPr>
        <w:pStyle w:val="ififthlevellist"/>
      </w:pPr>
      <w:r w:rsidRPr="000A7B67">
        <w:t>9</w:t>
      </w:r>
      <w:r w:rsidR="00DD6EB9" w:rsidRPr="000A7B67">
        <w:t>)</w:t>
      </w:r>
      <w:r w:rsidR="00DD6EB9" w:rsidRPr="000A7B67">
        <w:tab/>
      </w:r>
      <w:r w:rsidR="00E422CD" w:rsidRPr="000A7B67">
        <w:t xml:space="preserve">Treat each </w:t>
      </w:r>
      <w:r w:rsidR="00DD6EB9" w:rsidRPr="000A7B67">
        <w:t>slide with streptavidin–peroxidase complex</w:t>
      </w:r>
      <w:r w:rsidR="00E422CD" w:rsidRPr="000A7B67">
        <w:t>,</w:t>
      </w:r>
      <w:r w:rsidR="00DD6EB9" w:rsidRPr="000A7B67">
        <w:t xml:space="preserve"> add</w:t>
      </w:r>
      <w:r w:rsidR="00E422CD" w:rsidRPr="000A7B67">
        <w:t>ing</w:t>
      </w:r>
      <w:r w:rsidR="00DD6EB9" w:rsidRPr="000A7B67">
        <w:t xml:space="preserve"> enough of this reagent to the slide to cover the impression</w:t>
      </w:r>
      <w:r w:rsidR="00E422CD" w:rsidRPr="000A7B67">
        <w:t>.</w:t>
      </w:r>
      <w:r w:rsidR="00DD6EB9" w:rsidRPr="000A7B67">
        <w:t xml:space="preserve"> </w:t>
      </w:r>
      <w:r w:rsidR="00E422CD" w:rsidRPr="000A7B67">
        <w:t xml:space="preserve">Incubate </w:t>
      </w:r>
      <w:r w:rsidR="00DD6EB9" w:rsidRPr="000A7B67">
        <w:t>in the humidity cha</w:t>
      </w:r>
      <w:r w:rsidR="00B8055C" w:rsidRPr="000A7B67">
        <w:t>mber at room temperature for 10 </w:t>
      </w:r>
      <w:r w:rsidR="00DD6EB9" w:rsidRPr="000A7B67">
        <w:t>minutes. After incubation, shake off excess.</w:t>
      </w:r>
    </w:p>
    <w:p w14:paraId="1A171E8E" w14:textId="77777777" w:rsidR="00DD6EB9" w:rsidRPr="000A7B67" w:rsidRDefault="00A930A1" w:rsidP="00230732">
      <w:pPr>
        <w:pStyle w:val="ififthlevellist"/>
      </w:pPr>
      <w:r w:rsidRPr="000A7B67">
        <w:t>10</w:t>
      </w:r>
      <w:r w:rsidR="00DD6EB9" w:rsidRPr="000A7B67">
        <w:t>)</w:t>
      </w:r>
      <w:r w:rsidR="00DD6EB9" w:rsidRPr="000A7B67">
        <w:tab/>
        <w:t>Dip-rinse slides with TPBS</w:t>
      </w:r>
      <w:r w:rsidR="00E422CD" w:rsidRPr="000A7B67">
        <w:t>.</w:t>
      </w:r>
      <w:r w:rsidR="00DD6EB9" w:rsidRPr="000A7B67">
        <w:t xml:space="preserve"> </w:t>
      </w:r>
      <w:r w:rsidR="00E422CD" w:rsidRPr="000A7B67">
        <w:t>S</w:t>
      </w:r>
      <w:r w:rsidR="00DD6EB9" w:rsidRPr="000A7B67">
        <w:t>hake off excess buffer and blot excess buffer from slide edges surrounding the impression).</w:t>
      </w:r>
    </w:p>
    <w:p w14:paraId="03FBF4FF" w14:textId="633C5610" w:rsidR="00DD6EB9" w:rsidRPr="000A7B67" w:rsidRDefault="00A930A1" w:rsidP="00230732">
      <w:pPr>
        <w:pStyle w:val="ififthlevellist"/>
      </w:pPr>
      <w:r w:rsidRPr="000A7B67">
        <w:t>11</w:t>
      </w:r>
      <w:r w:rsidR="00DD6EB9" w:rsidRPr="000A7B67">
        <w:t>)</w:t>
      </w:r>
      <w:r w:rsidR="00DD6EB9" w:rsidRPr="000A7B67">
        <w:tab/>
        <w:t xml:space="preserve">Incubate slides with </w:t>
      </w:r>
      <w:r w:rsidR="005945DE" w:rsidRPr="000A7B67">
        <w:t>amino-</w:t>
      </w:r>
      <w:proofErr w:type="spellStart"/>
      <w:r w:rsidR="005945DE" w:rsidRPr="000A7B67">
        <w:t>ethylcarbizole</w:t>
      </w:r>
      <w:proofErr w:type="spellEnd"/>
      <w:r w:rsidR="005945DE" w:rsidRPr="000A7B67">
        <w:t xml:space="preserve"> (AEC) substrate (note, other suitable chromogens may be used)</w:t>
      </w:r>
      <w:r w:rsidR="00DD6EB9" w:rsidRPr="000A7B67">
        <w:t>. To prepare the AEC stock solution: dissolve one 20</w:t>
      </w:r>
      <w:r w:rsidR="00C649C9">
        <w:t> </w:t>
      </w:r>
      <w:r w:rsidR="00DD6EB9" w:rsidRPr="000A7B67">
        <w:t xml:space="preserve">mg tablet of 3-amino 9-ethyl </w:t>
      </w:r>
      <w:proofErr w:type="spellStart"/>
      <w:r w:rsidR="00DD6EB9" w:rsidRPr="000A7B67">
        <w:t>carbizole</w:t>
      </w:r>
      <w:proofErr w:type="spellEnd"/>
      <w:r w:rsidR="00DD6EB9" w:rsidRPr="000A7B67">
        <w:t xml:space="preserve"> in 5 ml of N,N, dimethyl formamide in a glass vial or jar. The AEC stock solution should be stored at 4°C for ~ 1–2</w:t>
      </w:r>
      <w:r w:rsidR="00C649C9">
        <w:t> </w:t>
      </w:r>
      <w:r w:rsidR="00DD6EB9" w:rsidRPr="000A7B67">
        <w:t>months. To prepare the AEC working dilution: add 7 ml of acetate buffer to a 15</w:t>
      </w:r>
      <w:r w:rsidR="00C649C9">
        <w:t> </w:t>
      </w:r>
      <w:r w:rsidR="00DD6EB9" w:rsidRPr="000A7B67">
        <w:t xml:space="preserve">ml centrifuge tube using a 10 ml plastic pipette. Add 0.5 ml of AEC stock solution (above) using a 1 ml glass or Pyrex pipette. Add 75 µl of 3% hydrogen peroxide. Filter </w:t>
      </w:r>
      <w:r w:rsidR="00E422CD" w:rsidRPr="000A7B67">
        <w:t xml:space="preserve">through a </w:t>
      </w:r>
      <w:r w:rsidR="00DD6EB9" w:rsidRPr="000A7B67">
        <w:t>nylon filter (0.45 µm) into a separate 15 ml tube. Once prepared, this mixture is only stable for 2–3 hours, so should be made just prior to use. Add enough of this reagent to the slide to cover the impression, and incubate in the humidity chamber at room temperature for 10 minutes. After incubation, shake off excess substrate.</w:t>
      </w:r>
    </w:p>
    <w:p w14:paraId="73F29215" w14:textId="77777777" w:rsidR="00DD6EB9" w:rsidRPr="000A7B67" w:rsidRDefault="00A930A1" w:rsidP="00230732">
      <w:pPr>
        <w:pStyle w:val="ififthlevellist"/>
      </w:pPr>
      <w:r w:rsidRPr="000A7B67">
        <w:t>12</w:t>
      </w:r>
      <w:r w:rsidR="00DD6EB9" w:rsidRPr="000A7B67">
        <w:t>)</w:t>
      </w:r>
      <w:r w:rsidR="00DD6EB9" w:rsidRPr="000A7B67">
        <w:tab/>
        <w:t>Dip-rinse slides in distilled water.</w:t>
      </w:r>
    </w:p>
    <w:p w14:paraId="3BDB195A" w14:textId="77777777" w:rsidR="00DD6EB9" w:rsidRPr="000A7B67" w:rsidRDefault="00A930A1" w:rsidP="00230732">
      <w:pPr>
        <w:pStyle w:val="ififthlevellist"/>
      </w:pPr>
      <w:r w:rsidRPr="000A7B67">
        <w:t>13</w:t>
      </w:r>
      <w:r w:rsidR="00DD6EB9" w:rsidRPr="000A7B67">
        <w:t>)</w:t>
      </w:r>
      <w:r w:rsidR="00DD6EB9" w:rsidRPr="000A7B67">
        <w:tab/>
        <w:t>Counterstain with diluted haematoxylin for 2 minutes.</w:t>
      </w:r>
    </w:p>
    <w:p w14:paraId="5F6876EC" w14:textId="77777777" w:rsidR="00DD6EB9" w:rsidRPr="000A7B67" w:rsidRDefault="00A930A1" w:rsidP="00230732">
      <w:pPr>
        <w:pStyle w:val="ififthlevellist"/>
      </w:pPr>
      <w:r w:rsidRPr="000A7B67">
        <w:t>14</w:t>
      </w:r>
      <w:r w:rsidR="00DD6EB9" w:rsidRPr="000A7B67">
        <w:t>)</w:t>
      </w:r>
      <w:r w:rsidR="00DD6EB9" w:rsidRPr="000A7B67">
        <w:tab/>
        <w:t>Immediately dip-rinse stain from slides with deionised/distilled water. Make a second dip-rinse of slides with fresh deionised/distilled water to ensure removal of excess stain.</w:t>
      </w:r>
    </w:p>
    <w:p w14:paraId="45A724C9" w14:textId="77777777" w:rsidR="00DD6EB9" w:rsidRPr="000A7B67" w:rsidRDefault="00A930A1" w:rsidP="00230732">
      <w:pPr>
        <w:pStyle w:val="ififthlevellist"/>
      </w:pPr>
      <w:r w:rsidRPr="000A7B67">
        <w:t>15</w:t>
      </w:r>
      <w:r w:rsidR="00DD6EB9" w:rsidRPr="000A7B67">
        <w:t>)</w:t>
      </w:r>
      <w:r w:rsidR="00DD6EB9" w:rsidRPr="000A7B67">
        <w:tab/>
        <w:t>Transfer slides to fresh distilled water. Working with one slide at a time, shake off excess deionised/distilled water, blot excess from slide edges surrounding the impression, apply water-soluble mounting medium and cover-slip. Do not allow slides to air-dry prior to cover-slipping. If multiple slides are stained, they may stay in the deionised/distilled water rinse before cover-slipping.</w:t>
      </w:r>
    </w:p>
    <w:p w14:paraId="383AFFD2" w14:textId="77777777" w:rsidR="00DD6EB9" w:rsidRPr="000A7B67" w:rsidRDefault="00A930A1" w:rsidP="00A930A1">
      <w:pPr>
        <w:pStyle w:val="ififthlevellist"/>
        <w:spacing w:after="240"/>
      </w:pPr>
      <w:r w:rsidRPr="000A7B67">
        <w:t>16</w:t>
      </w:r>
      <w:r w:rsidR="00DD6EB9" w:rsidRPr="000A7B67">
        <w:t>)</w:t>
      </w:r>
      <w:r w:rsidR="00DD6EB9" w:rsidRPr="000A7B67">
        <w:tab/>
        <w:t>View slides by light microscopy, using a 20× objective to scan the field thoroughly, and a 40× objective for higher power inspection. Lyssavirus antigens appear as reddish, intra-cytoplasmic inclusions against a blue neuronal background, using AEC and haematoxylin counterstain.</w:t>
      </w:r>
    </w:p>
    <w:p w14:paraId="4A74FC19" w14:textId="77777777" w:rsidR="00DD6EB9" w:rsidRPr="00E06B0A" w:rsidRDefault="00DD6EB9" w:rsidP="00230732">
      <w:pPr>
        <w:pStyle w:val="i"/>
        <w:rPr>
          <w:strike/>
        </w:rPr>
      </w:pPr>
      <w:r w:rsidRPr="00E06B0A">
        <w:rPr>
          <w:strike/>
        </w:rPr>
        <w:t>iii)</w:t>
      </w:r>
      <w:r w:rsidRPr="00E06B0A">
        <w:rPr>
          <w:strike/>
        </w:rPr>
        <w:tab/>
        <w:t>Enzyme-li</w:t>
      </w:r>
      <w:r w:rsidR="005C30FF" w:rsidRPr="00E06B0A">
        <w:rPr>
          <w:strike/>
        </w:rPr>
        <w:t>nked immunosorbent assay</w:t>
      </w:r>
    </w:p>
    <w:p w14:paraId="04F818A3" w14:textId="77777777" w:rsidR="00DD6EB9" w:rsidRPr="00E06B0A" w:rsidRDefault="00DD6EB9" w:rsidP="00AB46DD">
      <w:pPr>
        <w:pStyle w:val="afourthpara"/>
        <w:rPr>
          <w:strike/>
        </w:rPr>
      </w:pPr>
      <w:r w:rsidRPr="00E06B0A">
        <w:rPr>
          <w:strike/>
        </w:rPr>
        <w:t xml:space="preserve">An </w:t>
      </w:r>
      <w:r w:rsidR="005C30FF" w:rsidRPr="00E06B0A">
        <w:rPr>
          <w:strike/>
        </w:rPr>
        <w:t>enzyme-linked immunosorbent assay (ELISA)</w:t>
      </w:r>
      <w:r w:rsidRPr="00E06B0A">
        <w:rPr>
          <w:strike/>
        </w:rPr>
        <w:t xml:space="preserve"> that detects rabies antigen is a variation of the immunochemical test. It is useful for large epidemiological surveys (Xu </w:t>
      </w:r>
      <w:r w:rsidR="00944968" w:rsidRPr="00E06B0A">
        <w:rPr>
          <w:i/>
          <w:strike/>
        </w:rPr>
        <w:t>et al</w:t>
      </w:r>
      <w:r w:rsidRPr="00E06B0A">
        <w:rPr>
          <w:strike/>
        </w:rPr>
        <w:t>., 2007). The specificity and sensitivity of such tests for locally predominant virus variants should be assessed before use. In case of human contact these tests should be used in combination with other diagnostic tests.</w:t>
      </w:r>
    </w:p>
    <w:p w14:paraId="3CD5D89E" w14:textId="77777777" w:rsidR="00DD6EB9" w:rsidRPr="000A7B67" w:rsidRDefault="00DD6EB9" w:rsidP="00230732">
      <w:pPr>
        <w:pStyle w:val="111"/>
      </w:pPr>
      <w:r w:rsidRPr="000A7B67">
        <w:t>1.3.2.</w:t>
      </w:r>
      <w:r w:rsidRPr="000A7B67">
        <w:tab/>
        <w:t>Virus isolation</w:t>
      </w:r>
    </w:p>
    <w:p w14:paraId="72E3F019" w14:textId="20ABDD26" w:rsidR="00DD6EB9" w:rsidRPr="000A7B67" w:rsidRDefault="00DD6EB9" w:rsidP="00230732">
      <w:pPr>
        <w:pStyle w:val="111Para"/>
      </w:pPr>
      <w:r w:rsidRPr="000A7B67">
        <w:t xml:space="preserve">These tests detect viable (replicating) </w:t>
      </w:r>
      <w:r w:rsidR="00D63226"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from specimens using cell cultures or laboratory animals. They should be used as confirmatory tests if the DFA test</w:t>
      </w:r>
      <w:r w:rsidR="00271728" w:rsidRPr="000A7B67">
        <w:t xml:space="preserve">, </w:t>
      </w:r>
      <w:proofErr w:type="spellStart"/>
      <w:r w:rsidRPr="000A7B67">
        <w:t>dRIT</w:t>
      </w:r>
      <w:proofErr w:type="spellEnd"/>
      <w:r w:rsidR="00271728" w:rsidRPr="000A7B67">
        <w:t>, o</w:t>
      </w:r>
      <w:r w:rsidR="00551E90" w:rsidRPr="000A7B67">
        <w:t>ther antigen detection tests o</w:t>
      </w:r>
      <w:r w:rsidR="00271728" w:rsidRPr="000A7B67">
        <w:t xml:space="preserve">r </w:t>
      </w:r>
      <w:r w:rsidR="00D63226" w:rsidRPr="00D63226">
        <w:rPr>
          <w:highlight w:val="yellow"/>
          <w:u w:val="double"/>
        </w:rPr>
        <w:t>RT-</w:t>
      </w:r>
      <w:r w:rsidR="00D63226">
        <w:t>PCR</w:t>
      </w:r>
      <w:r w:rsidR="00D63226" w:rsidRPr="000A7B67">
        <w:t xml:space="preserve"> </w:t>
      </w:r>
      <w:r w:rsidRPr="000A7B67">
        <w:t>give inconclusive results. Wherever possible, virus isolation in cell culture should replace the mouse inoculation test (MIT). Cell culture tests are as sensitive as MIT (</w:t>
      </w:r>
      <w:proofErr w:type="spellStart"/>
      <w:r w:rsidR="00A11CAC" w:rsidRPr="000A7B67">
        <w:rPr>
          <w:lang w:val="en-IE" w:eastAsia="en-GB"/>
        </w:rPr>
        <w:t>Robardet</w:t>
      </w:r>
      <w:proofErr w:type="spellEnd"/>
      <w:r w:rsidR="00A11CAC" w:rsidRPr="000A7B67">
        <w:rPr>
          <w:lang w:val="en-IE" w:eastAsia="en-GB"/>
        </w:rPr>
        <w:t xml:space="preserve"> </w:t>
      </w:r>
      <w:r w:rsidR="00A11CAC" w:rsidRPr="000A7B67">
        <w:rPr>
          <w:i/>
          <w:lang w:val="en-IE" w:eastAsia="en-GB"/>
        </w:rPr>
        <w:t>et al.,</w:t>
      </w:r>
      <w:r w:rsidR="00A11CAC" w:rsidRPr="000A7B67">
        <w:rPr>
          <w:lang w:val="en-IE" w:eastAsia="en-GB"/>
        </w:rPr>
        <w:t xml:space="preserve"> 2011;</w:t>
      </w:r>
      <w:r w:rsidR="00A11CAC" w:rsidRPr="000A7B67">
        <w:rPr>
          <w:rFonts w:ascii="SegoeUI" w:hAnsi="SegoeUI" w:cs="SegoeUI"/>
          <w:sz w:val="17"/>
          <w:szCs w:val="17"/>
          <w:lang w:val="en-IE" w:eastAsia="en-GB"/>
        </w:rPr>
        <w:t xml:space="preserve"> </w:t>
      </w:r>
      <w:r w:rsidRPr="000A7B67">
        <w:t>Rudd &amp; Trimarchi, 1989), but are less expensive, give more rapid results and avoid the use of animals.</w:t>
      </w:r>
      <w:r w:rsidR="00790CE9" w:rsidRPr="000A7B67">
        <w:t xml:space="preserve"> For virus isolation from samples</w:t>
      </w:r>
      <w:r w:rsidR="003614F8" w:rsidRPr="000A7B67">
        <w:t xml:space="preserve"> during routine rabies diagnostics</w:t>
      </w:r>
      <w:r w:rsidR="00790CE9" w:rsidRPr="000A7B67">
        <w:t xml:space="preserve">, the use of cell culture techniques for isolating </w:t>
      </w:r>
      <w:r w:rsidR="00D63226"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790CE9" w:rsidRPr="000A7B67">
        <w:t xml:space="preserve"> should always take precedence over the use of the MIT. </w:t>
      </w:r>
    </w:p>
    <w:p w14:paraId="2D7EF2F5" w14:textId="57071410" w:rsidR="00DD6EB9" w:rsidRPr="000A7B67" w:rsidRDefault="00DD6EB9" w:rsidP="0084672E">
      <w:pPr>
        <w:pStyle w:val="i"/>
      </w:pPr>
      <w:r w:rsidRPr="000A7B67">
        <w:t>i)</w:t>
      </w:r>
      <w:r w:rsidRPr="000A7B67">
        <w:tab/>
      </w:r>
      <w:r w:rsidRPr="00E06B0A">
        <w:rPr>
          <w:strike/>
        </w:rPr>
        <w:t>Cell culture test</w:t>
      </w:r>
      <w:r w:rsidR="00E06B0A" w:rsidRPr="00E06B0A">
        <w:rPr>
          <w:strike/>
        </w:rPr>
        <w:t xml:space="preserve"> </w:t>
      </w:r>
      <w:r w:rsidR="00E06B0A" w:rsidRPr="00E06B0A">
        <w:rPr>
          <w:u w:val="double"/>
        </w:rPr>
        <w:t xml:space="preserve">Rabies tissue culture </w:t>
      </w:r>
      <w:r w:rsidR="00FE4831" w:rsidRPr="00426923">
        <w:rPr>
          <w:highlight w:val="yellow"/>
          <w:u w:val="double"/>
        </w:rPr>
        <w:t>infection</w:t>
      </w:r>
      <w:r w:rsidR="00FE4831">
        <w:rPr>
          <w:u w:val="double"/>
        </w:rPr>
        <w:t xml:space="preserve"> </w:t>
      </w:r>
      <w:r w:rsidR="00E06B0A" w:rsidRPr="00E06B0A">
        <w:rPr>
          <w:u w:val="double"/>
        </w:rPr>
        <w:t>test (RTCIT)</w:t>
      </w:r>
    </w:p>
    <w:p w14:paraId="7A3B6EDA" w14:textId="77777777" w:rsidR="00DD6EB9" w:rsidRPr="000A7B67" w:rsidRDefault="00DD6EB9" w:rsidP="0084672E">
      <w:pPr>
        <w:pStyle w:val="afourthpara"/>
      </w:pPr>
      <w:r w:rsidRPr="000A7B67">
        <w:t xml:space="preserve">Neuroblastoma cells e.g. N2a, CCL-131 in the American </w:t>
      </w:r>
      <w:r w:rsidR="00B8055C" w:rsidRPr="000A7B67">
        <w:t xml:space="preserve">Type Culture Collection (ATCC) </w:t>
      </w:r>
      <w:r w:rsidRPr="000A7B67">
        <w:t xml:space="preserve">are highly susceptible to infection with lyssaviruses. The cells are grown in Dulbecco’s modified Eagle’s medium (DMEM) with 5% </w:t>
      </w:r>
      <w:proofErr w:type="spellStart"/>
      <w:r w:rsidRPr="000A7B67">
        <w:t>fetal</w:t>
      </w:r>
      <w:proofErr w:type="spellEnd"/>
      <w:r w:rsidRPr="000A7B67">
        <w:t xml:space="preserve"> calf serum (FCS), incubated at 37°C with </w:t>
      </w:r>
      <w:r w:rsidR="00492330" w:rsidRPr="000A7B67">
        <w:t xml:space="preserve">0.5% or </w:t>
      </w:r>
      <w:r w:rsidRPr="000A7B67">
        <w:t>5% CO</w:t>
      </w:r>
      <w:r w:rsidR="00B8055C" w:rsidRPr="00D9477C">
        <w:rPr>
          <w:szCs w:val="14"/>
          <w:vertAlign w:val="subscript"/>
        </w:rPr>
        <w:t>2</w:t>
      </w:r>
      <w:r w:rsidR="00492330" w:rsidRPr="00D9477C">
        <w:rPr>
          <w:szCs w:val="14"/>
          <w:vertAlign w:val="subscript"/>
        </w:rPr>
        <w:t xml:space="preserve"> </w:t>
      </w:r>
      <w:r w:rsidR="00492330" w:rsidRPr="000A7B67">
        <w:t>depending on the culture vessel.</w:t>
      </w:r>
      <w:r w:rsidRPr="000A7B67">
        <w:t xml:space="preserve"> Cell culture tests may be undertaken in multi-well plastic plates, multi-chambered glass slides</w:t>
      </w:r>
      <w:r w:rsidR="00340E07" w:rsidRPr="000A7B67">
        <w:t>,</w:t>
      </w:r>
      <w:r w:rsidRPr="000A7B67">
        <w:t xml:space="preserve"> </w:t>
      </w:r>
      <w:r w:rsidR="00010B86" w:rsidRPr="000A7B67">
        <w:t xml:space="preserve">or </w:t>
      </w:r>
      <w:r w:rsidRPr="000A7B67">
        <w:t>on glass cover-slips. Additional passages could be considered</w:t>
      </w:r>
      <w:r w:rsidR="00010B86" w:rsidRPr="000A7B67">
        <w:t>, including use of T25 flasks,</w:t>
      </w:r>
      <w:r w:rsidRPr="000A7B67">
        <w:t xml:space="preserve"> to increase sensitivity; usually three consecutive passages should be conducted to confirm a negative result. Cytotoxicity is a commonly reported factor limiting test robustness. Techniques proposed to reduce cytotoxicity include adding antibiotics, reducing the incubation time before changing media (to as short as 35 minutes) and dilution of samples. Cell culture tests and their variations should be fully validated before use.</w:t>
      </w:r>
    </w:p>
    <w:p w14:paraId="551896D5" w14:textId="77777777" w:rsidR="00DD6EB9" w:rsidRPr="000A7B67" w:rsidRDefault="00DD6EB9" w:rsidP="0084672E">
      <w:pPr>
        <w:pStyle w:val="afourthlevel"/>
      </w:pPr>
      <w:r w:rsidRPr="000A7B67">
        <w:t>a)</w:t>
      </w:r>
      <w:r w:rsidRPr="000A7B67">
        <w:tab/>
        <w:t>Protocol for a 96-well plate</w:t>
      </w:r>
    </w:p>
    <w:p w14:paraId="2B5F4A1D" w14:textId="77777777" w:rsidR="00DD6EB9" w:rsidRPr="000A7B67" w:rsidRDefault="00A930A1" w:rsidP="0084672E">
      <w:pPr>
        <w:pStyle w:val="ififthlevellist"/>
      </w:pPr>
      <w:r w:rsidRPr="000A7B67">
        <w:t>1</w:t>
      </w:r>
      <w:r w:rsidR="00DD6EB9" w:rsidRPr="000A7B67">
        <w:t>)</w:t>
      </w:r>
      <w:r w:rsidR="00DD6EB9" w:rsidRPr="000A7B67">
        <w:tab/>
        <w:t xml:space="preserve">100 µl of clarified brain homogenate (20% </w:t>
      </w:r>
      <w:r w:rsidR="00010B86" w:rsidRPr="000A7B67">
        <w:t xml:space="preserve">w/v </w:t>
      </w:r>
      <w:r w:rsidR="00DD6EB9" w:rsidRPr="000A7B67">
        <w:t xml:space="preserve">in </w:t>
      </w:r>
      <w:r w:rsidR="008768C8" w:rsidRPr="000A7B67">
        <w:t>PBS</w:t>
      </w:r>
      <w:r w:rsidR="00DD6EB9" w:rsidRPr="000A7B67">
        <w:t>, 0.1 M, pH</w:t>
      </w:r>
      <w:r w:rsidR="00B8055C" w:rsidRPr="000A7B67">
        <w:t> </w:t>
      </w:r>
      <w:r w:rsidR="00DD6EB9" w:rsidRPr="000A7B67">
        <w:t>7.4) is added to 200</w:t>
      </w:r>
      <w:r w:rsidR="001F657E">
        <w:t> </w:t>
      </w:r>
      <w:r w:rsidR="00DD6EB9" w:rsidRPr="000A7B67">
        <w:t>µl of a 2 × 10</w:t>
      </w:r>
      <w:r w:rsidR="00B8055C" w:rsidRPr="00D9477C">
        <w:rPr>
          <w:szCs w:val="14"/>
          <w:vertAlign w:val="superscript"/>
        </w:rPr>
        <w:t>5</w:t>
      </w:r>
      <w:r w:rsidR="00DD6EB9" w:rsidRPr="000A7B67">
        <w:t xml:space="preserve"> cells/ml suspension of 2- to 3-day old cells, freshly prepared from a sub-confluent flask in four wells of a 96-well plate. </w:t>
      </w:r>
    </w:p>
    <w:p w14:paraId="01AB011F" w14:textId="77777777" w:rsidR="00DD6EB9" w:rsidRPr="000A7B67" w:rsidRDefault="00A930A1" w:rsidP="0084672E">
      <w:pPr>
        <w:pStyle w:val="ififthlevellist"/>
      </w:pPr>
      <w:r w:rsidRPr="000A7B67">
        <w:t>2</w:t>
      </w:r>
      <w:r w:rsidR="00DD6EB9" w:rsidRPr="000A7B67">
        <w:t>)</w:t>
      </w:r>
      <w:r w:rsidR="00DD6EB9" w:rsidRPr="000A7B67">
        <w:tab/>
        <w:t>After 24 hours incubation at 5% CO</w:t>
      </w:r>
      <w:r w:rsidR="00B8055C" w:rsidRPr="00D9477C">
        <w:rPr>
          <w:szCs w:val="14"/>
          <w:vertAlign w:val="subscript"/>
        </w:rPr>
        <w:t>2</w:t>
      </w:r>
      <w:r w:rsidR="00DD6EB9" w:rsidRPr="000A7B67">
        <w:t xml:space="preserve"> and 37°C, the supernatant from each well is removed and 200 µl of fresh medium is added to each well. </w:t>
      </w:r>
    </w:p>
    <w:p w14:paraId="1856B9C9" w14:textId="77777777" w:rsidR="00DD6EB9" w:rsidRPr="000A7B67" w:rsidRDefault="00A930A1" w:rsidP="0084672E">
      <w:pPr>
        <w:pStyle w:val="ififthlevellist"/>
      </w:pPr>
      <w:r w:rsidRPr="000A7B67">
        <w:t>3</w:t>
      </w:r>
      <w:r w:rsidR="00DD6EB9" w:rsidRPr="000A7B67">
        <w:t>)</w:t>
      </w:r>
      <w:r w:rsidR="00DD6EB9" w:rsidRPr="000A7B67">
        <w:tab/>
        <w:t>After a further 72 hours incubation the supernatant is removed by pipette and kept</w:t>
      </w:r>
      <w:r w:rsidR="004A77AC" w:rsidRPr="000A7B67">
        <w:t xml:space="preserve"> for onward passage if required</w:t>
      </w:r>
      <w:r w:rsidR="00DD6EB9" w:rsidRPr="000A7B67">
        <w:t xml:space="preserve">. </w:t>
      </w:r>
    </w:p>
    <w:p w14:paraId="52221E5A" w14:textId="77777777" w:rsidR="00DD6EB9" w:rsidRPr="000A7B67" w:rsidRDefault="00A930A1" w:rsidP="0084672E">
      <w:pPr>
        <w:pStyle w:val="ififthlevellist"/>
      </w:pPr>
      <w:r w:rsidRPr="000A7B67">
        <w:t>4</w:t>
      </w:r>
      <w:r w:rsidR="00DD6EB9" w:rsidRPr="000A7B67">
        <w:t>)</w:t>
      </w:r>
      <w:r w:rsidR="00DD6EB9" w:rsidRPr="000A7B67">
        <w:tab/>
        <w:t xml:space="preserve">The cells are fixed with 80% acetone and stained </w:t>
      </w:r>
      <w:r w:rsidR="00DB37B9" w:rsidRPr="000A7B67">
        <w:t xml:space="preserve">at 37°C for 30 minutes </w:t>
      </w:r>
      <w:r w:rsidR="00DD6EB9" w:rsidRPr="000A7B67">
        <w:t xml:space="preserve">with fluorescent antibody according to manufacturers’ recommendations. </w:t>
      </w:r>
    </w:p>
    <w:p w14:paraId="01F3345F" w14:textId="77777777" w:rsidR="00DD6EB9" w:rsidRPr="000A7B67" w:rsidRDefault="00DD6EB9" w:rsidP="0084672E">
      <w:pPr>
        <w:pStyle w:val="afourthpara"/>
      </w:pPr>
      <w:r w:rsidRPr="000A7B67">
        <w:t>Variations include reduced incubation time before changing media to reduce cell toxicity, the use of cell permeability agents (e.g. DEAE-dextran), and further passages. Up to three passages may be considered to increase sensitivity.</w:t>
      </w:r>
    </w:p>
    <w:p w14:paraId="6A2CD389" w14:textId="77777777" w:rsidR="00DD6EB9" w:rsidRPr="000A7B67" w:rsidRDefault="00DD6EB9" w:rsidP="0084672E">
      <w:pPr>
        <w:pStyle w:val="afourthlevel"/>
      </w:pPr>
      <w:r w:rsidRPr="000A7B67">
        <w:t>b)</w:t>
      </w:r>
      <w:r w:rsidRPr="000A7B67">
        <w:tab/>
        <w:t>Protocol for use in 8-chamber slides</w:t>
      </w:r>
    </w:p>
    <w:p w14:paraId="54BC235C" w14:textId="74FC120A" w:rsidR="00DD6EB9" w:rsidRPr="000A7B67" w:rsidRDefault="00A930A1" w:rsidP="0084672E">
      <w:pPr>
        <w:pStyle w:val="ififthlevellist"/>
      </w:pPr>
      <w:r w:rsidRPr="000A7B67">
        <w:t>1</w:t>
      </w:r>
      <w:r w:rsidR="00A227A6" w:rsidRPr="000A7B67">
        <w:t>)</w:t>
      </w:r>
      <w:r w:rsidR="00DD6EB9" w:rsidRPr="000A7B67">
        <w:tab/>
        <w:t>50 µl of clarified brain homogenate (20% in a grinding substrate made of PBS, 0.1</w:t>
      </w:r>
      <w:r w:rsidR="009826F2">
        <w:t> </w:t>
      </w:r>
      <w:r w:rsidR="00DD6EB9" w:rsidRPr="000A7B67">
        <w:t xml:space="preserve">M, pH 7.4 with heat-inactivated </w:t>
      </w:r>
      <w:proofErr w:type="spellStart"/>
      <w:r w:rsidR="00340E07" w:rsidRPr="000A7B67">
        <w:t>fetal</w:t>
      </w:r>
      <w:proofErr w:type="spellEnd"/>
      <w:r w:rsidR="00DD6EB9" w:rsidRPr="000A7B67">
        <w:t xml:space="preserve"> calf serum) is added to 400 µl of a 10</w:t>
      </w:r>
      <w:r w:rsidR="00B8055C" w:rsidRPr="00D9477C">
        <w:rPr>
          <w:szCs w:val="14"/>
          <w:vertAlign w:val="superscript"/>
        </w:rPr>
        <w:t>5</w:t>
      </w:r>
      <w:r w:rsidR="00DE460C">
        <w:t> </w:t>
      </w:r>
      <w:r w:rsidR="00DD6EB9" w:rsidRPr="000A7B67">
        <w:t xml:space="preserve">cells/ml suspension, freshly prepared from a sub-confluent flask. </w:t>
      </w:r>
    </w:p>
    <w:p w14:paraId="50A5632D" w14:textId="77777777" w:rsidR="00DD6EB9" w:rsidRPr="000A7B67" w:rsidRDefault="00A930A1" w:rsidP="0084672E">
      <w:pPr>
        <w:pStyle w:val="ififthlevellist"/>
      </w:pPr>
      <w:r w:rsidRPr="000A7B67">
        <w:t>2</w:t>
      </w:r>
      <w:r w:rsidR="00DD6EB9" w:rsidRPr="000A7B67">
        <w:t>)</w:t>
      </w:r>
      <w:r w:rsidR="00DD6EB9" w:rsidRPr="000A7B67">
        <w:tab/>
        <w:t>After 24 hours incubation at 5% CO</w:t>
      </w:r>
      <w:r w:rsidR="00B8055C" w:rsidRPr="00D9477C">
        <w:rPr>
          <w:szCs w:val="14"/>
          <w:vertAlign w:val="subscript"/>
        </w:rPr>
        <w:t>2</w:t>
      </w:r>
      <w:r w:rsidR="00DD6EB9" w:rsidRPr="000A7B67">
        <w:t xml:space="preserve"> and 37°C, the supernatant from each chamber is removed and 400 µl of fresh medium is added to each chamber. </w:t>
      </w:r>
    </w:p>
    <w:p w14:paraId="73DA9E9E" w14:textId="77777777" w:rsidR="00DD6EB9" w:rsidRPr="000A7B67" w:rsidRDefault="00A930A1" w:rsidP="0084672E">
      <w:pPr>
        <w:pStyle w:val="ififthlevellist"/>
      </w:pPr>
      <w:r w:rsidRPr="000A7B67">
        <w:t>3</w:t>
      </w:r>
      <w:r w:rsidR="00DD6EB9" w:rsidRPr="000A7B67">
        <w:t>)</w:t>
      </w:r>
      <w:r w:rsidR="00DD6EB9" w:rsidRPr="000A7B67">
        <w:tab/>
        <w:t xml:space="preserve">After a further 24 hours </w:t>
      </w:r>
      <w:r w:rsidR="004A77AC" w:rsidRPr="000A7B67">
        <w:t xml:space="preserve">(or more) of </w:t>
      </w:r>
      <w:r w:rsidR="00DD6EB9" w:rsidRPr="000A7B67">
        <w:t xml:space="preserve">incubation the supernatant is removed, </w:t>
      </w:r>
      <w:r w:rsidR="004A77AC" w:rsidRPr="000A7B67">
        <w:t xml:space="preserve">the </w:t>
      </w:r>
      <w:r w:rsidR="00DD6EB9" w:rsidRPr="000A7B67">
        <w:t xml:space="preserve">chamber structure removed, </w:t>
      </w:r>
      <w:r w:rsidR="004A77AC" w:rsidRPr="000A7B67">
        <w:t xml:space="preserve">the </w:t>
      </w:r>
      <w:r w:rsidR="00DD6EB9" w:rsidRPr="000A7B67">
        <w:t xml:space="preserve">cell layer dried and fixed with pure high grade </w:t>
      </w:r>
      <w:r w:rsidR="00DB37B9" w:rsidRPr="000A7B67">
        <w:t xml:space="preserve">80% </w:t>
      </w:r>
      <w:r w:rsidR="00DD6EB9" w:rsidRPr="000A7B67">
        <w:t xml:space="preserve">cold acetone. </w:t>
      </w:r>
    </w:p>
    <w:p w14:paraId="25041B78" w14:textId="59833F45" w:rsidR="00DD6EB9" w:rsidRPr="000A7B67" w:rsidRDefault="00A227A6" w:rsidP="00A930A1">
      <w:pPr>
        <w:pStyle w:val="ififthlevellist"/>
        <w:spacing w:after="240"/>
      </w:pPr>
      <w:r w:rsidRPr="000A7B67">
        <w:t>4</w:t>
      </w:r>
      <w:r w:rsidR="00DD6EB9" w:rsidRPr="000A7B67">
        <w:t>)</w:t>
      </w:r>
      <w:r w:rsidR="00DD6EB9" w:rsidRPr="000A7B67">
        <w:tab/>
        <w:t xml:space="preserve">The fixed cell layer is then stained with fluorescent antibody </w:t>
      </w:r>
      <w:r w:rsidR="00DB37B9" w:rsidRPr="000A7B67">
        <w:t>at 37°C for 30</w:t>
      </w:r>
      <w:r w:rsidR="00C649C9">
        <w:t> </w:t>
      </w:r>
      <w:r w:rsidR="00DB37B9" w:rsidRPr="000A7B67">
        <w:t xml:space="preserve">minutes </w:t>
      </w:r>
      <w:r w:rsidR="00DD6EB9" w:rsidRPr="000A7B67">
        <w:t xml:space="preserve">according to </w:t>
      </w:r>
      <w:r w:rsidR="00DB37B9" w:rsidRPr="000A7B67">
        <w:t>manufacturers’ recommendations</w:t>
      </w:r>
      <w:r w:rsidR="00DD6EB9" w:rsidRPr="000A7B67">
        <w:t xml:space="preserve">. </w:t>
      </w:r>
    </w:p>
    <w:p w14:paraId="299E9F0A" w14:textId="77777777" w:rsidR="00DD6EB9" w:rsidRPr="000A7B67" w:rsidRDefault="00DD6EB9" w:rsidP="0084672E">
      <w:pPr>
        <w:pStyle w:val="afourthlevel"/>
      </w:pPr>
      <w:r w:rsidRPr="000A7B67">
        <w:t>c)</w:t>
      </w:r>
      <w:r w:rsidRPr="000A7B67">
        <w:tab/>
      </w:r>
      <w:r w:rsidR="00B8055C" w:rsidRPr="000A7B67">
        <w:t>Alternative p</w:t>
      </w:r>
      <w:r w:rsidRPr="000A7B67">
        <w:t>rotocol</w:t>
      </w:r>
    </w:p>
    <w:p w14:paraId="4548114F" w14:textId="77777777" w:rsidR="00DD6EB9" w:rsidRPr="000A7B67" w:rsidRDefault="00A930A1" w:rsidP="0084672E">
      <w:pPr>
        <w:pStyle w:val="ififthlevellist"/>
      </w:pPr>
      <w:r w:rsidRPr="000A7B67">
        <w:t>1</w:t>
      </w:r>
      <w:r w:rsidR="00DD6EB9" w:rsidRPr="000A7B67">
        <w:t>)</w:t>
      </w:r>
      <w:r w:rsidR="00DD6EB9" w:rsidRPr="000A7B67">
        <w:tab/>
        <w:t xml:space="preserve">500 µl of clarified brain homogenate (20% </w:t>
      </w:r>
      <w:r w:rsidR="007B6C30" w:rsidRPr="000A7B67">
        <w:t xml:space="preserve">[w/v] </w:t>
      </w:r>
      <w:r w:rsidR="00DD6EB9" w:rsidRPr="000A7B67">
        <w:t xml:space="preserve">in growth medium [90% DMEM, 1.0% </w:t>
      </w:r>
      <w:proofErr w:type="spellStart"/>
      <w:r w:rsidR="00DD6EB9" w:rsidRPr="000A7B67">
        <w:t>fetal</w:t>
      </w:r>
      <w:proofErr w:type="spellEnd"/>
      <w:r w:rsidR="00DD6EB9" w:rsidRPr="000A7B67">
        <w:t xml:space="preserve"> </w:t>
      </w:r>
      <w:r w:rsidR="00340E07" w:rsidRPr="000A7B67">
        <w:t xml:space="preserve">calf </w:t>
      </w:r>
      <w:r w:rsidR="00DD6EB9" w:rsidRPr="000A7B67">
        <w:t xml:space="preserve">serum (FBS) and 2% antibiotics] and centrifuged at </w:t>
      </w:r>
      <w:r w:rsidR="00B906F2" w:rsidRPr="000A7B67">
        <w:t xml:space="preserve">approximately 700 </w:t>
      </w:r>
      <w:r w:rsidR="00B906F2" w:rsidRPr="000A7B67">
        <w:rPr>
          <w:b/>
          <w:i/>
        </w:rPr>
        <w:t>g</w:t>
      </w:r>
      <w:r w:rsidR="00B906F2" w:rsidRPr="000A7B67">
        <w:t xml:space="preserve"> </w:t>
      </w:r>
      <w:r w:rsidR="00DD6EB9" w:rsidRPr="000A7B67">
        <w:t>for 10</w:t>
      </w:r>
      <w:r w:rsidR="00B906F2" w:rsidRPr="000A7B67">
        <w:t> </w:t>
      </w:r>
      <w:r w:rsidR="00DD6EB9" w:rsidRPr="000A7B67">
        <w:t xml:space="preserve">minutes) is mixed with 500 </w:t>
      </w:r>
      <w:r w:rsidR="00366191" w:rsidRPr="000A7B67">
        <w:t>µ</w:t>
      </w:r>
      <w:r w:rsidR="00D14B64" w:rsidRPr="000A7B67">
        <w:t xml:space="preserve">l </w:t>
      </w:r>
      <w:r w:rsidR="00DD6EB9" w:rsidRPr="000A7B67">
        <w:t>of 2 × 10</w:t>
      </w:r>
      <w:r w:rsidR="00B8055C" w:rsidRPr="00D9477C">
        <w:rPr>
          <w:szCs w:val="14"/>
          <w:vertAlign w:val="superscript"/>
        </w:rPr>
        <w:t>6</w:t>
      </w:r>
      <w:r w:rsidR="00DD6EB9" w:rsidRPr="000A7B67">
        <w:t xml:space="preserve"> cells/ml freshly prepared from a sub-confluent flask in DEAE-dextran working solution (</w:t>
      </w:r>
      <w:r w:rsidR="004A77AC" w:rsidRPr="000A7B67">
        <w:t xml:space="preserve">0.2 ml Dextran-stock solution in 25ml DMEM </w:t>
      </w:r>
      <w:r w:rsidR="00DD6EB9" w:rsidRPr="000A7B67">
        <w:t>Dextran-stock solution</w:t>
      </w:r>
      <w:r w:rsidR="004A77AC" w:rsidRPr="000A7B67">
        <w:t xml:space="preserve"> is</w:t>
      </w:r>
      <w:r w:rsidR="00DD6EB9" w:rsidRPr="000A7B67">
        <w:t xml:space="preserve"> 0.50</w:t>
      </w:r>
      <w:r w:rsidR="00B8055C" w:rsidRPr="000A7B67">
        <w:t> </w:t>
      </w:r>
      <w:r w:rsidR="00DD6EB9" w:rsidRPr="000A7B67">
        <w:t>g DEAE-dextran dissolved in 100 ml PBS [Hanks], sterile filtered).</w:t>
      </w:r>
    </w:p>
    <w:p w14:paraId="78CCD2E5" w14:textId="77777777" w:rsidR="00DD6EB9" w:rsidRPr="000A7B67" w:rsidRDefault="00A930A1" w:rsidP="0084672E">
      <w:pPr>
        <w:pStyle w:val="ififthlevellist"/>
      </w:pPr>
      <w:r w:rsidRPr="000A7B67">
        <w:t>2</w:t>
      </w:r>
      <w:r w:rsidR="00DD6EB9" w:rsidRPr="000A7B67">
        <w:t>)</w:t>
      </w:r>
      <w:r w:rsidR="00DD6EB9" w:rsidRPr="000A7B67">
        <w:tab/>
        <w:t>After incubation for 30 minutes at 5% CO</w:t>
      </w:r>
      <w:r w:rsidR="00B8055C" w:rsidRPr="00D9477C">
        <w:rPr>
          <w:szCs w:val="14"/>
          <w:vertAlign w:val="subscript"/>
        </w:rPr>
        <w:t>2</w:t>
      </w:r>
      <w:r w:rsidR="00DD6EB9" w:rsidRPr="000A7B67">
        <w:t xml:space="preserve"> and 37°C (agitate cell suspension carefully twice or three times during the incubation period), the cell suspension is gently centrifuged and </w:t>
      </w:r>
      <w:r w:rsidR="00BD534F" w:rsidRPr="000A7B67">
        <w:t xml:space="preserve">the cell pellet is resuspended in </w:t>
      </w:r>
      <w:r w:rsidR="00DD6EB9" w:rsidRPr="000A7B67">
        <w:t>10 ml of fresh DMEM</w:t>
      </w:r>
      <w:r w:rsidR="00A11CAC" w:rsidRPr="000A7B67">
        <w:t>.</w:t>
      </w:r>
      <w:r w:rsidR="00DD6EB9" w:rsidRPr="000A7B67">
        <w:t xml:space="preserve"> </w:t>
      </w:r>
    </w:p>
    <w:p w14:paraId="64C39B2B" w14:textId="77777777" w:rsidR="00DD6EB9" w:rsidRPr="000A7B67" w:rsidRDefault="00A930A1" w:rsidP="0084672E">
      <w:pPr>
        <w:pStyle w:val="ififthlevellist"/>
      </w:pPr>
      <w:r w:rsidRPr="000A7B67">
        <w:t>3</w:t>
      </w:r>
      <w:r w:rsidR="00DD6EB9" w:rsidRPr="000A7B67">
        <w:t>)</w:t>
      </w:r>
      <w:r w:rsidR="00DD6EB9" w:rsidRPr="000A7B67">
        <w:tab/>
        <w:t xml:space="preserve">8 ml of the cell suspension is </w:t>
      </w:r>
      <w:r w:rsidR="00BD534F" w:rsidRPr="000A7B67">
        <w:t xml:space="preserve">put </w:t>
      </w:r>
      <w:r w:rsidR="00DD6EB9" w:rsidRPr="000A7B67">
        <w:t xml:space="preserve">in a tissue culture flask (T25) and 2 ml onto a 6- or 24-well plate or petri dish (35/10 mm) </w:t>
      </w:r>
      <w:r w:rsidR="00BD534F" w:rsidRPr="000A7B67">
        <w:t xml:space="preserve">to monitor the infection by </w:t>
      </w:r>
      <w:r w:rsidR="007B4E2A">
        <w:t>DFA.</w:t>
      </w:r>
    </w:p>
    <w:p w14:paraId="3F24A3C0" w14:textId="77777777" w:rsidR="00DD6EB9" w:rsidRPr="000A7B67" w:rsidRDefault="00A930A1" w:rsidP="0084672E">
      <w:pPr>
        <w:pStyle w:val="ififthlevellist"/>
      </w:pPr>
      <w:r w:rsidRPr="000A7B67">
        <w:t>4</w:t>
      </w:r>
      <w:r w:rsidR="00DD6EB9" w:rsidRPr="000A7B67">
        <w:t>)</w:t>
      </w:r>
      <w:r w:rsidR="00DD6EB9" w:rsidRPr="000A7B67">
        <w:tab/>
        <w:t xml:space="preserve">After a further 3–4 days incubation, the supernatant is removed by pipette </w:t>
      </w:r>
      <w:r w:rsidR="00BD534F" w:rsidRPr="000A7B67">
        <w:t xml:space="preserve">from the monitor plate </w:t>
      </w:r>
      <w:r w:rsidR="00DD6EB9" w:rsidRPr="000A7B67">
        <w:t xml:space="preserve">and discarded, while the </w:t>
      </w:r>
      <w:r w:rsidR="00BD534F" w:rsidRPr="000A7B67">
        <w:t xml:space="preserve">T25 </w:t>
      </w:r>
      <w:r w:rsidR="00DD6EB9" w:rsidRPr="000A7B67">
        <w:t>flask remains untouched</w:t>
      </w:r>
      <w:r w:rsidR="007B4E2A">
        <w:t>.</w:t>
      </w:r>
    </w:p>
    <w:p w14:paraId="7BAAE280" w14:textId="77777777" w:rsidR="00DD6EB9" w:rsidRPr="000A7B67" w:rsidRDefault="00A930A1" w:rsidP="0084672E">
      <w:pPr>
        <w:pStyle w:val="ififthlevellist"/>
      </w:pPr>
      <w:r w:rsidRPr="000A7B67">
        <w:t>5</w:t>
      </w:r>
      <w:r w:rsidR="00DD6EB9" w:rsidRPr="000A7B67">
        <w:t>)</w:t>
      </w:r>
      <w:r w:rsidR="00DD6EB9" w:rsidRPr="000A7B67">
        <w:tab/>
      </w:r>
      <w:r w:rsidR="00BD534F" w:rsidRPr="000A7B67">
        <w:t xml:space="preserve">The monitor plate is fixed in 80% acetone, </w:t>
      </w:r>
      <w:r w:rsidR="00DD6EB9" w:rsidRPr="000A7B67">
        <w:t xml:space="preserve">then stained </w:t>
      </w:r>
      <w:r w:rsidR="00BD534F" w:rsidRPr="000A7B67">
        <w:t xml:space="preserve">with </w:t>
      </w:r>
      <w:r w:rsidR="00DD6EB9" w:rsidRPr="000A7B67">
        <w:t xml:space="preserve">fluorescent antibody according to laboratory procedures and </w:t>
      </w:r>
      <w:r w:rsidR="00BD534F" w:rsidRPr="000A7B67">
        <w:t xml:space="preserve">observed </w:t>
      </w:r>
      <w:r w:rsidR="00DD6EB9" w:rsidRPr="000A7B67">
        <w:t>under an inverse fluorescen</w:t>
      </w:r>
      <w:r w:rsidR="00BD534F" w:rsidRPr="000A7B67">
        <w:t>ce</w:t>
      </w:r>
      <w:r w:rsidR="00DD6EB9" w:rsidRPr="000A7B67">
        <w:t xml:space="preserve"> microscope</w:t>
      </w:r>
      <w:r w:rsidR="007B4E2A">
        <w:t>.</w:t>
      </w:r>
    </w:p>
    <w:p w14:paraId="65C03BF6" w14:textId="77777777" w:rsidR="00DD6EB9" w:rsidRPr="000A7B67" w:rsidRDefault="00A930A1" w:rsidP="0084672E">
      <w:pPr>
        <w:pStyle w:val="ififthlevellist"/>
      </w:pPr>
      <w:r w:rsidRPr="000A7B67">
        <w:t>6</w:t>
      </w:r>
      <w:r w:rsidR="00DD6EB9" w:rsidRPr="000A7B67">
        <w:t>)</w:t>
      </w:r>
      <w:r w:rsidR="00DD6EB9" w:rsidRPr="000A7B67">
        <w:tab/>
      </w:r>
      <w:r w:rsidR="00BD534F" w:rsidRPr="000A7B67">
        <w:t xml:space="preserve">If the monitor plate is </w:t>
      </w:r>
      <w:r w:rsidR="00DD6EB9" w:rsidRPr="000A7B67">
        <w:t>negative</w:t>
      </w:r>
      <w:r w:rsidR="00BD534F" w:rsidRPr="000A7B67">
        <w:t>,</w:t>
      </w:r>
      <w:r w:rsidR="00DD6EB9" w:rsidRPr="000A7B67">
        <w:t xml:space="preserve"> cells are </w:t>
      </w:r>
      <w:proofErr w:type="spellStart"/>
      <w:r w:rsidR="00DD6EB9" w:rsidRPr="000A7B67">
        <w:t>trypsinised</w:t>
      </w:r>
      <w:proofErr w:type="spellEnd"/>
      <w:r w:rsidR="00DD6EB9" w:rsidRPr="000A7B67">
        <w:t xml:space="preserve"> from </w:t>
      </w:r>
      <w:r w:rsidR="00BD534F" w:rsidRPr="000A7B67">
        <w:t xml:space="preserve">the T25 </w:t>
      </w:r>
      <w:r w:rsidR="00DD6EB9" w:rsidRPr="000A7B67">
        <w:t xml:space="preserve">flask, split in a ratio of 1:2 up to 1:4 in fresh DMEM and the cell suspension </w:t>
      </w:r>
      <w:r w:rsidR="00BD534F" w:rsidRPr="000A7B67">
        <w:t xml:space="preserve">put </w:t>
      </w:r>
      <w:r w:rsidR="00DD6EB9" w:rsidRPr="000A7B67">
        <w:t>into a tissue culture flask (8 ml) and onto a 6- or 24-well plate or petri dish (2 ml)</w:t>
      </w:r>
      <w:r w:rsidR="007B4E2A">
        <w:t>.</w:t>
      </w:r>
    </w:p>
    <w:p w14:paraId="1AC94920" w14:textId="77777777" w:rsidR="00DD6EB9" w:rsidRPr="000A7B67" w:rsidRDefault="00A930A1" w:rsidP="0084672E">
      <w:pPr>
        <w:pStyle w:val="ififthlevellist"/>
      </w:pPr>
      <w:r w:rsidRPr="000A7B67">
        <w:t>7</w:t>
      </w:r>
      <w:r w:rsidR="00DD6EB9" w:rsidRPr="000A7B67">
        <w:t>)</w:t>
      </w:r>
      <w:r w:rsidR="00DD6EB9" w:rsidRPr="000A7B67">
        <w:tab/>
      </w:r>
      <w:r w:rsidRPr="000A7B67">
        <w:t xml:space="preserve">Steps </w:t>
      </w:r>
      <w:r w:rsidR="00755CF2" w:rsidRPr="000A7B67">
        <w:t>4–6</w:t>
      </w:r>
      <w:r w:rsidR="00DD6EB9" w:rsidRPr="000A7B67">
        <w:t xml:space="preserve"> are repeated. Three consecutive passages are conducted to confirm a negative result. </w:t>
      </w:r>
    </w:p>
    <w:p w14:paraId="370714A9" w14:textId="77777777" w:rsidR="00DD6EB9" w:rsidRPr="000A7B67" w:rsidRDefault="00DD6EB9" w:rsidP="0084672E">
      <w:pPr>
        <w:pStyle w:val="afourthpara"/>
      </w:pPr>
      <w:r w:rsidRPr="000A7B67">
        <w:t xml:space="preserve">Whilst protocols (a) and (b) above only allow consecutive passaging of the supernatant, passaging in protocol (c) is based on splitting of the potentially infected cell monolayer thereby facilitating virus isolation in samples of low viral load. </w:t>
      </w:r>
    </w:p>
    <w:p w14:paraId="25B06E8A" w14:textId="77777777" w:rsidR="00DD6EB9" w:rsidRPr="000A7B67" w:rsidRDefault="00DD6EB9" w:rsidP="0084672E">
      <w:pPr>
        <w:pStyle w:val="i"/>
      </w:pPr>
      <w:r w:rsidRPr="000A7B67">
        <w:t>ii)</w:t>
      </w:r>
      <w:r w:rsidRPr="000A7B67">
        <w:tab/>
        <w:t>Mouse inoculation test (MIT)</w:t>
      </w:r>
    </w:p>
    <w:p w14:paraId="7C8D611F" w14:textId="10959DB4" w:rsidR="00DD6EB9" w:rsidRPr="000A7B67" w:rsidRDefault="00DD6EB9" w:rsidP="0084672E">
      <w:pPr>
        <w:pStyle w:val="afourthpara"/>
      </w:pPr>
      <w:r w:rsidRPr="000A7B67">
        <w:t>Three-to-ten mice, 3- to 4-weeks old (12–14 g), or a litter of 2-day-old new</w:t>
      </w:r>
      <w:r w:rsidR="00CE0B46" w:rsidRPr="000A7B67">
        <w:t>-</w:t>
      </w:r>
      <w:r w:rsidRPr="000A7B67">
        <w:t xml:space="preserve">born mice, are </w:t>
      </w:r>
      <w:r w:rsidR="00DB37B9" w:rsidRPr="000A7B67">
        <w:t xml:space="preserve">anesthetised and </w:t>
      </w:r>
      <w:r w:rsidRPr="000A7B67">
        <w:t>inoculated intracerebrally. The inoculum</w:t>
      </w:r>
      <w:r w:rsidR="00366191" w:rsidRPr="000A7B67">
        <w:t xml:space="preserve"> (0.01</w:t>
      </w:r>
      <w:r w:rsidR="003459FF" w:rsidRPr="000A7B67">
        <w:t> </w:t>
      </w:r>
      <w:r w:rsidR="00366191" w:rsidRPr="000A7B67">
        <w:t>ml for new-born mice or up to 0.03</w:t>
      </w:r>
      <w:r w:rsidR="003459FF" w:rsidRPr="000A7B67">
        <w:t> </w:t>
      </w:r>
      <w:r w:rsidR="00366191" w:rsidRPr="000A7B67">
        <w:t>ml for older mice)</w:t>
      </w:r>
      <w:r w:rsidRPr="000A7B67">
        <w:t xml:space="preserve"> is the clarified supernatant of a 10–20% (w/v) homogenate of brain tissue including brainstem (e.g. cortex, Ammon’s horn, thalamus, medulla oblongata) in an isotonic buffered solution containing antibiotics. Mice should be anaesthetised </w:t>
      </w:r>
      <w:r w:rsidR="00366191" w:rsidRPr="000A7B67">
        <w:t xml:space="preserve">for </w:t>
      </w:r>
      <w:r w:rsidRPr="000A7B67">
        <w:t>inoculat</w:t>
      </w:r>
      <w:r w:rsidR="00366191" w:rsidRPr="000A7B67">
        <w:t>ion</w:t>
      </w:r>
      <w:r w:rsidRPr="000A7B67">
        <w:t xml:space="preserve">. The mice are observed daily for 28 days, and every dead mouse is examined for rabies using the DFA or </w:t>
      </w:r>
      <w:proofErr w:type="spellStart"/>
      <w:r w:rsidRPr="000A7B67">
        <w:t>dRIT</w:t>
      </w:r>
      <w:proofErr w:type="spellEnd"/>
      <w:r w:rsidRPr="000A7B67">
        <w:t xml:space="preserve"> test. For faster results in new</w:t>
      </w:r>
      <w:r w:rsidR="00CE0B46" w:rsidRPr="000A7B67">
        <w:t>-</w:t>
      </w:r>
      <w:r w:rsidRPr="000A7B67">
        <w:t>born mice, it is possible to check one mouse on days 5, 7, 9 and 11 post-inoculation. Any deaths occurring during the first 4</w:t>
      </w:r>
      <w:r w:rsidR="00483C3B">
        <w:t> </w:t>
      </w:r>
      <w:r w:rsidRPr="000A7B67">
        <w:t xml:space="preserve">days are regarded as nonspecific (due to stress/bacterial infection etc.). </w:t>
      </w:r>
    </w:p>
    <w:p w14:paraId="56D3DCEB" w14:textId="77777777" w:rsidR="00DD6EB9" w:rsidRPr="000A7B67" w:rsidRDefault="00DD6EB9" w:rsidP="0084672E">
      <w:pPr>
        <w:pStyle w:val="afourthpara"/>
      </w:pPr>
      <w:r w:rsidRPr="000A7B67">
        <w:t xml:space="preserve">Once a validated and reliable cell culture unit exists in the laboratory, consideration should be given to replace the mouse inoculation test with cell culture whenever possible as it avoids the use of live animals, is less expensive and gives more rapid results. However, advantages of MIT are that when the test is positive, a large amount of virus can be isolated from a single mouse brain for strain identification purposes and </w:t>
      </w:r>
      <w:r w:rsidR="000E7458" w:rsidRPr="000A7B67">
        <w:t xml:space="preserve">the assay </w:t>
      </w:r>
      <w:r w:rsidRPr="000A7B67">
        <w:t>can be easily and practicably applied in situations where skills and facilities for other tests (e.g. cell culture) are not available.</w:t>
      </w:r>
    </w:p>
    <w:p w14:paraId="1850971C" w14:textId="7CE1EF8D" w:rsidR="009826F2" w:rsidRPr="009826F2" w:rsidRDefault="009826F2" w:rsidP="009826F2">
      <w:pPr>
        <w:pStyle w:val="111"/>
        <w:rPr>
          <w:u w:val="double"/>
        </w:rPr>
      </w:pPr>
      <w:r w:rsidRPr="796A39FB">
        <w:rPr>
          <w:u w:val="double"/>
        </w:rPr>
        <w:t>1.3.3.</w:t>
      </w:r>
      <w:r>
        <w:tab/>
      </w:r>
      <w:r w:rsidRPr="796A39FB">
        <w:rPr>
          <w:u w:val="double"/>
        </w:rPr>
        <w:t>Rapid immunochromatographic tests (lateral flow devices)</w:t>
      </w:r>
    </w:p>
    <w:p w14:paraId="3330E14C" w14:textId="7AFD7D2A" w:rsidR="009826F2" w:rsidRPr="003055CF" w:rsidRDefault="009826F2" w:rsidP="009826F2">
      <w:pPr>
        <w:pStyle w:val="111Para"/>
        <w:rPr>
          <w:u w:val="double"/>
        </w:rPr>
      </w:pPr>
      <w:r w:rsidRPr="009826F2">
        <w:rPr>
          <w:u w:val="double"/>
        </w:rPr>
        <w:t xml:space="preserve">Commercial rapid immunochromatographic tests, also referred to as lateral flow devices (LFDs), for viral antigen detection are available. Some studies </w:t>
      </w:r>
      <w:r w:rsidRPr="003055CF">
        <w:rPr>
          <w:u w:val="double"/>
        </w:rPr>
        <w:t>have found that when used under strict adherence to manufacturers’ instructions, various available LFDs have shown highly variable results, some with inadequate or even complete lack of diagnostic sensitivity</w:t>
      </w:r>
      <w:r w:rsidR="00FD51CD" w:rsidRPr="003055CF">
        <w:rPr>
          <w:u w:val="double"/>
        </w:rPr>
        <w:t>;</w:t>
      </w:r>
      <w:r w:rsidRPr="003055CF">
        <w:rPr>
          <w:u w:val="double"/>
        </w:rPr>
        <w:t xml:space="preserve"> </w:t>
      </w:r>
      <w:r w:rsidR="00E92E32" w:rsidRPr="003055CF">
        <w:rPr>
          <w:rStyle w:val="cf01"/>
          <w:rFonts w:ascii="Söhne" w:hAnsi="Söhne"/>
          <w:highlight w:val="yellow"/>
          <w:u w:val="double"/>
        </w:rPr>
        <w:t xml:space="preserve">test kits have also demonstrated inconsistency between batches and based on the type of diagnostic </w:t>
      </w:r>
      <w:r w:rsidR="00E92E32" w:rsidRPr="00B64334">
        <w:rPr>
          <w:rStyle w:val="cf01"/>
          <w:rFonts w:ascii="Söhne" w:hAnsi="Söhne"/>
          <w:highlight w:val="yellow"/>
          <w:u w:val="double"/>
        </w:rPr>
        <w:t>samples</w:t>
      </w:r>
      <w:r w:rsidR="00B64334" w:rsidRPr="00B64334">
        <w:rPr>
          <w:rStyle w:val="cf01"/>
          <w:rFonts w:ascii="Söhne" w:hAnsi="Söhne"/>
          <w:highlight w:val="yellow"/>
          <w:u w:val="double"/>
        </w:rPr>
        <w:t xml:space="preserve"> used</w:t>
      </w:r>
      <w:r w:rsidR="00E92E32" w:rsidRPr="003055CF">
        <w:rPr>
          <w:rStyle w:val="cf01"/>
          <w:rFonts w:ascii="Söhne" w:hAnsi="Söhne"/>
        </w:rPr>
        <w:t xml:space="preserve"> </w:t>
      </w:r>
      <w:r w:rsidRPr="003055CF">
        <w:rPr>
          <w:u w:val="double"/>
        </w:rPr>
        <w:t>(</w:t>
      </w:r>
      <w:proofErr w:type="spellStart"/>
      <w:r w:rsidRPr="003055CF">
        <w:rPr>
          <w:u w:val="double"/>
        </w:rPr>
        <w:t>Eggerbauer</w:t>
      </w:r>
      <w:proofErr w:type="spellEnd"/>
      <w:r w:rsidRPr="003055CF">
        <w:rPr>
          <w:u w:val="double"/>
        </w:rPr>
        <w:t xml:space="preserve"> </w:t>
      </w:r>
      <w:r w:rsidRPr="003055CF">
        <w:rPr>
          <w:i/>
          <w:iCs/>
          <w:u w:val="double"/>
        </w:rPr>
        <w:t>et al.,</w:t>
      </w:r>
      <w:r w:rsidRPr="003055CF">
        <w:rPr>
          <w:u w:val="double"/>
        </w:rPr>
        <w:t xml:space="preserve"> 2016</w:t>
      </w:r>
      <w:r w:rsidR="00A85DD5" w:rsidRPr="003055CF">
        <w:rPr>
          <w:u w:val="double"/>
        </w:rPr>
        <w:t>;</w:t>
      </w:r>
      <w:r w:rsidRPr="003055CF">
        <w:rPr>
          <w:u w:val="double"/>
        </w:rPr>
        <w:t xml:space="preserve"> Klein </w:t>
      </w:r>
      <w:r w:rsidRPr="003055CF">
        <w:rPr>
          <w:i/>
          <w:iCs/>
          <w:u w:val="double"/>
        </w:rPr>
        <w:t>et al.,</w:t>
      </w:r>
      <w:r w:rsidRPr="003055CF">
        <w:rPr>
          <w:u w:val="double"/>
        </w:rPr>
        <w:t xml:space="preserve"> 2020).</w:t>
      </w:r>
      <w:r w:rsidR="00A85DD5" w:rsidRPr="003055CF">
        <w:rPr>
          <w:u w:val="double"/>
        </w:rPr>
        <w:t xml:space="preserve"> </w:t>
      </w:r>
      <w:r w:rsidRPr="003055CF">
        <w:rPr>
          <w:u w:val="double"/>
        </w:rPr>
        <w:t xml:space="preserve">Field studies showed high sensitivity and specificity for some of those tests, particularly when the manufacturers’ instructions were modified, with reported sensitivities compared </w:t>
      </w:r>
      <w:r w:rsidR="000F0B03" w:rsidRPr="003055CF">
        <w:rPr>
          <w:u w:val="double"/>
        </w:rPr>
        <w:t>with</w:t>
      </w:r>
      <w:r w:rsidRPr="003055CF">
        <w:rPr>
          <w:u w:val="double"/>
        </w:rPr>
        <w:t xml:space="preserve"> DFA ranging between 93% and 100% in field samples (</w:t>
      </w:r>
      <w:proofErr w:type="spellStart"/>
      <w:r w:rsidRPr="003055CF">
        <w:rPr>
          <w:u w:val="double"/>
        </w:rPr>
        <w:t>Lechenne</w:t>
      </w:r>
      <w:proofErr w:type="spellEnd"/>
      <w:r w:rsidRPr="003055CF">
        <w:rPr>
          <w:u w:val="double"/>
        </w:rPr>
        <w:t xml:space="preserve"> </w:t>
      </w:r>
      <w:r w:rsidRPr="003055CF">
        <w:rPr>
          <w:i/>
          <w:iCs/>
          <w:u w:val="double"/>
        </w:rPr>
        <w:t>et al.,</w:t>
      </w:r>
      <w:r w:rsidRPr="003055CF">
        <w:rPr>
          <w:u w:val="double"/>
        </w:rPr>
        <w:t xml:space="preserve"> 2016</w:t>
      </w:r>
      <w:r w:rsidR="00A85DD5" w:rsidRPr="003055CF">
        <w:rPr>
          <w:u w:val="double"/>
        </w:rPr>
        <w:t>;</w:t>
      </w:r>
      <w:r w:rsidRPr="003055CF">
        <w:rPr>
          <w:u w:val="double"/>
        </w:rPr>
        <w:t xml:space="preserve"> </w:t>
      </w:r>
      <w:proofErr w:type="spellStart"/>
      <w:r w:rsidR="00A85DD5" w:rsidRPr="003055CF">
        <w:rPr>
          <w:u w:val="double"/>
        </w:rPr>
        <w:t>Markotter</w:t>
      </w:r>
      <w:proofErr w:type="spellEnd"/>
      <w:r w:rsidR="00A85DD5" w:rsidRPr="003055CF">
        <w:rPr>
          <w:u w:val="double"/>
        </w:rPr>
        <w:t xml:space="preserve"> </w:t>
      </w:r>
      <w:r w:rsidR="00A85DD5" w:rsidRPr="003055CF">
        <w:rPr>
          <w:i/>
          <w:iCs/>
          <w:u w:val="double"/>
        </w:rPr>
        <w:t>et al.,</w:t>
      </w:r>
      <w:r w:rsidR="00A85DD5" w:rsidRPr="003055CF">
        <w:rPr>
          <w:u w:val="double"/>
        </w:rPr>
        <w:t xml:space="preserve"> 2009; </w:t>
      </w:r>
      <w:r w:rsidRPr="003055CF">
        <w:rPr>
          <w:u w:val="double"/>
        </w:rPr>
        <w:t xml:space="preserve">Nishizono </w:t>
      </w:r>
      <w:r w:rsidRPr="003055CF">
        <w:rPr>
          <w:i/>
          <w:iCs/>
          <w:u w:val="double"/>
        </w:rPr>
        <w:t>et al.,</w:t>
      </w:r>
      <w:r w:rsidRPr="003055CF">
        <w:rPr>
          <w:u w:val="double"/>
        </w:rPr>
        <w:t xml:space="preserve"> 2008; Servat </w:t>
      </w:r>
      <w:r w:rsidRPr="003055CF">
        <w:rPr>
          <w:i/>
          <w:iCs/>
          <w:u w:val="double"/>
        </w:rPr>
        <w:t>et al.,</w:t>
      </w:r>
      <w:r w:rsidRPr="003055CF">
        <w:rPr>
          <w:u w:val="double"/>
        </w:rPr>
        <w:t xml:space="preserve"> 2012).</w:t>
      </w:r>
      <w:r w:rsidR="00B5767D" w:rsidRPr="003055CF">
        <w:rPr>
          <w:u w:val="double"/>
        </w:rPr>
        <w:t xml:space="preserve"> </w:t>
      </w:r>
      <w:r w:rsidR="00B5767D" w:rsidRPr="003055CF">
        <w:rPr>
          <w:highlight w:val="yellow"/>
          <w:u w:val="double"/>
        </w:rPr>
        <w:t>However, further</w:t>
      </w:r>
      <w:r w:rsidR="00B5767D" w:rsidRPr="00B64334">
        <w:rPr>
          <w:u w:val="double"/>
        </w:rPr>
        <w:t xml:space="preserve"> improvements</w:t>
      </w:r>
      <w:r w:rsidR="00B5767D" w:rsidRPr="00B64334">
        <w:t xml:space="preserve"> </w:t>
      </w:r>
      <w:r w:rsidR="00B64334" w:rsidRPr="003055CF">
        <w:rPr>
          <w:strike/>
          <w:highlight w:val="yellow"/>
        </w:rPr>
        <w:t>however</w:t>
      </w:r>
      <w:r w:rsidR="00B64334" w:rsidRPr="00B64334">
        <w:rPr>
          <w:strike/>
          <w:highlight w:val="yellow"/>
        </w:rPr>
        <w:t xml:space="preserve"> </w:t>
      </w:r>
      <w:r w:rsidR="00B5767D" w:rsidRPr="003055CF">
        <w:rPr>
          <w:highlight w:val="yellow"/>
          <w:u w:val="double"/>
        </w:rPr>
        <w:t xml:space="preserve">in sensitivity, consistency and validation </w:t>
      </w:r>
      <w:r w:rsidR="007D25E3" w:rsidRPr="003055CF">
        <w:rPr>
          <w:highlight w:val="yellow"/>
          <w:u w:val="double"/>
        </w:rPr>
        <w:t>using</w:t>
      </w:r>
      <w:r w:rsidR="00B5767D" w:rsidRPr="003055CF">
        <w:rPr>
          <w:highlight w:val="yellow"/>
          <w:u w:val="double"/>
        </w:rPr>
        <w:t xml:space="preserve"> appropriate diagnostic samples </w:t>
      </w:r>
      <w:r w:rsidR="00B5767D" w:rsidRPr="00B64334">
        <w:rPr>
          <w:u w:val="double"/>
        </w:rPr>
        <w:t xml:space="preserve">are still required before LFDs can be recommended by </w:t>
      </w:r>
      <w:r w:rsidR="00A064B8" w:rsidRPr="00B64334">
        <w:rPr>
          <w:u w:val="double"/>
        </w:rPr>
        <w:t>WOAH</w:t>
      </w:r>
      <w:r w:rsidR="00B5767D" w:rsidRPr="00B64334">
        <w:rPr>
          <w:u w:val="double"/>
        </w:rPr>
        <w:t>.</w:t>
      </w:r>
      <w:r w:rsidR="003055CF" w:rsidRPr="00B64334">
        <w:rPr>
          <w:u w:val="double"/>
        </w:rPr>
        <w:t xml:space="preserve"> </w:t>
      </w:r>
      <w:r w:rsidRPr="00B64334">
        <w:rPr>
          <w:rFonts w:eastAsia="Times New Roman"/>
          <w:u w:val="double"/>
          <w:lang w:val="en-US"/>
        </w:rPr>
        <w:t>If data support</w:t>
      </w:r>
      <w:r w:rsidRPr="003055CF">
        <w:rPr>
          <w:rFonts w:eastAsia="Times New Roman"/>
          <w:u w:val="double"/>
          <w:lang w:val="en-US"/>
        </w:rPr>
        <w:t xml:space="preserve"> the use of LFDs for routine surveillance and establishment of infection, a manufacturer could apply for inclusion of the assay on the </w:t>
      </w:r>
      <w:r w:rsidR="00A064B8" w:rsidRPr="003055CF">
        <w:rPr>
          <w:rFonts w:eastAsia="Times New Roman"/>
          <w:u w:val="double"/>
          <w:lang w:val="en-US"/>
        </w:rPr>
        <w:t>WOAH</w:t>
      </w:r>
      <w:r w:rsidRPr="003055CF">
        <w:rPr>
          <w:rFonts w:eastAsia="Times New Roman"/>
          <w:u w:val="double"/>
          <w:lang w:val="en-US"/>
        </w:rPr>
        <w:t xml:space="preserve"> Register</w:t>
      </w:r>
      <w:r w:rsidR="00A85DD5" w:rsidRPr="003055CF">
        <w:rPr>
          <w:rFonts w:eastAsia="Times New Roman"/>
          <w:u w:val="double"/>
          <w:lang w:val="en-US"/>
        </w:rPr>
        <w:t xml:space="preserve"> of diagnostic kits</w:t>
      </w:r>
      <w:r w:rsidR="00A85DD5" w:rsidRPr="003055CF">
        <w:rPr>
          <w:rStyle w:val="FootnoteReference"/>
          <w:rFonts w:eastAsia="Times New Roman"/>
          <w:u w:val="double"/>
          <w:lang w:val="en-US"/>
        </w:rPr>
        <w:footnoteReference w:id="3"/>
      </w:r>
      <w:r w:rsidRPr="003055CF">
        <w:rPr>
          <w:u w:val="double"/>
        </w:rPr>
        <w:t>.</w:t>
      </w:r>
    </w:p>
    <w:p w14:paraId="66C1C837" w14:textId="328383C5" w:rsidR="009826F2" w:rsidRPr="003055CF" w:rsidRDefault="009826F2" w:rsidP="009826F2">
      <w:pPr>
        <w:pStyle w:val="111Para"/>
        <w:rPr>
          <w:u w:val="double"/>
        </w:rPr>
      </w:pPr>
      <w:r w:rsidRPr="003055CF">
        <w:rPr>
          <w:u w:val="double"/>
        </w:rPr>
        <w:t>Depending on the product</w:t>
      </w:r>
      <w:r w:rsidR="001563CC" w:rsidRPr="003055CF">
        <w:rPr>
          <w:u w:val="double"/>
        </w:rPr>
        <w:t>-</w:t>
      </w:r>
      <w:r w:rsidRPr="003055CF">
        <w:rPr>
          <w:u w:val="double"/>
        </w:rPr>
        <w:t>specific sensitivity and specificity, additional confirmation of results should be undertaken using other primary test methods (DFA, RTCIT, RT-PCR). Therefore, standard techniques should be either established or reinforced in parallel for the use of an LFD as a screening tool at a central laboratory.</w:t>
      </w:r>
      <w:r w:rsidR="00D63226" w:rsidRPr="003055CF">
        <w:rPr>
          <w:u w:val="double"/>
        </w:rPr>
        <w:t xml:space="preserve"> </w:t>
      </w:r>
      <w:r w:rsidR="004A2369" w:rsidRPr="003055CF">
        <w:rPr>
          <w:highlight w:val="yellow"/>
          <w:u w:val="double"/>
        </w:rPr>
        <w:t>Neverth</w:t>
      </w:r>
      <w:r w:rsidR="00E10329" w:rsidRPr="003055CF">
        <w:rPr>
          <w:highlight w:val="yellow"/>
          <w:u w:val="double"/>
        </w:rPr>
        <w:t>el</w:t>
      </w:r>
      <w:r w:rsidR="004A2369" w:rsidRPr="003055CF">
        <w:rPr>
          <w:highlight w:val="yellow"/>
          <w:u w:val="double"/>
        </w:rPr>
        <w:t>ess</w:t>
      </w:r>
      <w:r w:rsidR="00E10329" w:rsidRPr="003055CF">
        <w:rPr>
          <w:highlight w:val="yellow"/>
          <w:u w:val="double"/>
        </w:rPr>
        <w:t>,</w:t>
      </w:r>
      <w:r w:rsidR="004A2369" w:rsidRPr="003055CF">
        <w:rPr>
          <w:highlight w:val="yellow"/>
          <w:u w:val="double"/>
        </w:rPr>
        <w:t xml:space="preserve"> positive LFD result</w:t>
      </w:r>
      <w:r w:rsidR="00E10329" w:rsidRPr="003055CF">
        <w:rPr>
          <w:highlight w:val="yellow"/>
          <w:u w:val="double"/>
        </w:rPr>
        <w:t xml:space="preserve">s </w:t>
      </w:r>
      <w:r w:rsidR="009E2039" w:rsidRPr="003055CF">
        <w:rPr>
          <w:highlight w:val="yellow"/>
          <w:u w:val="double"/>
        </w:rPr>
        <w:t>should be</w:t>
      </w:r>
      <w:r w:rsidR="004A2369" w:rsidRPr="003055CF">
        <w:rPr>
          <w:highlight w:val="yellow"/>
          <w:u w:val="double"/>
        </w:rPr>
        <w:t xml:space="preserve"> a strong </w:t>
      </w:r>
      <w:r w:rsidR="009E2039" w:rsidRPr="003055CF">
        <w:rPr>
          <w:highlight w:val="yellow"/>
          <w:u w:val="double"/>
        </w:rPr>
        <w:t>ind</w:t>
      </w:r>
      <w:r w:rsidR="008F6C85" w:rsidRPr="003055CF">
        <w:rPr>
          <w:highlight w:val="yellow"/>
          <w:u w:val="double"/>
        </w:rPr>
        <w:t>i</w:t>
      </w:r>
      <w:r w:rsidR="009E2039" w:rsidRPr="003055CF">
        <w:rPr>
          <w:highlight w:val="yellow"/>
          <w:u w:val="double"/>
        </w:rPr>
        <w:t>cation</w:t>
      </w:r>
      <w:r w:rsidR="00D74745">
        <w:rPr>
          <w:highlight w:val="yellow"/>
          <w:u w:val="double"/>
        </w:rPr>
        <w:t xml:space="preserve"> for </w:t>
      </w:r>
      <w:r w:rsidR="00D74745" w:rsidRPr="003055CF">
        <w:rPr>
          <w:highlight w:val="yellow"/>
          <w:u w:val="double"/>
        </w:rPr>
        <w:t>bite victims</w:t>
      </w:r>
      <w:r w:rsidR="004A2369" w:rsidRPr="003055CF">
        <w:rPr>
          <w:highlight w:val="yellow"/>
          <w:u w:val="double"/>
        </w:rPr>
        <w:t xml:space="preserve"> </w:t>
      </w:r>
      <w:r w:rsidR="00482A77" w:rsidRPr="003055CF">
        <w:rPr>
          <w:highlight w:val="yellow"/>
          <w:u w:val="double"/>
        </w:rPr>
        <w:t>to</w:t>
      </w:r>
      <w:r w:rsidR="004A2369" w:rsidRPr="003055CF">
        <w:rPr>
          <w:highlight w:val="yellow"/>
          <w:u w:val="double"/>
        </w:rPr>
        <w:t xml:space="preserve"> seek post-exposure prophylaxis</w:t>
      </w:r>
      <w:r w:rsidR="00482A77" w:rsidRPr="003055CF">
        <w:rPr>
          <w:highlight w:val="yellow"/>
          <w:u w:val="double"/>
        </w:rPr>
        <w:t>.</w:t>
      </w:r>
    </w:p>
    <w:p w14:paraId="18CF0A8D" w14:textId="3C49C983" w:rsidR="00DD6EB9" w:rsidRPr="000A7B67" w:rsidRDefault="00DD6EB9" w:rsidP="0084672E">
      <w:pPr>
        <w:pStyle w:val="111"/>
      </w:pPr>
      <w:r w:rsidRPr="000A7B67">
        <w:t>1.3.</w:t>
      </w:r>
      <w:r w:rsidRPr="009826F2">
        <w:rPr>
          <w:strike/>
        </w:rPr>
        <w:t>3</w:t>
      </w:r>
      <w:r w:rsidR="009826F2" w:rsidRPr="009826F2">
        <w:rPr>
          <w:u w:val="double"/>
        </w:rPr>
        <w:t>4</w:t>
      </w:r>
      <w:r w:rsidRPr="000A7B67">
        <w:t>.</w:t>
      </w:r>
      <w:r w:rsidRPr="000A7B67">
        <w:tab/>
        <w:t>Histological identification of characteristic cell lesions</w:t>
      </w:r>
    </w:p>
    <w:p w14:paraId="59D47B45" w14:textId="77777777" w:rsidR="00DD6EB9" w:rsidRPr="000A7B67" w:rsidRDefault="00DD6EB9" w:rsidP="0084672E">
      <w:pPr>
        <w:pStyle w:val="111Para"/>
      </w:pPr>
      <w:r w:rsidRPr="000A7B67">
        <w:t xml:space="preserve">Negri bodies correspond to the aggregation of viral proteins, but the classical staining techniques detect only an affinity of these structures for acidophilic stains. Techniques that stain sections of paraffin embedded brain tissues (e.g. Mann’s technique) are time consuming, less sensitive and more expensive than DFA and </w:t>
      </w:r>
      <w:proofErr w:type="spellStart"/>
      <w:r w:rsidRPr="000A7B67">
        <w:t>dRIT</w:t>
      </w:r>
      <w:proofErr w:type="spellEnd"/>
      <w:r w:rsidRPr="000A7B67">
        <w:t xml:space="preserve">. Seller’s method on unfixed tissue smears has a very low sensitivity is only suitable for perfectly fresh specimens. These methods are no longer recommended for routine diagnosis. </w:t>
      </w:r>
    </w:p>
    <w:p w14:paraId="4789DACF" w14:textId="3287181B" w:rsidR="00DD6EB9" w:rsidRPr="000A7B67" w:rsidRDefault="00DD6EB9" w:rsidP="0084672E">
      <w:pPr>
        <w:pStyle w:val="111"/>
      </w:pPr>
      <w:r w:rsidRPr="000A7B67">
        <w:t>1.3.</w:t>
      </w:r>
      <w:r w:rsidR="009826F2">
        <w:rPr>
          <w:strike/>
        </w:rPr>
        <w:t>4</w:t>
      </w:r>
      <w:r w:rsidR="009826F2">
        <w:rPr>
          <w:u w:val="double"/>
        </w:rPr>
        <w:t>5</w:t>
      </w:r>
      <w:r w:rsidRPr="000A7B67">
        <w:t>.</w:t>
      </w:r>
      <w:r w:rsidRPr="000A7B67">
        <w:tab/>
      </w:r>
      <w:r w:rsidR="00E3570E" w:rsidRPr="00D63226">
        <w:rPr>
          <w:highlight w:val="yellow"/>
          <w:u w:val="double"/>
        </w:rPr>
        <w:t>Reverse</w:t>
      </w:r>
      <w:r w:rsidR="00426923" w:rsidRPr="00D63226">
        <w:rPr>
          <w:highlight w:val="yellow"/>
          <w:u w:val="double"/>
        </w:rPr>
        <w:t>-</w:t>
      </w:r>
      <w:r w:rsidR="00E3570E" w:rsidRPr="00D63226">
        <w:rPr>
          <w:highlight w:val="yellow"/>
          <w:u w:val="double"/>
        </w:rPr>
        <w:t>transcription</w:t>
      </w:r>
      <w:r w:rsidR="00E3570E">
        <w:t xml:space="preserve"> p</w:t>
      </w:r>
      <w:r w:rsidRPr="000A7B67">
        <w:t>olymerase chain reaction (</w:t>
      </w:r>
      <w:r w:rsidR="00E3570E" w:rsidRPr="00D63226">
        <w:rPr>
          <w:highlight w:val="yellow"/>
          <w:u w:val="double"/>
        </w:rPr>
        <w:t>RT</w:t>
      </w:r>
      <w:r w:rsidR="00E3570E" w:rsidRPr="00426923">
        <w:rPr>
          <w:highlight w:val="yellow"/>
        </w:rPr>
        <w:t>-</w:t>
      </w:r>
      <w:r w:rsidR="00E3570E" w:rsidRPr="00D63226">
        <w:t>PCR</w:t>
      </w:r>
      <w:r w:rsidRPr="000A7B67">
        <w:t>)</w:t>
      </w:r>
    </w:p>
    <w:p w14:paraId="0E9C21C0" w14:textId="19DC3C2C" w:rsidR="00732216" w:rsidRPr="000A7B67" w:rsidRDefault="00D63226" w:rsidP="0084672E">
      <w:pPr>
        <w:pStyle w:val="111Para"/>
      </w:pPr>
      <w:r w:rsidRPr="00D63226">
        <w:rPr>
          <w:highlight w:val="yellow"/>
          <w:u w:val="double"/>
        </w:rPr>
        <w:t>RT-</w:t>
      </w:r>
      <w:r>
        <w:t>PCR</w:t>
      </w:r>
      <w:r w:rsidRPr="000A7B67">
        <w:t xml:space="preserve"> </w:t>
      </w:r>
      <w:r w:rsidR="00DD6EB9" w:rsidRPr="000A7B67">
        <w:t xml:space="preserve">assays are sensitive tools for the detection of </w:t>
      </w:r>
      <w:r w:rsidR="00BD534F" w:rsidRPr="000A7B67">
        <w:t>lyssa</w:t>
      </w:r>
      <w:r w:rsidR="00DD6EB9" w:rsidRPr="000A7B67">
        <w:t>virus-derived ribonucleic acid (RNA) within suspect specimens with the advantage that they do not requ</w:t>
      </w:r>
      <w:r w:rsidR="00AB46DD" w:rsidRPr="000A7B67">
        <w:t>ire the presence of live virus.</w:t>
      </w:r>
    </w:p>
    <w:p w14:paraId="16C78178" w14:textId="1D7C9CF0" w:rsidR="00DD6EB9" w:rsidRPr="000A7B67" w:rsidRDefault="00D63226" w:rsidP="0084672E">
      <w:pPr>
        <w:pStyle w:val="111Para"/>
      </w:pPr>
      <w:r w:rsidRPr="00D63226">
        <w:rPr>
          <w:highlight w:val="yellow"/>
          <w:u w:val="double"/>
        </w:rPr>
        <w:t>RT-</w:t>
      </w:r>
      <w:r>
        <w:t>PCR</w:t>
      </w:r>
      <w:r w:rsidRPr="000A7B67">
        <w:t xml:space="preserve"> </w:t>
      </w:r>
      <w:r w:rsidR="00DD6EB9" w:rsidRPr="000A7B67">
        <w:t xml:space="preserve">assays that target the 3’ proximal viral gene are considered the most sensitive as the replication cycle of lyssaviruses dictates that the </w:t>
      </w:r>
      <w:r w:rsidR="00366191" w:rsidRPr="000A7B67">
        <w:t>N gene coding</w:t>
      </w:r>
      <w:r w:rsidR="007426B2" w:rsidRPr="000A7B67">
        <w:t xml:space="preserve"> viral </w:t>
      </w:r>
      <w:r w:rsidR="00DD6EB9" w:rsidRPr="000A7B67">
        <w:t>nucleo</w:t>
      </w:r>
      <w:r w:rsidR="007426B2" w:rsidRPr="000A7B67">
        <w:t>protein</w:t>
      </w:r>
      <w:r w:rsidR="00D14B64" w:rsidRPr="000A7B67">
        <w:t xml:space="preserve"> </w:t>
      </w:r>
      <w:r w:rsidR="00DD6EB9" w:rsidRPr="000A7B67">
        <w:t xml:space="preserve">is transcribed in the greatest abundance with a transcriptional gradient occurring for downstream genes. </w:t>
      </w:r>
    </w:p>
    <w:p w14:paraId="7EBE8D57" w14:textId="1076FB9E" w:rsidR="00DD6EB9" w:rsidRPr="000A7B67" w:rsidRDefault="00D63226" w:rsidP="0084672E">
      <w:pPr>
        <w:pStyle w:val="111Para"/>
      </w:pPr>
      <w:r w:rsidRPr="00D63226">
        <w:rPr>
          <w:highlight w:val="yellow"/>
          <w:u w:val="double"/>
        </w:rPr>
        <w:t>RT-</w:t>
      </w:r>
      <w:r>
        <w:t>PCR</w:t>
      </w:r>
      <w:r w:rsidRPr="000A7B67">
        <w:t xml:space="preserve"> </w:t>
      </w:r>
      <w:r w:rsidR="00DD6EB9" w:rsidRPr="000A7B67">
        <w:t xml:space="preserve">assays should meet the </w:t>
      </w:r>
      <w:r w:rsidR="00A064B8">
        <w:t>WOAH</w:t>
      </w:r>
      <w:r w:rsidR="00DD6EB9" w:rsidRPr="000A7B67">
        <w:t xml:space="preserve"> Standard</w:t>
      </w:r>
      <w:r w:rsidR="00354DB3" w:rsidRPr="000A7B67">
        <w:t>s</w:t>
      </w:r>
      <w:r w:rsidR="00DD6EB9" w:rsidRPr="000A7B67">
        <w:t xml:space="preserve"> for validation (see </w:t>
      </w:r>
      <w:r w:rsidR="002D317A" w:rsidRPr="000A7B67">
        <w:t xml:space="preserve">Chapter </w:t>
      </w:r>
      <w:r w:rsidR="00DD6EB9" w:rsidRPr="000A7B67">
        <w:t>1.1.6</w:t>
      </w:r>
      <w:r w:rsidR="002D317A" w:rsidRPr="000A7B67">
        <w:t xml:space="preserve"> </w:t>
      </w:r>
      <w:r w:rsidR="002D317A" w:rsidRPr="000A7B67">
        <w:rPr>
          <w:i/>
        </w:rPr>
        <w:t>Principles and methods of validation of diagnostic assays for infectious diseases</w:t>
      </w:r>
      <w:r w:rsidR="00DD6EB9" w:rsidRPr="000A7B67">
        <w:t xml:space="preserve">) and should be able to detect a broad spectrum of globally circulating </w:t>
      </w:r>
      <w:r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D6EB9" w:rsidRPr="000A7B67">
        <w:t xml:space="preserve"> strains.</w:t>
      </w:r>
      <w:r w:rsidR="00D04659" w:rsidRPr="000A7B67">
        <w:t xml:space="preserve"> Different methods for RNA extraction </w:t>
      </w:r>
      <w:r w:rsidR="00BE54D7" w:rsidRPr="000A7B67">
        <w:t>(</w:t>
      </w:r>
      <w:r w:rsidR="00D04659" w:rsidRPr="000A7B67">
        <w:t xml:space="preserve">manual, commercial conventional column or magnetic bead-based rapid RNA extraction methods) are available </w:t>
      </w:r>
      <w:r w:rsidR="000E7458" w:rsidRPr="000A7B67">
        <w:t xml:space="preserve">and </w:t>
      </w:r>
      <w:r w:rsidR="00D04659" w:rsidRPr="000A7B67">
        <w:t>can differ in sensitivity.</w:t>
      </w:r>
    </w:p>
    <w:p w14:paraId="6F413E03" w14:textId="03FB6CFA" w:rsidR="00A5383E" w:rsidRPr="000A7B67" w:rsidRDefault="00D63226" w:rsidP="0084672E">
      <w:pPr>
        <w:pStyle w:val="111Para"/>
      </w:pPr>
      <w:r w:rsidRPr="00D63226">
        <w:rPr>
          <w:highlight w:val="yellow"/>
          <w:u w:val="double"/>
        </w:rPr>
        <w:t>RT-</w:t>
      </w:r>
      <w:r>
        <w:t>PCR</w:t>
      </w:r>
      <w:r w:rsidRPr="000A7B67">
        <w:t xml:space="preserve"> </w:t>
      </w:r>
      <w:r w:rsidR="00A5383E" w:rsidRPr="000A7B67">
        <w:t xml:space="preserve">assays that have been evaluated </w:t>
      </w:r>
      <w:r w:rsidR="00D2163D" w:rsidRPr="000A7B67">
        <w:t>in accordance with</w:t>
      </w:r>
      <w:r w:rsidR="00A5383E" w:rsidRPr="000A7B67">
        <w:t xml:space="preserve"> </w:t>
      </w:r>
      <w:r w:rsidR="00A064B8">
        <w:t>WOAH</w:t>
      </w:r>
      <w:r w:rsidR="00A5383E" w:rsidRPr="000A7B67">
        <w:t xml:space="preserve"> </w:t>
      </w:r>
      <w:r w:rsidR="00D2163D" w:rsidRPr="000A7B67">
        <w:t xml:space="preserve">Standards </w:t>
      </w:r>
      <w:r w:rsidR="00A5383E" w:rsidRPr="000A7B67">
        <w:t xml:space="preserve">(Chapter 1.1.6), have shown similar sensitivity and specificity to the DFA or DRIT, and can ideally detect all known Lyssaviruses </w:t>
      </w:r>
      <w:r w:rsidR="004D62D5" w:rsidRPr="000A7B67">
        <w:t>and</w:t>
      </w:r>
      <w:r w:rsidR="00A5383E" w:rsidRPr="000A7B67">
        <w:t xml:space="preserve"> be used as an alternative to DFA or DRIT for routine rabies diagnosis. </w:t>
      </w:r>
      <w:r w:rsidRPr="00D63226">
        <w:rPr>
          <w:highlight w:val="yellow"/>
          <w:u w:val="double"/>
        </w:rPr>
        <w:t>RT-</w:t>
      </w:r>
      <w:r>
        <w:t>PCR</w:t>
      </w:r>
      <w:r w:rsidRPr="000A7B67">
        <w:t xml:space="preserve"> </w:t>
      </w:r>
      <w:r w:rsidR="00A5383E" w:rsidRPr="000A7B67">
        <w:t xml:space="preserve">assays used as primary diagnostics should be conducted from a composite sample of brain tissue that includes brain stem and cerebellum, as stated in </w:t>
      </w:r>
      <w:r w:rsidR="00D2163D" w:rsidRPr="000A7B67">
        <w:t>Section B.</w:t>
      </w:r>
      <w:r w:rsidR="00A5383E" w:rsidRPr="000A7B67">
        <w:t xml:space="preserve">1.1. </w:t>
      </w:r>
      <w:r w:rsidRPr="00D63226">
        <w:rPr>
          <w:highlight w:val="yellow"/>
          <w:u w:val="double"/>
        </w:rPr>
        <w:t>RT-</w:t>
      </w:r>
      <w:r>
        <w:t>PCR</w:t>
      </w:r>
      <w:r w:rsidRPr="000A7B67">
        <w:t xml:space="preserve"> </w:t>
      </w:r>
      <w:r w:rsidR="00A5383E" w:rsidRPr="000A7B67">
        <w:t>assays that have reduced sensitivity and specificity or are not able to detect all Lyssaviruses should be considered for confirmatory diagnostics when primary diagnostic assays are indeterminate</w:t>
      </w:r>
      <w:r w:rsidR="00603675" w:rsidRPr="000A7B67">
        <w:t>.</w:t>
      </w:r>
    </w:p>
    <w:p w14:paraId="34F4D939" w14:textId="77777777" w:rsidR="00DD6EB9" w:rsidRPr="000A7B67" w:rsidRDefault="00DD6EB9" w:rsidP="0084672E">
      <w:pPr>
        <w:pStyle w:val="111Para"/>
      </w:pPr>
      <w:r w:rsidRPr="000A7B67">
        <w:t>Two reverse-transcriptase polymerase chain reaction (RT-PCR) methods for the detection of lyssavirus RNA in clinical samples are described. The first is a conventional (gel-based) pan-lyssavirus hemi-nested RT-PCR assay (</w:t>
      </w:r>
      <w:proofErr w:type="spellStart"/>
      <w:r w:rsidRPr="000A7B67">
        <w:t>hnRT</w:t>
      </w:r>
      <w:proofErr w:type="spellEnd"/>
      <w:r w:rsidRPr="000A7B67">
        <w:t>-PCR). The second is a real-time pan-lyssavirus RT-PCR assay (</w:t>
      </w:r>
      <w:r w:rsidR="001835EF" w:rsidRPr="000A7B67">
        <w:t>based on a fluorescent DNA stain</w:t>
      </w:r>
      <w:r w:rsidRPr="000A7B67">
        <w:t xml:space="preserve">). The principal advantages of the </w:t>
      </w:r>
      <w:proofErr w:type="spellStart"/>
      <w:r w:rsidRPr="000A7B67">
        <w:t>hnRT</w:t>
      </w:r>
      <w:proofErr w:type="spellEnd"/>
      <w:r w:rsidRPr="000A7B67">
        <w:t xml:space="preserve">-PCR assay include the applicability to laboratories that only have conventional PCR apparatus and the ability to obtain genetic data from the generated amplicons. The advantages of the </w:t>
      </w:r>
      <w:r w:rsidR="001835EF" w:rsidRPr="000A7B67">
        <w:t>fluorescent DNA stain-based</w:t>
      </w:r>
      <w:r w:rsidRPr="000A7B67">
        <w:t xml:space="preserve"> assay include increased sensitivity over the conventional assay and a significantly reduced turnaround time. Both assays are based on a one-step approach, which reduces the risks of contamination and </w:t>
      </w:r>
      <w:r w:rsidR="00BD534F" w:rsidRPr="000A7B67">
        <w:t xml:space="preserve">during </w:t>
      </w:r>
      <w:r w:rsidRPr="000A7B67">
        <w:t xml:space="preserve">manipulation. The </w:t>
      </w:r>
      <w:r w:rsidR="001835EF" w:rsidRPr="000A7B67">
        <w:t xml:space="preserve">fluorescent DNA stain-based assay </w:t>
      </w:r>
      <w:r w:rsidRPr="000A7B67">
        <w:t xml:space="preserve">is approximately one log more sensitive than the hemi-nested conventional RT-PCR. </w:t>
      </w:r>
    </w:p>
    <w:p w14:paraId="303E3B58" w14:textId="334114E0" w:rsidR="00DD6EB9" w:rsidRPr="000A7B67" w:rsidRDefault="00DD6EB9" w:rsidP="0084672E">
      <w:pPr>
        <w:pStyle w:val="111Para"/>
      </w:pPr>
      <w:r w:rsidRPr="000A7B67">
        <w:t xml:space="preserve">There are numerous alternative rabies </w:t>
      </w:r>
      <w:r w:rsidR="00D63226" w:rsidRPr="00D63226">
        <w:rPr>
          <w:highlight w:val="yellow"/>
          <w:u w:val="double"/>
        </w:rPr>
        <w:t>RT-</w:t>
      </w:r>
      <w:r w:rsidR="00D63226">
        <w:t>PCR</w:t>
      </w:r>
      <w:r w:rsidR="00D63226" w:rsidRPr="000A7B67">
        <w:t xml:space="preserve"> </w:t>
      </w:r>
      <w:r w:rsidRPr="000A7B67">
        <w:t>methodologies that are fit for purpose (</w:t>
      </w:r>
      <w:r w:rsidR="00497160" w:rsidRPr="000A7B67">
        <w:t xml:space="preserve">for example </w:t>
      </w:r>
      <w:r w:rsidRPr="000A7B67">
        <w:t xml:space="preserve">Freuling </w:t>
      </w:r>
      <w:r w:rsidR="00944968" w:rsidRPr="000A7B67">
        <w:rPr>
          <w:i/>
        </w:rPr>
        <w:t>et al</w:t>
      </w:r>
      <w:r w:rsidRPr="000A7B67">
        <w:t xml:space="preserve">., </w:t>
      </w:r>
      <w:r w:rsidR="007B10DC" w:rsidRPr="000A7B67">
        <w:t>2014</w:t>
      </w:r>
      <w:r w:rsidRPr="000A7B67">
        <w:t xml:space="preserve">; Fischer </w:t>
      </w:r>
      <w:r w:rsidR="00944968" w:rsidRPr="000A7B67">
        <w:rPr>
          <w:i/>
        </w:rPr>
        <w:t>et al</w:t>
      </w:r>
      <w:r w:rsidRPr="000A7B67">
        <w:t>., 201</w:t>
      </w:r>
      <w:r w:rsidR="00B14196" w:rsidRPr="000A7B67">
        <w:t>3</w:t>
      </w:r>
      <w:r w:rsidRPr="000A7B67">
        <w:t xml:space="preserve">; Hayman </w:t>
      </w:r>
      <w:r w:rsidR="00944968" w:rsidRPr="000A7B67">
        <w:rPr>
          <w:i/>
        </w:rPr>
        <w:t>et al</w:t>
      </w:r>
      <w:r w:rsidRPr="000A7B67">
        <w:t xml:space="preserve">., 2011; </w:t>
      </w:r>
      <w:proofErr w:type="spellStart"/>
      <w:r w:rsidRPr="000A7B67">
        <w:t>Suin</w:t>
      </w:r>
      <w:proofErr w:type="spellEnd"/>
      <w:r w:rsidRPr="000A7B67">
        <w:t xml:space="preserve"> </w:t>
      </w:r>
      <w:r w:rsidR="00944968" w:rsidRPr="000A7B67">
        <w:rPr>
          <w:i/>
        </w:rPr>
        <w:t>et al</w:t>
      </w:r>
      <w:r w:rsidRPr="000A7B67">
        <w:t xml:space="preserve">., 2014; Wadhwa </w:t>
      </w:r>
      <w:r w:rsidR="00944968" w:rsidRPr="000A7B67">
        <w:rPr>
          <w:i/>
        </w:rPr>
        <w:t>et al</w:t>
      </w:r>
      <w:r w:rsidRPr="000A7B67">
        <w:t xml:space="preserve">., 2017; </w:t>
      </w:r>
      <w:proofErr w:type="spellStart"/>
      <w:r w:rsidRPr="000A7B67">
        <w:t>Wakeley</w:t>
      </w:r>
      <w:proofErr w:type="spellEnd"/>
      <w:r w:rsidRPr="000A7B67">
        <w:t xml:space="preserve"> </w:t>
      </w:r>
      <w:r w:rsidR="00944968" w:rsidRPr="000A7B67">
        <w:rPr>
          <w:i/>
        </w:rPr>
        <w:t>et al</w:t>
      </w:r>
      <w:r w:rsidR="00B8055C" w:rsidRPr="000A7B67">
        <w:t>., 2005).</w:t>
      </w:r>
      <w:r w:rsidRPr="000A7B67">
        <w:t xml:space="preserve"> Alternative assays may target different genes with different primers and </w:t>
      </w:r>
      <w:r w:rsidR="00551E90" w:rsidRPr="000A7B67">
        <w:t xml:space="preserve">could </w:t>
      </w:r>
      <w:r w:rsidRPr="000A7B67">
        <w:t>also be considered for use</w:t>
      </w:r>
      <w:r w:rsidR="00EC4BB5" w:rsidRPr="000A7B67">
        <w:t xml:space="preserve"> where suitable validation data ha</w:t>
      </w:r>
      <w:r w:rsidR="00BD534F" w:rsidRPr="000A7B67">
        <w:t>ve</w:t>
      </w:r>
      <w:r w:rsidR="00EC4BB5" w:rsidRPr="000A7B67">
        <w:t xml:space="preserve"> been obtained (see chapter 1.1.6)</w:t>
      </w:r>
      <w:r w:rsidRPr="000A7B67">
        <w:t>.</w:t>
      </w:r>
    </w:p>
    <w:p w14:paraId="5E777E6D" w14:textId="77777777" w:rsidR="00DD6EB9" w:rsidRPr="000A7B67" w:rsidRDefault="00DD6EB9" w:rsidP="0084672E">
      <w:pPr>
        <w:pStyle w:val="i"/>
      </w:pPr>
      <w:r w:rsidRPr="000A7B67">
        <w:t>i)</w:t>
      </w:r>
      <w:r w:rsidRPr="000A7B67">
        <w:tab/>
        <w:t>Conventional RT-PCR techniques</w:t>
      </w:r>
    </w:p>
    <w:p w14:paraId="293A052C" w14:textId="24053ABB" w:rsidR="00DD6EB9" w:rsidRPr="000A7B67" w:rsidRDefault="00DD6EB9" w:rsidP="0084672E">
      <w:pPr>
        <w:pStyle w:val="afourthpara"/>
      </w:pPr>
      <w:r w:rsidRPr="000A7B67">
        <w:t xml:space="preserve">The use of conventional </w:t>
      </w:r>
      <w:r w:rsidR="00D63226" w:rsidRPr="00D63226">
        <w:rPr>
          <w:highlight w:val="yellow"/>
          <w:u w:val="double"/>
        </w:rPr>
        <w:t>RT-</w:t>
      </w:r>
      <w:r w:rsidR="00D63226">
        <w:t>PCR</w:t>
      </w:r>
      <w:r w:rsidR="00D63226" w:rsidRPr="000A7B67">
        <w:t xml:space="preserve"> </w:t>
      </w:r>
      <w:r w:rsidRPr="000A7B67">
        <w:t xml:space="preserve">is of benefit to laboratories that lack real-time </w:t>
      </w:r>
      <w:r w:rsidR="00D63226" w:rsidRPr="00D63226">
        <w:rPr>
          <w:highlight w:val="yellow"/>
          <w:u w:val="double"/>
        </w:rPr>
        <w:t>RT-</w:t>
      </w:r>
      <w:r w:rsidR="00D63226">
        <w:t>PCR</w:t>
      </w:r>
      <w:r w:rsidR="00D63226" w:rsidRPr="000A7B67">
        <w:t xml:space="preserve"> </w:t>
      </w:r>
      <w:r w:rsidRPr="000A7B67">
        <w:t>platforms</w:t>
      </w:r>
      <w:r w:rsidR="00EC4BB5" w:rsidRPr="000A7B67">
        <w:t xml:space="preserve"> or that wish to obtain partial gene sequence data</w:t>
      </w:r>
      <w:r w:rsidRPr="000A7B67">
        <w:t xml:space="preserve">. </w:t>
      </w:r>
      <w:r w:rsidR="00EC4BB5" w:rsidRPr="000A7B67">
        <w:t>F</w:t>
      </w:r>
      <w:r w:rsidRPr="000A7B67">
        <w:t xml:space="preserve">urther equipment is required to enable electrophoretic resolution of amplicons on a gel. Prior to testing, RNA is extracted from suspect biological samples using a validated method of </w:t>
      </w:r>
      <w:r w:rsidR="00EC4BB5" w:rsidRPr="000A7B67">
        <w:t xml:space="preserve">nucleic acid </w:t>
      </w:r>
      <w:r w:rsidRPr="000A7B67">
        <w:t xml:space="preserve">extraction. The one-step RT-PCR assay combines reverse transcription and first round PCR in a single tube, using a reverse transcriptase to generate a DNA copy of any viral RNA present that then acts as the template for the DNA polymerase to amplify the cDNA template exponentially. It has the added advantage of reducing the turnaround time of the assay. The assay described below is an example of a fully validated, reproducible conventional </w:t>
      </w:r>
      <w:r w:rsidR="00EC4BB5" w:rsidRPr="000A7B67">
        <w:t>RT-</w:t>
      </w:r>
      <w:r w:rsidRPr="000A7B67">
        <w:t xml:space="preserve">PCR with a high sensitivity and specificity </w:t>
      </w:r>
      <w:r w:rsidR="00EC4BB5" w:rsidRPr="000A7B67">
        <w:t xml:space="preserve">(modified from Heaton </w:t>
      </w:r>
      <w:r w:rsidR="00EC4BB5" w:rsidRPr="000A7B67">
        <w:rPr>
          <w:i/>
        </w:rPr>
        <w:t>et al.,</w:t>
      </w:r>
      <w:r w:rsidR="00EC4BB5" w:rsidRPr="000A7B67">
        <w:t xml:space="preserve"> 1997)</w:t>
      </w:r>
      <w:r w:rsidRPr="000A7B67">
        <w:t>. An optional second round amplification (hemi-nested [</w:t>
      </w:r>
      <w:proofErr w:type="spellStart"/>
      <w:r w:rsidRPr="000A7B67">
        <w:t>hn</w:t>
      </w:r>
      <w:proofErr w:type="spellEnd"/>
      <w:r w:rsidRPr="000A7B67">
        <w:t xml:space="preserve">] PCR) is possible to increase the sensitivity and/or to confirm the specificity of the first round PCR product. </w:t>
      </w:r>
    </w:p>
    <w:p w14:paraId="31E54034" w14:textId="77777777" w:rsidR="00DD6EB9" w:rsidRPr="000A7B67" w:rsidRDefault="00804C16" w:rsidP="0084672E">
      <w:pPr>
        <w:pStyle w:val="afourthlevel"/>
      </w:pPr>
      <w:r w:rsidRPr="000A7B67">
        <w:t>a</w:t>
      </w:r>
      <w:r w:rsidR="00DD6EB9" w:rsidRPr="000A7B67">
        <w:t>)</w:t>
      </w:r>
      <w:r w:rsidR="00DD6EB9" w:rsidRPr="000A7B67">
        <w:tab/>
      </w:r>
      <w:r w:rsidR="001160D0" w:rsidRPr="000A7B67">
        <w:t>Primer sequences</w:t>
      </w:r>
    </w:p>
    <w:p w14:paraId="42DCCEDA" w14:textId="77777777" w:rsidR="00DD6EB9" w:rsidRPr="000A7B67" w:rsidRDefault="00A930A1" w:rsidP="00B14196">
      <w:pPr>
        <w:pStyle w:val="ififthlevellist"/>
      </w:pPr>
      <w:r w:rsidRPr="000A7B67">
        <w:t>1</w:t>
      </w:r>
      <w:r w:rsidR="00DD6EB9" w:rsidRPr="000A7B67">
        <w:t>)</w:t>
      </w:r>
      <w:r w:rsidR="00DD6EB9" w:rsidRPr="000A7B67">
        <w:tab/>
        <w:t>JW12 Primer 5’-ATG-TAA-CAC-CYC-TAC-AAT-G-3’</w:t>
      </w:r>
    </w:p>
    <w:p w14:paraId="2BF8515F" w14:textId="77777777" w:rsidR="00DD6EB9" w:rsidRPr="000A7B67" w:rsidRDefault="00DD6EB9" w:rsidP="00B14196">
      <w:pPr>
        <w:pStyle w:val="dotsixthpara"/>
        <w:spacing w:after="120"/>
      </w:pPr>
      <w:r w:rsidRPr="000A7B67">
        <w:t xml:space="preserve">7.5 </w:t>
      </w:r>
      <w:proofErr w:type="spellStart"/>
      <w:r w:rsidRPr="000A7B67">
        <w:t>pmol</w:t>
      </w:r>
      <w:proofErr w:type="spellEnd"/>
      <w:r w:rsidRPr="000A7B67">
        <w:t>/µl (</w:t>
      </w:r>
      <w:r w:rsidR="00635919" w:rsidRPr="000A7B67">
        <w:t>fir</w:t>
      </w:r>
      <w:r w:rsidRPr="000A7B67">
        <w:t xml:space="preserve">st round) </w:t>
      </w:r>
    </w:p>
    <w:p w14:paraId="70566A9F" w14:textId="77777777" w:rsidR="00DD6EB9" w:rsidRPr="000A7B67" w:rsidRDefault="00DD6EB9" w:rsidP="00B14196">
      <w:pPr>
        <w:pStyle w:val="dotsixthpara"/>
        <w:spacing w:after="120"/>
      </w:pPr>
      <w:r w:rsidRPr="000A7B67">
        <w:t xml:space="preserve">3.5 </w:t>
      </w:r>
      <w:proofErr w:type="spellStart"/>
      <w:r w:rsidRPr="000A7B67">
        <w:t>pmol</w:t>
      </w:r>
      <w:proofErr w:type="spellEnd"/>
      <w:r w:rsidRPr="000A7B67">
        <w:t>/µl (</w:t>
      </w:r>
      <w:r w:rsidR="00635919" w:rsidRPr="000A7B67">
        <w:t>seco</w:t>
      </w:r>
      <w:r w:rsidRPr="000A7B67">
        <w:t xml:space="preserve">nd round) </w:t>
      </w:r>
    </w:p>
    <w:p w14:paraId="3E45500C" w14:textId="77777777" w:rsidR="00DD6EB9" w:rsidRPr="00D9477C" w:rsidRDefault="00A930A1" w:rsidP="00B14196">
      <w:pPr>
        <w:pStyle w:val="ififthlevellist"/>
        <w:rPr>
          <w:lang w:val="en-IE"/>
        </w:rPr>
      </w:pPr>
      <w:r w:rsidRPr="00D9477C">
        <w:rPr>
          <w:lang w:val="en-IE"/>
        </w:rPr>
        <w:t>2</w:t>
      </w:r>
      <w:r w:rsidR="00DD6EB9" w:rsidRPr="00D9477C">
        <w:rPr>
          <w:lang w:val="en-IE"/>
        </w:rPr>
        <w:t>)</w:t>
      </w:r>
      <w:r w:rsidR="00DD6EB9" w:rsidRPr="00D9477C">
        <w:rPr>
          <w:lang w:val="en-IE"/>
        </w:rPr>
        <w:tab/>
        <w:t>JW6UNI Primer 5’-CAR-TTV-GCR-CAC-ATY-TTR-TG-3’</w:t>
      </w:r>
    </w:p>
    <w:p w14:paraId="041CA09F" w14:textId="77777777" w:rsidR="00DD6EB9" w:rsidRPr="000A7B67" w:rsidRDefault="00DD6EB9" w:rsidP="00B14196">
      <w:pPr>
        <w:pStyle w:val="dotsixthpara"/>
        <w:spacing w:after="120"/>
      </w:pPr>
      <w:r w:rsidRPr="000A7B67">
        <w:t xml:space="preserve">7.5 </w:t>
      </w:r>
      <w:proofErr w:type="spellStart"/>
      <w:r w:rsidRPr="000A7B67">
        <w:t>pmol</w:t>
      </w:r>
      <w:proofErr w:type="spellEnd"/>
      <w:r w:rsidRPr="000A7B67">
        <w:t>/µl (</w:t>
      </w:r>
      <w:r w:rsidR="00635919" w:rsidRPr="000A7B67">
        <w:t>fir</w:t>
      </w:r>
      <w:r w:rsidRPr="000A7B67">
        <w:t xml:space="preserve">st round) </w:t>
      </w:r>
    </w:p>
    <w:p w14:paraId="594AB972" w14:textId="77777777" w:rsidR="00DD6EB9" w:rsidRPr="000A7B67" w:rsidRDefault="00A930A1" w:rsidP="00B14196">
      <w:pPr>
        <w:pStyle w:val="ififthlevellist"/>
      </w:pPr>
      <w:r w:rsidRPr="000A7B67">
        <w:t>3</w:t>
      </w:r>
      <w:r w:rsidR="00DD6EB9" w:rsidRPr="000A7B67">
        <w:t>)</w:t>
      </w:r>
      <w:r w:rsidR="00DD6EB9" w:rsidRPr="000A7B67">
        <w:tab/>
        <w:t>JW10UNI Primer 5’-GTC-ATY-ARW-GTR-TGR-TGY-TC-3’</w:t>
      </w:r>
    </w:p>
    <w:p w14:paraId="22B92168" w14:textId="77777777" w:rsidR="00DD6EB9" w:rsidRPr="000A7B67" w:rsidRDefault="00DD6EB9" w:rsidP="00AB46DD">
      <w:pPr>
        <w:pStyle w:val="dotsixthpara"/>
      </w:pPr>
      <w:r w:rsidRPr="000A7B67">
        <w:t xml:space="preserve">3.5 </w:t>
      </w:r>
      <w:proofErr w:type="spellStart"/>
      <w:r w:rsidRPr="000A7B67">
        <w:t>pmol</w:t>
      </w:r>
      <w:proofErr w:type="spellEnd"/>
      <w:r w:rsidRPr="000A7B67">
        <w:t>/µl (</w:t>
      </w:r>
      <w:r w:rsidR="00635919" w:rsidRPr="000A7B67">
        <w:t>seco</w:t>
      </w:r>
      <w:r w:rsidRPr="000A7B67">
        <w:t xml:space="preserve">nd round) </w:t>
      </w:r>
    </w:p>
    <w:p w14:paraId="33436833" w14:textId="77777777" w:rsidR="00DD6EB9" w:rsidRPr="000A7B67" w:rsidRDefault="00551E90" w:rsidP="0084672E">
      <w:pPr>
        <w:pStyle w:val="afourthlevel"/>
      </w:pPr>
      <w:r w:rsidRPr="000A7B67">
        <w:t>b</w:t>
      </w:r>
      <w:r w:rsidR="00DD6EB9" w:rsidRPr="000A7B67">
        <w:t>)</w:t>
      </w:r>
      <w:r w:rsidR="00DD6EB9" w:rsidRPr="000A7B67">
        <w:tab/>
      </w:r>
      <w:r w:rsidR="0025686A" w:rsidRPr="000A7B67">
        <w:t>Test p</w:t>
      </w:r>
      <w:r w:rsidR="00DD6EB9" w:rsidRPr="000A7B67">
        <w:t>rocedure</w:t>
      </w:r>
    </w:p>
    <w:p w14:paraId="3C014910" w14:textId="77777777" w:rsidR="00DD6EB9" w:rsidRPr="000A7B67" w:rsidRDefault="00DD6EB9" w:rsidP="00990DCF">
      <w:pPr>
        <w:pStyle w:val="ififthpara"/>
      </w:pPr>
      <w:r w:rsidRPr="000A7B67">
        <w:t xml:space="preserve">Each test must contain positive </w:t>
      </w:r>
      <w:r w:rsidR="000F7CD1" w:rsidRPr="000A7B67">
        <w:t xml:space="preserve">(PC) </w:t>
      </w:r>
      <w:r w:rsidRPr="000A7B67">
        <w:t xml:space="preserve">and negative </w:t>
      </w:r>
      <w:r w:rsidR="000F0CD0" w:rsidRPr="000A7B67">
        <w:t>(NC)</w:t>
      </w:r>
      <w:r w:rsidR="004F400D" w:rsidRPr="000A7B67">
        <w:t xml:space="preserve"> </w:t>
      </w:r>
      <w:r w:rsidRPr="000A7B67">
        <w:t>control</w:t>
      </w:r>
      <w:r w:rsidR="000F0CD0" w:rsidRPr="000A7B67">
        <w:t xml:space="preserve"> tissue</w:t>
      </w:r>
      <w:r w:rsidR="009171C2" w:rsidRPr="000A7B67">
        <w:t xml:space="preserve"> samples,</w:t>
      </w:r>
      <w:r w:rsidRPr="000A7B67">
        <w:t xml:space="preserve"> </w:t>
      </w:r>
      <w:r w:rsidR="000F7CD1" w:rsidRPr="000A7B67">
        <w:t>as well as a no template control (NTC)</w:t>
      </w:r>
      <w:r w:rsidR="00966E75" w:rsidRPr="000A7B67">
        <w:t>,</w:t>
      </w:r>
      <w:r w:rsidR="000F7CD1" w:rsidRPr="000A7B67">
        <w:t xml:space="preserve"> </w:t>
      </w:r>
      <w:r w:rsidRPr="000A7B67">
        <w:t>which are run alongside the test samples</w:t>
      </w:r>
      <w:r w:rsidR="00990DCF" w:rsidRPr="000A7B67">
        <w:t>.</w:t>
      </w:r>
    </w:p>
    <w:p w14:paraId="185CD12B" w14:textId="77777777" w:rsidR="00DD6EB9" w:rsidRPr="006E17A0" w:rsidRDefault="00635919" w:rsidP="00990DCF">
      <w:pPr>
        <w:pStyle w:val="ififthlevel"/>
      </w:pPr>
      <w:r w:rsidRPr="006E17A0">
        <w:t>Fir</w:t>
      </w:r>
      <w:r w:rsidR="00DD6EB9" w:rsidRPr="006E17A0">
        <w:t xml:space="preserve">st </w:t>
      </w:r>
      <w:r w:rsidR="00B14196" w:rsidRPr="006E17A0">
        <w:t xml:space="preserve">round </w:t>
      </w:r>
      <w:r w:rsidR="00ED0CA8" w:rsidRPr="006E17A0">
        <w:t>one step (</w:t>
      </w:r>
      <w:r w:rsidR="00DD6EB9" w:rsidRPr="006E17A0">
        <w:t>OS</w:t>
      </w:r>
      <w:r w:rsidR="00ED0CA8" w:rsidRPr="006E17A0">
        <w:t>)</w:t>
      </w:r>
      <w:r w:rsidR="00DD6EB9" w:rsidRPr="006E17A0">
        <w:t xml:space="preserve"> RT-PCR (JW6UNI/12)</w:t>
      </w:r>
    </w:p>
    <w:p w14:paraId="3BD116BE" w14:textId="77777777" w:rsidR="00DD6EB9" w:rsidRPr="006E17A0" w:rsidRDefault="00DD6EB9" w:rsidP="00990DCF">
      <w:pPr>
        <w:pStyle w:val="ififthlevel"/>
      </w:pPr>
      <w:r w:rsidRPr="006E17A0">
        <w:t xml:space="preserve">In </w:t>
      </w:r>
      <w:r w:rsidR="00990DCF" w:rsidRPr="006E17A0">
        <w:t>clean room</w:t>
      </w:r>
      <w:r w:rsidR="001160D0" w:rsidRPr="006E17A0">
        <w:t>:</w:t>
      </w:r>
    </w:p>
    <w:p w14:paraId="5F6252BC" w14:textId="77777777" w:rsidR="000F0CD0" w:rsidRPr="000A7B67" w:rsidRDefault="00A930A1" w:rsidP="00990DCF">
      <w:pPr>
        <w:pStyle w:val="dot-sixthlevellist"/>
      </w:pPr>
      <w:r w:rsidRPr="000A7B67">
        <w:t>1</w:t>
      </w:r>
      <w:r w:rsidR="00DD6EB9" w:rsidRPr="000A7B67">
        <w:t>)</w:t>
      </w:r>
      <w:r w:rsidR="00DD6EB9" w:rsidRPr="000A7B67">
        <w:tab/>
        <w:t>Wipe bench with an appropriate disinfectant prior to use</w:t>
      </w:r>
      <w:r w:rsidR="000F0CD0" w:rsidRPr="000A7B67">
        <w:t xml:space="preserve"> or prepare PCR workstation. To prepare, open doors of the PCR workstation and wipe the cabinet surface with an appropriate disinfectant. Place an ice bucket</w:t>
      </w:r>
      <w:r w:rsidR="00AB46DD" w:rsidRPr="000A7B67">
        <w:t xml:space="preserve"> </w:t>
      </w:r>
      <w:r w:rsidR="006C1E98" w:rsidRPr="000A7B67">
        <w:t>and</w:t>
      </w:r>
      <w:r w:rsidR="000F0CD0" w:rsidRPr="000A7B67">
        <w:t xml:space="preserve"> suitable pipette and tips within the station and close the doors. Switch on UV light for 10 minutes</w:t>
      </w:r>
      <w:r w:rsidR="00DD6EB9" w:rsidRPr="000A7B67">
        <w:t xml:space="preserve">. </w:t>
      </w:r>
    </w:p>
    <w:p w14:paraId="5A0CDCB9" w14:textId="77777777" w:rsidR="00DD6EB9" w:rsidRPr="000A7B67" w:rsidRDefault="000F0CD0" w:rsidP="00990DCF">
      <w:pPr>
        <w:pStyle w:val="dot-sixthlevellist"/>
      </w:pPr>
      <w:r w:rsidRPr="000A7B67">
        <w:t>2)</w:t>
      </w:r>
      <w:r w:rsidRPr="000A7B67">
        <w:tab/>
      </w:r>
      <w:r w:rsidR="00DD6EB9" w:rsidRPr="000A7B67">
        <w:t>Obtain the required test reagents. Ensure the enzyme mix is kept on ice</w:t>
      </w:r>
      <w:r w:rsidR="00876446" w:rsidRPr="000A7B67">
        <w:t>.</w:t>
      </w:r>
      <w:r w:rsidR="00DD6EB9" w:rsidRPr="000A7B67">
        <w:t xml:space="preserve"> </w:t>
      </w:r>
      <w:r w:rsidR="00876446" w:rsidRPr="000A7B67">
        <w:t>T</w:t>
      </w:r>
      <w:r w:rsidR="00DD6EB9" w:rsidRPr="000A7B67">
        <w:t>he remaining reagents can be thawed at room temperature.</w:t>
      </w:r>
    </w:p>
    <w:p w14:paraId="3A7C8AA9" w14:textId="77777777" w:rsidR="00DD6EB9" w:rsidRPr="000A7B67" w:rsidRDefault="000F0CD0" w:rsidP="00990DCF">
      <w:pPr>
        <w:pStyle w:val="dot-sixthlevellist"/>
      </w:pPr>
      <w:r w:rsidRPr="000A7B67">
        <w:t>3</w:t>
      </w:r>
      <w:r w:rsidR="00DD6EB9" w:rsidRPr="000A7B67">
        <w:t>)</w:t>
      </w:r>
      <w:r w:rsidR="00DD6EB9" w:rsidRPr="000A7B67">
        <w:tab/>
        <w:t>Put the required number of 0.2 ml tubes in a rack and label the tubes clearly with sample identification</w:t>
      </w:r>
      <w:r w:rsidR="00876446" w:rsidRPr="000A7B67">
        <w:t>,</w:t>
      </w:r>
      <w:r w:rsidR="00DD6EB9" w:rsidRPr="000A7B67">
        <w:t xml:space="preserve"> denot</w:t>
      </w:r>
      <w:r w:rsidR="00876446" w:rsidRPr="000A7B67">
        <w:t>ing</w:t>
      </w:r>
      <w:r w:rsidR="00DD6EB9" w:rsidRPr="000A7B67">
        <w:t xml:space="preserve"> that this is the first round reaction</w:t>
      </w:r>
      <w:r w:rsidRPr="000A7B67">
        <w:t xml:space="preserve">. Include </w:t>
      </w:r>
      <w:r w:rsidR="000F7CD1" w:rsidRPr="000A7B67">
        <w:t xml:space="preserve">PC, NC and </w:t>
      </w:r>
      <w:r w:rsidRPr="000A7B67">
        <w:t>NTC</w:t>
      </w:r>
      <w:r w:rsidR="00984468" w:rsidRPr="000A7B67">
        <w:t>.</w:t>
      </w:r>
    </w:p>
    <w:p w14:paraId="56E04CFC" w14:textId="77777777" w:rsidR="00B14196" w:rsidRPr="000A7B67" w:rsidRDefault="000F0CD0" w:rsidP="00F51117">
      <w:pPr>
        <w:pStyle w:val="dot-sixthlevellist"/>
        <w:rPr>
          <w:rFonts w:ascii="Ottawa" w:hAnsi="Ottawa" w:cs="Ottawa"/>
          <w:b/>
          <w:bCs/>
          <w:i/>
          <w:iCs/>
        </w:rPr>
      </w:pPr>
      <w:r w:rsidRPr="000A7B67">
        <w:t>4</w:t>
      </w:r>
      <w:r w:rsidR="00DD6EB9" w:rsidRPr="000A7B67">
        <w:t>)</w:t>
      </w:r>
      <w:r w:rsidR="00DD6EB9" w:rsidRPr="000A7B67">
        <w:tab/>
        <w:t>Prepare a JW6UNI/JW12 reaction master mix as detailed below:</w:t>
      </w:r>
    </w:p>
    <w:p w14:paraId="75F64658" w14:textId="77777777" w:rsidR="00C12B58" w:rsidRPr="00805E5E" w:rsidRDefault="00C12B58" w:rsidP="00C12B58">
      <w:pPr>
        <w:pStyle w:val="dot-sixthlevellist"/>
        <w:jc w:val="center"/>
        <w:rPr>
          <w:rFonts w:ascii="Söhne Kräftig" w:hAnsi="Söhne Kräftig"/>
          <w:bCs/>
          <w:sz w:val="17"/>
          <w:szCs w:val="17"/>
        </w:rPr>
      </w:pPr>
      <w:r w:rsidRPr="00805E5E">
        <w:rPr>
          <w:rFonts w:ascii="Söhne Kräftig" w:hAnsi="Söhne Kräftig"/>
          <w:bCs/>
          <w:sz w:val="17"/>
          <w:szCs w:val="17"/>
        </w:rPr>
        <w:t>First round JW6UNI/12 master mix</w:t>
      </w:r>
    </w:p>
    <w:tbl>
      <w:tblPr>
        <w:tblStyle w:val="TableGrid"/>
        <w:tblW w:w="0" w:type="auto"/>
        <w:tblInd w:w="2802" w:type="dxa"/>
        <w:tblLook w:val="04A0" w:firstRow="1" w:lastRow="0" w:firstColumn="1" w:lastColumn="0" w:noHBand="0" w:noVBand="1"/>
      </w:tblPr>
      <w:tblGrid>
        <w:gridCol w:w="2925"/>
        <w:gridCol w:w="3334"/>
      </w:tblGrid>
      <w:tr w:rsidR="00C12B58" w:rsidRPr="00805E5E" w14:paraId="2BFFC57C" w14:textId="77777777" w:rsidTr="002A10C6">
        <w:trPr>
          <w:tblHeader/>
        </w:trPr>
        <w:tc>
          <w:tcPr>
            <w:tcW w:w="2976" w:type="dxa"/>
          </w:tcPr>
          <w:p w14:paraId="03F5A644" w14:textId="77777777" w:rsidR="00C12B58" w:rsidRPr="00805E5E" w:rsidRDefault="00C12B58" w:rsidP="002A10C6">
            <w:pPr>
              <w:pStyle w:val="Tabletitle"/>
              <w:spacing w:before="60" w:after="60"/>
              <w:rPr>
                <w:b w:val="0"/>
                <w:bCs w:val="0"/>
                <w:i w:val="0"/>
                <w:iCs w:val="0"/>
              </w:rPr>
            </w:pPr>
            <w:r w:rsidRPr="00805E5E">
              <w:rPr>
                <w:b w:val="0"/>
                <w:bCs w:val="0"/>
                <w:i w:val="0"/>
                <w:iCs w:val="0"/>
              </w:rPr>
              <w:t>Reagent</w:t>
            </w:r>
          </w:p>
        </w:tc>
        <w:tc>
          <w:tcPr>
            <w:tcW w:w="3402" w:type="dxa"/>
          </w:tcPr>
          <w:p w14:paraId="01F841C5" w14:textId="77777777" w:rsidR="00C12B58" w:rsidRPr="00805E5E" w:rsidRDefault="00C12B58" w:rsidP="002A10C6">
            <w:pPr>
              <w:pStyle w:val="Tabletitle"/>
              <w:spacing w:before="60" w:after="60"/>
              <w:rPr>
                <w:b w:val="0"/>
                <w:bCs w:val="0"/>
                <w:i w:val="0"/>
                <w:iCs w:val="0"/>
              </w:rPr>
            </w:pPr>
            <w:r w:rsidRPr="00805E5E">
              <w:rPr>
                <w:b w:val="0"/>
                <w:bCs w:val="0"/>
                <w:i w:val="0"/>
                <w:iCs w:val="0"/>
              </w:rPr>
              <w:t>Volume per reaction (</w:t>
            </w:r>
            <w:r w:rsidRPr="00805E5E">
              <w:rPr>
                <w:rFonts w:ascii="Calibri" w:hAnsi="Calibri" w:cs="Calibri"/>
                <w:b w:val="0"/>
                <w:bCs w:val="0"/>
                <w:i w:val="0"/>
                <w:iCs w:val="0"/>
              </w:rPr>
              <w:t>µ</w:t>
            </w:r>
            <w:r w:rsidRPr="00805E5E">
              <w:rPr>
                <w:b w:val="0"/>
                <w:bCs w:val="0"/>
                <w:i w:val="0"/>
                <w:iCs w:val="0"/>
              </w:rPr>
              <w:t>l)</w:t>
            </w:r>
          </w:p>
        </w:tc>
      </w:tr>
      <w:tr w:rsidR="00C12B58" w:rsidRPr="000A7B67" w14:paraId="2B073D4D" w14:textId="77777777" w:rsidTr="002A10C6">
        <w:tc>
          <w:tcPr>
            <w:tcW w:w="2976" w:type="dxa"/>
          </w:tcPr>
          <w:p w14:paraId="0E47F241"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Molecular grade water</w:t>
            </w:r>
          </w:p>
        </w:tc>
        <w:tc>
          <w:tcPr>
            <w:tcW w:w="3402" w:type="dxa"/>
          </w:tcPr>
          <w:p w14:paraId="792567AC"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29.0</w:t>
            </w:r>
          </w:p>
        </w:tc>
      </w:tr>
      <w:tr w:rsidR="00C12B58" w:rsidRPr="000A7B67" w14:paraId="5BF4173F" w14:textId="77777777" w:rsidTr="002A10C6">
        <w:tc>
          <w:tcPr>
            <w:tcW w:w="2976" w:type="dxa"/>
          </w:tcPr>
          <w:p w14:paraId="4FC78AB7"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5× buffer</w:t>
            </w:r>
          </w:p>
        </w:tc>
        <w:tc>
          <w:tcPr>
            <w:tcW w:w="3402" w:type="dxa"/>
          </w:tcPr>
          <w:p w14:paraId="35215CDB"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10.0</w:t>
            </w:r>
          </w:p>
        </w:tc>
      </w:tr>
      <w:tr w:rsidR="00C12B58" w:rsidRPr="000A7B67" w14:paraId="5EB2C02F" w14:textId="77777777" w:rsidTr="002A10C6">
        <w:tc>
          <w:tcPr>
            <w:tcW w:w="2976" w:type="dxa"/>
          </w:tcPr>
          <w:p w14:paraId="3E2CB5FC"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dNTPs (10 mM)</w:t>
            </w:r>
          </w:p>
        </w:tc>
        <w:tc>
          <w:tcPr>
            <w:tcW w:w="3402" w:type="dxa"/>
          </w:tcPr>
          <w:p w14:paraId="544E662D"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2.0</w:t>
            </w:r>
          </w:p>
        </w:tc>
      </w:tr>
      <w:tr w:rsidR="00C12B58" w:rsidRPr="000A7B67" w14:paraId="7380B0E5" w14:textId="77777777" w:rsidTr="002A10C6">
        <w:tc>
          <w:tcPr>
            <w:tcW w:w="2976" w:type="dxa"/>
          </w:tcPr>
          <w:p w14:paraId="0A83C43D"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 xml:space="preserve">JW12 (7.5 </w:t>
            </w:r>
            <w:proofErr w:type="spellStart"/>
            <w:r w:rsidRPr="002A10C6">
              <w:rPr>
                <w:rFonts w:ascii="Söhne" w:hAnsi="Söhne"/>
                <w:b w:val="0"/>
                <w:bCs w:val="0"/>
                <w:i w:val="0"/>
                <w:iCs w:val="0"/>
                <w:sz w:val="16"/>
                <w:szCs w:val="16"/>
              </w:rPr>
              <w:t>pmol</w:t>
            </w:r>
            <w:proofErr w:type="spellEnd"/>
            <w:r w:rsidRPr="002A10C6">
              <w:rPr>
                <w:rFonts w:ascii="Söhne" w:hAnsi="Söhne"/>
                <w:b w:val="0"/>
                <w:bCs w:val="0"/>
                <w:i w:val="0"/>
                <w:iCs w:val="0"/>
                <w:sz w:val="16"/>
                <w:szCs w:val="16"/>
              </w:rPr>
              <w:t>/</w:t>
            </w:r>
            <w:r w:rsidRPr="002A10C6">
              <w:rPr>
                <w:rFonts w:ascii="Calibri" w:hAnsi="Calibri" w:cs="Calibri"/>
                <w:b w:val="0"/>
                <w:bCs w:val="0"/>
                <w:i w:val="0"/>
                <w:iCs w:val="0"/>
                <w:sz w:val="16"/>
                <w:szCs w:val="16"/>
              </w:rPr>
              <w:t>µ</w:t>
            </w:r>
            <w:r w:rsidRPr="002A10C6">
              <w:rPr>
                <w:rFonts w:ascii="Söhne" w:hAnsi="Söhne"/>
                <w:b w:val="0"/>
                <w:bCs w:val="0"/>
                <w:i w:val="0"/>
                <w:iCs w:val="0"/>
                <w:sz w:val="16"/>
                <w:szCs w:val="16"/>
              </w:rPr>
              <w:t>l)</w:t>
            </w:r>
          </w:p>
        </w:tc>
        <w:tc>
          <w:tcPr>
            <w:tcW w:w="3402" w:type="dxa"/>
          </w:tcPr>
          <w:p w14:paraId="7C0C009E"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3.0</w:t>
            </w:r>
          </w:p>
        </w:tc>
      </w:tr>
      <w:tr w:rsidR="00C12B58" w:rsidRPr="000A7B67" w14:paraId="6CA6024A" w14:textId="77777777" w:rsidTr="002A10C6">
        <w:tc>
          <w:tcPr>
            <w:tcW w:w="2976" w:type="dxa"/>
          </w:tcPr>
          <w:p w14:paraId="2B0F3901"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 xml:space="preserve">JW6UNI (7.5 </w:t>
            </w:r>
            <w:proofErr w:type="spellStart"/>
            <w:r w:rsidRPr="002A10C6">
              <w:rPr>
                <w:rFonts w:ascii="Söhne" w:hAnsi="Söhne"/>
                <w:b w:val="0"/>
                <w:bCs w:val="0"/>
                <w:i w:val="0"/>
                <w:iCs w:val="0"/>
                <w:sz w:val="16"/>
                <w:szCs w:val="16"/>
              </w:rPr>
              <w:t>pmol</w:t>
            </w:r>
            <w:proofErr w:type="spellEnd"/>
            <w:r w:rsidRPr="002A10C6">
              <w:rPr>
                <w:rFonts w:ascii="Söhne" w:hAnsi="Söhne"/>
                <w:b w:val="0"/>
                <w:bCs w:val="0"/>
                <w:i w:val="0"/>
                <w:iCs w:val="0"/>
                <w:sz w:val="16"/>
                <w:szCs w:val="16"/>
              </w:rPr>
              <w:t>/</w:t>
            </w:r>
            <w:r w:rsidRPr="002A10C6">
              <w:rPr>
                <w:rFonts w:ascii="Calibri" w:hAnsi="Calibri" w:cs="Calibri"/>
                <w:b w:val="0"/>
                <w:bCs w:val="0"/>
                <w:i w:val="0"/>
                <w:iCs w:val="0"/>
                <w:sz w:val="16"/>
                <w:szCs w:val="16"/>
              </w:rPr>
              <w:t>µ</w:t>
            </w:r>
            <w:r w:rsidRPr="002A10C6">
              <w:rPr>
                <w:rFonts w:ascii="Söhne" w:hAnsi="Söhne"/>
                <w:b w:val="0"/>
                <w:bCs w:val="0"/>
                <w:i w:val="0"/>
                <w:iCs w:val="0"/>
                <w:sz w:val="16"/>
                <w:szCs w:val="16"/>
              </w:rPr>
              <w:t>l)</w:t>
            </w:r>
          </w:p>
        </w:tc>
        <w:tc>
          <w:tcPr>
            <w:tcW w:w="3402" w:type="dxa"/>
          </w:tcPr>
          <w:p w14:paraId="020A9FED"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3.0</w:t>
            </w:r>
          </w:p>
        </w:tc>
      </w:tr>
      <w:tr w:rsidR="00C12B58" w:rsidRPr="000A7B67" w14:paraId="637DB5A7" w14:textId="77777777" w:rsidTr="002A10C6">
        <w:tc>
          <w:tcPr>
            <w:tcW w:w="2976" w:type="dxa"/>
          </w:tcPr>
          <w:p w14:paraId="37B2BDC2"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Enzyme mix</w:t>
            </w:r>
          </w:p>
        </w:tc>
        <w:tc>
          <w:tcPr>
            <w:tcW w:w="3402" w:type="dxa"/>
          </w:tcPr>
          <w:p w14:paraId="5F268308"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2.0</w:t>
            </w:r>
          </w:p>
        </w:tc>
      </w:tr>
      <w:tr w:rsidR="00C12B58" w:rsidRPr="000A7B67" w14:paraId="6E3A86CA" w14:textId="77777777" w:rsidTr="002A10C6">
        <w:tc>
          <w:tcPr>
            <w:tcW w:w="2976" w:type="dxa"/>
          </w:tcPr>
          <w:p w14:paraId="68AEA926"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Total</w:t>
            </w:r>
          </w:p>
        </w:tc>
        <w:tc>
          <w:tcPr>
            <w:tcW w:w="3402" w:type="dxa"/>
          </w:tcPr>
          <w:p w14:paraId="0F9BFCB6" w14:textId="77777777" w:rsidR="00C12B58" w:rsidRPr="002A10C6" w:rsidRDefault="00C12B58" w:rsidP="002A10C6">
            <w:pPr>
              <w:pStyle w:val="Tabletitle"/>
              <w:spacing w:before="60" w:after="60"/>
              <w:rPr>
                <w:rFonts w:ascii="Söhne" w:hAnsi="Söhne"/>
                <w:b w:val="0"/>
                <w:bCs w:val="0"/>
                <w:i w:val="0"/>
                <w:iCs w:val="0"/>
                <w:sz w:val="16"/>
                <w:szCs w:val="16"/>
              </w:rPr>
            </w:pPr>
            <w:r w:rsidRPr="002A10C6">
              <w:rPr>
                <w:rFonts w:ascii="Söhne" w:hAnsi="Söhne"/>
                <w:b w:val="0"/>
                <w:bCs w:val="0"/>
                <w:i w:val="0"/>
                <w:iCs w:val="0"/>
                <w:sz w:val="16"/>
                <w:szCs w:val="16"/>
              </w:rPr>
              <w:t>49</w:t>
            </w:r>
          </w:p>
        </w:tc>
      </w:tr>
    </w:tbl>
    <w:p w14:paraId="5651E7D2" w14:textId="77777777" w:rsidR="00C12B58" w:rsidRPr="000A7B67" w:rsidRDefault="00C12B58" w:rsidP="00EC645C">
      <w:pPr>
        <w:pStyle w:val="dotseventhlevelpara"/>
        <w:spacing w:before="120" w:after="120"/>
      </w:pPr>
      <w:r w:rsidRPr="000A7B67">
        <w:t>Keep all reagents on ice, thaw and vortex before using. Allow for pipetting variation by preparing a volume of master mix at least one reaction greater than required.</w:t>
      </w:r>
    </w:p>
    <w:p w14:paraId="1F37479F" w14:textId="77777777" w:rsidR="00DD6EB9" w:rsidRPr="000A7B67" w:rsidRDefault="00ED0CA8" w:rsidP="006D14B0">
      <w:pPr>
        <w:pStyle w:val="dot-sixthlevellist"/>
      </w:pPr>
      <w:r w:rsidRPr="000A7B67">
        <w:t>5</w:t>
      </w:r>
      <w:r w:rsidR="00DD6EB9" w:rsidRPr="000A7B67">
        <w:t>)</w:t>
      </w:r>
      <w:r w:rsidR="00DD6EB9" w:rsidRPr="000A7B67">
        <w:tab/>
        <w:t>Vortex the prepared master mix thoroughly, centrifuge and dispense 49 µl into each of the 0.2 ml tubes. Close the lids.</w:t>
      </w:r>
    </w:p>
    <w:p w14:paraId="26C35A8E" w14:textId="77777777" w:rsidR="00DD6EB9" w:rsidRPr="000A7B67" w:rsidRDefault="00ED0CA8" w:rsidP="00B14196">
      <w:pPr>
        <w:pStyle w:val="dot-sixthlevellist"/>
        <w:spacing w:after="240"/>
      </w:pPr>
      <w:r w:rsidRPr="000A7B67">
        <w:t>6</w:t>
      </w:r>
      <w:r w:rsidR="00DD6EB9" w:rsidRPr="000A7B67">
        <w:t>)</w:t>
      </w:r>
      <w:r w:rsidR="00DD6EB9" w:rsidRPr="000A7B67">
        <w:tab/>
        <w:t>Transfer the sealed tubes to the ice/cool block in the template room on a tray. Once a tray has been removed it must not be returned to the clean room without decontamination using an appropriate disinfectant</w:t>
      </w:r>
    </w:p>
    <w:p w14:paraId="2F75D17A" w14:textId="77777777" w:rsidR="00DD6EB9" w:rsidRPr="000A7B67" w:rsidRDefault="0025686A" w:rsidP="006D14B0">
      <w:pPr>
        <w:pStyle w:val="ififthlevel"/>
      </w:pPr>
      <w:r w:rsidRPr="000A7B67">
        <w:t>In t</w:t>
      </w:r>
      <w:r w:rsidR="00DD6EB9" w:rsidRPr="000A7B67">
        <w:t xml:space="preserve">emplate </w:t>
      </w:r>
      <w:r w:rsidR="00B14196" w:rsidRPr="000A7B67">
        <w:t>r</w:t>
      </w:r>
      <w:r w:rsidR="00DD6EB9" w:rsidRPr="000A7B67">
        <w:t>oom – addition of template</w:t>
      </w:r>
    </w:p>
    <w:p w14:paraId="55F211A2" w14:textId="77777777" w:rsidR="00DD6EB9" w:rsidRPr="000A7B67" w:rsidRDefault="00755CF2" w:rsidP="006D14B0">
      <w:pPr>
        <w:pStyle w:val="dot-sixthlevellist"/>
      </w:pPr>
      <w:r w:rsidRPr="000A7B67">
        <w:t>1</w:t>
      </w:r>
      <w:r w:rsidR="00DD6EB9" w:rsidRPr="000A7B67">
        <w:t>)</w:t>
      </w:r>
      <w:r w:rsidR="00DD6EB9" w:rsidRPr="000A7B67">
        <w:tab/>
        <w:t>Wipe bench with an appropriate disinfectant prior to use.</w:t>
      </w:r>
    </w:p>
    <w:p w14:paraId="429B454C" w14:textId="77777777" w:rsidR="00DD6EB9" w:rsidRPr="000A7B67" w:rsidRDefault="00755CF2" w:rsidP="006D14B0">
      <w:pPr>
        <w:pStyle w:val="dot-sixthlevellist"/>
      </w:pPr>
      <w:r w:rsidRPr="000A7B67">
        <w:t>2</w:t>
      </w:r>
      <w:r w:rsidR="00DD6EB9" w:rsidRPr="000A7B67">
        <w:t>)</w:t>
      </w:r>
      <w:r w:rsidR="00DD6EB9" w:rsidRPr="000A7B67">
        <w:tab/>
        <w:t>Thaw samples and control RNA (positive and negative controls) on ice.</w:t>
      </w:r>
    </w:p>
    <w:p w14:paraId="59BE5F75" w14:textId="77777777" w:rsidR="00DD6EB9" w:rsidRPr="000A7B67" w:rsidRDefault="00755CF2" w:rsidP="006D14B0">
      <w:pPr>
        <w:pStyle w:val="dot-sixthlevellist"/>
      </w:pPr>
      <w:r w:rsidRPr="000A7B67">
        <w:t>3</w:t>
      </w:r>
      <w:r w:rsidR="00DD6EB9" w:rsidRPr="000A7B67">
        <w:t>)</w:t>
      </w:r>
      <w:r w:rsidR="00DD6EB9" w:rsidRPr="000A7B67">
        <w:tab/>
        <w:t>Add 1 µl of test RNA (where possible at concentration of 1µg/µl for extracted samples) below the surface of its allocated master mix tube and mix gently. Discard the tip directly into disinfectant after use. Repeat this process until all samples and controls have been added to their allocated tubes.</w:t>
      </w:r>
    </w:p>
    <w:p w14:paraId="7760E617" w14:textId="77777777" w:rsidR="00DD6EB9" w:rsidRPr="000A7B67" w:rsidRDefault="00755CF2" w:rsidP="006D14B0">
      <w:pPr>
        <w:pStyle w:val="dot-sixthlevellist"/>
      </w:pPr>
      <w:r w:rsidRPr="000A7B67">
        <w:t>4</w:t>
      </w:r>
      <w:r w:rsidR="00DD6EB9" w:rsidRPr="000A7B67">
        <w:t>)</w:t>
      </w:r>
      <w:r w:rsidR="00DD6EB9" w:rsidRPr="000A7B67">
        <w:tab/>
        <w:t>Press the lids down by hand and seal firmly.</w:t>
      </w:r>
    </w:p>
    <w:p w14:paraId="5B67F159" w14:textId="77777777" w:rsidR="00DD6EB9" w:rsidRPr="000A7B67" w:rsidRDefault="00755CF2" w:rsidP="00B14196">
      <w:pPr>
        <w:pStyle w:val="dot-sixthlevellist"/>
        <w:spacing w:after="240"/>
      </w:pPr>
      <w:r w:rsidRPr="000A7B67">
        <w:t>5</w:t>
      </w:r>
      <w:r w:rsidR="00DD6EB9" w:rsidRPr="000A7B67">
        <w:t>)</w:t>
      </w:r>
      <w:r w:rsidR="00DD6EB9" w:rsidRPr="000A7B67">
        <w:tab/>
        <w:t>Transfer the sealed tubes to the PCR machine and cycle as detailed below: In house validation of cycling parameters is essential to ensure optimisation for local PCR machines.</w:t>
      </w:r>
    </w:p>
    <w:p w14:paraId="3DA2B9E0" w14:textId="77777777" w:rsidR="004D2257" w:rsidRPr="00805E5E" w:rsidRDefault="004D2257" w:rsidP="002A10C6">
      <w:pPr>
        <w:pStyle w:val="Tabletitle"/>
        <w:rPr>
          <w:b w:val="0"/>
          <w:bCs w:val="0"/>
        </w:rPr>
      </w:pPr>
      <w:r w:rsidRPr="00805E5E">
        <w:rPr>
          <w:b w:val="0"/>
          <w:bCs w:val="0"/>
        </w:rPr>
        <w:t>Hemi-nested RT-PCR first round cycling parameters:</w:t>
      </w:r>
    </w:p>
    <w:tbl>
      <w:tblPr>
        <w:tblStyle w:val="TableGrid"/>
        <w:tblW w:w="0" w:type="auto"/>
        <w:tblInd w:w="2780" w:type="dxa"/>
        <w:tblLook w:val="04A0" w:firstRow="1" w:lastRow="0" w:firstColumn="1" w:lastColumn="0" w:noHBand="0" w:noVBand="1"/>
      </w:tblPr>
      <w:tblGrid>
        <w:gridCol w:w="1489"/>
        <w:gridCol w:w="1657"/>
        <w:gridCol w:w="1284"/>
      </w:tblGrid>
      <w:tr w:rsidR="004D2257" w:rsidRPr="00805E5E" w14:paraId="24286F63" w14:textId="77777777" w:rsidTr="009D36C9">
        <w:trPr>
          <w:trHeight w:val="20"/>
          <w:tblHeader/>
        </w:trPr>
        <w:tc>
          <w:tcPr>
            <w:tcW w:w="1489" w:type="dxa"/>
            <w:tcBorders>
              <w:bottom w:val="double" w:sz="4" w:space="0" w:color="auto"/>
            </w:tcBorders>
            <w:vAlign w:val="center"/>
          </w:tcPr>
          <w:p w14:paraId="26C19859" w14:textId="77777777" w:rsidR="004D2257" w:rsidRPr="00805E5E" w:rsidRDefault="004D2257" w:rsidP="00EF28D6">
            <w:pPr>
              <w:pStyle w:val="Heading1"/>
              <w:spacing w:before="60" w:after="60" w:line="240" w:lineRule="auto"/>
              <w:jc w:val="center"/>
              <w:rPr>
                <w:rFonts w:ascii="Söhne Kräftig" w:hAnsi="Söhne Kräftig"/>
                <w:b w:val="0"/>
                <w:bCs w:val="0"/>
                <w:sz w:val="18"/>
                <w:szCs w:val="18"/>
                <w:u w:val="none"/>
              </w:rPr>
            </w:pPr>
            <w:r w:rsidRPr="00805E5E">
              <w:rPr>
                <w:rFonts w:ascii="Söhne Kräftig" w:hAnsi="Söhne Kräftig"/>
                <w:b w:val="0"/>
                <w:bCs w:val="0"/>
                <w:sz w:val="18"/>
                <w:szCs w:val="18"/>
                <w:u w:val="none"/>
              </w:rPr>
              <w:t>Temperature</w:t>
            </w:r>
          </w:p>
        </w:tc>
        <w:tc>
          <w:tcPr>
            <w:tcW w:w="1657" w:type="dxa"/>
            <w:tcBorders>
              <w:bottom w:val="double" w:sz="4" w:space="0" w:color="auto"/>
            </w:tcBorders>
            <w:vAlign w:val="center"/>
          </w:tcPr>
          <w:p w14:paraId="6BFE5D3B" w14:textId="77777777" w:rsidR="004D2257" w:rsidRPr="00805E5E" w:rsidRDefault="004D2257" w:rsidP="00EF28D6">
            <w:pPr>
              <w:pStyle w:val="Heading1"/>
              <w:spacing w:before="60" w:after="60" w:line="240" w:lineRule="auto"/>
              <w:jc w:val="center"/>
              <w:rPr>
                <w:rFonts w:ascii="Söhne Kräftig" w:hAnsi="Söhne Kräftig"/>
                <w:b w:val="0"/>
                <w:bCs w:val="0"/>
                <w:sz w:val="18"/>
                <w:szCs w:val="18"/>
                <w:u w:val="none"/>
              </w:rPr>
            </w:pPr>
            <w:r w:rsidRPr="00805E5E">
              <w:rPr>
                <w:rFonts w:ascii="Söhne Kräftig" w:hAnsi="Söhne Kräftig"/>
                <w:b w:val="0"/>
                <w:bCs w:val="0"/>
                <w:sz w:val="18"/>
                <w:szCs w:val="18"/>
                <w:u w:val="none"/>
              </w:rPr>
              <w:t>Time</w:t>
            </w:r>
          </w:p>
        </w:tc>
        <w:tc>
          <w:tcPr>
            <w:tcW w:w="1284" w:type="dxa"/>
            <w:tcBorders>
              <w:bottom w:val="double" w:sz="4" w:space="0" w:color="auto"/>
            </w:tcBorders>
            <w:vAlign w:val="center"/>
          </w:tcPr>
          <w:p w14:paraId="184B848A" w14:textId="77777777" w:rsidR="004D2257" w:rsidRPr="00805E5E" w:rsidRDefault="004D2257" w:rsidP="00EF28D6">
            <w:pPr>
              <w:pStyle w:val="Heading1"/>
              <w:spacing w:before="60" w:after="60" w:line="240" w:lineRule="auto"/>
              <w:jc w:val="center"/>
              <w:rPr>
                <w:rFonts w:ascii="Söhne Kräftig" w:hAnsi="Söhne Kräftig"/>
                <w:b w:val="0"/>
                <w:bCs w:val="0"/>
                <w:sz w:val="18"/>
                <w:szCs w:val="18"/>
                <w:u w:val="none"/>
              </w:rPr>
            </w:pPr>
            <w:r w:rsidRPr="00805E5E">
              <w:rPr>
                <w:rFonts w:ascii="Söhne Kräftig" w:hAnsi="Söhne Kräftig"/>
                <w:b w:val="0"/>
                <w:bCs w:val="0"/>
                <w:sz w:val="18"/>
                <w:szCs w:val="18"/>
                <w:u w:val="none"/>
              </w:rPr>
              <w:t>Cycles</w:t>
            </w:r>
          </w:p>
        </w:tc>
      </w:tr>
      <w:tr w:rsidR="004D2257" w:rsidRPr="000A7B67" w14:paraId="69555DFD" w14:textId="77777777" w:rsidTr="00457043">
        <w:trPr>
          <w:trHeight w:val="20"/>
        </w:trPr>
        <w:tc>
          <w:tcPr>
            <w:tcW w:w="1489" w:type="dxa"/>
            <w:tcBorders>
              <w:top w:val="double" w:sz="4" w:space="0" w:color="auto"/>
              <w:bottom w:val="single" w:sz="4" w:space="0" w:color="auto"/>
            </w:tcBorders>
            <w:vAlign w:val="center"/>
          </w:tcPr>
          <w:p w14:paraId="3E45E6DB"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50°C</w:t>
            </w:r>
          </w:p>
        </w:tc>
        <w:tc>
          <w:tcPr>
            <w:tcW w:w="1657" w:type="dxa"/>
            <w:tcBorders>
              <w:top w:val="double" w:sz="4" w:space="0" w:color="auto"/>
              <w:bottom w:val="single" w:sz="4" w:space="0" w:color="auto"/>
            </w:tcBorders>
            <w:vAlign w:val="center"/>
          </w:tcPr>
          <w:p w14:paraId="1AB63AC0"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30 minutes</w:t>
            </w:r>
          </w:p>
        </w:tc>
        <w:tc>
          <w:tcPr>
            <w:tcW w:w="1284" w:type="dxa"/>
            <w:tcBorders>
              <w:top w:val="double" w:sz="4" w:space="0" w:color="auto"/>
              <w:bottom w:val="single" w:sz="4" w:space="0" w:color="auto"/>
            </w:tcBorders>
            <w:vAlign w:val="center"/>
          </w:tcPr>
          <w:p w14:paraId="5BF88D66"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1</w:t>
            </w:r>
          </w:p>
        </w:tc>
      </w:tr>
      <w:tr w:rsidR="004D2257" w:rsidRPr="000A7B67" w14:paraId="17B505FD" w14:textId="77777777" w:rsidTr="00457043">
        <w:trPr>
          <w:trHeight w:val="20"/>
        </w:trPr>
        <w:tc>
          <w:tcPr>
            <w:tcW w:w="1489" w:type="dxa"/>
            <w:tcBorders>
              <w:bottom w:val="single" w:sz="4" w:space="0" w:color="auto"/>
            </w:tcBorders>
            <w:vAlign w:val="center"/>
          </w:tcPr>
          <w:p w14:paraId="0B03AE3F"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95°C</w:t>
            </w:r>
          </w:p>
        </w:tc>
        <w:tc>
          <w:tcPr>
            <w:tcW w:w="1657" w:type="dxa"/>
            <w:tcBorders>
              <w:bottom w:val="single" w:sz="4" w:space="0" w:color="auto"/>
            </w:tcBorders>
            <w:vAlign w:val="center"/>
          </w:tcPr>
          <w:p w14:paraId="2740599D"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15 minutes</w:t>
            </w:r>
          </w:p>
        </w:tc>
        <w:tc>
          <w:tcPr>
            <w:tcW w:w="1284" w:type="dxa"/>
            <w:tcBorders>
              <w:bottom w:val="single" w:sz="4" w:space="0" w:color="auto"/>
            </w:tcBorders>
            <w:vAlign w:val="center"/>
          </w:tcPr>
          <w:p w14:paraId="6ABAB4BF"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1</w:t>
            </w:r>
          </w:p>
        </w:tc>
      </w:tr>
      <w:tr w:rsidR="004D2257" w:rsidRPr="000A7B67" w14:paraId="0A08E9CA" w14:textId="77777777" w:rsidTr="00457043">
        <w:trPr>
          <w:trHeight w:val="20"/>
        </w:trPr>
        <w:tc>
          <w:tcPr>
            <w:tcW w:w="1489" w:type="dxa"/>
            <w:tcBorders>
              <w:top w:val="single" w:sz="4" w:space="0" w:color="auto"/>
            </w:tcBorders>
            <w:vAlign w:val="center"/>
          </w:tcPr>
          <w:p w14:paraId="16B38564"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94°C</w:t>
            </w:r>
            <w:r w:rsidRPr="002A10C6">
              <w:rPr>
                <w:rFonts w:ascii="Söhne" w:hAnsi="Söhne"/>
                <w:b w:val="0"/>
                <w:sz w:val="16"/>
                <w:szCs w:val="16"/>
                <w:u w:val="none"/>
              </w:rPr>
              <w:br/>
              <w:t>45°C</w:t>
            </w:r>
            <w:r w:rsidRPr="002A10C6">
              <w:rPr>
                <w:rFonts w:ascii="Söhne" w:hAnsi="Söhne"/>
                <w:b w:val="0"/>
                <w:sz w:val="16"/>
                <w:szCs w:val="16"/>
                <w:u w:val="none"/>
              </w:rPr>
              <w:br/>
              <w:t>50°C</w:t>
            </w:r>
            <w:r w:rsidRPr="002A10C6">
              <w:rPr>
                <w:rFonts w:ascii="Söhne" w:hAnsi="Söhne"/>
                <w:b w:val="0"/>
                <w:sz w:val="16"/>
                <w:szCs w:val="16"/>
                <w:u w:val="none"/>
              </w:rPr>
              <w:br/>
              <w:t>72°C</w:t>
            </w:r>
          </w:p>
        </w:tc>
        <w:tc>
          <w:tcPr>
            <w:tcW w:w="1657" w:type="dxa"/>
            <w:tcBorders>
              <w:top w:val="single" w:sz="4" w:space="0" w:color="auto"/>
            </w:tcBorders>
            <w:vAlign w:val="center"/>
          </w:tcPr>
          <w:p w14:paraId="001115F0"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30 seconds</w:t>
            </w:r>
            <w:r w:rsidRPr="002A10C6">
              <w:rPr>
                <w:rFonts w:ascii="Söhne" w:hAnsi="Söhne"/>
                <w:b w:val="0"/>
                <w:sz w:val="16"/>
                <w:szCs w:val="16"/>
                <w:u w:val="none"/>
              </w:rPr>
              <w:br/>
              <w:t>45 seconds</w:t>
            </w:r>
            <w:r w:rsidRPr="002A10C6">
              <w:rPr>
                <w:rFonts w:ascii="Söhne" w:hAnsi="Söhne"/>
                <w:b w:val="0"/>
                <w:sz w:val="16"/>
                <w:szCs w:val="16"/>
                <w:u w:val="none"/>
              </w:rPr>
              <w:br/>
              <w:t>15 seconds</w:t>
            </w:r>
            <w:r w:rsidRPr="002A10C6">
              <w:rPr>
                <w:rFonts w:ascii="Söhne" w:hAnsi="Söhne"/>
                <w:b w:val="0"/>
                <w:sz w:val="16"/>
                <w:szCs w:val="16"/>
                <w:u w:val="none"/>
              </w:rPr>
              <w:br/>
              <w:t>1 minute</w:t>
            </w:r>
          </w:p>
        </w:tc>
        <w:tc>
          <w:tcPr>
            <w:tcW w:w="1284" w:type="dxa"/>
            <w:tcBorders>
              <w:top w:val="single" w:sz="4" w:space="0" w:color="auto"/>
            </w:tcBorders>
            <w:vAlign w:val="center"/>
          </w:tcPr>
          <w:p w14:paraId="2A834C0A"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45</w:t>
            </w:r>
          </w:p>
        </w:tc>
      </w:tr>
      <w:tr w:rsidR="004D2257" w:rsidRPr="000A7B67" w14:paraId="7E462CD2" w14:textId="77777777" w:rsidTr="00F51117">
        <w:trPr>
          <w:trHeight w:val="20"/>
        </w:trPr>
        <w:tc>
          <w:tcPr>
            <w:tcW w:w="1489" w:type="dxa"/>
            <w:vAlign w:val="center"/>
          </w:tcPr>
          <w:p w14:paraId="12FD9672"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72°C</w:t>
            </w:r>
          </w:p>
        </w:tc>
        <w:tc>
          <w:tcPr>
            <w:tcW w:w="1657" w:type="dxa"/>
            <w:vAlign w:val="center"/>
          </w:tcPr>
          <w:p w14:paraId="25813F66"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7 minutes</w:t>
            </w:r>
          </w:p>
        </w:tc>
        <w:tc>
          <w:tcPr>
            <w:tcW w:w="1284" w:type="dxa"/>
            <w:vAlign w:val="center"/>
          </w:tcPr>
          <w:p w14:paraId="6A69F76E"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1</w:t>
            </w:r>
          </w:p>
        </w:tc>
      </w:tr>
      <w:tr w:rsidR="004D2257" w:rsidRPr="000A7B67" w14:paraId="4F652511" w14:textId="77777777" w:rsidTr="00F51117">
        <w:trPr>
          <w:trHeight w:val="20"/>
        </w:trPr>
        <w:tc>
          <w:tcPr>
            <w:tcW w:w="1489" w:type="dxa"/>
            <w:vAlign w:val="center"/>
          </w:tcPr>
          <w:p w14:paraId="653269C6"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4°C</w:t>
            </w:r>
          </w:p>
        </w:tc>
        <w:tc>
          <w:tcPr>
            <w:tcW w:w="1657" w:type="dxa"/>
            <w:vAlign w:val="center"/>
          </w:tcPr>
          <w:p w14:paraId="5A10C9F0" w14:textId="77777777" w:rsidR="004D2257" w:rsidRPr="00805E5E" w:rsidRDefault="004D2257" w:rsidP="001563CC">
            <w:pPr>
              <w:pStyle w:val="Heading1"/>
              <w:spacing w:before="40" w:after="40" w:line="240" w:lineRule="auto"/>
              <w:jc w:val="center"/>
              <w:rPr>
                <w:rFonts w:ascii="Söhne" w:hAnsi="Söhne"/>
                <w:b w:val="0"/>
                <w:sz w:val="16"/>
                <w:szCs w:val="16"/>
                <w:u w:val="none"/>
              </w:rPr>
            </w:pPr>
            <w:r w:rsidRPr="00805E5E">
              <w:rPr>
                <w:b w:val="0"/>
                <w:sz w:val="16"/>
                <w:szCs w:val="16"/>
                <w:u w:val="none"/>
              </w:rPr>
              <w:t>∞</w:t>
            </w:r>
          </w:p>
        </w:tc>
        <w:tc>
          <w:tcPr>
            <w:tcW w:w="1284" w:type="dxa"/>
            <w:vAlign w:val="center"/>
          </w:tcPr>
          <w:p w14:paraId="511FE370" w14:textId="77777777" w:rsidR="004D2257" w:rsidRPr="002A10C6" w:rsidRDefault="004D2257" w:rsidP="001563CC">
            <w:pPr>
              <w:pStyle w:val="Heading1"/>
              <w:spacing w:before="40" w:after="40" w:line="240" w:lineRule="auto"/>
              <w:jc w:val="center"/>
              <w:rPr>
                <w:rFonts w:ascii="Söhne" w:hAnsi="Söhne"/>
                <w:b w:val="0"/>
                <w:sz w:val="16"/>
                <w:szCs w:val="16"/>
                <w:u w:val="none"/>
              </w:rPr>
            </w:pPr>
            <w:r w:rsidRPr="002A10C6">
              <w:rPr>
                <w:rFonts w:ascii="Söhne" w:hAnsi="Söhne"/>
                <w:b w:val="0"/>
                <w:sz w:val="16"/>
                <w:szCs w:val="16"/>
                <w:u w:val="none"/>
              </w:rPr>
              <w:t>n/a</w:t>
            </w:r>
          </w:p>
        </w:tc>
      </w:tr>
    </w:tbl>
    <w:p w14:paraId="764BCDCC" w14:textId="77777777" w:rsidR="00DD6EB9" w:rsidRPr="000A7B67" w:rsidRDefault="00DD6EB9" w:rsidP="00EF28D6">
      <w:pPr>
        <w:pStyle w:val="ififthpara"/>
        <w:keepLines/>
        <w:spacing w:before="120"/>
      </w:pPr>
      <w:r w:rsidRPr="000A7B67">
        <w:t xml:space="preserve">Once complete the resulting amplicons can be visualised on a </w:t>
      </w:r>
      <w:r w:rsidR="007426B2" w:rsidRPr="000A7B67">
        <w:t>1.5</w:t>
      </w:r>
      <w:r w:rsidR="00D14B64" w:rsidRPr="000A7B67">
        <w:t>–</w:t>
      </w:r>
      <w:r w:rsidRPr="000A7B67">
        <w:t xml:space="preserve">2% agarose gel using standard gel electrophoresis techniques and suitable marker DNA ladders to ensure the appropriate size amplicon has been generated in the positive control samples (for comparison with samples on test). </w:t>
      </w:r>
      <w:r w:rsidR="007426B2" w:rsidRPr="000A7B67">
        <w:t>A suitable DNA-</w:t>
      </w:r>
      <w:r w:rsidRPr="000A7B67">
        <w:t xml:space="preserve">detection chemical should be added to the gel and a UV light box used to visualise the products. </w:t>
      </w:r>
    </w:p>
    <w:p w14:paraId="5522F608" w14:textId="77777777" w:rsidR="00DD6EB9" w:rsidRPr="000A7B67" w:rsidRDefault="00B14196" w:rsidP="006D14B0">
      <w:pPr>
        <w:pStyle w:val="ififthlevel"/>
      </w:pPr>
      <w:r w:rsidRPr="000A7B67">
        <w:t>Seco</w:t>
      </w:r>
      <w:r w:rsidR="00DD6EB9" w:rsidRPr="000A7B67">
        <w:t xml:space="preserve">nd </w:t>
      </w:r>
      <w:r w:rsidRPr="000A7B67">
        <w:t xml:space="preserve">round </w:t>
      </w:r>
      <w:r w:rsidR="00DD6EB9" w:rsidRPr="000A7B67">
        <w:t>OS RT-PCR (JW10/12)</w:t>
      </w:r>
    </w:p>
    <w:p w14:paraId="3945728A" w14:textId="77777777" w:rsidR="00DD6EB9" w:rsidRPr="000A7B67" w:rsidRDefault="00DD6EB9" w:rsidP="006D14B0">
      <w:pPr>
        <w:pStyle w:val="ififthpara"/>
      </w:pPr>
      <w:r w:rsidRPr="000A7B67">
        <w:t xml:space="preserve">Where no amplicon is generated on the </w:t>
      </w:r>
      <w:r w:rsidR="00635919" w:rsidRPr="000A7B67">
        <w:t>fir</w:t>
      </w:r>
      <w:r w:rsidRPr="000A7B67">
        <w:t>st round reaction</w:t>
      </w:r>
      <w:r w:rsidR="00ED0CA8" w:rsidRPr="000A7B67">
        <w:t>,</w:t>
      </w:r>
      <w:r w:rsidRPr="000A7B67">
        <w:t xml:space="preserve"> </w:t>
      </w:r>
      <w:r w:rsidR="00ED0CA8" w:rsidRPr="000A7B67">
        <w:t xml:space="preserve">a </w:t>
      </w:r>
      <w:r w:rsidRPr="000A7B67">
        <w:t>second round, hemi-nested reaction should be performed</w:t>
      </w:r>
      <w:r w:rsidR="00635919" w:rsidRPr="000A7B67">
        <w:t>.</w:t>
      </w:r>
    </w:p>
    <w:p w14:paraId="3847E59C" w14:textId="4A41BFEB" w:rsidR="00DD6EB9" w:rsidRPr="000A7B67" w:rsidRDefault="00DD6EB9" w:rsidP="006D14B0">
      <w:pPr>
        <w:pStyle w:val="ififthlevel"/>
      </w:pPr>
      <w:r w:rsidRPr="000A7B67">
        <w:t xml:space="preserve">In </w:t>
      </w:r>
      <w:r w:rsidR="00B14196" w:rsidRPr="000A7B67">
        <w:t>clean room</w:t>
      </w:r>
      <w:r w:rsidR="001160D0" w:rsidRPr="000A7B67">
        <w:t>:</w:t>
      </w:r>
    </w:p>
    <w:p w14:paraId="39406478" w14:textId="019CAE67" w:rsidR="00DD6EB9" w:rsidRPr="000A7B67" w:rsidRDefault="00755CF2" w:rsidP="004A036B">
      <w:pPr>
        <w:pStyle w:val="dot-sixthlevellist"/>
      </w:pPr>
      <w:r w:rsidRPr="000A7B67">
        <w:t>1</w:t>
      </w:r>
      <w:r w:rsidR="00DD6EB9" w:rsidRPr="000A7B67">
        <w:t>)</w:t>
      </w:r>
      <w:r w:rsidR="00DD6EB9" w:rsidRPr="000A7B67">
        <w:tab/>
      </w:r>
      <w:r w:rsidR="00ED0CA8" w:rsidRPr="000A7B67">
        <w:t xml:space="preserve">Prepare PCR workstation as described </w:t>
      </w:r>
      <w:r w:rsidR="00F67245" w:rsidRPr="000A7B67">
        <w:t xml:space="preserve">in </w:t>
      </w:r>
      <w:r w:rsidR="00D03BAB" w:rsidRPr="000A7B67">
        <w:t xml:space="preserve">Section </w:t>
      </w:r>
      <w:r w:rsidR="00D03BAB" w:rsidRPr="00241390">
        <w:rPr>
          <w:strike/>
          <w:highlight w:val="yellow"/>
        </w:rPr>
        <w:t>B</w:t>
      </w:r>
      <w:r w:rsidR="007B4E2A" w:rsidRPr="00241390">
        <w:rPr>
          <w:strike/>
          <w:highlight w:val="yellow"/>
        </w:rPr>
        <w:t>.</w:t>
      </w:r>
      <w:r w:rsidR="00F67245" w:rsidRPr="00241390">
        <w:rPr>
          <w:strike/>
          <w:highlight w:val="yellow"/>
        </w:rPr>
        <w:t>1.3.4.i</w:t>
      </w:r>
      <w:r w:rsidR="007B4E2A" w:rsidRPr="00241390">
        <w:rPr>
          <w:strike/>
          <w:highlight w:val="yellow"/>
        </w:rPr>
        <w:t>.</w:t>
      </w:r>
      <w:r w:rsidR="00F67245" w:rsidRPr="00241390">
        <w:rPr>
          <w:strike/>
          <w:highlight w:val="yellow"/>
        </w:rPr>
        <w:t>c</w:t>
      </w:r>
      <w:r w:rsidR="007B4E2A" w:rsidRPr="00241390">
        <w:rPr>
          <w:strike/>
          <w:highlight w:val="yellow"/>
        </w:rPr>
        <w:t>.</w:t>
      </w:r>
      <w:r w:rsidR="00F67245" w:rsidRPr="00241390">
        <w:rPr>
          <w:strike/>
          <w:highlight w:val="yellow"/>
        </w:rPr>
        <w:t>1</w:t>
      </w:r>
      <w:r w:rsidR="00ED0CA8" w:rsidRPr="00241390">
        <w:rPr>
          <w:strike/>
          <w:highlight w:val="yellow"/>
        </w:rPr>
        <w:t>.</w:t>
      </w:r>
      <w:r w:rsidR="001F0A3E" w:rsidRPr="00F80FA7">
        <w:rPr>
          <w:strike/>
          <w:highlight w:val="yellow"/>
        </w:rPr>
        <w:t xml:space="preserve"> </w:t>
      </w:r>
      <w:r w:rsidR="001F0A3E" w:rsidRPr="00241390">
        <w:rPr>
          <w:rStyle w:val="contentpasted1"/>
          <w:highlight w:val="yellow"/>
          <w:u w:val="double"/>
          <w:shd w:val="clear" w:color="auto" w:fill="FFFFFF"/>
          <w:lang w:eastAsia="fr-FR"/>
        </w:rPr>
        <w:t>B.1.3.</w:t>
      </w:r>
      <w:r w:rsidR="001F0A3E" w:rsidRPr="001F0A3E">
        <w:rPr>
          <w:rStyle w:val="contentpasted1"/>
          <w:b/>
          <w:bCs/>
          <w:highlight w:val="yellow"/>
          <w:u w:val="double"/>
          <w:shd w:val="clear" w:color="auto" w:fill="FFFFFF"/>
          <w:lang w:eastAsia="fr-FR"/>
        </w:rPr>
        <w:t>5</w:t>
      </w:r>
      <w:r w:rsidR="001F0A3E" w:rsidRPr="001F0A3E">
        <w:rPr>
          <w:rStyle w:val="contentpasted1"/>
          <w:highlight w:val="yellow"/>
          <w:u w:val="double"/>
          <w:shd w:val="clear" w:color="auto" w:fill="FFFFFF"/>
          <w:lang w:eastAsia="fr-FR"/>
        </w:rPr>
        <w:t>.i.</w:t>
      </w:r>
      <w:r w:rsidR="001F0A3E" w:rsidRPr="001F0A3E">
        <w:rPr>
          <w:rStyle w:val="contentpasted1"/>
          <w:b/>
          <w:bCs/>
          <w:highlight w:val="yellow"/>
          <w:u w:val="double"/>
          <w:shd w:val="clear" w:color="auto" w:fill="FFFFFF"/>
          <w:lang w:eastAsia="fr-FR"/>
        </w:rPr>
        <w:t>b</w:t>
      </w:r>
      <w:r w:rsidR="001F0A3E" w:rsidRPr="001F0A3E">
        <w:rPr>
          <w:rStyle w:val="contentpasted1"/>
          <w:highlight w:val="yellow"/>
          <w:u w:val="double"/>
          <w:shd w:val="clear" w:color="auto" w:fill="FFFFFF"/>
          <w:lang w:eastAsia="fr-FR"/>
        </w:rPr>
        <w:t>.1.</w:t>
      </w:r>
    </w:p>
    <w:p w14:paraId="765B1E6A" w14:textId="77777777" w:rsidR="00DD6EB9" w:rsidRPr="000A7B67" w:rsidRDefault="00755CF2" w:rsidP="004A036B">
      <w:pPr>
        <w:pStyle w:val="dot-sixthlevellist"/>
      </w:pPr>
      <w:r w:rsidRPr="000A7B67">
        <w:t>2</w:t>
      </w:r>
      <w:r w:rsidR="00DD6EB9" w:rsidRPr="000A7B67">
        <w:t>)</w:t>
      </w:r>
      <w:r w:rsidR="00DD6EB9" w:rsidRPr="000A7B67">
        <w:tab/>
        <w:t>Obtain the required reagents. Ensure enzyme mix is kept on ice</w:t>
      </w:r>
      <w:r w:rsidR="003806B2" w:rsidRPr="000A7B67">
        <w:t>.</w:t>
      </w:r>
      <w:r w:rsidR="00DD6EB9" w:rsidRPr="000A7B67">
        <w:t xml:space="preserve"> </w:t>
      </w:r>
      <w:r w:rsidR="003806B2" w:rsidRPr="000A7B67">
        <w:t>T</w:t>
      </w:r>
      <w:r w:rsidR="00DD6EB9" w:rsidRPr="000A7B67">
        <w:t>he remaining reagents can be thawed at room temperature.</w:t>
      </w:r>
    </w:p>
    <w:p w14:paraId="20AACC02" w14:textId="77777777" w:rsidR="00DD6EB9" w:rsidRPr="000A7B67" w:rsidRDefault="00755CF2" w:rsidP="004A036B">
      <w:pPr>
        <w:pStyle w:val="dot-sixthlevellist"/>
      </w:pPr>
      <w:r w:rsidRPr="000A7B67">
        <w:t>3</w:t>
      </w:r>
      <w:r w:rsidR="00DD6EB9" w:rsidRPr="000A7B67">
        <w:t>)</w:t>
      </w:r>
      <w:r w:rsidR="00DD6EB9" w:rsidRPr="000A7B67">
        <w:tab/>
        <w:t>Put the required number of 0.2 ml tubes in a rack and label the tubes clearly with sample identification and denote that this is the second round reaction by labelling with ‘10/12’, or ‘2’. Label the PCR negative as ‘–2’ or</w:t>
      </w:r>
      <w:r w:rsidR="00966E75" w:rsidRPr="000A7B67">
        <w:t xml:space="preserve"> </w:t>
      </w:r>
      <w:r w:rsidR="00DD6EB9" w:rsidRPr="000A7B67">
        <w:t>‘NC2’</w:t>
      </w:r>
      <w:r w:rsidR="006C2F26" w:rsidRPr="000A7B67">
        <w:t xml:space="preserve"> and the no template control as ‘NTC2’</w:t>
      </w:r>
      <w:r w:rsidR="00DD6EB9" w:rsidRPr="000A7B67">
        <w:t>. This additional negative control must be included in every second round PCR experiment to confirm the master mix is not contaminated</w:t>
      </w:r>
      <w:r w:rsidR="000F7CD1" w:rsidRPr="000A7B67">
        <w:t>.</w:t>
      </w:r>
    </w:p>
    <w:p w14:paraId="53613A2C" w14:textId="77777777" w:rsidR="00DD6EB9" w:rsidRPr="000A7B67" w:rsidRDefault="00755CF2" w:rsidP="004A036B">
      <w:pPr>
        <w:pStyle w:val="dot-sixthlevellist"/>
      </w:pPr>
      <w:r w:rsidRPr="000A7B67">
        <w:t>4</w:t>
      </w:r>
      <w:r w:rsidR="00DD6EB9" w:rsidRPr="000A7B67">
        <w:t>)</w:t>
      </w:r>
      <w:r w:rsidR="00DD6EB9" w:rsidRPr="000A7B67">
        <w:tab/>
        <w:t>Prepare a JW10UNI/JW12 reaction master mix as detailed below:</w:t>
      </w:r>
    </w:p>
    <w:p w14:paraId="540194D5" w14:textId="50EB0F8F" w:rsidR="004D2257" w:rsidRPr="00805E5E" w:rsidRDefault="004D2257" w:rsidP="004D2257">
      <w:pPr>
        <w:pStyle w:val="TableHead"/>
        <w:rPr>
          <w:b w:val="0"/>
          <w:bCs w:val="0"/>
        </w:rPr>
      </w:pPr>
      <w:r w:rsidRPr="00805E5E">
        <w:rPr>
          <w:b w:val="0"/>
          <w:bCs w:val="0"/>
        </w:rPr>
        <w:t>Second round JW10UNI/12 master mix</w:t>
      </w:r>
    </w:p>
    <w:tbl>
      <w:tblPr>
        <w:tblStyle w:val="TableGrid"/>
        <w:tblW w:w="5953" w:type="dxa"/>
        <w:tblInd w:w="2944" w:type="dxa"/>
        <w:tblLook w:val="04A0" w:firstRow="1" w:lastRow="0" w:firstColumn="1" w:lastColumn="0" w:noHBand="0" w:noVBand="1"/>
      </w:tblPr>
      <w:tblGrid>
        <w:gridCol w:w="3118"/>
        <w:gridCol w:w="2835"/>
      </w:tblGrid>
      <w:tr w:rsidR="004D2257" w:rsidRPr="00805E5E" w14:paraId="20C5C4C0" w14:textId="77777777" w:rsidTr="004D2257">
        <w:trPr>
          <w:trHeight w:val="20"/>
          <w:tblHeader/>
        </w:trPr>
        <w:tc>
          <w:tcPr>
            <w:tcW w:w="3118" w:type="dxa"/>
            <w:tcBorders>
              <w:bottom w:val="double" w:sz="4" w:space="0" w:color="auto"/>
            </w:tcBorders>
          </w:tcPr>
          <w:p w14:paraId="5BB789F7" w14:textId="77777777" w:rsidR="004D2257" w:rsidRPr="00805E5E" w:rsidRDefault="004D2257" w:rsidP="00EF28D6">
            <w:pPr>
              <w:pStyle w:val="Heading1"/>
              <w:spacing w:before="60" w:after="60" w:line="240" w:lineRule="auto"/>
              <w:jc w:val="center"/>
              <w:rPr>
                <w:rFonts w:ascii="Söhne Kräftig" w:hAnsi="Söhne Kräftig"/>
                <w:b w:val="0"/>
                <w:bCs w:val="0"/>
                <w:sz w:val="18"/>
                <w:szCs w:val="18"/>
                <w:u w:val="none"/>
              </w:rPr>
            </w:pPr>
            <w:r w:rsidRPr="00805E5E">
              <w:rPr>
                <w:rFonts w:ascii="Söhne Kräftig" w:hAnsi="Söhne Kräftig"/>
                <w:b w:val="0"/>
                <w:bCs w:val="0"/>
                <w:sz w:val="18"/>
                <w:szCs w:val="18"/>
                <w:u w:val="none"/>
              </w:rPr>
              <w:t>Reagent</w:t>
            </w:r>
          </w:p>
        </w:tc>
        <w:tc>
          <w:tcPr>
            <w:tcW w:w="2835" w:type="dxa"/>
            <w:tcBorders>
              <w:bottom w:val="double" w:sz="4" w:space="0" w:color="auto"/>
            </w:tcBorders>
          </w:tcPr>
          <w:p w14:paraId="2B34B9B9" w14:textId="77777777" w:rsidR="004D2257" w:rsidRPr="00805E5E" w:rsidRDefault="004D2257" w:rsidP="00EF28D6">
            <w:pPr>
              <w:pStyle w:val="Heading1"/>
              <w:spacing w:before="60" w:after="60" w:line="240" w:lineRule="auto"/>
              <w:jc w:val="center"/>
              <w:rPr>
                <w:rFonts w:ascii="Söhne Kräftig" w:hAnsi="Söhne Kräftig"/>
                <w:b w:val="0"/>
                <w:bCs w:val="0"/>
                <w:sz w:val="18"/>
                <w:szCs w:val="18"/>
                <w:u w:val="none"/>
              </w:rPr>
            </w:pPr>
            <w:r w:rsidRPr="00805E5E">
              <w:rPr>
                <w:rFonts w:ascii="Söhne Kräftig" w:hAnsi="Söhne Kräftig"/>
                <w:b w:val="0"/>
                <w:bCs w:val="0"/>
                <w:sz w:val="18"/>
                <w:szCs w:val="18"/>
                <w:u w:val="none"/>
              </w:rPr>
              <w:t>Volume per reaction (</w:t>
            </w:r>
            <w:r w:rsidRPr="00805E5E">
              <w:rPr>
                <w:rFonts w:ascii="Calibri" w:hAnsi="Calibri" w:cs="Calibri"/>
                <w:b w:val="0"/>
                <w:bCs w:val="0"/>
                <w:sz w:val="18"/>
                <w:szCs w:val="18"/>
                <w:u w:val="none"/>
              </w:rPr>
              <w:t>µ</w:t>
            </w:r>
            <w:r w:rsidRPr="00805E5E">
              <w:rPr>
                <w:rFonts w:ascii="Söhne Kräftig" w:hAnsi="Söhne Kräftig"/>
                <w:b w:val="0"/>
                <w:bCs w:val="0"/>
                <w:sz w:val="18"/>
                <w:szCs w:val="18"/>
                <w:u w:val="none"/>
              </w:rPr>
              <w:t>l)</w:t>
            </w:r>
          </w:p>
        </w:tc>
      </w:tr>
      <w:tr w:rsidR="004D2257" w:rsidRPr="000A7B67" w14:paraId="5F19BAE9" w14:textId="77777777" w:rsidTr="004D2257">
        <w:trPr>
          <w:trHeight w:val="20"/>
        </w:trPr>
        <w:tc>
          <w:tcPr>
            <w:tcW w:w="3118" w:type="dxa"/>
            <w:tcBorders>
              <w:top w:val="double" w:sz="4" w:space="0" w:color="auto"/>
            </w:tcBorders>
          </w:tcPr>
          <w:p w14:paraId="5E19CBB8"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Molecular grade water</w:t>
            </w:r>
          </w:p>
        </w:tc>
        <w:tc>
          <w:tcPr>
            <w:tcW w:w="2835" w:type="dxa"/>
            <w:tcBorders>
              <w:top w:val="double" w:sz="4" w:space="0" w:color="auto"/>
            </w:tcBorders>
          </w:tcPr>
          <w:p w14:paraId="1EA9471C"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22.0</w:t>
            </w:r>
          </w:p>
        </w:tc>
      </w:tr>
      <w:tr w:rsidR="004D2257" w:rsidRPr="000A7B67" w14:paraId="68584AC5" w14:textId="77777777" w:rsidTr="004D2257">
        <w:trPr>
          <w:trHeight w:val="20"/>
        </w:trPr>
        <w:tc>
          <w:tcPr>
            <w:tcW w:w="3118" w:type="dxa"/>
          </w:tcPr>
          <w:p w14:paraId="79247041"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High fidelity Taq polymerase (2×)</w:t>
            </w:r>
          </w:p>
        </w:tc>
        <w:tc>
          <w:tcPr>
            <w:tcW w:w="2835" w:type="dxa"/>
          </w:tcPr>
          <w:p w14:paraId="05F3783C"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25.0</w:t>
            </w:r>
          </w:p>
        </w:tc>
      </w:tr>
      <w:tr w:rsidR="004D2257" w:rsidRPr="000A7B67" w14:paraId="47CD9E06" w14:textId="77777777" w:rsidTr="004D2257">
        <w:trPr>
          <w:trHeight w:val="20"/>
        </w:trPr>
        <w:tc>
          <w:tcPr>
            <w:tcW w:w="3118" w:type="dxa"/>
          </w:tcPr>
          <w:p w14:paraId="1E395184"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 xml:space="preserve">JW12 (3.5 </w:t>
            </w:r>
            <w:proofErr w:type="spellStart"/>
            <w:r w:rsidRPr="002A10C6">
              <w:rPr>
                <w:rFonts w:ascii="Söhne" w:hAnsi="Söhne"/>
                <w:b w:val="0"/>
                <w:sz w:val="16"/>
                <w:szCs w:val="16"/>
                <w:u w:val="none"/>
              </w:rPr>
              <w:t>pmol</w:t>
            </w:r>
            <w:proofErr w:type="spellEnd"/>
            <w:r w:rsidRPr="002A10C6">
              <w:rPr>
                <w:rFonts w:ascii="Söhne" w:hAnsi="Söhne"/>
                <w:b w:val="0"/>
                <w:sz w:val="16"/>
                <w:szCs w:val="16"/>
                <w:u w:val="none"/>
              </w:rPr>
              <w:t>/</w:t>
            </w:r>
            <w:r w:rsidRPr="002A10C6">
              <w:rPr>
                <w:rFonts w:ascii="Calibri" w:hAnsi="Calibri" w:cs="Calibri"/>
                <w:b w:val="0"/>
                <w:sz w:val="16"/>
                <w:szCs w:val="16"/>
                <w:u w:val="none"/>
              </w:rPr>
              <w:t>µ</w:t>
            </w:r>
            <w:r w:rsidRPr="002A10C6">
              <w:rPr>
                <w:rFonts w:ascii="Söhne" w:hAnsi="Söhne"/>
                <w:b w:val="0"/>
                <w:sz w:val="16"/>
                <w:szCs w:val="16"/>
                <w:u w:val="none"/>
              </w:rPr>
              <w:t>l)</w:t>
            </w:r>
          </w:p>
        </w:tc>
        <w:tc>
          <w:tcPr>
            <w:tcW w:w="2835" w:type="dxa"/>
          </w:tcPr>
          <w:p w14:paraId="17F908A7"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1.0</w:t>
            </w:r>
          </w:p>
        </w:tc>
      </w:tr>
      <w:tr w:rsidR="004D2257" w:rsidRPr="000A7B67" w14:paraId="0EF8132D" w14:textId="77777777" w:rsidTr="004D2257">
        <w:trPr>
          <w:trHeight w:val="20"/>
        </w:trPr>
        <w:tc>
          <w:tcPr>
            <w:tcW w:w="3118" w:type="dxa"/>
          </w:tcPr>
          <w:p w14:paraId="36341E3A"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 xml:space="preserve">JW10UNI (3.5 </w:t>
            </w:r>
            <w:proofErr w:type="spellStart"/>
            <w:r w:rsidRPr="002A10C6">
              <w:rPr>
                <w:rFonts w:ascii="Söhne" w:hAnsi="Söhne"/>
                <w:b w:val="0"/>
                <w:sz w:val="16"/>
                <w:szCs w:val="16"/>
                <w:u w:val="none"/>
              </w:rPr>
              <w:t>pmol</w:t>
            </w:r>
            <w:proofErr w:type="spellEnd"/>
            <w:r w:rsidRPr="002A10C6">
              <w:rPr>
                <w:rFonts w:ascii="Söhne" w:hAnsi="Söhne"/>
                <w:b w:val="0"/>
                <w:sz w:val="16"/>
                <w:szCs w:val="16"/>
                <w:u w:val="none"/>
              </w:rPr>
              <w:t>/</w:t>
            </w:r>
            <w:r w:rsidRPr="002A10C6">
              <w:rPr>
                <w:rFonts w:ascii="Calibri" w:hAnsi="Calibri" w:cs="Calibri"/>
                <w:b w:val="0"/>
                <w:sz w:val="16"/>
                <w:szCs w:val="16"/>
                <w:u w:val="none"/>
              </w:rPr>
              <w:t>µ</w:t>
            </w:r>
            <w:r w:rsidRPr="002A10C6">
              <w:rPr>
                <w:rFonts w:ascii="Söhne" w:hAnsi="Söhne"/>
                <w:b w:val="0"/>
                <w:sz w:val="16"/>
                <w:szCs w:val="16"/>
                <w:u w:val="none"/>
              </w:rPr>
              <w:t>l)</w:t>
            </w:r>
          </w:p>
        </w:tc>
        <w:tc>
          <w:tcPr>
            <w:tcW w:w="2835" w:type="dxa"/>
          </w:tcPr>
          <w:p w14:paraId="08786CF1"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1.0</w:t>
            </w:r>
          </w:p>
        </w:tc>
      </w:tr>
      <w:tr w:rsidR="004D2257" w:rsidRPr="000A7B67" w14:paraId="0A69A55E" w14:textId="77777777" w:rsidTr="004D2257">
        <w:trPr>
          <w:trHeight w:val="20"/>
        </w:trPr>
        <w:tc>
          <w:tcPr>
            <w:tcW w:w="3118" w:type="dxa"/>
            <w:tcBorders>
              <w:top w:val="double" w:sz="4" w:space="0" w:color="auto"/>
              <w:bottom w:val="single" w:sz="4" w:space="0" w:color="auto"/>
            </w:tcBorders>
          </w:tcPr>
          <w:p w14:paraId="5E044C9C"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Total</w:t>
            </w:r>
          </w:p>
        </w:tc>
        <w:tc>
          <w:tcPr>
            <w:tcW w:w="2835" w:type="dxa"/>
            <w:tcBorders>
              <w:top w:val="double" w:sz="4" w:space="0" w:color="auto"/>
              <w:bottom w:val="single" w:sz="4" w:space="0" w:color="auto"/>
            </w:tcBorders>
          </w:tcPr>
          <w:p w14:paraId="65FBDD67" w14:textId="77777777" w:rsidR="004D2257" w:rsidRPr="002A10C6" w:rsidRDefault="004D2257"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49</w:t>
            </w:r>
          </w:p>
        </w:tc>
      </w:tr>
    </w:tbl>
    <w:p w14:paraId="11F9BEAC" w14:textId="77777777" w:rsidR="00DD6EB9" w:rsidRPr="000A7B67" w:rsidRDefault="00755CF2" w:rsidP="00B14196">
      <w:pPr>
        <w:pStyle w:val="dot-sixthlevellist"/>
        <w:spacing w:before="120"/>
      </w:pPr>
      <w:r w:rsidRPr="000A7B67">
        <w:t>5</w:t>
      </w:r>
      <w:r w:rsidR="00DD6EB9" w:rsidRPr="000A7B67">
        <w:t>)</w:t>
      </w:r>
      <w:r w:rsidR="00DD6EB9" w:rsidRPr="000A7B67">
        <w:tab/>
        <w:t>Thaw and vortex all reagents before using. Allow for pipetting variation by preparing a volume of master mix at least one reaction greater than required.</w:t>
      </w:r>
    </w:p>
    <w:p w14:paraId="351496D0" w14:textId="77777777" w:rsidR="00DD6EB9" w:rsidRPr="000A7B67" w:rsidRDefault="00755CF2" w:rsidP="00966E75">
      <w:pPr>
        <w:pStyle w:val="dot-sixthlevellist"/>
      </w:pPr>
      <w:r w:rsidRPr="000A7B67">
        <w:t>6</w:t>
      </w:r>
      <w:r w:rsidR="00DD6EB9" w:rsidRPr="000A7B67">
        <w:t>)</w:t>
      </w:r>
      <w:r w:rsidR="00DD6EB9" w:rsidRPr="000A7B67">
        <w:tab/>
        <w:t xml:space="preserve">Vortex the prepared </w:t>
      </w:r>
      <w:proofErr w:type="spellStart"/>
      <w:r w:rsidR="00DD6EB9" w:rsidRPr="000A7B67">
        <w:t>mastermix</w:t>
      </w:r>
      <w:proofErr w:type="spellEnd"/>
      <w:r w:rsidR="00DD6EB9" w:rsidRPr="000A7B67">
        <w:t xml:space="preserve"> thoroughly, centrifuge </w:t>
      </w:r>
      <w:r w:rsidR="00966E75" w:rsidRPr="000A7B67">
        <w:t>at 700 </w:t>
      </w:r>
      <w:r w:rsidR="00966E75" w:rsidRPr="000A7B67">
        <w:rPr>
          <w:b/>
          <w:i/>
        </w:rPr>
        <w:t>g</w:t>
      </w:r>
      <w:r w:rsidR="00966E75" w:rsidRPr="000A7B67">
        <w:t xml:space="preserve"> and dispense 49 </w:t>
      </w:r>
      <w:r w:rsidR="00DD6EB9" w:rsidRPr="000A7B67">
        <w:t>µl into each of the 0.2 ml tubes. Seal the tubes.</w:t>
      </w:r>
    </w:p>
    <w:p w14:paraId="71EA8A98" w14:textId="77777777" w:rsidR="00DD6EB9" w:rsidRPr="000A7B67" w:rsidRDefault="00755CF2" w:rsidP="00EC645C">
      <w:pPr>
        <w:pStyle w:val="dot-sixthlevellist"/>
        <w:spacing w:after="240"/>
      </w:pPr>
      <w:r w:rsidRPr="000A7B67">
        <w:t>7</w:t>
      </w:r>
      <w:r w:rsidR="00DD6EB9" w:rsidRPr="000A7B67">
        <w:t>)</w:t>
      </w:r>
      <w:r w:rsidR="00DD6EB9" w:rsidRPr="000A7B67">
        <w:tab/>
        <w:t xml:space="preserve">Transfer the sealed tubes to the template room on a disposable tray. Once a tray has been removed it must not be returned to the clean room without </w:t>
      </w:r>
      <w:r w:rsidR="003806B2" w:rsidRPr="000A7B67">
        <w:t xml:space="preserve">appropriate </w:t>
      </w:r>
      <w:r w:rsidR="00DD6EB9" w:rsidRPr="000A7B67">
        <w:t>decontamination.</w:t>
      </w:r>
    </w:p>
    <w:p w14:paraId="4DD3CBAD" w14:textId="77777777" w:rsidR="00DD6EB9" w:rsidRPr="000A7B67" w:rsidRDefault="00DD6EB9" w:rsidP="004A036B">
      <w:pPr>
        <w:pStyle w:val="ififthlevel"/>
      </w:pPr>
      <w:r w:rsidRPr="000A7B67">
        <w:t xml:space="preserve">In </w:t>
      </w:r>
      <w:r w:rsidR="00B14196" w:rsidRPr="000A7B67">
        <w:t xml:space="preserve">template room </w:t>
      </w:r>
      <w:r w:rsidRPr="000A7B67">
        <w:t>– addition of template</w:t>
      </w:r>
      <w:r w:rsidR="001160D0" w:rsidRPr="000A7B67">
        <w:t>:</w:t>
      </w:r>
    </w:p>
    <w:p w14:paraId="51397966" w14:textId="77777777" w:rsidR="00DD6EB9" w:rsidRPr="000A7B67" w:rsidRDefault="00755CF2" w:rsidP="004A036B">
      <w:pPr>
        <w:pStyle w:val="dot-sixthlevellist"/>
      </w:pPr>
      <w:r w:rsidRPr="000A7B67">
        <w:t>1</w:t>
      </w:r>
      <w:r w:rsidR="00DD6EB9" w:rsidRPr="000A7B67">
        <w:t>)</w:t>
      </w:r>
      <w:r w:rsidR="00DD6EB9" w:rsidRPr="000A7B67">
        <w:tab/>
        <w:t>In order to reduce cross contamination, the template may be added within a PCR workstation</w:t>
      </w:r>
      <w:r w:rsidR="00ED0CA8" w:rsidRPr="000A7B67">
        <w:t>.</w:t>
      </w:r>
    </w:p>
    <w:p w14:paraId="24F317D2" w14:textId="77777777" w:rsidR="00DD6EB9" w:rsidRPr="000A7B67" w:rsidRDefault="00755CF2" w:rsidP="004A036B">
      <w:pPr>
        <w:pStyle w:val="dot-sixthlevellist"/>
      </w:pPr>
      <w:r w:rsidRPr="000A7B67">
        <w:t>2</w:t>
      </w:r>
      <w:r w:rsidR="00DD6EB9" w:rsidRPr="000A7B67">
        <w:t>)</w:t>
      </w:r>
      <w:r w:rsidR="00DD6EB9" w:rsidRPr="000A7B67">
        <w:tab/>
        <w:t>To prepare, open the doors of the PCR workstation and wipe the cabinet surface with an appropriate disinfectant. Place an ice bucket, suitable pipette and tips within the station and close the d</w:t>
      </w:r>
      <w:r w:rsidR="007B4E2A">
        <w:t>oors. Switch on UV light for 10 </w:t>
      </w:r>
      <w:r w:rsidR="00DD6EB9" w:rsidRPr="000A7B67">
        <w:t>minutes.</w:t>
      </w:r>
    </w:p>
    <w:p w14:paraId="1CE59DFF" w14:textId="77777777" w:rsidR="00DD6EB9" w:rsidRPr="000A7B67" w:rsidRDefault="00755CF2" w:rsidP="004A036B">
      <w:pPr>
        <w:pStyle w:val="dot-sixthlevellist"/>
      </w:pPr>
      <w:r w:rsidRPr="000A7B67">
        <w:t>3</w:t>
      </w:r>
      <w:r w:rsidR="00DD6EB9" w:rsidRPr="000A7B67">
        <w:t>)</w:t>
      </w:r>
      <w:r w:rsidR="00DD6EB9" w:rsidRPr="000A7B67">
        <w:tab/>
        <w:t xml:space="preserve">Add 1 µl of </w:t>
      </w:r>
      <w:r w:rsidR="00260666" w:rsidRPr="000A7B67">
        <w:t xml:space="preserve">undiluted </w:t>
      </w:r>
      <w:r w:rsidR="00B14196" w:rsidRPr="000A7B67">
        <w:t xml:space="preserve">first round </w:t>
      </w:r>
      <w:r w:rsidR="00DD6EB9" w:rsidRPr="000A7B67">
        <w:t xml:space="preserve">PCR product below the surface of the prepared second round master mix to minimise aerosols and mix gently. Discard the tip directly into an appropriate disinfectant after use. Ensure the lid of the PCR tube is sealed firmly. Repeat this step until all </w:t>
      </w:r>
      <w:r w:rsidR="00B14196" w:rsidRPr="000A7B67">
        <w:t xml:space="preserve">first round </w:t>
      </w:r>
      <w:r w:rsidR="00DD6EB9" w:rsidRPr="000A7B67">
        <w:t xml:space="preserve">PCR products and the </w:t>
      </w:r>
      <w:r w:rsidR="00B14196" w:rsidRPr="000A7B67">
        <w:t xml:space="preserve">second round </w:t>
      </w:r>
      <w:r w:rsidR="00E21990" w:rsidRPr="000A7B67">
        <w:t xml:space="preserve">PC, </w:t>
      </w:r>
      <w:r w:rsidR="006C2F26" w:rsidRPr="000A7B67">
        <w:t xml:space="preserve">NC and </w:t>
      </w:r>
      <w:r w:rsidR="00DD6EB9" w:rsidRPr="000A7B67">
        <w:t>NTC have been added to allocated Second Round master mix tube</w:t>
      </w:r>
      <w:r w:rsidR="008A5FBA" w:rsidRPr="000A7B67">
        <w:t>s</w:t>
      </w:r>
      <w:r w:rsidR="00DD6EB9" w:rsidRPr="000A7B67">
        <w:t>. Change gloves regularly and at suitable points to avoid cross</w:t>
      </w:r>
      <w:r w:rsidR="00ED0CA8" w:rsidRPr="000A7B67">
        <w:t>-</w:t>
      </w:r>
      <w:r w:rsidR="00DD6EB9" w:rsidRPr="000A7B67">
        <w:t>contamination.</w:t>
      </w:r>
    </w:p>
    <w:p w14:paraId="2FEAF6C9" w14:textId="77777777" w:rsidR="00DD6EB9" w:rsidRPr="000A7B67" w:rsidRDefault="00755CF2" w:rsidP="004A036B">
      <w:pPr>
        <w:pStyle w:val="dot-sixthlevellist"/>
      </w:pPr>
      <w:r w:rsidRPr="000A7B67">
        <w:t>4</w:t>
      </w:r>
      <w:r w:rsidR="00DD6EB9" w:rsidRPr="000A7B67">
        <w:t>)</w:t>
      </w:r>
      <w:r w:rsidR="00DD6EB9" w:rsidRPr="000A7B67">
        <w:tab/>
        <w:t xml:space="preserve">If using the PCR workstation, </w:t>
      </w:r>
      <w:r w:rsidR="008A5FBA" w:rsidRPr="000A7B67">
        <w:t>remove samples and supplies</w:t>
      </w:r>
      <w:r w:rsidR="00DD6EB9" w:rsidRPr="000A7B67">
        <w:t xml:space="preserve"> and switch on the UV for 10 minutes. </w:t>
      </w:r>
    </w:p>
    <w:p w14:paraId="640A4ADE" w14:textId="77777777" w:rsidR="00DD6EB9" w:rsidRPr="000A7B67" w:rsidRDefault="00755CF2" w:rsidP="004A036B">
      <w:pPr>
        <w:pStyle w:val="dot-sixthlevellist"/>
      </w:pPr>
      <w:r w:rsidRPr="000A7B67">
        <w:t>5</w:t>
      </w:r>
      <w:r w:rsidR="00DD6EB9" w:rsidRPr="000A7B67">
        <w:t>)</w:t>
      </w:r>
      <w:r w:rsidR="00DD6EB9" w:rsidRPr="000A7B67">
        <w:tab/>
      </w:r>
      <w:r w:rsidR="00ED0CA8" w:rsidRPr="000A7B67">
        <w:t>Run</w:t>
      </w:r>
      <w:r w:rsidR="00DD6EB9" w:rsidRPr="000A7B67">
        <w:t xml:space="preserve"> the PCR machine using the following </w:t>
      </w:r>
      <w:r w:rsidR="00635919" w:rsidRPr="000A7B67">
        <w:t>seco</w:t>
      </w:r>
      <w:r w:rsidR="00DD6EB9" w:rsidRPr="000A7B67">
        <w:t xml:space="preserve">nd </w:t>
      </w:r>
      <w:r w:rsidR="00635919" w:rsidRPr="000A7B67">
        <w:t>round cycling parameters</w:t>
      </w:r>
      <w:r w:rsidR="00DD6EB9" w:rsidRPr="000A7B67">
        <w:t>. In</w:t>
      </w:r>
      <w:r w:rsidR="00635919" w:rsidRPr="000A7B67">
        <w:t>-</w:t>
      </w:r>
      <w:r w:rsidR="00DD6EB9" w:rsidRPr="000A7B67">
        <w:t>house validation of cycling parameters is essential to ensure optimisation for local PCR machines.</w:t>
      </w:r>
    </w:p>
    <w:tbl>
      <w:tblPr>
        <w:tblStyle w:val="TableGrid"/>
        <w:tblW w:w="0" w:type="auto"/>
        <w:tblInd w:w="2802" w:type="dxa"/>
        <w:tblLook w:val="04A0" w:firstRow="1" w:lastRow="0" w:firstColumn="1" w:lastColumn="0" w:noHBand="0" w:noVBand="1"/>
      </w:tblPr>
      <w:tblGrid>
        <w:gridCol w:w="2551"/>
        <w:gridCol w:w="1843"/>
        <w:gridCol w:w="1843"/>
      </w:tblGrid>
      <w:tr w:rsidR="000C3F3C" w:rsidRPr="00805E5E" w14:paraId="3AB40124" w14:textId="77777777" w:rsidTr="00364105">
        <w:trPr>
          <w:trHeight w:val="20"/>
          <w:tblHeader/>
        </w:trPr>
        <w:tc>
          <w:tcPr>
            <w:tcW w:w="2551" w:type="dxa"/>
            <w:tcBorders>
              <w:bottom w:val="double" w:sz="4" w:space="0" w:color="auto"/>
            </w:tcBorders>
          </w:tcPr>
          <w:p w14:paraId="79E71C48" w14:textId="77777777" w:rsidR="000C3F3C" w:rsidRPr="00805E5E" w:rsidRDefault="000C3F3C" w:rsidP="00EF28D6">
            <w:pPr>
              <w:pStyle w:val="Heading1"/>
              <w:spacing w:before="60" w:after="60" w:line="240" w:lineRule="auto"/>
              <w:jc w:val="center"/>
              <w:rPr>
                <w:rFonts w:ascii="Söhne Kräftig" w:hAnsi="Söhne Kräftig"/>
                <w:b w:val="0"/>
                <w:sz w:val="18"/>
                <w:szCs w:val="18"/>
                <w:u w:val="none"/>
              </w:rPr>
            </w:pPr>
            <w:r w:rsidRPr="00805E5E">
              <w:rPr>
                <w:rFonts w:ascii="Söhne Kräftig" w:hAnsi="Söhne Kräftig"/>
                <w:b w:val="0"/>
                <w:sz w:val="18"/>
                <w:szCs w:val="18"/>
                <w:u w:val="none"/>
              </w:rPr>
              <w:t>Temperature</w:t>
            </w:r>
          </w:p>
        </w:tc>
        <w:tc>
          <w:tcPr>
            <w:tcW w:w="1843" w:type="dxa"/>
            <w:tcBorders>
              <w:bottom w:val="double" w:sz="4" w:space="0" w:color="auto"/>
            </w:tcBorders>
          </w:tcPr>
          <w:p w14:paraId="3234FD1A" w14:textId="77777777" w:rsidR="000C3F3C" w:rsidRPr="00805E5E" w:rsidRDefault="000C3F3C" w:rsidP="00EF28D6">
            <w:pPr>
              <w:pStyle w:val="Heading1"/>
              <w:spacing w:before="60" w:after="60" w:line="240" w:lineRule="auto"/>
              <w:jc w:val="center"/>
              <w:rPr>
                <w:rFonts w:ascii="Söhne Kräftig" w:hAnsi="Söhne Kräftig"/>
                <w:b w:val="0"/>
                <w:sz w:val="18"/>
                <w:szCs w:val="18"/>
                <w:u w:val="none"/>
              </w:rPr>
            </w:pPr>
            <w:r w:rsidRPr="00805E5E">
              <w:rPr>
                <w:rFonts w:ascii="Söhne Kräftig" w:hAnsi="Söhne Kräftig"/>
                <w:b w:val="0"/>
                <w:sz w:val="18"/>
                <w:szCs w:val="18"/>
                <w:u w:val="none"/>
              </w:rPr>
              <w:t>Time</w:t>
            </w:r>
          </w:p>
        </w:tc>
        <w:tc>
          <w:tcPr>
            <w:tcW w:w="1843" w:type="dxa"/>
            <w:tcBorders>
              <w:bottom w:val="double" w:sz="4" w:space="0" w:color="auto"/>
            </w:tcBorders>
          </w:tcPr>
          <w:p w14:paraId="35DEAD88" w14:textId="77777777" w:rsidR="000C3F3C" w:rsidRPr="00805E5E" w:rsidRDefault="000C3F3C" w:rsidP="00EF28D6">
            <w:pPr>
              <w:pStyle w:val="Heading1"/>
              <w:spacing w:before="60" w:after="60" w:line="240" w:lineRule="auto"/>
              <w:jc w:val="center"/>
              <w:rPr>
                <w:rFonts w:ascii="Söhne Kräftig" w:hAnsi="Söhne Kräftig"/>
                <w:b w:val="0"/>
                <w:sz w:val="18"/>
                <w:szCs w:val="18"/>
                <w:u w:val="none"/>
              </w:rPr>
            </w:pPr>
            <w:r w:rsidRPr="00805E5E">
              <w:rPr>
                <w:rFonts w:ascii="Söhne Kräftig" w:hAnsi="Söhne Kräftig"/>
                <w:b w:val="0"/>
                <w:sz w:val="18"/>
                <w:szCs w:val="18"/>
                <w:u w:val="none"/>
              </w:rPr>
              <w:t>Cycles</w:t>
            </w:r>
          </w:p>
        </w:tc>
      </w:tr>
      <w:tr w:rsidR="000C3F3C" w:rsidRPr="000A7B67" w14:paraId="76A7A809" w14:textId="77777777" w:rsidTr="000C3F3C">
        <w:trPr>
          <w:trHeight w:val="20"/>
        </w:trPr>
        <w:tc>
          <w:tcPr>
            <w:tcW w:w="2551" w:type="dxa"/>
          </w:tcPr>
          <w:p w14:paraId="269C878A"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95°C</w:t>
            </w:r>
          </w:p>
        </w:tc>
        <w:tc>
          <w:tcPr>
            <w:tcW w:w="1843" w:type="dxa"/>
          </w:tcPr>
          <w:p w14:paraId="5E087B38"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15 minutes</w:t>
            </w:r>
          </w:p>
        </w:tc>
        <w:tc>
          <w:tcPr>
            <w:tcW w:w="1843" w:type="dxa"/>
          </w:tcPr>
          <w:p w14:paraId="066BF521"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1</w:t>
            </w:r>
          </w:p>
        </w:tc>
      </w:tr>
      <w:tr w:rsidR="000C3F3C" w:rsidRPr="000A7B67" w14:paraId="1F052B7E" w14:textId="77777777" w:rsidTr="000C3F3C">
        <w:trPr>
          <w:trHeight w:val="20"/>
        </w:trPr>
        <w:tc>
          <w:tcPr>
            <w:tcW w:w="2551" w:type="dxa"/>
          </w:tcPr>
          <w:p w14:paraId="18E65230"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94°C</w:t>
            </w:r>
            <w:r w:rsidRPr="002A10C6">
              <w:rPr>
                <w:rFonts w:ascii="Söhne" w:hAnsi="Söhne"/>
                <w:b w:val="0"/>
                <w:sz w:val="16"/>
                <w:szCs w:val="16"/>
                <w:u w:val="none"/>
              </w:rPr>
              <w:br/>
              <w:t>45°C</w:t>
            </w:r>
            <w:r w:rsidRPr="002A10C6">
              <w:rPr>
                <w:rFonts w:ascii="Söhne" w:hAnsi="Söhne"/>
                <w:b w:val="0"/>
                <w:sz w:val="16"/>
                <w:szCs w:val="16"/>
                <w:u w:val="none"/>
              </w:rPr>
              <w:br/>
              <w:t>50°C</w:t>
            </w:r>
            <w:r w:rsidRPr="002A10C6">
              <w:rPr>
                <w:rFonts w:ascii="Söhne" w:hAnsi="Söhne"/>
                <w:b w:val="0"/>
                <w:sz w:val="16"/>
                <w:szCs w:val="16"/>
                <w:u w:val="none"/>
              </w:rPr>
              <w:br/>
              <w:t>72°C</w:t>
            </w:r>
          </w:p>
        </w:tc>
        <w:tc>
          <w:tcPr>
            <w:tcW w:w="1843" w:type="dxa"/>
          </w:tcPr>
          <w:p w14:paraId="56EBCB16"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30 seconds</w:t>
            </w:r>
            <w:r w:rsidRPr="002A10C6">
              <w:rPr>
                <w:rFonts w:ascii="Söhne" w:hAnsi="Söhne"/>
                <w:b w:val="0"/>
                <w:sz w:val="16"/>
                <w:szCs w:val="16"/>
                <w:u w:val="none"/>
              </w:rPr>
              <w:br/>
              <w:t>10 seconds</w:t>
            </w:r>
            <w:r w:rsidRPr="002A10C6">
              <w:rPr>
                <w:rFonts w:ascii="Söhne" w:hAnsi="Söhne"/>
                <w:b w:val="0"/>
                <w:sz w:val="16"/>
                <w:szCs w:val="16"/>
                <w:u w:val="none"/>
              </w:rPr>
              <w:br/>
              <w:t>15 seconds</w:t>
            </w:r>
            <w:r w:rsidRPr="002A10C6">
              <w:rPr>
                <w:rFonts w:ascii="Söhne" w:hAnsi="Söhne"/>
                <w:b w:val="0"/>
                <w:sz w:val="16"/>
                <w:szCs w:val="16"/>
                <w:u w:val="none"/>
              </w:rPr>
              <w:br/>
              <w:t>1 minute</w:t>
            </w:r>
          </w:p>
        </w:tc>
        <w:tc>
          <w:tcPr>
            <w:tcW w:w="1843" w:type="dxa"/>
          </w:tcPr>
          <w:p w14:paraId="2EDAE80E"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35</w:t>
            </w:r>
          </w:p>
        </w:tc>
      </w:tr>
      <w:tr w:rsidR="000C3F3C" w:rsidRPr="000A7B67" w14:paraId="4501772C" w14:textId="77777777" w:rsidTr="000C3F3C">
        <w:trPr>
          <w:trHeight w:val="20"/>
        </w:trPr>
        <w:tc>
          <w:tcPr>
            <w:tcW w:w="2551" w:type="dxa"/>
          </w:tcPr>
          <w:p w14:paraId="2462426A"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72°C</w:t>
            </w:r>
          </w:p>
        </w:tc>
        <w:tc>
          <w:tcPr>
            <w:tcW w:w="1843" w:type="dxa"/>
          </w:tcPr>
          <w:p w14:paraId="689A947A"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7 minutes</w:t>
            </w:r>
          </w:p>
        </w:tc>
        <w:tc>
          <w:tcPr>
            <w:tcW w:w="1843" w:type="dxa"/>
          </w:tcPr>
          <w:p w14:paraId="0D3F0076"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1</w:t>
            </w:r>
          </w:p>
        </w:tc>
      </w:tr>
      <w:tr w:rsidR="000C3F3C" w:rsidRPr="000A7B67" w14:paraId="6EB0E11F" w14:textId="77777777" w:rsidTr="000C3F3C">
        <w:trPr>
          <w:trHeight w:val="20"/>
        </w:trPr>
        <w:tc>
          <w:tcPr>
            <w:tcW w:w="2551" w:type="dxa"/>
          </w:tcPr>
          <w:p w14:paraId="6445B7B0"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4°C</w:t>
            </w:r>
          </w:p>
        </w:tc>
        <w:tc>
          <w:tcPr>
            <w:tcW w:w="1843" w:type="dxa"/>
          </w:tcPr>
          <w:p w14:paraId="61A4B992" w14:textId="77777777" w:rsidR="000C3F3C" w:rsidRPr="00805E5E" w:rsidRDefault="000C3F3C" w:rsidP="00EF28D6">
            <w:pPr>
              <w:pStyle w:val="Heading1"/>
              <w:spacing w:before="60" w:after="60" w:line="240" w:lineRule="auto"/>
              <w:jc w:val="center"/>
              <w:rPr>
                <w:rFonts w:ascii="Söhne" w:hAnsi="Söhne"/>
                <w:b w:val="0"/>
                <w:sz w:val="16"/>
                <w:szCs w:val="16"/>
                <w:u w:val="none"/>
              </w:rPr>
            </w:pPr>
            <w:r w:rsidRPr="00805E5E">
              <w:rPr>
                <w:b w:val="0"/>
                <w:sz w:val="16"/>
                <w:szCs w:val="16"/>
                <w:u w:val="none"/>
              </w:rPr>
              <w:t>∞</w:t>
            </w:r>
          </w:p>
        </w:tc>
        <w:tc>
          <w:tcPr>
            <w:tcW w:w="1843" w:type="dxa"/>
          </w:tcPr>
          <w:p w14:paraId="076FFFB1" w14:textId="77777777" w:rsidR="000C3F3C" w:rsidRPr="002A10C6" w:rsidRDefault="000C3F3C" w:rsidP="00EF28D6">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n/a</w:t>
            </w:r>
          </w:p>
        </w:tc>
      </w:tr>
    </w:tbl>
    <w:p w14:paraId="12B94878" w14:textId="77777777" w:rsidR="00DD6EB9" w:rsidRPr="000A7B67" w:rsidRDefault="00ED0CA8" w:rsidP="00635919">
      <w:pPr>
        <w:pStyle w:val="ififthpara"/>
        <w:spacing w:before="120"/>
      </w:pPr>
      <w:r w:rsidRPr="000A7B67">
        <w:t>Analyse the a</w:t>
      </w:r>
      <w:r w:rsidR="00DD6EB9" w:rsidRPr="000A7B67">
        <w:t xml:space="preserve">mplification reactions by electrophoresis on agarose gels </w:t>
      </w:r>
      <w:r w:rsidRPr="000A7B67">
        <w:t xml:space="preserve">using </w:t>
      </w:r>
      <w:r w:rsidR="00DD6EB9" w:rsidRPr="000A7B67">
        <w:t>an appropriate DNA ladder.</w:t>
      </w:r>
    </w:p>
    <w:p w14:paraId="691DCDC7" w14:textId="77777777" w:rsidR="00DD6EB9" w:rsidRPr="000A7B67" w:rsidRDefault="00DD6EB9" w:rsidP="004A036B">
      <w:pPr>
        <w:pStyle w:val="i"/>
      </w:pPr>
      <w:r w:rsidRPr="000A7B67">
        <w:t>ii)</w:t>
      </w:r>
      <w:r w:rsidRPr="000A7B67">
        <w:tab/>
        <w:t>Real-time RT-PCR techniques</w:t>
      </w:r>
    </w:p>
    <w:p w14:paraId="376C2F40" w14:textId="77777777" w:rsidR="00DD6EB9" w:rsidRPr="000A7B67" w:rsidRDefault="00DD6EB9" w:rsidP="004A036B">
      <w:pPr>
        <w:pStyle w:val="afourthpara"/>
      </w:pPr>
      <w:r w:rsidRPr="000A7B67">
        <w:t xml:space="preserve">Where capabilities allow, real-time PCR platforms enable a more rapid evaluation of the presence or absence of lyssavirus RNA in suspect samples. The procedure detailed here is an example that uses the same forward primer as the conventional RT-PCR assay described in Heaton </w:t>
      </w:r>
      <w:r w:rsidR="00944968" w:rsidRPr="000A7B67">
        <w:rPr>
          <w:i/>
        </w:rPr>
        <w:t>et al</w:t>
      </w:r>
      <w:r w:rsidRPr="000A7B67">
        <w:t>., 199</w:t>
      </w:r>
      <w:r w:rsidR="00635919" w:rsidRPr="000A7B67">
        <w:t>7</w:t>
      </w:r>
      <w:r w:rsidRPr="000A7B67">
        <w:t>. The use of a universal one-step RT-PCR kit</w:t>
      </w:r>
      <w:r w:rsidR="001835EF" w:rsidRPr="000A7B67">
        <w:t xml:space="preserve"> that uses a fluorescent DNA stain</w:t>
      </w:r>
      <w:r w:rsidRPr="000A7B67">
        <w:t xml:space="preserve"> for the detection of </w:t>
      </w:r>
      <w:r w:rsidRPr="000A7B67">
        <w:rPr>
          <w:i/>
        </w:rPr>
        <w:t>Lyssavirus</w:t>
      </w:r>
      <w:r w:rsidRPr="000A7B67">
        <w:t xml:space="preserve"> species from clinical specimens has been demonstrated to be both highly sensitive and specific for lyssavirus RNA. Furthermore, by using </w:t>
      </w:r>
      <w:r w:rsidR="001835EF" w:rsidRPr="000A7B67">
        <w:t xml:space="preserve">a fluorescent DNA stain </w:t>
      </w:r>
      <w:r w:rsidRPr="000A7B67">
        <w:t xml:space="preserve">as the detection system it is able to detect all lyssaviruses based on the pan-lyssavirus primer specificity. This method includes a separate RT-PCR assay containing </w:t>
      </w:r>
      <w:r w:rsidR="001835EF" w:rsidRPr="000A7B67">
        <w:t xml:space="preserve">a fluorescent DNA stain </w:t>
      </w:r>
      <w:r w:rsidRPr="000A7B67">
        <w:t xml:space="preserve">for amplification of the internal housekeeping control, mRNA for beta-actin as a template control for RNA extraction. </w:t>
      </w:r>
    </w:p>
    <w:p w14:paraId="4C5D6990" w14:textId="77777777" w:rsidR="00716A67" w:rsidRPr="000A7B67" w:rsidRDefault="00716A67" w:rsidP="00716A67">
      <w:pPr>
        <w:pStyle w:val="afourthlevel"/>
      </w:pPr>
      <w:r w:rsidRPr="000A7B67">
        <w:t>a)</w:t>
      </w:r>
      <w:r w:rsidRPr="000A7B67">
        <w:tab/>
      </w:r>
      <w:r w:rsidR="004C063A" w:rsidRPr="000A7B67">
        <w:t>Primer</w:t>
      </w:r>
      <w:r w:rsidR="00551E90" w:rsidRPr="000A7B67">
        <w:t xml:space="preserve"> </w:t>
      </w:r>
      <w:r w:rsidR="004C063A" w:rsidRPr="000A7B67">
        <w:t>s</w:t>
      </w:r>
      <w:r w:rsidR="00551E90" w:rsidRPr="000A7B67">
        <w:t>equences</w:t>
      </w:r>
    </w:p>
    <w:p w14:paraId="36A7A5CF" w14:textId="77777777" w:rsidR="00716A67" w:rsidRPr="000A7B67" w:rsidRDefault="00755CF2" w:rsidP="00716A67">
      <w:pPr>
        <w:pStyle w:val="ififthlevellist"/>
      </w:pPr>
      <w:r w:rsidRPr="000A7B67">
        <w:t>1</w:t>
      </w:r>
      <w:r w:rsidR="00716A67" w:rsidRPr="000A7B67">
        <w:t>)</w:t>
      </w:r>
      <w:r w:rsidR="00716A67" w:rsidRPr="000A7B67">
        <w:tab/>
      </w:r>
      <w:r w:rsidR="00551E90" w:rsidRPr="000A7B67">
        <w:t>Pan-</w:t>
      </w:r>
      <w:r w:rsidR="00551E90" w:rsidRPr="000A7B67">
        <w:rPr>
          <w:i/>
        </w:rPr>
        <w:t>l</w:t>
      </w:r>
      <w:r w:rsidR="00716A67" w:rsidRPr="000A7B67">
        <w:rPr>
          <w:i/>
        </w:rPr>
        <w:t>yssavirus</w:t>
      </w:r>
      <w:r w:rsidR="00635919" w:rsidRPr="000A7B67">
        <w:t>-</w:t>
      </w:r>
      <w:r w:rsidR="00716A67" w:rsidRPr="000A7B67">
        <w:t xml:space="preserve">specific primers (synthesised to 0.05 </w:t>
      </w:r>
      <w:proofErr w:type="spellStart"/>
      <w:r w:rsidR="00716A67" w:rsidRPr="000A7B67">
        <w:t>μmol</w:t>
      </w:r>
      <w:proofErr w:type="spellEnd"/>
      <w:r w:rsidR="00716A67" w:rsidRPr="000A7B67">
        <w:t>, HPLC purified) and diluted to 20 </w:t>
      </w:r>
      <w:proofErr w:type="spellStart"/>
      <w:r w:rsidR="00716A67" w:rsidRPr="000A7B67">
        <w:t>pmol</w:t>
      </w:r>
      <w:proofErr w:type="spellEnd"/>
      <w:r w:rsidR="00716A67" w:rsidRPr="000A7B67">
        <w:t>/µl:</w:t>
      </w:r>
    </w:p>
    <w:p w14:paraId="5890D0A3" w14:textId="77777777" w:rsidR="00716A67" w:rsidRPr="000A7B67" w:rsidRDefault="00716A67" w:rsidP="00DE460C">
      <w:pPr>
        <w:pStyle w:val="dot-seven-level-para"/>
      </w:pPr>
      <w:r w:rsidRPr="000A7B67">
        <w:t>a)</w:t>
      </w:r>
      <w:r w:rsidRPr="000A7B67">
        <w:tab/>
        <w:t xml:space="preserve">JW12 RT/PCR primer 5’-ATG-TAA-CAC-CYC-TAC-AAT-G-3’ </w:t>
      </w:r>
    </w:p>
    <w:p w14:paraId="46A0E045" w14:textId="77777777" w:rsidR="00716A67" w:rsidRPr="000A7B67" w:rsidRDefault="00716A67" w:rsidP="00DE460C">
      <w:pPr>
        <w:pStyle w:val="dot-seven-level-para"/>
      </w:pPr>
      <w:r w:rsidRPr="000A7B67">
        <w:t>b)</w:t>
      </w:r>
      <w:r w:rsidRPr="000A7B67">
        <w:tab/>
        <w:t xml:space="preserve">N165-146 PCR primer 5’-GCA-GGG-TAY-TTR-TAC-TCA-TA-3’ </w:t>
      </w:r>
    </w:p>
    <w:p w14:paraId="24C895DA" w14:textId="77777777" w:rsidR="00716A67" w:rsidRPr="000A7B67" w:rsidRDefault="00755CF2" w:rsidP="00716A67">
      <w:pPr>
        <w:pStyle w:val="ififthlevellist"/>
      </w:pPr>
      <w:r w:rsidRPr="000A7B67">
        <w:t>2</w:t>
      </w:r>
      <w:r w:rsidR="00716A67" w:rsidRPr="000A7B67">
        <w:t>)</w:t>
      </w:r>
      <w:r w:rsidR="00716A67" w:rsidRPr="000A7B67">
        <w:tab/>
        <w:t>Multispecies Beta Actin primers (synthesised to 0.05 </w:t>
      </w:r>
      <w:proofErr w:type="spellStart"/>
      <w:r w:rsidR="00716A67" w:rsidRPr="000A7B67">
        <w:t>μmole</w:t>
      </w:r>
      <w:proofErr w:type="spellEnd"/>
      <w:r w:rsidR="00716A67" w:rsidRPr="000A7B67">
        <w:t>, HPLC purified) and diluted to 20pmol/µl:</w:t>
      </w:r>
    </w:p>
    <w:p w14:paraId="3E299D6B" w14:textId="77777777" w:rsidR="00716A67" w:rsidRPr="00EC645C" w:rsidRDefault="00716A67" w:rsidP="00DE460C">
      <w:pPr>
        <w:pStyle w:val="dot-seven-level-para"/>
        <w:rPr>
          <w:spacing w:val="-4"/>
        </w:rPr>
      </w:pPr>
      <w:r w:rsidRPr="00EC645C">
        <w:rPr>
          <w:spacing w:val="-4"/>
        </w:rPr>
        <w:t>a)</w:t>
      </w:r>
      <w:r w:rsidRPr="00EC645C">
        <w:rPr>
          <w:spacing w:val="-4"/>
        </w:rPr>
        <w:tab/>
      </w:r>
      <w:proofErr w:type="spellStart"/>
      <w:r w:rsidRPr="00EC645C">
        <w:rPr>
          <w:spacing w:val="-4"/>
        </w:rPr>
        <w:t>BatRat</w:t>
      </w:r>
      <w:proofErr w:type="spellEnd"/>
      <w:r w:rsidRPr="00EC645C">
        <w:rPr>
          <w:spacing w:val="-4"/>
        </w:rPr>
        <w:t xml:space="preserve"> Beta-actin intronic primer 5’-CGA-TGA-AGA-TCA-AGA-TCA-TTG-3’</w:t>
      </w:r>
    </w:p>
    <w:p w14:paraId="5D88E7D0" w14:textId="77777777" w:rsidR="00716A67" w:rsidRPr="00DE460C" w:rsidRDefault="00716A67" w:rsidP="00EC645C">
      <w:pPr>
        <w:pStyle w:val="dot-seven-level-para"/>
        <w:spacing w:after="240"/>
      </w:pPr>
      <w:r w:rsidRPr="00DE460C">
        <w:t>b)</w:t>
      </w:r>
      <w:r w:rsidRPr="00DE460C">
        <w:tab/>
      </w:r>
      <w:proofErr w:type="spellStart"/>
      <w:r w:rsidRPr="00DE460C">
        <w:t>BatRat</w:t>
      </w:r>
      <w:proofErr w:type="spellEnd"/>
      <w:r w:rsidRPr="00DE460C">
        <w:t xml:space="preserve"> Beta-actin reverse primer 5’- AAG-CAT-TTG-CGG-TGG-AC-3’</w:t>
      </w:r>
    </w:p>
    <w:p w14:paraId="6831FD83" w14:textId="77777777" w:rsidR="00DD6EB9" w:rsidRPr="000A7B67" w:rsidRDefault="004A17E2" w:rsidP="004A036B">
      <w:pPr>
        <w:pStyle w:val="afourthlevel"/>
      </w:pPr>
      <w:r>
        <w:t>b</w:t>
      </w:r>
      <w:r w:rsidR="00DD6EB9" w:rsidRPr="000A7B67">
        <w:t>)</w:t>
      </w:r>
      <w:r w:rsidR="00DD6EB9" w:rsidRPr="000A7B67">
        <w:tab/>
        <w:t xml:space="preserve">Test </w:t>
      </w:r>
      <w:r w:rsidR="00814DA9" w:rsidRPr="000A7B67">
        <w:t>r</w:t>
      </w:r>
      <w:r w:rsidR="00DD6EB9" w:rsidRPr="000A7B67">
        <w:t>eliability</w:t>
      </w:r>
    </w:p>
    <w:p w14:paraId="60D77A75" w14:textId="77777777" w:rsidR="00DD6EB9" w:rsidRPr="000A7B67" w:rsidRDefault="00DD6EB9" w:rsidP="004A036B">
      <w:pPr>
        <w:pStyle w:val="ififthpara"/>
      </w:pPr>
      <w:r w:rsidRPr="000A7B67">
        <w:t xml:space="preserve">Instrumentation and equipment are monitored for satisfactory performance and calibrated once a year. </w:t>
      </w:r>
      <w:r w:rsidR="008A5FBA" w:rsidRPr="000A7B67">
        <w:t xml:space="preserve">Include a </w:t>
      </w:r>
      <w:r w:rsidRPr="000A7B67">
        <w:t xml:space="preserve">calibrated RABV RNA </w:t>
      </w:r>
      <w:r w:rsidR="00E21990" w:rsidRPr="000A7B67">
        <w:t xml:space="preserve">PC </w:t>
      </w:r>
      <w:r w:rsidRPr="000A7B67">
        <w:t xml:space="preserve">on every test run and an internal Beta-actin test </w:t>
      </w:r>
      <w:r w:rsidR="008A5FBA" w:rsidRPr="000A7B67">
        <w:t xml:space="preserve">may </w:t>
      </w:r>
      <w:r w:rsidRPr="000A7B67">
        <w:t xml:space="preserve">be used as an extraction control. A </w:t>
      </w:r>
      <w:r w:rsidR="00E21990" w:rsidRPr="000A7B67">
        <w:t xml:space="preserve">NC and </w:t>
      </w:r>
      <w:r w:rsidRPr="000A7B67">
        <w:t>NTC is included on every test run to confirm the absence of contamination. All test samples should be run at least in duplicate.</w:t>
      </w:r>
    </w:p>
    <w:p w14:paraId="4581BB9C" w14:textId="77777777" w:rsidR="00DD6EB9" w:rsidRPr="000A7B67" w:rsidRDefault="004A17E2" w:rsidP="004A036B">
      <w:pPr>
        <w:pStyle w:val="afourthlevel"/>
      </w:pPr>
      <w:r>
        <w:t>c</w:t>
      </w:r>
      <w:r w:rsidR="00DD6EB9" w:rsidRPr="000A7B67">
        <w:t>)</w:t>
      </w:r>
      <w:r w:rsidR="00DD6EB9" w:rsidRPr="000A7B67">
        <w:tab/>
      </w:r>
      <w:r w:rsidR="00635919" w:rsidRPr="000A7B67">
        <w:t>Test p</w:t>
      </w:r>
      <w:r w:rsidR="00DD6EB9" w:rsidRPr="000A7B67">
        <w:t>rocedure</w:t>
      </w:r>
    </w:p>
    <w:p w14:paraId="1D073919" w14:textId="77777777" w:rsidR="008A5FBA" w:rsidRPr="000A7B67" w:rsidRDefault="008A5FBA" w:rsidP="00EC645C">
      <w:pPr>
        <w:pStyle w:val="ififthpara"/>
        <w:spacing w:after="120"/>
      </w:pPr>
      <w:r w:rsidRPr="000A7B67">
        <w:t>Gloves and a laboratory coat must be worn at all times.</w:t>
      </w:r>
    </w:p>
    <w:p w14:paraId="39263D5D" w14:textId="77777777" w:rsidR="00DD6EB9" w:rsidRPr="000A7B67" w:rsidRDefault="00DD6EB9" w:rsidP="00716A67">
      <w:pPr>
        <w:pStyle w:val="ififthlevel"/>
      </w:pPr>
      <w:r w:rsidRPr="000A7B67">
        <w:t xml:space="preserve">In </w:t>
      </w:r>
      <w:r w:rsidR="00635919" w:rsidRPr="000A7B67">
        <w:t>clean room</w:t>
      </w:r>
      <w:r w:rsidRPr="000A7B67">
        <w:t>/UV cabinet</w:t>
      </w:r>
      <w:r w:rsidR="00141F18" w:rsidRPr="000A7B67">
        <w:t>:</w:t>
      </w:r>
    </w:p>
    <w:p w14:paraId="0B0CE4FE" w14:textId="02F3F510" w:rsidR="00DD6EB9" w:rsidRPr="000A7B67" w:rsidRDefault="00755CF2" w:rsidP="00716A67">
      <w:pPr>
        <w:pStyle w:val="dot-sixthlevellist"/>
      </w:pPr>
      <w:r w:rsidRPr="000A7B67">
        <w:t>1</w:t>
      </w:r>
      <w:r w:rsidR="00DD6EB9" w:rsidRPr="000A7B67">
        <w:t>)</w:t>
      </w:r>
      <w:r w:rsidR="00DD6EB9" w:rsidRPr="000A7B67">
        <w:tab/>
      </w:r>
      <w:r w:rsidR="00F67245" w:rsidRPr="000A7B67">
        <w:t xml:space="preserve">Prepare PCR workstation as described in </w:t>
      </w:r>
      <w:r w:rsidR="00D03BAB" w:rsidRPr="000A7B67">
        <w:t xml:space="preserve">Section </w:t>
      </w:r>
      <w:r w:rsidR="001F0A3E" w:rsidRPr="00241390">
        <w:rPr>
          <w:strike/>
          <w:highlight w:val="yellow"/>
        </w:rPr>
        <w:t>B.1.3.4.i.c.1.</w:t>
      </w:r>
      <w:r w:rsidR="001F0A3E" w:rsidRPr="00F80FA7">
        <w:rPr>
          <w:strike/>
          <w:highlight w:val="yellow"/>
        </w:rPr>
        <w:t xml:space="preserve"> </w:t>
      </w:r>
      <w:r w:rsidR="001F0A3E" w:rsidRPr="00241390">
        <w:rPr>
          <w:rStyle w:val="contentpasted1"/>
          <w:highlight w:val="yellow"/>
          <w:u w:val="double"/>
          <w:shd w:val="clear" w:color="auto" w:fill="FFFFFF"/>
          <w:lang w:eastAsia="fr-FR"/>
        </w:rPr>
        <w:t>B.1.</w:t>
      </w:r>
      <w:r w:rsidR="001F0A3E" w:rsidRPr="001F0A3E">
        <w:rPr>
          <w:rStyle w:val="contentpasted1"/>
          <w:highlight w:val="yellow"/>
          <w:u w:val="double"/>
          <w:shd w:val="clear" w:color="auto" w:fill="FFFFFF"/>
          <w:lang w:eastAsia="fr-FR"/>
        </w:rPr>
        <w:t>3.</w:t>
      </w:r>
      <w:r w:rsidR="001F0A3E" w:rsidRPr="001F0A3E">
        <w:rPr>
          <w:rStyle w:val="contentpasted1"/>
          <w:b/>
          <w:bCs/>
          <w:highlight w:val="yellow"/>
          <w:u w:val="double"/>
          <w:shd w:val="clear" w:color="auto" w:fill="FFFFFF"/>
          <w:lang w:eastAsia="fr-FR"/>
        </w:rPr>
        <w:t>5</w:t>
      </w:r>
      <w:r w:rsidR="001F0A3E" w:rsidRPr="001F0A3E">
        <w:rPr>
          <w:rStyle w:val="contentpasted1"/>
          <w:highlight w:val="yellow"/>
          <w:u w:val="double"/>
          <w:shd w:val="clear" w:color="auto" w:fill="FFFFFF"/>
          <w:lang w:eastAsia="fr-FR"/>
        </w:rPr>
        <w:t>.i.</w:t>
      </w:r>
      <w:r w:rsidR="001F0A3E" w:rsidRPr="001F0A3E">
        <w:rPr>
          <w:rStyle w:val="contentpasted1"/>
          <w:b/>
          <w:bCs/>
          <w:highlight w:val="yellow"/>
          <w:u w:val="double"/>
          <w:shd w:val="clear" w:color="auto" w:fill="FFFFFF"/>
          <w:lang w:eastAsia="fr-FR"/>
        </w:rPr>
        <w:t>b</w:t>
      </w:r>
      <w:r w:rsidR="001F0A3E" w:rsidRPr="001F0A3E">
        <w:rPr>
          <w:rStyle w:val="contentpasted1"/>
          <w:highlight w:val="yellow"/>
          <w:u w:val="double"/>
          <w:shd w:val="clear" w:color="auto" w:fill="FFFFFF"/>
          <w:lang w:eastAsia="fr-FR"/>
        </w:rPr>
        <w:t>.1.</w:t>
      </w:r>
    </w:p>
    <w:p w14:paraId="08B98D56" w14:textId="77777777" w:rsidR="00DD6EB9" w:rsidRPr="000A7B67" w:rsidRDefault="00755CF2" w:rsidP="00716A67">
      <w:pPr>
        <w:pStyle w:val="dot-sixthlevellist"/>
      </w:pPr>
      <w:r w:rsidRPr="000A7B67">
        <w:t>2</w:t>
      </w:r>
      <w:r w:rsidR="00DD6EB9" w:rsidRPr="000A7B67">
        <w:t>)</w:t>
      </w:r>
      <w:r w:rsidR="00DD6EB9" w:rsidRPr="000A7B67">
        <w:tab/>
        <w:t>Obtain the required reagents. Ensure the enzyme mix is kept on ice, the remaining reagents can be thawed at room temperature.</w:t>
      </w:r>
    </w:p>
    <w:p w14:paraId="516FE466" w14:textId="77777777" w:rsidR="00DD6EB9" w:rsidRPr="000A7B67" w:rsidRDefault="00755CF2" w:rsidP="00716A67">
      <w:pPr>
        <w:pStyle w:val="dot-sixthlevellist"/>
      </w:pPr>
      <w:r w:rsidRPr="000A7B67">
        <w:t>3</w:t>
      </w:r>
      <w:r w:rsidR="00DD6EB9" w:rsidRPr="000A7B67">
        <w:t>)</w:t>
      </w:r>
      <w:r w:rsidR="00DD6EB9" w:rsidRPr="000A7B67">
        <w:tab/>
        <w:t>Put the required number of 0.2 ml tubes in a rack and label the tubes clearly with sample identification</w:t>
      </w:r>
      <w:r w:rsidR="00F67245" w:rsidRPr="000A7B67">
        <w:t>.</w:t>
      </w:r>
      <w:r w:rsidR="00DD6EB9" w:rsidRPr="000A7B67">
        <w:t xml:space="preserve"> </w:t>
      </w:r>
      <w:r w:rsidR="00F67245" w:rsidRPr="000A7B67">
        <w:t>Include tubes for</w:t>
      </w:r>
      <w:r w:rsidR="006C2F26" w:rsidRPr="000A7B67">
        <w:t xml:space="preserve"> PC</w:t>
      </w:r>
      <w:r w:rsidR="00E21990" w:rsidRPr="000A7B67">
        <w:t>, NC</w:t>
      </w:r>
      <w:r w:rsidR="006C2F26" w:rsidRPr="000A7B67">
        <w:t xml:space="preserve"> and N</w:t>
      </w:r>
      <w:r w:rsidR="00E21990" w:rsidRPr="000A7B67">
        <w:t>T</w:t>
      </w:r>
      <w:r w:rsidR="006C2F26" w:rsidRPr="000A7B67">
        <w:t>C</w:t>
      </w:r>
      <w:r w:rsidR="00F67245" w:rsidRPr="000A7B67">
        <w:t>.</w:t>
      </w:r>
    </w:p>
    <w:p w14:paraId="4C99F3D2" w14:textId="77777777" w:rsidR="00DD6EB9" w:rsidRPr="000A7B67" w:rsidRDefault="00755CF2" w:rsidP="00716A67">
      <w:pPr>
        <w:pStyle w:val="dot-sixthlevellist"/>
      </w:pPr>
      <w:r w:rsidRPr="000A7B67">
        <w:t>4</w:t>
      </w:r>
      <w:r w:rsidR="00DD6EB9" w:rsidRPr="000A7B67">
        <w:t>)</w:t>
      </w:r>
      <w:r w:rsidR="00DD6EB9" w:rsidRPr="000A7B67">
        <w:tab/>
        <w:t xml:space="preserve">Prepare a reaction master mix as below and keep all reagents on ice. Allow for pipetting variation by preparing at least two </w:t>
      </w:r>
      <w:r w:rsidR="00F67245" w:rsidRPr="000A7B67">
        <w:t xml:space="preserve">extra </w:t>
      </w:r>
      <w:r w:rsidR="00DD6EB9" w:rsidRPr="000A7B67">
        <w:t xml:space="preserve">reaction mixes </w:t>
      </w:r>
    </w:p>
    <w:tbl>
      <w:tblPr>
        <w:tblStyle w:val="TableGrid"/>
        <w:tblW w:w="0" w:type="auto"/>
        <w:tblInd w:w="2802" w:type="dxa"/>
        <w:tblLook w:val="04A0" w:firstRow="1" w:lastRow="0" w:firstColumn="1" w:lastColumn="0" w:noHBand="0" w:noVBand="1"/>
      </w:tblPr>
      <w:tblGrid>
        <w:gridCol w:w="4714"/>
        <w:gridCol w:w="1545"/>
      </w:tblGrid>
      <w:tr w:rsidR="00716A67" w:rsidRPr="00805E5E" w14:paraId="51981DC2" w14:textId="77777777" w:rsidTr="00222839">
        <w:trPr>
          <w:tblHeader/>
        </w:trPr>
        <w:tc>
          <w:tcPr>
            <w:tcW w:w="4786" w:type="dxa"/>
            <w:vAlign w:val="center"/>
          </w:tcPr>
          <w:p w14:paraId="492BA62A" w14:textId="77777777" w:rsidR="00716A67" w:rsidRPr="00805E5E" w:rsidRDefault="00716A67" w:rsidP="002A10C6">
            <w:pPr>
              <w:keepNext/>
              <w:keepLines/>
              <w:spacing w:before="60" w:after="60" w:line="240" w:lineRule="auto"/>
              <w:rPr>
                <w:rFonts w:ascii="Söhne Kräftig" w:hAnsi="Söhne Kräftig" w:cs="Arial"/>
                <w:bCs/>
                <w:sz w:val="18"/>
                <w:szCs w:val="18"/>
              </w:rPr>
            </w:pPr>
            <w:r w:rsidRPr="00805E5E">
              <w:rPr>
                <w:rFonts w:ascii="Söhne Kräftig" w:hAnsi="Söhne Kräftig" w:cs="Arial"/>
                <w:bCs/>
                <w:sz w:val="18"/>
                <w:szCs w:val="18"/>
              </w:rPr>
              <w:t>Reagent</w:t>
            </w:r>
          </w:p>
        </w:tc>
        <w:tc>
          <w:tcPr>
            <w:tcW w:w="1559" w:type="dxa"/>
            <w:vAlign w:val="center"/>
          </w:tcPr>
          <w:p w14:paraId="2A928229" w14:textId="77777777" w:rsidR="00716A67" w:rsidRPr="00805E5E" w:rsidRDefault="00716A67" w:rsidP="002A10C6">
            <w:pPr>
              <w:keepNext/>
              <w:keepLines/>
              <w:spacing w:before="60" w:after="60" w:line="240" w:lineRule="auto"/>
              <w:jc w:val="center"/>
              <w:rPr>
                <w:rFonts w:ascii="Söhne Kräftig" w:hAnsi="Söhne Kräftig" w:cs="Arial"/>
                <w:bCs/>
                <w:sz w:val="18"/>
                <w:szCs w:val="18"/>
              </w:rPr>
            </w:pPr>
            <w:r w:rsidRPr="00805E5E">
              <w:rPr>
                <w:rFonts w:ascii="Söhne Kräftig" w:hAnsi="Söhne Kräftig" w:cs="Arial"/>
                <w:bCs/>
                <w:sz w:val="18"/>
                <w:szCs w:val="18"/>
              </w:rPr>
              <w:t>Volume per reaction (</w:t>
            </w:r>
            <w:r w:rsidRPr="00805E5E">
              <w:rPr>
                <w:rFonts w:ascii="Calibri" w:hAnsi="Calibri" w:cs="Calibri"/>
                <w:bCs/>
                <w:sz w:val="18"/>
                <w:szCs w:val="18"/>
              </w:rPr>
              <w:t>µ</w:t>
            </w:r>
            <w:r w:rsidRPr="00805E5E">
              <w:rPr>
                <w:rFonts w:ascii="Söhne Kräftig" w:hAnsi="Söhne Kräftig" w:cs="Arial"/>
                <w:bCs/>
                <w:sz w:val="18"/>
                <w:szCs w:val="18"/>
              </w:rPr>
              <w:t>l)</w:t>
            </w:r>
          </w:p>
        </w:tc>
      </w:tr>
      <w:tr w:rsidR="00716A67" w:rsidRPr="000A7B67" w14:paraId="4A1C6E47" w14:textId="77777777" w:rsidTr="00222839">
        <w:tc>
          <w:tcPr>
            <w:tcW w:w="4786" w:type="dxa"/>
          </w:tcPr>
          <w:p w14:paraId="53BA8486" w14:textId="77777777" w:rsidR="00716A67" w:rsidRPr="006E17A0" w:rsidRDefault="00716A67" w:rsidP="002A10C6">
            <w:pPr>
              <w:keepNext/>
              <w:keepLines/>
              <w:spacing w:before="60" w:after="60" w:line="240" w:lineRule="auto"/>
              <w:rPr>
                <w:rFonts w:ascii="Söhne" w:hAnsi="Söhne" w:cs="Arial"/>
                <w:sz w:val="16"/>
                <w:szCs w:val="16"/>
              </w:rPr>
            </w:pPr>
            <w:r w:rsidRPr="006E17A0">
              <w:rPr>
                <w:rFonts w:ascii="Söhne" w:hAnsi="Söhne" w:cs="Arial"/>
                <w:sz w:val="16"/>
                <w:szCs w:val="16"/>
              </w:rPr>
              <w:t>Molecular grade water</w:t>
            </w:r>
          </w:p>
        </w:tc>
        <w:tc>
          <w:tcPr>
            <w:tcW w:w="1559" w:type="dxa"/>
          </w:tcPr>
          <w:p w14:paraId="357AFBD8" w14:textId="77777777" w:rsidR="00716A67" w:rsidRPr="006E17A0" w:rsidRDefault="00716A67" w:rsidP="002A10C6">
            <w:pPr>
              <w:keepNext/>
              <w:keepLines/>
              <w:spacing w:before="60" w:after="60" w:line="240" w:lineRule="auto"/>
              <w:jc w:val="center"/>
              <w:rPr>
                <w:rFonts w:ascii="Söhne" w:hAnsi="Söhne" w:cs="Arial"/>
                <w:sz w:val="16"/>
                <w:szCs w:val="16"/>
              </w:rPr>
            </w:pPr>
            <w:r w:rsidRPr="006E17A0">
              <w:rPr>
                <w:rFonts w:ascii="Söhne" w:hAnsi="Söhne" w:cs="Arial"/>
                <w:sz w:val="16"/>
                <w:szCs w:val="16"/>
              </w:rPr>
              <w:t>7.55</w:t>
            </w:r>
          </w:p>
        </w:tc>
      </w:tr>
      <w:tr w:rsidR="00716A67" w:rsidRPr="000A7B67" w14:paraId="06471B01" w14:textId="77777777" w:rsidTr="00222839">
        <w:tc>
          <w:tcPr>
            <w:tcW w:w="4786" w:type="dxa"/>
          </w:tcPr>
          <w:p w14:paraId="3FBF6758" w14:textId="77777777" w:rsidR="00716A67" w:rsidRPr="006E17A0" w:rsidRDefault="00716A67" w:rsidP="00EF28D6">
            <w:pPr>
              <w:spacing w:before="60" w:after="60" w:line="240" w:lineRule="auto"/>
              <w:rPr>
                <w:rFonts w:ascii="Söhne" w:hAnsi="Söhne" w:cs="Arial"/>
                <w:sz w:val="16"/>
                <w:szCs w:val="16"/>
              </w:rPr>
            </w:pPr>
            <w:r w:rsidRPr="006E17A0">
              <w:rPr>
                <w:rFonts w:ascii="Söhne" w:hAnsi="Söhne" w:cs="Arial"/>
                <w:sz w:val="16"/>
                <w:szCs w:val="16"/>
              </w:rPr>
              <w:t xml:space="preserve">Universal reaction mix </w:t>
            </w:r>
            <w:r w:rsidR="001835EF" w:rsidRPr="006E17A0">
              <w:rPr>
                <w:rFonts w:ascii="Söhne" w:hAnsi="Söhne" w:cs="Arial"/>
                <w:sz w:val="16"/>
                <w:szCs w:val="16"/>
              </w:rPr>
              <w:t xml:space="preserve">containing a fluorescent DNA stain </w:t>
            </w:r>
            <w:r w:rsidRPr="006E17A0">
              <w:rPr>
                <w:rFonts w:ascii="Söhne" w:hAnsi="Söhne" w:cs="Arial"/>
                <w:sz w:val="16"/>
                <w:szCs w:val="16"/>
              </w:rPr>
              <w:t>(2</w:t>
            </w:r>
            <w:r w:rsidR="00635919" w:rsidRPr="006E17A0">
              <w:rPr>
                <w:rFonts w:ascii="Söhne" w:hAnsi="Söhne" w:cs="Arial"/>
                <w:sz w:val="16"/>
                <w:szCs w:val="16"/>
              </w:rPr>
              <w:t>×</w:t>
            </w:r>
            <w:r w:rsidRPr="006E17A0">
              <w:rPr>
                <w:rFonts w:ascii="Söhne" w:hAnsi="Söhne" w:cs="Arial"/>
                <w:sz w:val="16"/>
                <w:szCs w:val="16"/>
              </w:rPr>
              <w:t>)</w:t>
            </w:r>
          </w:p>
        </w:tc>
        <w:tc>
          <w:tcPr>
            <w:tcW w:w="1559" w:type="dxa"/>
          </w:tcPr>
          <w:p w14:paraId="2CEC74BC" w14:textId="77777777" w:rsidR="00716A67" w:rsidRPr="006E17A0" w:rsidRDefault="00716A67" w:rsidP="008D00EE">
            <w:pPr>
              <w:spacing w:before="60" w:after="60" w:line="240" w:lineRule="auto"/>
              <w:jc w:val="center"/>
              <w:rPr>
                <w:rFonts w:ascii="Söhne" w:hAnsi="Söhne" w:cs="Arial"/>
                <w:sz w:val="16"/>
                <w:szCs w:val="16"/>
              </w:rPr>
            </w:pPr>
            <w:r w:rsidRPr="006E17A0">
              <w:rPr>
                <w:rFonts w:ascii="Söhne" w:hAnsi="Söhne" w:cs="Arial"/>
                <w:sz w:val="16"/>
                <w:szCs w:val="16"/>
              </w:rPr>
              <w:t>10.0</w:t>
            </w:r>
          </w:p>
        </w:tc>
      </w:tr>
      <w:tr w:rsidR="00EC4BB5" w:rsidRPr="000A7B67" w14:paraId="531E1D66" w14:textId="77777777" w:rsidTr="00222839">
        <w:tc>
          <w:tcPr>
            <w:tcW w:w="4786" w:type="dxa"/>
          </w:tcPr>
          <w:p w14:paraId="70E3AC82" w14:textId="77777777" w:rsidR="00EC4BB5" w:rsidRPr="006E17A0" w:rsidRDefault="00EC4BB5" w:rsidP="00EF28D6">
            <w:pPr>
              <w:spacing w:before="60" w:after="60" w:line="240" w:lineRule="auto"/>
              <w:rPr>
                <w:rFonts w:ascii="Söhne" w:hAnsi="Söhne" w:cs="Arial"/>
                <w:sz w:val="16"/>
                <w:szCs w:val="16"/>
              </w:rPr>
            </w:pPr>
            <w:r w:rsidRPr="006E17A0">
              <w:rPr>
                <w:rFonts w:ascii="Söhne" w:hAnsi="Söhne" w:cs="Arial"/>
                <w:sz w:val="16"/>
                <w:szCs w:val="16"/>
              </w:rPr>
              <w:t xml:space="preserve">JW12 (20 </w:t>
            </w:r>
            <w:proofErr w:type="spellStart"/>
            <w:r w:rsidRPr="006E17A0">
              <w:rPr>
                <w:rFonts w:ascii="Söhne" w:hAnsi="Söhne" w:cs="Arial"/>
                <w:sz w:val="16"/>
                <w:szCs w:val="16"/>
              </w:rPr>
              <w:t>pmol</w:t>
            </w:r>
            <w:proofErr w:type="spellEnd"/>
            <w:r w:rsidRPr="006E17A0">
              <w:rPr>
                <w:rFonts w:ascii="Söhne" w:hAnsi="Söhne" w:cs="Arial"/>
                <w:sz w:val="16"/>
                <w:szCs w:val="16"/>
              </w:rPr>
              <w:t>/</w:t>
            </w:r>
            <w:r w:rsidRPr="006E17A0">
              <w:rPr>
                <w:rFonts w:ascii="Calibri" w:hAnsi="Calibri" w:cs="Calibri"/>
                <w:sz w:val="16"/>
                <w:szCs w:val="16"/>
              </w:rPr>
              <w:t>µ</w:t>
            </w:r>
            <w:r w:rsidRPr="006E17A0">
              <w:rPr>
                <w:rFonts w:ascii="Söhne" w:hAnsi="Söhne" w:cs="Arial"/>
                <w:sz w:val="16"/>
                <w:szCs w:val="16"/>
              </w:rPr>
              <w:t>l)</w:t>
            </w:r>
          </w:p>
        </w:tc>
        <w:tc>
          <w:tcPr>
            <w:tcW w:w="1559" w:type="dxa"/>
          </w:tcPr>
          <w:p w14:paraId="695DEB70" w14:textId="77777777" w:rsidR="00EC4BB5" w:rsidRPr="006E17A0" w:rsidRDefault="00EC4BB5" w:rsidP="008D00EE">
            <w:pPr>
              <w:spacing w:before="60" w:after="60" w:line="240" w:lineRule="auto"/>
              <w:jc w:val="center"/>
              <w:rPr>
                <w:rFonts w:ascii="Söhne" w:hAnsi="Söhne" w:cs="Arial"/>
                <w:sz w:val="16"/>
                <w:szCs w:val="16"/>
              </w:rPr>
            </w:pPr>
            <w:r w:rsidRPr="006E17A0">
              <w:rPr>
                <w:rFonts w:ascii="Söhne" w:hAnsi="Söhne" w:cs="Arial"/>
                <w:sz w:val="16"/>
                <w:szCs w:val="16"/>
              </w:rPr>
              <w:t>0.6</w:t>
            </w:r>
          </w:p>
        </w:tc>
      </w:tr>
      <w:tr w:rsidR="00EC4BB5" w:rsidRPr="000A7B67" w14:paraId="481E46AA" w14:textId="77777777" w:rsidTr="00222839">
        <w:tc>
          <w:tcPr>
            <w:tcW w:w="4786" w:type="dxa"/>
          </w:tcPr>
          <w:p w14:paraId="455AB99B" w14:textId="77777777" w:rsidR="00EC4BB5" w:rsidRPr="006E17A0" w:rsidRDefault="00EC4BB5" w:rsidP="00EF28D6">
            <w:pPr>
              <w:spacing w:before="60" w:after="60" w:line="240" w:lineRule="auto"/>
              <w:rPr>
                <w:rFonts w:ascii="Söhne" w:hAnsi="Söhne" w:cs="Arial"/>
                <w:sz w:val="16"/>
                <w:szCs w:val="16"/>
              </w:rPr>
            </w:pPr>
            <w:r w:rsidRPr="006E17A0">
              <w:rPr>
                <w:rFonts w:ascii="Söhne" w:hAnsi="Söhne" w:cs="Arial"/>
                <w:sz w:val="16"/>
                <w:szCs w:val="16"/>
              </w:rPr>
              <w:t xml:space="preserve">N165-146 (20 </w:t>
            </w:r>
            <w:proofErr w:type="spellStart"/>
            <w:r w:rsidRPr="006E17A0">
              <w:rPr>
                <w:rFonts w:ascii="Söhne" w:hAnsi="Söhne" w:cs="Arial"/>
                <w:sz w:val="16"/>
                <w:szCs w:val="16"/>
              </w:rPr>
              <w:t>pmol</w:t>
            </w:r>
            <w:proofErr w:type="spellEnd"/>
            <w:r w:rsidRPr="006E17A0">
              <w:rPr>
                <w:rFonts w:ascii="Söhne" w:hAnsi="Söhne" w:cs="Arial"/>
                <w:sz w:val="16"/>
                <w:szCs w:val="16"/>
              </w:rPr>
              <w:t>/</w:t>
            </w:r>
            <w:r w:rsidRPr="006E17A0">
              <w:rPr>
                <w:rFonts w:ascii="Calibri" w:hAnsi="Calibri" w:cs="Calibri"/>
                <w:sz w:val="16"/>
                <w:szCs w:val="16"/>
              </w:rPr>
              <w:t>µ</w:t>
            </w:r>
            <w:r w:rsidRPr="006E17A0">
              <w:rPr>
                <w:rFonts w:ascii="Söhne" w:hAnsi="Söhne" w:cs="Arial"/>
                <w:sz w:val="16"/>
                <w:szCs w:val="16"/>
              </w:rPr>
              <w:t>l)</w:t>
            </w:r>
          </w:p>
        </w:tc>
        <w:tc>
          <w:tcPr>
            <w:tcW w:w="1559" w:type="dxa"/>
          </w:tcPr>
          <w:p w14:paraId="448F4A32" w14:textId="77777777" w:rsidR="00EC4BB5" w:rsidRPr="006E17A0" w:rsidRDefault="00EC4BB5" w:rsidP="008D00EE">
            <w:pPr>
              <w:spacing w:before="60" w:after="60" w:line="240" w:lineRule="auto"/>
              <w:jc w:val="center"/>
              <w:rPr>
                <w:rFonts w:ascii="Söhne" w:hAnsi="Söhne" w:cs="Arial"/>
                <w:sz w:val="16"/>
                <w:szCs w:val="16"/>
              </w:rPr>
            </w:pPr>
            <w:r w:rsidRPr="006E17A0">
              <w:rPr>
                <w:rFonts w:ascii="Söhne" w:hAnsi="Söhne" w:cs="Arial"/>
                <w:sz w:val="16"/>
                <w:szCs w:val="16"/>
              </w:rPr>
              <w:t>1.0</w:t>
            </w:r>
          </w:p>
        </w:tc>
      </w:tr>
      <w:tr w:rsidR="00716A67" w:rsidRPr="000A7B67" w14:paraId="644917E3" w14:textId="77777777" w:rsidTr="00222839">
        <w:tc>
          <w:tcPr>
            <w:tcW w:w="4786" w:type="dxa"/>
          </w:tcPr>
          <w:p w14:paraId="4C89D42E" w14:textId="77777777" w:rsidR="00716A67" w:rsidRPr="006E17A0" w:rsidRDefault="00716A67" w:rsidP="00EF28D6">
            <w:pPr>
              <w:spacing w:before="60" w:after="60" w:line="240" w:lineRule="auto"/>
              <w:rPr>
                <w:rFonts w:ascii="Söhne" w:hAnsi="Söhne" w:cs="Arial"/>
                <w:sz w:val="16"/>
                <w:szCs w:val="16"/>
              </w:rPr>
            </w:pPr>
            <w:r w:rsidRPr="006E17A0">
              <w:rPr>
                <w:rFonts w:ascii="Söhne" w:hAnsi="Söhne" w:cs="Arial"/>
                <w:sz w:val="16"/>
                <w:szCs w:val="16"/>
              </w:rPr>
              <w:t>RT enzyme mix</w:t>
            </w:r>
          </w:p>
        </w:tc>
        <w:tc>
          <w:tcPr>
            <w:tcW w:w="1559" w:type="dxa"/>
          </w:tcPr>
          <w:p w14:paraId="5E9DBC2E" w14:textId="77777777" w:rsidR="00716A67" w:rsidRPr="006E17A0" w:rsidRDefault="00716A67" w:rsidP="008D00EE">
            <w:pPr>
              <w:spacing w:before="60" w:after="60" w:line="240" w:lineRule="auto"/>
              <w:jc w:val="center"/>
              <w:rPr>
                <w:rFonts w:ascii="Söhne" w:hAnsi="Söhne" w:cs="Arial"/>
                <w:sz w:val="16"/>
                <w:szCs w:val="16"/>
              </w:rPr>
            </w:pPr>
            <w:r w:rsidRPr="006E17A0">
              <w:rPr>
                <w:rFonts w:ascii="Söhne" w:hAnsi="Söhne" w:cs="Arial"/>
                <w:sz w:val="16"/>
                <w:szCs w:val="16"/>
              </w:rPr>
              <w:t>0.25</w:t>
            </w:r>
          </w:p>
        </w:tc>
      </w:tr>
      <w:tr w:rsidR="00716A67" w:rsidRPr="000A7B67" w14:paraId="751F5C72" w14:textId="77777777" w:rsidTr="00222839">
        <w:tc>
          <w:tcPr>
            <w:tcW w:w="4786" w:type="dxa"/>
          </w:tcPr>
          <w:p w14:paraId="63263DDF" w14:textId="77777777" w:rsidR="00716A67" w:rsidRPr="006E17A0" w:rsidRDefault="00716A67" w:rsidP="00EF28D6">
            <w:pPr>
              <w:spacing w:before="60" w:after="60" w:line="240" w:lineRule="auto"/>
              <w:rPr>
                <w:rFonts w:ascii="Söhne" w:hAnsi="Söhne" w:cs="Arial"/>
                <w:sz w:val="16"/>
                <w:szCs w:val="16"/>
              </w:rPr>
            </w:pPr>
            <w:r w:rsidRPr="006E17A0">
              <w:rPr>
                <w:rFonts w:ascii="Söhne" w:hAnsi="Söhne" w:cs="Arial"/>
                <w:sz w:val="16"/>
                <w:szCs w:val="16"/>
              </w:rPr>
              <w:t>Total</w:t>
            </w:r>
          </w:p>
        </w:tc>
        <w:tc>
          <w:tcPr>
            <w:tcW w:w="1559" w:type="dxa"/>
          </w:tcPr>
          <w:p w14:paraId="4D208F1E" w14:textId="77777777" w:rsidR="00716A67" w:rsidRPr="006E17A0" w:rsidRDefault="00377F84" w:rsidP="008D00EE">
            <w:pPr>
              <w:spacing w:before="60" w:after="60" w:line="240" w:lineRule="auto"/>
              <w:jc w:val="center"/>
              <w:rPr>
                <w:rFonts w:ascii="Söhne" w:hAnsi="Söhne" w:cs="Arial"/>
                <w:sz w:val="16"/>
                <w:szCs w:val="16"/>
              </w:rPr>
            </w:pPr>
            <w:r w:rsidRPr="006E17A0">
              <w:rPr>
                <w:rFonts w:ascii="Söhne" w:hAnsi="Söhne" w:cs="Arial"/>
                <w:sz w:val="16"/>
              </w:rPr>
              <w:t>19.4</w:t>
            </w:r>
          </w:p>
        </w:tc>
      </w:tr>
    </w:tbl>
    <w:p w14:paraId="4F2A667E" w14:textId="77777777" w:rsidR="00DD6EB9" w:rsidRPr="000A7B67" w:rsidRDefault="00755CF2" w:rsidP="006A10B5">
      <w:pPr>
        <w:pStyle w:val="dot-sixthlevellist"/>
        <w:spacing w:before="120"/>
      </w:pPr>
      <w:r w:rsidRPr="000A7B67">
        <w:t>5</w:t>
      </w:r>
      <w:r w:rsidR="00DD6EB9" w:rsidRPr="000A7B67">
        <w:t>)</w:t>
      </w:r>
      <w:r w:rsidR="00DD6EB9" w:rsidRPr="000A7B67">
        <w:tab/>
        <w:t>Prepare a reaction master mix for the β-actin mRNA which assesses the quality in samples extracted from solid tissue. The assay for β-</w:t>
      </w:r>
      <w:proofErr w:type="spellStart"/>
      <w:r w:rsidR="00DD6EB9" w:rsidRPr="000A7B67">
        <w:t>actin</w:t>
      </w:r>
      <w:proofErr w:type="spellEnd"/>
      <w:r w:rsidR="00DD6EB9" w:rsidRPr="000A7B67">
        <w:t xml:space="preserve"> must be positive in order to have confidence that RNA was isolated from the starting material.</w:t>
      </w:r>
    </w:p>
    <w:tbl>
      <w:tblPr>
        <w:tblStyle w:val="TableGrid"/>
        <w:tblW w:w="0" w:type="auto"/>
        <w:tblInd w:w="2802" w:type="dxa"/>
        <w:tblLook w:val="04A0" w:firstRow="1" w:lastRow="0" w:firstColumn="1" w:lastColumn="0" w:noHBand="0" w:noVBand="1"/>
      </w:tblPr>
      <w:tblGrid>
        <w:gridCol w:w="4819"/>
        <w:gridCol w:w="1418"/>
      </w:tblGrid>
      <w:tr w:rsidR="00716A67" w:rsidRPr="00805E5E" w14:paraId="18DC342E" w14:textId="77777777" w:rsidTr="00222839">
        <w:tc>
          <w:tcPr>
            <w:tcW w:w="4819" w:type="dxa"/>
            <w:vAlign w:val="center"/>
          </w:tcPr>
          <w:p w14:paraId="28AACAF7" w14:textId="77777777" w:rsidR="00716A67" w:rsidRPr="00805E5E" w:rsidRDefault="00716A67" w:rsidP="00EF28D6">
            <w:pPr>
              <w:keepNext/>
              <w:spacing w:before="60" w:after="60" w:line="240" w:lineRule="auto"/>
              <w:rPr>
                <w:rFonts w:ascii="Söhne Kräftig" w:hAnsi="Söhne Kräftig" w:cs="Arial"/>
                <w:bCs/>
                <w:sz w:val="18"/>
                <w:szCs w:val="18"/>
              </w:rPr>
            </w:pPr>
            <w:r w:rsidRPr="00805E5E">
              <w:rPr>
                <w:rFonts w:ascii="Söhne Kräftig" w:hAnsi="Söhne Kräftig" w:cs="Arial"/>
                <w:bCs/>
                <w:sz w:val="18"/>
                <w:szCs w:val="18"/>
              </w:rPr>
              <w:t>Reagent</w:t>
            </w:r>
          </w:p>
        </w:tc>
        <w:tc>
          <w:tcPr>
            <w:tcW w:w="1418" w:type="dxa"/>
            <w:vAlign w:val="center"/>
          </w:tcPr>
          <w:p w14:paraId="3B391B61" w14:textId="77777777" w:rsidR="00716A67" w:rsidRPr="00805E5E" w:rsidRDefault="00716A67" w:rsidP="008D00EE">
            <w:pPr>
              <w:keepNext/>
              <w:spacing w:before="60" w:after="60" w:line="240" w:lineRule="auto"/>
              <w:jc w:val="center"/>
              <w:rPr>
                <w:rFonts w:ascii="Söhne Kräftig" w:hAnsi="Söhne Kräftig" w:cs="Arial"/>
                <w:bCs/>
                <w:sz w:val="18"/>
                <w:szCs w:val="18"/>
              </w:rPr>
            </w:pPr>
            <w:r w:rsidRPr="00805E5E">
              <w:rPr>
                <w:rFonts w:ascii="Söhne Kräftig" w:hAnsi="Söhne Kräftig" w:cs="Arial"/>
                <w:bCs/>
                <w:sz w:val="18"/>
                <w:szCs w:val="18"/>
              </w:rPr>
              <w:t>Volume per reaction (</w:t>
            </w:r>
            <w:r w:rsidRPr="00805E5E">
              <w:rPr>
                <w:rFonts w:ascii="Calibri" w:hAnsi="Calibri" w:cs="Calibri"/>
                <w:bCs/>
                <w:sz w:val="18"/>
                <w:szCs w:val="18"/>
              </w:rPr>
              <w:t>µ</w:t>
            </w:r>
            <w:r w:rsidRPr="00805E5E">
              <w:rPr>
                <w:rFonts w:ascii="Söhne Kräftig" w:hAnsi="Söhne Kräftig" w:cs="Arial"/>
                <w:bCs/>
                <w:sz w:val="18"/>
                <w:szCs w:val="18"/>
              </w:rPr>
              <w:t>l)</w:t>
            </w:r>
          </w:p>
        </w:tc>
      </w:tr>
      <w:tr w:rsidR="00716A67" w:rsidRPr="000A7B67" w14:paraId="6C6E9BAA" w14:textId="77777777" w:rsidTr="00222839">
        <w:tc>
          <w:tcPr>
            <w:tcW w:w="4819" w:type="dxa"/>
          </w:tcPr>
          <w:p w14:paraId="52CA7751" w14:textId="77777777" w:rsidR="00716A67" w:rsidRPr="006E17A0" w:rsidRDefault="00716A67" w:rsidP="00EF28D6">
            <w:pPr>
              <w:keepNext/>
              <w:spacing w:before="60" w:after="60" w:line="240" w:lineRule="auto"/>
              <w:rPr>
                <w:rFonts w:ascii="Söhne" w:hAnsi="Söhne" w:cs="Arial"/>
                <w:sz w:val="16"/>
                <w:szCs w:val="16"/>
              </w:rPr>
            </w:pPr>
            <w:r w:rsidRPr="006E17A0">
              <w:rPr>
                <w:rFonts w:ascii="Söhne" w:hAnsi="Söhne" w:cs="Arial"/>
                <w:sz w:val="16"/>
                <w:szCs w:val="16"/>
              </w:rPr>
              <w:t>Molecular grade water</w:t>
            </w:r>
          </w:p>
        </w:tc>
        <w:tc>
          <w:tcPr>
            <w:tcW w:w="1418" w:type="dxa"/>
          </w:tcPr>
          <w:p w14:paraId="3C503784" w14:textId="77777777" w:rsidR="00716A67" w:rsidRPr="006E17A0" w:rsidRDefault="00716A67" w:rsidP="008D00EE">
            <w:pPr>
              <w:keepNext/>
              <w:spacing w:before="60" w:after="60" w:line="240" w:lineRule="auto"/>
              <w:jc w:val="center"/>
              <w:rPr>
                <w:rFonts w:ascii="Söhne" w:hAnsi="Söhne" w:cs="Arial"/>
                <w:sz w:val="16"/>
                <w:szCs w:val="16"/>
              </w:rPr>
            </w:pPr>
            <w:r w:rsidRPr="006E17A0">
              <w:rPr>
                <w:rFonts w:ascii="Söhne" w:hAnsi="Söhne" w:cs="Arial"/>
                <w:sz w:val="16"/>
                <w:szCs w:val="16"/>
              </w:rPr>
              <w:t>7.55</w:t>
            </w:r>
          </w:p>
        </w:tc>
      </w:tr>
      <w:tr w:rsidR="00716A67" w:rsidRPr="000A7B67" w14:paraId="6CB01064" w14:textId="77777777" w:rsidTr="00222839">
        <w:tc>
          <w:tcPr>
            <w:tcW w:w="4819" w:type="dxa"/>
          </w:tcPr>
          <w:p w14:paraId="6A56CB5B" w14:textId="77777777" w:rsidR="00716A67" w:rsidRPr="006E17A0" w:rsidRDefault="001835EF" w:rsidP="00EF28D6">
            <w:pPr>
              <w:spacing w:before="60" w:after="60" w:line="240" w:lineRule="auto"/>
              <w:rPr>
                <w:rFonts w:ascii="Söhne" w:hAnsi="Söhne" w:cs="Arial"/>
                <w:sz w:val="16"/>
                <w:szCs w:val="16"/>
              </w:rPr>
            </w:pPr>
            <w:r w:rsidRPr="006E17A0">
              <w:rPr>
                <w:rFonts w:ascii="Söhne" w:hAnsi="Söhne" w:cs="Arial"/>
                <w:sz w:val="16"/>
                <w:szCs w:val="16"/>
              </w:rPr>
              <w:t xml:space="preserve">Universal reaction mix containing a fluorescent DNA stain </w:t>
            </w:r>
            <w:r w:rsidR="00716A67" w:rsidRPr="006E17A0">
              <w:rPr>
                <w:rFonts w:ascii="Söhne" w:hAnsi="Söhne" w:cs="Arial"/>
                <w:sz w:val="16"/>
                <w:szCs w:val="16"/>
              </w:rPr>
              <w:t>(2X)</w:t>
            </w:r>
          </w:p>
        </w:tc>
        <w:tc>
          <w:tcPr>
            <w:tcW w:w="1418" w:type="dxa"/>
          </w:tcPr>
          <w:p w14:paraId="1EC452FA" w14:textId="77777777" w:rsidR="00716A67" w:rsidRPr="006E17A0" w:rsidRDefault="00716A67" w:rsidP="008D00EE">
            <w:pPr>
              <w:spacing w:before="60" w:after="60" w:line="240" w:lineRule="auto"/>
              <w:jc w:val="center"/>
              <w:rPr>
                <w:rFonts w:ascii="Söhne" w:hAnsi="Söhne" w:cs="Arial"/>
                <w:sz w:val="16"/>
                <w:szCs w:val="16"/>
              </w:rPr>
            </w:pPr>
            <w:r w:rsidRPr="006E17A0">
              <w:rPr>
                <w:rFonts w:ascii="Söhne" w:hAnsi="Söhne" w:cs="Arial"/>
                <w:sz w:val="16"/>
                <w:szCs w:val="16"/>
              </w:rPr>
              <w:t>10.0</w:t>
            </w:r>
          </w:p>
        </w:tc>
      </w:tr>
      <w:tr w:rsidR="00EC4BB5" w:rsidRPr="000A7B67" w14:paraId="2BE8BCFF" w14:textId="77777777" w:rsidTr="00222839">
        <w:tc>
          <w:tcPr>
            <w:tcW w:w="4819" w:type="dxa"/>
          </w:tcPr>
          <w:p w14:paraId="3971C8C9" w14:textId="77777777" w:rsidR="00EC4BB5" w:rsidRPr="006E17A0" w:rsidRDefault="00EC4BB5" w:rsidP="00EF28D6">
            <w:pPr>
              <w:spacing w:before="60" w:after="60" w:line="240" w:lineRule="auto"/>
              <w:rPr>
                <w:rFonts w:ascii="Söhne" w:hAnsi="Söhne" w:cs="Arial"/>
                <w:sz w:val="16"/>
                <w:szCs w:val="16"/>
              </w:rPr>
            </w:pPr>
            <w:r w:rsidRPr="006E17A0">
              <w:rPr>
                <w:rFonts w:ascii="Söhne" w:hAnsi="Söhne" w:cs="Arial"/>
                <w:sz w:val="16"/>
                <w:szCs w:val="16"/>
              </w:rPr>
              <w:t xml:space="preserve">Intronic (20 </w:t>
            </w:r>
            <w:proofErr w:type="spellStart"/>
            <w:r w:rsidRPr="006E17A0">
              <w:rPr>
                <w:rFonts w:ascii="Söhne" w:hAnsi="Söhne" w:cs="Arial"/>
                <w:sz w:val="16"/>
                <w:szCs w:val="16"/>
              </w:rPr>
              <w:t>pmol</w:t>
            </w:r>
            <w:proofErr w:type="spellEnd"/>
            <w:r w:rsidRPr="006E17A0">
              <w:rPr>
                <w:rFonts w:ascii="Söhne" w:hAnsi="Söhne" w:cs="Arial"/>
                <w:sz w:val="16"/>
                <w:szCs w:val="16"/>
              </w:rPr>
              <w:t>/</w:t>
            </w:r>
            <w:r w:rsidRPr="006E17A0">
              <w:rPr>
                <w:rFonts w:ascii="Calibri" w:hAnsi="Calibri" w:cs="Calibri"/>
                <w:sz w:val="16"/>
                <w:szCs w:val="16"/>
              </w:rPr>
              <w:t>µ</w:t>
            </w:r>
            <w:r w:rsidRPr="006E17A0">
              <w:rPr>
                <w:rFonts w:ascii="Söhne" w:hAnsi="Söhne" w:cs="Arial"/>
                <w:sz w:val="16"/>
                <w:szCs w:val="16"/>
              </w:rPr>
              <w:t>l)</w:t>
            </w:r>
          </w:p>
        </w:tc>
        <w:tc>
          <w:tcPr>
            <w:tcW w:w="1418" w:type="dxa"/>
          </w:tcPr>
          <w:p w14:paraId="5D30959E" w14:textId="77777777" w:rsidR="00EC4BB5" w:rsidRPr="006E17A0" w:rsidRDefault="00EC4BB5" w:rsidP="008D00EE">
            <w:pPr>
              <w:spacing w:before="60" w:after="60" w:line="240" w:lineRule="auto"/>
              <w:jc w:val="center"/>
              <w:rPr>
                <w:rFonts w:ascii="Söhne" w:hAnsi="Söhne" w:cs="Arial"/>
                <w:sz w:val="16"/>
                <w:szCs w:val="16"/>
              </w:rPr>
            </w:pPr>
            <w:r w:rsidRPr="006E17A0">
              <w:rPr>
                <w:rFonts w:ascii="Söhne" w:hAnsi="Söhne" w:cs="Arial"/>
                <w:sz w:val="16"/>
                <w:szCs w:val="16"/>
              </w:rPr>
              <w:t>0.6</w:t>
            </w:r>
          </w:p>
        </w:tc>
      </w:tr>
      <w:tr w:rsidR="00EC4BB5" w:rsidRPr="000A7B67" w14:paraId="0D01F4F6" w14:textId="77777777" w:rsidTr="00222839">
        <w:tc>
          <w:tcPr>
            <w:tcW w:w="4819" w:type="dxa"/>
          </w:tcPr>
          <w:p w14:paraId="1AA73A03" w14:textId="77777777" w:rsidR="00EC4BB5" w:rsidRPr="006E17A0" w:rsidRDefault="00EC4BB5" w:rsidP="00EF28D6">
            <w:pPr>
              <w:spacing w:before="60" w:after="60" w:line="240" w:lineRule="auto"/>
              <w:rPr>
                <w:rFonts w:ascii="Söhne" w:hAnsi="Söhne" w:cs="Arial"/>
                <w:sz w:val="16"/>
                <w:szCs w:val="16"/>
              </w:rPr>
            </w:pPr>
            <w:r w:rsidRPr="006E17A0">
              <w:rPr>
                <w:rFonts w:ascii="Söhne" w:hAnsi="Söhne" w:cs="Arial"/>
                <w:sz w:val="16"/>
                <w:szCs w:val="16"/>
              </w:rPr>
              <w:t xml:space="preserve">Reverse (20 </w:t>
            </w:r>
            <w:proofErr w:type="spellStart"/>
            <w:r w:rsidRPr="006E17A0">
              <w:rPr>
                <w:rFonts w:ascii="Söhne" w:hAnsi="Söhne" w:cs="Arial"/>
                <w:sz w:val="16"/>
                <w:szCs w:val="16"/>
              </w:rPr>
              <w:t>pmol</w:t>
            </w:r>
            <w:proofErr w:type="spellEnd"/>
            <w:r w:rsidRPr="006E17A0">
              <w:rPr>
                <w:rFonts w:ascii="Söhne" w:hAnsi="Söhne" w:cs="Arial"/>
                <w:sz w:val="16"/>
                <w:szCs w:val="16"/>
              </w:rPr>
              <w:t>/</w:t>
            </w:r>
            <w:r w:rsidRPr="006E17A0">
              <w:rPr>
                <w:rFonts w:ascii="Calibri" w:hAnsi="Calibri" w:cs="Calibri"/>
                <w:sz w:val="16"/>
                <w:szCs w:val="16"/>
              </w:rPr>
              <w:t>µ</w:t>
            </w:r>
            <w:r w:rsidRPr="006E17A0">
              <w:rPr>
                <w:rFonts w:ascii="Söhne" w:hAnsi="Söhne" w:cs="Arial"/>
                <w:sz w:val="16"/>
                <w:szCs w:val="16"/>
              </w:rPr>
              <w:t>l)</w:t>
            </w:r>
          </w:p>
        </w:tc>
        <w:tc>
          <w:tcPr>
            <w:tcW w:w="1418" w:type="dxa"/>
          </w:tcPr>
          <w:p w14:paraId="1C69417C" w14:textId="77777777" w:rsidR="00EC4BB5" w:rsidRPr="006E17A0" w:rsidRDefault="00EC4BB5" w:rsidP="008D00EE">
            <w:pPr>
              <w:spacing w:before="60" w:after="60" w:line="240" w:lineRule="auto"/>
              <w:jc w:val="center"/>
              <w:rPr>
                <w:rFonts w:ascii="Söhne" w:hAnsi="Söhne" w:cs="Arial"/>
                <w:sz w:val="16"/>
                <w:szCs w:val="16"/>
              </w:rPr>
            </w:pPr>
            <w:r w:rsidRPr="006E17A0">
              <w:rPr>
                <w:rFonts w:ascii="Söhne" w:hAnsi="Söhne" w:cs="Arial"/>
                <w:sz w:val="16"/>
                <w:szCs w:val="16"/>
              </w:rPr>
              <w:t>1.0</w:t>
            </w:r>
          </w:p>
        </w:tc>
      </w:tr>
      <w:tr w:rsidR="00716A67" w:rsidRPr="000A7B67" w14:paraId="2F61F0FD" w14:textId="77777777" w:rsidTr="00222839">
        <w:tc>
          <w:tcPr>
            <w:tcW w:w="4819" w:type="dxa"/>
          </w:tcPr>
          <w:p w14:paraId="1F1F3CB6" w14:textId="77777777" w:rsidR="00716A67" w:rsidRPr="006E17A0" w:rsidRDefault="00716A67" w:rsidP="00EF28D6">
            <w:pPr>
              <w:spacing w:before="60" w:after="60" w:line="240" w:lineRule="auto"/>
              <w:rPr>
                <w:rFonts w:ascii="Söhne" w:hAnsi="Söhne" w:cs="Arial"/>
                <w:sz w:val="16"/>
                <w:szCs w:val="16"/>
              </w:rPr>
            </w:pPr>
            <w:r w:rsidRPr="006E17A0">
              <w:rPr>
                <w:rFonts w:ascii="Söhne" w:hAnsi="Söhne" w:cs="Arial"/>
                <w:sz w:val="16"/>
                <w:szCs w:val="16"/>
              </w:rPr>
              <w:t>RT enzyme mix</w:t>
            </w:r>
          </w:p>
        </w:tc>
        <w:tc>
          <w:tcPr>
            <w:tcW w:w="1418" w:type="dxa"/>
          </w:tcPr>
          <w:p w14:paraId="0C68E691" w14:textId="77777777" w:rsidR="00716A67" w:rsidRPr="006E17A0" w:rsidRDefault="00716A67" w:rsidP="008D00EE">
            <w:pPr>
              <w:spacing w:before="60" w:after="60" w:line="240" w:lineRule="auto"/>
              <w:jc w:val="center"/>
              <w:rPr>
                <w:rFonts w:ascii="Söhne" w:hAnsi="Söhne" w:cs="Arial"/>
                <w:sz w:val="16"/>
                <w:szCs w:val="16"/>
              </w:rPr>
            </w:pPr>
            <w:r w:rsidRPr="006E17A0">
              <w:rPr>
                <w:rFonts w:ascii="Söhne" w:hAnsi="Söhne" w:cs="Arial"/>
                <w:sz w:val="16"/>
                <w:szCs w:val="16"/>
              </w:rPr>
              <w:t>0.25</w:t>
            </w:r>
          </w:p>
        </w:tc>
      </w:tr>
      <w:tr w:rsidR="00716A67" w:rsidRPr="000A7B67" w14:paraId="0CCFF227" w14:textId="77777777" w:rsidTr="00222839">
        <w:tc>
          <w:tcPr>
            <w:tcW w:w="4819" w:type="dxa"/>
          </w:tcPr>
          <w:p w14:paraId="5B66E91C" w14:textId="77777777" w:rsidR="00716A67" w:rsidRPr="006E17A0" w:rsidRDefault="00716A67" w:rsidP="00EF28D6">
            <w:pPr>
              <w:spacing w:before="60" w:after="60" w:line="240" w:lineRule="auto"/>
              <w:rPr>
                <w:rFonts w:ascii="Söhne" w:hAnsi="Söhne" w:cs="Arial"/>
                <w:sz w:val="16"/>
                <w:szCs w:val="16"/>
              </w:rPr>
            </w:pPr>
            <w:r w:rsidRPr="006E17A0">
              <w:rPr>
                <w:rFonts w:ascii="Söhne" w:hAnsi="Söhne" w:cs="Arial"/>
                <w:sz w:val="16"/>
                <w:szCs w:val="16"/>
              </w:rPr>
              <w:t>Total</w:t>
            </w:r>
          </w:p>
        </w:tc>
        <w:tc>
          <w:tcPr>
            <w:tcW w:w="1418" w:type="dxa"/>
          </w:tcPr>
          <w:p w14:paraId="1609B0CA" w14:textId="77777777" w:rsidR="00716A67" w:rsidRPr="006E17A0" w:rsidRDefault="00377F84" w:rsidP="008D00EE">
            <w:pPr>
              <w:spacing w:before="60" w:after="60" w:line="240" w:lineRule="auto"/>
              <w:jc w:val="center"/>
              <w:rPr>
                <w:rFonts w:ascii="Söhne" w:hAnsi="Söhne" w:cs="Arial"/>
                <w:sz w:val="16"/>
                <w:szCs w:val="16"/>
              </w:rPr>
            </w:pPr>
            <w:r w:rsidRPr="006E17A0">
              <w:rPr>
                <w:rFonts w:ascii="Söhne" w:hAnsi="Söhne" w:cs="Arial"/>
                <w:sz w:val="16"/>
              </w:rPr>
              <w:t>19.4</w:t>
            </w:r>
          </w:p>
        </w:tc>
      </w:tr>
    </w:tbl>
    <w:p w14:paraId="2089818F" w14:textId="77777777" w:rsidR="00DD6EB9" w:rsidRPr="000A7B67" w:rsidRDefault="00755CF2" w:rsidP="006A10B5">
      <w:pPr>
        <w:pStyle w:val="dot-sixthlevellist"/>
        <w:spacing w:before="120" w:after="240"/>
      </w:pPr>
      <w:r w:rsidRPr="000A7B67">
        <w:t>6</w:t>
      </w:r>
      <w:r w:rsidR="00DD6EB9" w:rsidRPr="000A7B67">
        <w:t>)</w:t>
      </w:r>
      <w:r w:rsidR="00DD6EB9" w:rsidRPr="000A7B67">
        <w:tab/>
        <w:t xml:space="preserve">Vortex the prepared master mixes and aliquot 19 </w:t>
      </w:r>
      <w:proofErr w:type="spellStart"/>
      <w:r w:rsidR="00DD6EB9" w:rsidRPr="000A7B67">
        <w:t>μl</w:t>
      </w:r>
      <w:proofErr w:type="spellEnd"/>
      <w:r w:rsidR="00DD6EB9" w:rsidRPr="000A7B67">
        <w:t xml:space="preserve"> into each of the relevant wells of a 96 well plate or 8-well strips.</w:t>
      </w:r>
    </w:p>
    <w:p w14:paraId="563C180D" w14:textId="77777777" w:rsidR="00DD6EB9" w:rsidRPr="000A7B67" w:rsidRDefault="00DD6EB9" w:rsidP="00716A67">
      <w:pPr>
        <w:pStyle w:val="ififthlevel"/>
      </w:pPr>
      <w:r w:rsidRPr="000A7B67">
        <w:t xml:space="preserve">In </w:t>
      </w:r>
      <w:r w:rsidR="006A10B5" w:rsidRPr="000A7B67">
        <w:t>template room</w:t>
      </w:r>
      <w:r w:rsidRPr="000A7B67">
        <w:t>/UV cabinet – addition of template</w:t>
      </w:r>
    </w:p>
    <w:p w14:paraId="5A73810A" w14:textId="246AE00F" w:rsidR="00DD6EB9" w:rsidRPr="000A7B67" w:rsidRDefault="00755CF2" w:rsidP="00716A67">
      <w:pPr>
        <w:pStyle w:val="dot-sixthlevellist"/>
      </w:pPr>
      <w:r w:rsidRPr="000A7B67">
        <w:t>1</w:t>
      </w:r>
      <w:r w:rsidR="00DD6EB9" w:rsidRPr="000A7B67">
        <w:t>)</w:t>
      </w:r>
      <w:r w:rsidR="00DD6EB9" w:rsidRPr="000A7B67">
        <w:tab/>
      </w:r>
      <w:r w:rsidR="00F67245" w:rsidRPr="000A7B67">
        <w:t xml:space="preserve">Prepare PCR workstation as described in </w:t>
      </w:r>
      <w:r w:rsidR="00D03BAB" w:rsidRPr="000A7B67">
        <w:t xml:space="preserve">Section </w:t>
      </w:r>
      <w:r w:rsidR="001F0A3E" w:rsidRPr="00F80FA7">
        <w:rPr>
          <w:strike/>
          <w:highlight w:val="yellow"/>
        </w:rPr>
        <w:t xml:space="preserve">B.1.3.4.i.c.1. </w:t>
      </w:r>
      <w:r w:rsidR="001F0A3E" w:rsidRPr="00F80FA7">
        <w:rPr>
          <w:rStyle w:val="contentpasted1"/>
          <w:highlight w:val="yellow"/>
          <w:u w:val="double"/>
          <w:shd w:val="clear" w:color="auto" w:fill="FFFFFF"/>
          <w:lang w:eastAsia="fr-FR"/>
        </w:rPr>
        <w:t>B.1.</w:t>
      </w:r>
      <w:r w:rsidR="001F0A3E" w:rsidRPr="001F0A3E">
        <w:rPr>
          <w:rStyle w:val="contentpasted1"/>
          <w:highlight w:val="yellow"/>
          <w:u w:val="double"/>
          <w:shd w:val="clear" w:color="auto" w:fill="FFFFFF"/>
          <w:lang w:eastAsia="fr-FR"/>
        </w:rPr>
        <w:t>3.</w:t>
      </w:r>
      <w:r w:rsidR="001F0A3E" w:rsidRPr="001F0A3E">
        <w:rPr>
          <w:rStyle w:val="contentpasted1"/>
          <w:b/>
          <w:bCs/>
          <w:highlight w:val="yellow"/>
          <w:u w:val="double"/>
          <w:shd w:val="clear" w:color="auto" w:fill="FFFFFF"/>
          <w:lang w:eastAsia="fr-FR"/>
        </w:rPr>
        <w:t>5</w:t>
      </w:r>
      <w:r w:rsidR="001F0A3E" w:rsidRPr="001F0A3E">
        <w:rPr>
          <w:rStyle w:val="contentpasted1"/>
          <w:highlight w:val="yellow"/>
          <w:u w:val="double"/>
          <w:shd w:val="clear" w:color="auto" w:fill="FFFFFF"/>
          <w:lang w:eastAsia="fr-FR"/>
        </w:rPr>
        <w:t>.i.</w:t>
      </w:r>
      <w:r w:rsidR="001F0A3E" w:rsidRPr="001F0A3E">
        <w:rPr>
          <w:rStyle w:val="contentpasted1"/>
          <w:b/>
          <w:bCs/>
          <w:highlight w:val="yellow"/>
          <w:u w:val="double"/>
          <w:shd w:val="clear" w:color="auto" w:fill="FFFFFF"/>
          <w:lang w:eastAsia="fr-FR"/>
        </w:rPr>
        <w:t>b</w:t>
      </w:r>
      <w:r w:rsidR="001F0A3E" w:rsidRPr="001F0A3E">
        <w:rPr>
          <w:rStyle w:val="contentpasted1"/>
          <w:highlight w:val="yellow"/>
          <w:u w:val="double"/>
          <w:shd w:val="clear" w:color="auto" w:fill="FFFFFF"/>
          <w:lang w:eastAsia="fr-FR"/>
        </w:rPr>
        <w:t>.1.</w:t>
      </w:r>
    </w:p>
    <w:p w14:paraId="1C2A4011" w14:textId="77777777" w:rsidR="00DD6EB9" w:rsidRPr="000A7B67" w:rsidRDefault="00755CF2" w:rsidP="00716A67">
      <w:pPr>
        <w:pStyle w:val="dot-sixthlevellist"/>
      </w:pPr>
      <w:r w:rsidRPr="000A7B67">
        <w:t>2</w:t>
      </w:r>
      <w:r w:rsidR="00DD6EB9" w:rsidRPr="000A7B67">
        <w:t>)</w:t>
      </w:r>
      <w:r w:rsidR="00DD6EB9" w:rsidRPr="000A7B67">
        <w:tab/>
        <w:t xml:space="preserve">Thaw samples and control RNA on ice. </w:t>
      </w:r>
    </w:p>
    <w:p w14:paraId="1BE88114" w14:textId="77777777" w:rsidR="00DD6EB9" w:rsidRPr="000A7B67" w:rsidRDefault="00755CF2" w:rsidP="00716A67">
      <w:pPr>
        <w:pStyle w:val="dot-sixthlevellist"/>
      </w:pPr>
      <w:r w:rsidRPr="000A7B67">
        <w:t>3</w:t>
      </w:r>
      <w:r w:rsidR="00DD6EB9" w:rsidRPr="000A7B67">
        <w:t>)</w:t>
      </w:r>
      <w:r w:rsidR="00DD6EB9" w:rsidRPr="000A7B67">
        <w:tab/>
        <w:t xml:space="preserve">Add </w:t>
      </w:r>
      <w:r w:rsidR="00BE54D7" w:rsidRPr="000A7B67">
        <w:t>2</w:t>
      </w:r>
      <w:r w:rsidR="000910F1" w:rsidRPr="000A7B67">
        <w:t> </w:t>
      </w:r>
      <w:r w:rsidR="00BE54D7" w:rsidRPr="000A7B67">
        <w:t xml:space="preserve">µl </w:t>
      </w:r>
      <w:r w:rsidR="00DD6EB9" w:rsidRPr="000A7B67">
        <w:t xml:space="preserve">of test RNA (where possible at concentration of </w:t>
      </w:r>
      <w:r w:rsidR="005A65A5" w:rsidRPr="000A7B67">
        <w:t>0.5</w:t>
      </w:r>
      <w:r w:rsidR="006E50F0" w:rsidRPr="000A7B67">
        <w:t>–</w:t>
      </w:r>
      <w:r w:rsidR="00DD6EB9" w:rsidRPr="000A7B67">
        <w:t>1 µg/µl for extracted samples) below the surface of its allocated master mix tube and mix gently. Discard the tip directly into disinfectant after use. Repeat this process until all samples and controls have been added to their allocated tubes.</w:t>
      </w:r>
    </w:p>
    <w:p w14:paraId="41AC98E2" w14:textId="77777777" w:rsidR="00DD6EB9" w:rsidRPr="000A7B67" w:rsidRDefault="00755CF2" w:rsidP="00716A67">
      <w:pPr>
        <w:pStyle w:val="dot-sixthlevellist"/>
      </w:pPr>
      <w:r w:rsidRPr="000A7B67">
        <w:t>4</w:t>
      </w:r>
      <w:r w:rsidR="00DD6EB9" w:rsidRPr="000A7B67">
        <w:t>)</w:t>
      </w:r>
      <w:r w:rsidR="00DD6EB9" w:rsidRPr="000A7B67">
        <w:tab/>
        <w:t>Press the lids down by hand and seal firmly.</w:t>
      </w:r>
    </w:p>
    <w:p w14:paraId="1571EDEC" w14:textId="77777777" w:rsidR="00DD6EB9" w:rsidRPr="000A7B67" w:rsidRDefault="00755CF2" w:rsidP="006A10B5">
      <w:pPr>
        <w:pStyle w:val="dot-sixthlevellist"/>
        <w:spacing w:before="120" w:after="240"/>
      </w:pPr>
      <w:r w:rsidRPr="000A7B67">
        <w:t>5</w:t>
      </w:r>
      <w:r w:rsidR="00DD6EB9" w:rsidRPr="000A7B67">
        <w:t>)</w:t>
      </w:r>
      <w:r w:rsidR="00DD6EB9" w:rsidRPr="000A7B67">
        <w:tab/>
        <w:t>Transfer the PCR plate/strips to the real-time machine for thermal cycling.</w:t>
      </w:r>
    </w:p>
    <w:p w14:paraId="4EC125B7" w14:textId="77777777" w:rsidR="00DD6EB9" w:rsidRPr="000A7B67" w:rsidRDefault="00DD6EB9" w:rsidP="00716A67">
      <w:pPr>
        <w:pStyle w:val="ififthlevel"/>
      </w:pPr>
      <w:r w:rsidRPr="000A7B67">
        <w:t>Setting up of real-time thermal cycler</w:t>
      </w:r>
    </w:p>
    <w:p w14:paraId="62D0B30C" w14:textId="77777777" w:rsidR="00DD6EB9" w:rsidRPr="000A7B67" w:rsidRDefault="00755CF2" w:rsidP="00F67245">
      <w:pPr>
        <w:pStyle w:val="dot-sixthlevellist"/>
      </w:pPr>
      <w:r w:rsidRPr="000A7B67">
        <w:t>1</w:t>
      </w:r>
      <w:r w:rsidR="00DD6EB9" w:rsidRPr="000A7B67">
        <w:t>)</w:t>
      </w:r>
      <w:r w:rsidR="00DD6EB9" w:rsidRPr="000A7B67">
        <w:tab/>
        <w:t xml:space="preserve">Load the </w:t>
      </w:r>
      <w:r w:rsidR="00F67245" w:rsidRPr="000A7B67">
        <w:t>samples</w:t>
      </w:r>
      <w:r w:rsidR="00DD6EB9" w:rsidRPr="000A7B67">
        <w:t xml:space="preserve"> into the machine, ensuring that they are orientated the correct way. Ensure that all the lids are firmly sealed, and then close the machine’s plate cover and door.</w:t>
      </w:r>
      <w:r w:rsidR="00F67245" w:rsidRPr="000A7B67">
        <w:t xml:space="preserve"> Set up the run parameters according to the manufacturer’s instructions</w:t>
      </w:r>
      <w:r w:rsidR="003C78BC" w:rsidRPr="000A7B67">
        <w:t>.</w:t>
      </w:r>
      <w:r w:rsidR="003C78BC" w:rsidRPr="000A7B67" w:rsidDel="003C78BC">
        <w:t xml:space="preserve"> </w:t>
      </w:r>
    </w:p>
    <w:p w14:paraId="7B71BDD4" w14:textId="77777777" w:rsidR="00DD6EB9" w:rsidRPr="000A7B67" w:rsidRDefault="003C78BC" w:rsidP="00716A67">
      <w:pPr>
        <w:pStyle w:val="dot-sixthlevellist"/>
      </w:pPr>
      <w:r w:rsidRPr="000A7B67">
        <w:t>2</w:t>
      </w:r>
      <w:r w:rsidR="00DD6EB9" w:rsidRPr="000A7B67">
        <w:t>)</w:t>
      </w:r>
      <w:r w:rsidR="00DD6EB9" w:rsidRPr="000A7B67">
        <w:tab/>
        <w:t>Set up the thermal profile as follows:</w:t>
      </w:r>
    </w:p>
    <w:tbl>
      <w:tblPr>
        <w:tblStyle w:val="TableGrid"/>
        <w:tblW w:w="0" w:type="auto"/>
        <w:jc w:val="center"/>
        <w:tblLook w:val="04A0" w:firstRow="1" w:lastRow="0" w:firstColumn="1" w:lastColumn="0" w:noHBand="0" w:noVBand="1"/>
      </w:tblPr>
      <w:tblGrid>
        <w:gridCol w:w="1247"/>
        <w:gridCol w:w="1447"/>
        <w:gridCol w:w="992"/>
      </w:tblGrid>
      <w:tr w:rsidR="00716A67" w:rsidRPr="00805E5E" w14:paraId="6C2CFE40" w14:textId="77777777" w:rsidTr="002A10C6">
        <w:trPr>
          <w:trHeight w:val="20"/>
          <w:tblHeader/>
          <w:jc w:val="center"/>
        </w:trPr>
        <w:tc>
          <w:tcPr>
            <w:tcW w:w="1247" w:type="dxa"/>
            <w:tcBorders>
              <w:bottom w:val="double" w:sz="4" w:space="0" w:color="auto"/>
            </w:tcBorders>
          </w:tcPr>
          <w:p w14:paraId="558C727D" w14:textId="77777777" w:rsidR="00716A67" w:rsidRPr="00805E5E" w:rsidRDefault="00716A67" w:rsidP="002A10C6">
            <w:pPr>
              <w:pStyle w:val="Heading1"/>
              <w:spacing w:before="60" w:after="60" w:line="240" w:lineRule="auto"/>
              <w:jc w:val="center"/>
              <w:rPr>
                <w:rFonts w:ascii="Söhne Kräftig" w:hAnsi="Söhne Kräftig"/>
                <w:b w:val="0"/>
                <w:sz w:val="18"/>
                <w:szCs w:val="18"/>
                <w:u w:val="none"/>
              </w:rPr>
            </w:pPr>
            <w:r w:rsidRPr="00805E5E">
              <w:rPr>
                <w:rFonts w:ascii="Söhne Kräftig" w:hAnsi="Söhne Kräftig"/>
                <w:b w:val="0"/>
                <w:sz w:val="18"/>
                <w:szCs w:val="18"/>
                <w:u w:val="none"/>
              </w:rPr>
              <w:t>Temperature</w:t>
            </w:r>
          </w:p>
        </w:tc>
        <w:tc>
          <w:tcPr>
            <w:tcW w:w="1447" w:type="dxa"/>
            <w:tcBorders>
              <w:bottom w:val="double" w:sz="4" w:space="0" w:color="auto"/>
            </w:tcBorders>
          </w:tcPr>
          <w:p w14:paraId="081104A6" w14:textId="77777777" w:rsidR="00716A67" w:rsidRPr="00805E5E" w:rsidRDefault="00716A67" w:rsidP="002A10C6">
            <w:pPr>
              <w:pStyle w:val="Heading1"/>
              <w:spacing w:before="60" w:after="60" w:line="240" w:lineRule="auto"/>
              <w:jc w:val="center"/>
              <w:rPr>
                <w:rFonts w:ascii="Söhne Kräftig" w:hAnsi="Söhne Kräftig"/>
                <w:b w:val="0"/>
                <w:sz w:val="18"/>
                <w:szCs w:val="18"/>
                <w:u w:val="none"/>
              </w:rPr>
            </w:pPr>
            <w:r w:rsidRPr="00805E5E">
              <w:rPr>
                <w:rFonts w:ascii="Söhne Kräftig" w:hAnsi="Söhne Kräftig"/>
                <w:b w:val="0"/>
                <w:sz w:val="18"/>
                <w:szCs w:val="18"/>
                <w:u w:val="none"/>
              </w:rPr>
              <w:t>Time</w:t>
            </w:r>
          </w:p>
        </w:tc>
        <w:tc>
          <w:tcPr>
            <w:tcW w:w="992" w:type="dxa"/>
            <w:tcBorders>
              <w:bottom w:val="double" w:sz="4" w:space="0" w:color="auto"/>
            </w:tcBorders>
          </w:tcPr>
          <w:p w14:paraId="0FEC029D" w14:textId="77777777" w:rsidR="00716A67" w:rsidRPr="00805E5E" w:rsidRDefault="00716A67" w:rsidP="002A10C6">
            <w:pPr>
              <w:pStyle w:val="Heading1"/>
              <w:spacing w:before="60" w:after="60" w:line="240" w:lineRule="auto"/>
              <w:jc w:val="center"/>
              <w:rPr>
                <w:rFonts w:ascii="Söhne Kräftig" w:hAnsi="Söhne Kräftig"/>
                <w:b w:val="0"/>
                <w:sz w:val="18"/>
                <w:szCs w:val="18"/>
                <w:u w:val="none"/>
              </w:rPr>
            </w:pPr>
            <w:r w:rsidRPr="00805E5E">
              <w:rPr>
                <w:rFonts w:ascii="Söhne Kräftig" w:hAnsi="Söhne Kräftig"/>
                <w:b w:val="0"/>
                <w:sz w:val="18"/>
                <w:szCs w:val="18"/>
                <w:u w:val="none"/>
              </w:rPr>
              <w:t>Cycles</w:t>
            </w:r>
          </w:p>
        </w:tc>
      </w:tr>
      <w:tr w:rsidR="00716A67" w:rsidRPr="002A10C6" w14:paraId="7EF600C3" w14:textId="77777777" w:rsidTr="00AE506F">
        <w:trPr>
          <w:trHeight w:val="20"/>
          <w:jc w:val="center"/>
        </w:trPr>
        <w:tc>
          <w:tcPr>
            <w:tcW w:w="1247" w:type="dxa"/>
          </w:tcPr>
          <w:p w14:paraId="1522C674"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50°C</w:t>
            </w:r>
          </w:p>
        </w:tc>
        <w:tc>
          <w:tcPr>
            <w:tcW w:w="1447" w:type="dxa"/>
          </w:tcPr>
          <w:p w14:paraId="72240483"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10 minutes</w:t>
            </w:r>
          </w:p>
        </w:tc>
        <w:tc>
          <w:tcPr>
            <w:tcW w:w="992" w:type="dxa"/>
          </w:tcPr>
          <w:p w14:paraId="6ACE1484"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1</w:t>
            </w:r>
          </w:p>
        </w:tc>
      </w:tr>
      <w:tr w:rsidR="00716A67" w:rsidRPr="002A10C6" w14:paraId="212B2D5D" w14:textId="77777777" w:rsidTr="00AE506F">
        <w:trPr>
          <w:trHeight w:val="20"/>
          <w:jc w:val="center"/>
        </w:trPr>
        <w:tc>
          <w:tcPr>
            <w:tcW w:w="1247" w:type="dxa"/>
          </w:tcPr>
          <w:p w14:paraId="3E883FF0"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95°C</w:t>
            </w:r>
          </w:p>
        </w:tc>
        <w:tc>
          <w:tcPr>
            <w:tcW w:w="1447" w:type="dxa"/>
          </w:tcPr>
          <w:p w14:paraId="0C09A0D9"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5 minutes</w:t>
            </w:r>
          </w:p>
        </w:tc>
        <w:tc>
          <w:tcPr>
            <w:tcW w:w="992" w:type="dxa"/>
          </w:tcPr>
          <w:p w14:paraId="686C6352"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1</w:t>
            </w:r>
          </w:p>
        </w:tc>
      </w:tr>
      <w:tr w:rsidR="00716A67" w:rsidRPr="002A10C6" w14:paraId="41EE2563" w14:textId="77777777" w:rsidTr="00AE506F">
        <w:trPr>
          <w:trHeight w:val="20"/>
          <w:jc w:val="center"/>
        </w:trPr>
        <w:tc>
          <w:tcPr>
            <w:tcW w:w="1247" w:type="dxa"/>
          </w:tcPr>
          <w:p w14:paraId="107803D5"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95°C</w:t>
            </w:r>
            <w:r w:rsidRPr="002A10C6">
              <w:rPr>
                <w:rFonts w:ascii="Söhne" w:hAnsi="Söhne"/>
                <w:b w:val="0"/>
                <w:sz w:val="16"/>
                <w:szCs w:val="16"/>
                <w:u w:val="none"/>
              </w:rPr>
              <w:br/>
              <w:t>60°C</w:t>
            </w:r>
          </w:p>
        </w:tc>
        <w:tc>
          <w:tcPr>
            <w:tcW w:w="1447" w:type="dxa"/>
          </w:tcPr>
          <w:p w14:paraId="6737BAF3"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10 seconds</w:t>
            </w:r>
            <w:r w:rsidRPr="002A10C6">
              <w:rPr>
                <w:rFonts w:ascii="Söhne" w:hAnsi="Söhne"/>
                <w:b w:val="0"/>
                <w:sz w:val="16"/>
                <w:szCs w:val="16"/>
                <w:u w:val="none"/>
              </w:rPr>
              <w:br/>
              <w:t>30 seconds</w:t>
            </w:r>
          </w:p>
        </w:tc>
        <w:tc>
          <w:tcPr>
            <w:tcW w:w="992" w:type="dxa"/>
          </w:tcPr>
          <w:p w14:paraId="600BDB6F"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40</w:t>
            </w:r>
          </w:p>
        </w:tc>
      </w:tr>
      <w:tr w:rsidR="00716A67" w:rsidRPr="002A10C6" w14:paraId="344FC523" w14:textId="77777777" w:rsidTr="00AE506F">
        <w:trPr>
          <w:trHeight w:val="20"/>
          <w:jc w:val="center"/>
        </w:trPr>
        <w:tc>
          <w:tcPr>
            <w:tcW w:w="1247" w:type="dxa"/>
          </w:tcPr>
          <w:p w14:paraId="681D2EAA" w14:textId="77777777" w:rsidR="00716A67" w:rsidRPr="002A10C6" w:rsidRDefault="00716A67" w:rsidP="006A10B5">
            <w:pPr>
              <w:spacing w:before="60" w:after="60" w:line="240" w:lineRule="auto"/>
              <w:jc w:val="center"/>
              <w:rPr>
                <w:rFonts w:ascii="Söhne" w:hAnsi="Söhne" w:cs="Arial"/>
                <w:sz w:val="16"/>
                <w:szCs w:val="16"/>
              </w:rPr>
            </w:pPr>
            <w:r w:rsidRPr="002A10C6">
              <w:rPr>
                <w:rFonts w:ascii="Söhne" w:hAnsi="Söhne" w:cs="Arial"/>
                <w:sz w:val="16"/>
                <w:szCs w:val="16"/>
              </w:rPr>
              <w:t>95°C</w:t>
            </w:r>
            <w:r w:rsidRPr="002A10C6">
              <w:rPr>
                <w:rFonts w:ascii="Söhne" w:hAnsi="Söhne" w:cs="Arial"/>
                <w:sz w:val="16"/>
                <w:szCs w:val="16"/>
              </w:rPr>
              <w:br/>
              <w:t>55°C</w:t>
            </w:r>
            <w:r w:rsidRPr="002A10C6">
              <w:rPr>
                <w:rFonts w:ascii="Söhne" w:hAnsi="Söhne" w:cs="Arial"/>
                <w:b/>
                <w:sz w:val="16"/>
                <w:szCs w:val="16"/>
              </w:rPr>
              <w:br/>
            </w:r>
            <w:r w:rsidRPr="002A10C6">
              <w:rPr>
                <w:rFonts w:ascii="Söhne" w:hAnsi="Söhne" w:cs="Arial"/>
                <w:sz w:val="16"/>
                <w:szCs w:val="16"/>
              </w:rPr>
              <w:t>55-95°C</w:t>
            </w:r>
          </w:p>
        </w:tc>
        <w:tc>
          <w:tcPr>
            <w:tcW w:w="1447" w:type="dxa"/>
          </w:tcPr>
          <w:p w14:paraId="42941895" w14:textId="77777777" w:rsidR="00716A67" w:rsidRPr="002A10C6" w:rsidRDefault="00716A67" w:rsidP="006A10B5">
            <w:pPr>
              <w:spacing w:before="60" w:after="60" w:line="240" w:lineRule="auto"/>
              <w:jc w:val="center"/>
              <w:rPr>
                <w:rFonts w:ascii="Söhne" w:hAnsi="Söhne" w:cs="Arial"/>
                <w:sz w:val="16"/>
                <w:szCs w:val="16"/>
              </w:rPr>
            </w:pPr>
            <w:r w:rsidRPr="002A10C6">
              <w:rPr>
                <w:rFonts w:ascii="Söhne" w:hAnsi="Söhne" w:cs="Arial"/>
                <w:sz w:val="16"/>
                <w:szCs w:val="16"/>
              </w:rPr>
              <w:t>1 minutes</w:t>
            </w:r>
            <w:r w:rsidRPr="002A10C6">
              <w:rPr>
                <w:rFonts w:ascii="Söhne" w:hAnsi="Söhne" w:cs="Arial"/>
                <w:sz w:val="16"/>
                <w:szCs w:val="16"/>
              </w:rPr>
              <w:br/>
              <w:t>1 minute</w:t>
            </w:r>
            <w:r w:rsidRPr="002A10C6">
              <w:rPr>
                <w:rFonts w:ascii="Söhne" w:hAnsi="Söhne" w:cs="Arial"/>
                <w:sz w:val="16"/>
                <w:szCs w:val="16"/>
              </w:rPr>
              <w:br/>
              <w:t>10 seconds</w:t>
            </w:r>
          </w:p>
        </w:tc>
        <w:tc>
          <w:tcPr>
            <w:tcW w:w="992" w:type="dxa"/>
          </w:tcPr>
          <w:p w14:paraId="467FEA63" w14:textId="77777777" w:rsidR="00716A67" w:rsidRPr="002A10C6" w:rsidRDefault="00716A67" w:rsidP="006A10B5">
            <w:pPr>
              <w:pStyle w:val="Heading1"/>
              <w:spacing w:before="60" w:after="60" w:line="240" w:lineRule="auto"/>
              <w:jc w:val="center"/>
              <w:rPr>
                <w:rFonts w:ascii="Söhne" w:hAnsi="Söhne"/>
                <w:b w:val="0"/>
                <w:sz w:val="16"/>
                <w:szCs w:val="16"/>
                <w:u w:val="none"/>
              </w:rPr>
            </w:pPr>
            <w:r w:rsidRPr="002A10C6">
              <w:rPr>
                <w:rFonts w:ascii="Söhne" w:hAnsi="Söhne"/>
                <w:b w:val="0"/>
                <w:sz w:val="16"/>
                <w:szCs w:val="16"/>
                <w:u w:val="none"/>
              </w:rPr>
              <w:t>80</w:t>
            </w:r>
          </w:p>
        </w:tc>
      </w:tr>
    </w:tbl>
    <w:p w14:paraId="734A9C24" w14:textId="77777777" w:rsidR="00D04659" w:rsidRPr="000A7B67" w:rsidRDefault="00D04659" w:rsidP="00D04659">
      <w:pPr>
        <w:pStyle w:val="dot-sixthlevellist"/>
        <w:spacing w:before="120"/>
        <w:ind w:firstLine="0"/>
      </w:pPr>
      <w:r w:rsidRPr="000A7B67">
        <w:t>Thermal profiles may be subject to optimisation depending on PCR machines used.</w:t>
      </w:r>
    </w:p>
    <w:p w14:paraId="1054F569" w14:textId="77777777" w:rsidR="00DD6EB9" w:rsidRPr="000A7B67" w:rsidRDefault="003C78BC" w:rsidP="004A17E2">
      <w:pPr>
        <w:pStyle w:val="dot-sixthlevellist"/>
        <w:spacing w:after="240"/>
      </w:pPr>
      <w:r w:rsidRPr="000A7B67">
        <w:t>3</w:t>
      </w:r>
      <w:r w:rsidR="00DD6EB9" w:rsidRPr="000A7B67">
        <w:t>)</w:t>
      </w:r>
      <w:r w:rsidR="00DD6EB9" w:rsidRPr="000A7B67">
        <w:tab/>
      </w:r>
      <w:r w:rsidR="00414277" w:rsidRPr="000A7B67">
        <w:t>In case of an inconclusive assay, an agarose gel can be run to confirm the presence/absence of an amplicon and its approximate size (100</w:t>
      </w:r>
      <w:r w:rsidR="00E331DC" w:rsidRPr="000A7B67">
        <w:t> </w:t>
      </w:r>
      <w:r w:rsidR="00414277" w:rsidRPr="000A7B67">
        <w:t>bp).</w:t>
      </w:r>
    </w:p>
    <w:p w14:paraId="26577904" w14:textId="77777777" w:rsidR="00DD6EB9" w:rsidRPr="000A7B67" w:rsidRDefault="00DD6EB9" w:rsidP="00716A67">
      <w:pPr>
        <w:pStyle w:val="11"/>
      </w:pPr>
      <w:r w:rsidRPr="000A7B67">
        <w:t>1.</w:t>
      </w:r>
      <w:r w:rsidR="00EE474C" w:rsidRPr="000A7B67">
        <w:t>4</w:t>
      </w:r>
      <w:r w:rsidRPr="000A7B67">
        <w:t>.</w:t>
      </w:r>
      <w:r w:rsidRPr="000A7B67">
        <w:tab/>
        <w:t>Other identification tests</w:t>
      </w:r>
    </w:p>
    <w:p w14:paraId="04CA46F4" w14:textId="3AEC98A4" w:rsidR="00DD6EB9" w:rsidRPr="000A7B67" w:rsidRDefault="00DD6EB9" w:rsidP="00716A67">
      <w:pPr>
        <w:pStyle w:val="11Para"/>
      </w:pPr>
      <w:r w:rsidRPr="000A7B67">
        <w:t xml:space="preserve">The tests above describe methods to accurately diagnose rabies and to isolate and identify the virus. Characterisation of the virus can provide useful epidemiological information and should be undertaken in specialised laboratories (such as </w:t>
      </w:r>
      <w:r w:rsidR="00A064B8">
        <w:t>WOAH</w:t>
      </w:r>
      <w:r w:rsidR="00497160" w:rsidRPr="000A7B67">
        <w:t>,</w:t>
      </w:r>
      <w:r w:rsidRPr="000A7B67">
        <w:t xml:space="preserve"> WHO</w:t>
      </w:r>
      <w:r w:rsidR="00497160" w:rsidRPr="000A7B67">
        <w:t xml:space="preserve"> or FAO</w:t>
      </w:r>
      <w:r w:rsidRPr="000A7B67">
        <w:t xml:space="preserve"> Reference Laboratories). These techniques would include the use of </w:t>
      </w:r>
      <w:proofErr w:type="spellStart"/>
      <w:r w:rsidRPr="00C85515">
        <w:rPr>
          <w:strike/>
          <w:highlight w:val="yellow"/>
        </w:rPr>
        <w:t>MAbs</w:t>
      </w:r>
      <w:proofErr w:type="spellEnd"/>
      <w:r w:rsidR="00C85515">
        <w:rPr>
          <w:strike/>
          <w:highlight w:val="yellow"/>
        </w:rPr>
        <w:t xml:space="preserve"> </w:t>
      </w:r>
      <w:r w:rsidR="00EF0D81" w:rsidRPr="00C85515">
        <w:rPr>
          <w:highlight w:val="yellow"/>
          <w:u w:val="double"/>
        </w:rPr>
        <w:t>monoclonal antib</w:t>
      </w:r>
      <w:r w:rsidR="00C85515">
        <w:rPr>
          <w:highlight w:val="yellow"/>
          <w:u w:val="double"/>
        </w:rPr>
        <w:t>o</w:t>
      </w:r>
      <w:r w:rsidR="00EF0D81" w:rsidRPr="00C85515">
        <w:rPr>
          <w:highlight w:val="yellow"/>
          <w:u w:val="double"/>
        </w:rPr>
        <w:t>dies</w:t>
      </w:r>
      <w:r w:rsidRPr="000A7B67">
        <w:t>, as well as partial and full genome sequencing followed by phylogenetic analysis. These characterisations enable a distinction to be made between vaccine virus and a field strain of virus, and possibly identify the geographical origin of the latter.</w:t>
      </w:r>
    </w:p>
    <w:p w14:paraId="5F10B077" w14:textId="77777777" w:rsidR="00DD6EB9" w:rsidRPr="000A7B67" w:rsidRDefault="00DD6EB9" w:rsidP="00716A67">
      <w:pPr>
        <w:pStyle w:val="1"/>
      </w:pPr>
      <w:r w:rsidRPr="000A7B67">
        <w:t>2.</w:t>
      </w:r>
      <w:r w:rsidRPr="000A7B67">
        <w:tab/>
        <w:t>Serological tests</w:t>
      </w:r>
    </w:p>
    <w:p w14:paraId="1E4EBD6B" w14:textId="5A6D5610" w:rsidR="00DD6EB9" w:rsidRPr="000A7B67" w:rsidRDefault="00DD6EB9" w:rsidP="004754C5">
      <w:pPr>
        <w:pStyle w:val="1Para"/>
      </w:pPr>
      <w:r w:rsidRPr="000A7B67">
        <w:t>The main application of serology for rabies is to determine responses to vaccination in domestic animals</w:t>
      </w:r>
      <w:r w:rsidR="00216EC3" w:rsidRPr="000A7B67">
        <w:rPr>
          <w:rFonts w:eastAsia="Calibri"/>
        </w:rPr>
        <w:t>, particularly in connection with international travel,</w:t>
      </w:r>
      <w:r w:rsidRPr="000A7B67">
        <w:t xml:space="preserve"> or for monitoring mass vaccination campaigns in dogs and other wildlife reservoir species. </w:t>
      </w:r>
      <w:r w:rsidR="004754C5" w:rsidRPr="000A7B67">
        <w:t xml:space="preserve">The measurement of rabies antibodies has typically involved </w:t>
      </w:r>
      <w:r w:rsidR="00CD7810" w:rsidRPr="000A7B67">
        <w:t>virus neutralisation (VN)</w:t>
      </w:r>
      <w:r w:rsidR="004754C5" w:rsidRPr="000A7B67">
        <w:t xml:space="preserve"> tests to detect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4754C5" w:rsidRPr="000A7B67">
        <w:t xml:space="preserve"> neutrali</w:t>
      </w:r>
      <w:r w:rsidR="00CD7810" w:rsidRPr="000A7B67">
        <w:t>s</w:t>
      </w:r>
      <w:r w:rsidR="004754C5" w:rsidRPr="000A7B67">
        <w:t>ing antibodies. ELISAs are now also recogni</w:t>
      </w:r>
      <w:r w:rsidR="006E50F0" w:rsidRPr="000A7B67">
        <w:t>s</w:t>
      </w:r>
      <w:r w:rsidR="004754C5" w:rsidRPr="000A7B67">
        <w:t>ed as acceptable tests to detect binding antibodies. A strong but not strict correlation in levels is observed between these two different antibody detection methods</w:t>
      </w:r>
      <w:r w:rsidR="008C5443" w:rsidRPr="000A7B67">
        <w:t>.</w:t>
      </w:r>
      <w:r w:rsidR="004754C5" w:rsidRPr="000A7B67">
        <w:t xml:space="preserve"> </w:t>
      </w:r>
      <w:r w:rsidRPr="000A7B67">
        <w:t xml:space="preserve">Depending on the nature of the ELISA, there can be variable sensitivity and specificity. In contrast to the ELISA, poor quality sera can cause cytotoxicity in VN tests, which could lead to false-positive results. </w:t>
      </w:r>
      <w:r w:rsidR="00747FB4" w:rsidRPr="000A7B67">
        <w:t>Depending on the intended purpose, b</w:t>
      </w:r>
      <w:r w:rsidR="00216EC3" w:rsidRPr="000A7B67">
        <w:t>oth tests are useful for detecting responses to vaccination if appropriate cut-offs are used.</w:t>
      </w:r>
      <w:r w:rsidR="009520C8" w:rsidRPr="000A7B67">
        <w:t xml:space="preserve"> However, ELISAs are currently not </w:t>
      </w:r>
      <w:r w:rsidR="008777C0" w:rsidRPr="000A7B67">
        <w:t>applicable to</w:t>
      </w:r>
      <w:r w:rsidR="009520C8" w:rsidRPr="000A7B67">
        <w:t xml:space="preserve"> international movement of animals or trade.</w:t>
      </w:r>
    </w:p>
    <w:p w14:paraId="4DC572D5" w14:textId="77777777" w:rsidR="00DD6EB9" w:rsidRPr="000A7B67" w:rsidRDefault="00DD6EB9" w:rsidP="00716A67">
      <w:pPr>
        <w:pStyle w:val="1Para"/>
      </w:pPr>
      <w:r w:rsidRPr="000A7B67">
        <w:t xml:space="preserve">Serological surveys have also been used to provide information on </w:t>
      </w:r>
      <w:r w:rsidR="00377F84" w:rsidRPr="000A7B67">
        <w:t xml:space="preserve">infection </w:t>
      </w:r>
      <w:r w:rsidRPr="000A7B67">
        <w:t>dynamics of lyssaviruses in bats although standardisation of serological tests for bats is still needed.</w:t>
      </w:r>
    </w:p>
    <w:p w14:paraId="2AD341BA" w14:textId="77777777" w:rsidR="00DD6EB9" w:rsidRPr="000A7B67" w:rsidRDefault="00DD6EB9" w:rsidP="006E17A0">
      <w:pPr>
        <w:pStyle w:val="11"/>
        <w:jc w:val="both"/>
      </w:pPr>
      <w:r w:rsidRPr="000A7B67">
        <w:t>2.1.</w:t>
      </w:r>
      <w:r w:rsidRPr="000A7B67">
        <w:tab/>
        <w:t>Virus neutralisation test in cell culture: fluorescent antibody virus neutralisation</w:t>
      </w:r>
      <w:r w:rsidR="001770F2" w:rsidRPr="000A7B67">
        <w:t xml:space="preserve"> </w:t>
      </w:r>
      <w:r w:rsidRPr="000A7B67">
        <w:t xml:space="preserve">test </w:t>
      </w:r>
      <w:r w:rsidR="004E2B26" w:rsidRPr="000A7B67">
        <w:t>(FAVN)</w:t>
      </w:r>
    </w:p>
    <w:p w14:paraId="058D4913" w14:textId="2AFAC9BB" w:rsidR="00DD6EB9" w:rsidRPr="000A7B67" w:rsidRDefault="00DD6EB9" w:rsidP="00716A67">
      <w:pPr>
        <w:pStyle w:val="11Para"/>
      </w:pPr>
      <w:r w:rsidRPr="000A7B67">
        <w:t>The principle of the FAVN test (</w:t>
      </w:r>
      <w:proofErr w:type="spellStart"/>
      <w:r w:rsidRPr="000A7B67">
        <w:t>Cliquet</w:t>
      </w:r>
      <w:proofErr w:type="spellEnd"/>
      <w:r w:rsidRPr="000A7B67">
        <w:t xml:space="preserve"> </w:t>
      </w:r>
      <w:r w:rsidR="00944968" w:rsidRPr="000A7B67">
        <w:rPr>
          <w:i/>
        </w:rPr>
        <w:t>et al</w:t>
      </w:r>
      <w:r w:rsidRPr="000A7B67">
        <w:t xml:space="preserve">., 1998) is the </w:t>
      </w:r>
      <w:r w:rsidRPr="000A7B67">
        <w:rPr>
          <w:i/>
        </w:rPr>
        <w:t>in-vitro</w:t>
      </w:r>
      <w:r w:rsidRPr="000A7B67">
        <w:t xml:space="preserve"> neutralisation of a constant amount of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(‘challenge virus standard’ [CVS-11] strain adapted to cell culture) before inoculating</w:t>
      </w:r>
      <w:r w:rsidR="00D70F22" w:rsidRPr="000A7B67">
        <w:t xml:space="preserve"> BHK-21</w:t>
      </w:r>
      <w:r w:rsidRPr="000A7B67">
        <w:t xml:space="preserve"> cells susceptible to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w:t>
      </w:r>
    </w:p>
    <w:p w14:paraId="183922D7" w14:textId="4F3B3EEF" w:rsidR="0080188C" w:rsidRPr="000A7B67" w:rsidRDefault="00DD6EB9" w:rsidP="00A54C7E">
      <w:pPr>
        <w:pStyle w:val="11Para"/>
      </w:pPr>
      <w:r w:rsidRPr="000A7B67">
        <w:t xml:space="preserve">The serum titre is the dilution at which 100% of the virus is neutralised in 50% of the wells. This titre is expressed in IU/ml by comparing it with the neutralising dilution of the </w:t>
      </w:r>
      <w:r w:rsidR="00A064B8">
        <w:t>WOAH</w:t>
      </w:r>
      <w:r w:rsidRPr="000A7B67">
        <w:t xml:space="preserve"> serum of dog origin under the same experimental conditions. The WHO standard</w:t>
      </w:r>
      <w:r w:rsidR="00D7183A" w:rsidRPr="000A7B67">
        <w:rPr>
          <w:rStyle w:val="FootnoteReference"/>
        </w:rPr>
        <w:footnoteReference w:id="4"/>
      </w:r>
      <w:r w:rsidRPr="000A7B67">
        <w:t xml:space="preserve"> for rabies immunoglobulin [human</w:t>
      </w:r>
      <w:r w:rsidR="00783640" w:rsidRPr="000A7B67">
        <w:t>] No</w:t>
      </w:r>
      <w:r w:rsidRPr="000A7B67">
        <w:t xml:space="preserve">. 2, or an internal control calibrated against the international control may </w:t>
      </w:r>
      <w:r w:rsidR="001770F2" w:rsidRPr="000A7B67">
        <w:t xml:space="preserve">also </w:t>
      </w:r>
      <w:r w:rsidRPr="000A7B67">
        <w:t xml:space="preserve">be used to calculate the IU/ml titre of </w:t>
      </w:r>
      <w:r w:rsidR="001770F2" w:rsidRPr="000A7B67">
        <w:t>test</w:t>
      </w:r>
      <w:r w:rsidRPr="000A7B67">
        <w:t xml:space="preserve"> sera. </w:t>
      </w:r>
    </w:p>
    <w:p w14:paraId="62FA49C6" w14:textId="77777777" w:rsidR="00DD6EB9" w:rsidRPr="000A7B67" w:rsidRDefault="004E04B3" w:rsidP="00A54C7E">
      <w:pPr>
        <w:pStyle w:val="11Para"/>
      </w:pPr>
      <w:r w:rsidRPr="000A7B67">
        <w:t>Generally, the minimum measurable neutralising VN antibody titre considered to represent a reasonable level of seroconversion is 0.5 IU per ml. The same measure is used in dogs and cats to confirm an adequate response to vaccination prior to international travel. However,</w:t>
      </w:r>
      <w:r w:rsidR="00584E61" w:rsidRPr="000A7B67">
        <w:t xml:space="preserve"> with</w:t>
      </w:r>
      <w:r w:rsidRPr="000A7B67">
        <w:t>in the frame</w:t>
      </w:r>
      <w:r w:rsidR="00584E61" w:rsidRPr="000A7B67">
        <w:t>work</w:t>
      </w:r>
      <w:r w:rsidRPr="000A7B67">
        <w:t xml:space="preserve"> of monitoring mass vaccination campaigns</w:t>
      </w:r>
      <w:r w:rsidR="00584E61" w:rsidRPr="000A7B67">
        <w:t>,</w:t>
      </w:r>
      <w:r w:rsidRPr="000A7B67">
        <w:t xml:space="preserve"> </w:t>
      </w:r>
      <w:r w:rsidR="00A54C7E" w:rsidRPr="000A7B67">
        <w:t xml:space="preserve">a single cut-off level of seropositivity </w:t>
      </w:r>
      <w:r w:rsidR="004D62D5" w:rsidRPr="000A7B67">
        <w:t>may</w:t>
      </w:r>
      <w:r w:rsidR="00A54C7E" w:rsidRPr="000A7B67">
        <w:t xml:space="preserve"> not </w:t>
      </w:r>
      <w:r w:rsidR="004D62D5" w:rsidRPr="000A7B67">
        <w:t xml:space="preserve">be </w:t>
      </w:r>
      <w:r w:rsidR="00A54C7E" w:rsidRPr="000A7B67">
        <w:t xml:space="preserve">universally applicable among different species </w:t>
      </w:r>
      <w:r w:rsidRPr="000A7B67">
        <w:t xml:space="preserve">(Moore </w:t>
      </w:r>
      <w:r w:rsidRPr="000A7B67">
        <w:rPr>
          <w:i/>
        </w:rPr>
        <w:t>et al.,</w:t>
      </w:r>
      <w:r w:rsidRPr="000A7B67">
        <w:t xml:space="preserve"> 2017).</w:t>
      </w:r>
    </w:p>
    <w:p w14:paraId="36ED2F8F" w14:textId="77777777" w:rsidR="00DD6EB9" w:rsidRPr="000A7B67" w:rsidRDefault="00DD6EB9" w:rsidP="00716A67">
      <w:pPr>
        <w:pStyle w:val="11Para"/>
      </w:pPr>
      <w:r w:rsidRPr="000A7B67">
        <w:t xml:space="preserve">This microplate method uses 96-well plates, and is an adaptation of the technique of Smith </w:t>
      </w:r>
      <w:r w:rsidR="00944968" w:rsidRPr="000A7B67">
        <w:rPr>
          <w:i/>
        </w:rPr>
        <w:t>et al</w:t>
      </w:r>
      <w:r w:rsidRPr="000A7B67">
        <w:t>. (1973). The FAVN test and the rapid fluorescent focus inhibition test (RFFIT) give equivalent results (</w:t>
      </w:r>
      <w:proofErr w:type="spellStart"/>
      <w:r w:rsidRPr="000A7B67">
        <w:t>Cliquet</w:t>
      </w:r>
      <w:proofErr w:type="spellEnd"/>
      <w:r w:rsidRPr="000A7B67">
        <w:t xml:space="preserve"> </w:t>
      </w:r>
      <w:r w:rsidR="00944968" w:rsidRPr="000A7B67">
        <w:rPr>
          <w:i/>
        </w:rPr>
        <w:t>et al</w:t>
      </w:r>
      <w:r w:rsidRPr="000A7B67">
        <w:t>., 1998).</w:t>
      </w:r>
    </w:p>
    <w:p w14:paraId="444659BD" w14:textId="2C0E3DDA" w:rsidR="006E740B" w:rsidRPr="000A7B67" w:rsidRDefault="006E740B" w:rsidP="00025270">
      <w:pPr>
        <w:pStyle w:val="111"/>
      </w:pPr>
      <w:r w:rsidRPr="000A7B67">
        <w:t>2.1.1.</w:t>
      </w:r>
      <w:r w:rsidR="00025270" w:rsidRPr="000A7B67">
        <w:tab/>
      </w:r>
      <w:r w:rsidRPr="000A7B67">
        <w:t xml:space="preserve">Viruses and </w:t>
      </w:r>
      <w:r w:rsidR="00A064B8">
        <w:t>WOAH</w:t>
      </w:r>
      <w:r w:rsidRPr="000A7B67">
        <w:t xml:space="preserve"> standard serum</w:t>
      </w:r>
    </w:p>
    <w:p w14:paraId="59ED8ADD" w14:textId="774E7F72" w:rsidR="00DD6EB9" w:rsidRPr="000A7B67" w:rsidRDefault="00DD6EB9" w:rsidP="00783640">
      <w:pPr>
        <w:pStyle w:val="111Para"/>
      </w:pPr>
      <w:r w:rsidRPr="000A7B67">
        <w:t xml:space="preserve">Virus: CVS-11 (previously ATCC reference VR 959) strain, which is available from the ATCC or the </w:t>
      </w:r>
      <w:r w:rsidR="00A064B8">
        <w:t>WOAH</w:t>
      </w:r>
      <w:r w:rsidRPr="000A7B67">
        <w:t xml:space="preserve"> Reference Laboratory for </w:t>
      </w:r>
      <w:r w:rsidR="00150957" w:rsidRPr="000A7B67">
        <w:t>rabies</w:t>
      </w:r>
      <w:r w:rsidRPr="000A7B67">
        <w:t>, Nancy, France</w:t>
      </w:r>
      <w:r w:rsidR="00B420CA">
        <w:rPr>
          <w:rStyle w:val="FootnoteReference"/>
        </w:rPr>
        <w:footnoteReference w:id="5"/>
      </w:r>
      <w:r w:rsidRPr="000A7B67">
        <w:t>. Vials are stored at –80°C;</w:t>
      </w:r>
    </w:p>
    <w:p w14:paraId="08F52D03" w14:textId="63BAD3CF" w:rsidR="00D504EE" w:rsidRPr="000A7B67" w:rsidRDefault="00A064B8" w:rsidP="006C4189">
      <w:pPr>
        <w:pStyle w:val="111Para"/>
      </w:pPr>
      <w:r>
        <w:t>WOAH</w:t>
      </w:r>
      <w:r w:rsidR="00DD6EB9" w:rsidRPr="000A7B67">
        <w:t xml:space="preserve"> Standard Serum of dog origin</w:t>
      </w:r>
      <w:r w:rsidR="00D70F22" w:rsidRPr="000A7B67">
        <w:rPr>
          <w:rStyle w:val="FootnoteReference"/>
        </w:rPr>
        <w:footnoteReference w:id="6"/>
      </w:r>
      <w:r w:rsidR="00DD6EB9" w:rsidRPr="000A7B67">
        <w:t xml:space="preserve"> stored at +4°C and diluted to 0.5 IU/ml with sterile deionised or distilled water. This control serum may be used to calibrate an </w:t>
      </w:r>
      <w:r w:rsidR="00D504EE" w:rsidRPr="000A7B67">
        <w:t xml:space="preserve">additional </w:t>
      </w:r>
      <w:r w:rsidR="00DD6EB9" w:rsidRPr="000A7B67">
        <w:t>internal control that is used for regular FAVN testing</w:t>
      </w:r>
      <w:r w:rsidR="00D504EE" w:rsidRPr="000A7B67">
        <w:t>.</w:t>
      </w:r>
    </w:p>
    <w:p w14:paraId="40CC6EB5" w14:textId="77777777" w:rsidR="00DD6EB9" w:rsidRPr="000A7B67" w:rsidRDefault="0061416B" w:rsidP="00783640">
      <w:pPr>
        <w:pStyle w:val="111Para"/>
      </w:pPr>
      <w:r w:rsidRPr="000A7B67">
        <w:t xml:space="preserve">Negative control </w:t>
      </w:r>
      <w:r w:rsidR="00DD6EB9" w:rsidRPr="000A7B67">
        <w:t xml:space="preserve">serum: </w:t>
      </w:r>
      <w:r w:rsidRPr="000A7B67">
        <w:t>A</w:t>
      </w:r>
      <w:r w:rsidR="00DD6EB9" w:rsidRPr="000A7B67">
        <w:t xml:space="preserve"> pool of </w:t>
      </w:r>
      <w:r w:rsidR="006E1634" w:rsidRPr="000A7B67">
        <w:t xml:space="preserve">sera from naïve </w:t>
      </w:r>
      <w:r w:rsidR="00DD6EB9" w:rsidRPr="000A7B67">
        <w:t>dog</w:t>
      </w:r>
      <w:r w:rsidR="006E1634" w:rsidRPr="000A7B67">
        <w:t>s</w:t>
      </w:r>
      <w:r w:rsidR="00584E61" w:rsidRPr="000A7B67">
        <w:t xml:space="preserve"> </w:t>
      </w:r>
      <w:r w:rsidR="00DD6EB9" w:rsidRPr="000A7B67">
        <w:t>stored at –20°C.</w:t>
      </w:r>
    </w:p>
    <w:p w14:paraId="7DBFEC71" w14:textId="260C0BFC" w:rsidR="00DD6EB9" w:rsidRPr="000A7B67" w:rsidRDefault="00DD6EB9" w:rsidP="00783640">
      <w:pPr>
        <w:pStyle w:val="111"/>
      </w:pPr>
      <w:r w:rsidRPr="000A7B67">
        <w:t>2.1.</w:t>
      </w:r>
      <w:r w:rsidR="00141F18" w:rsidRPr="000A7B67">
        <w:t>2</w:t>
      </w:r>
      <w:r w:rsidRPr="000A7B67">
        <w:t>.</w:t>
      </w:r>
      <w:r w:rsidRPr="000A7B67">
        <w:tab/>
        <w:t>CVS production</w:t>
      </w:r>
    </w:p>
    <w:p w14:paraId="46DEB152" w14:textId="20315C44" w:rsidR="00DD6EB9" w:rsidRPr="000A7B67" w:rsidRDefault="00DD6EB9" w:rsidP="00783640">
      <w:pPr>
        <w:pStyle w:val="i"/>
      </w:pPr>
      <w:r w:rsidRPr="000A7B67">
        <w:t>i)</w:t>
      </w:r>
      <w:r w:rsidRPr="000A7B67">
        <w:tab/>
        <w:t xml:space="preserve">Cell growth: the BHK-21 C13 cells (ATCC CCL-10) </w:t>
      </w:r>
      <w:r w:rsidR="00141F18" w:rsidRPr="000A7B67">
        <w:t xml:space="preserve">maintained in Dulbecco’s modified Eagle’s medium (DMEM) </w:t>
      </w:r>
      <w:r w:rsidR="006E1634" w:rsidRPr="000A7B67">
        <w:t xml:space="preserve">or Glasgow modified Eagle’s medium (GMEM) </w:t>
      </w:r>
      <w:r w:rsidR="00141F18" w:rsidRPr="000A7B67">
        <w:t xml:space="preserve">with 10% heat-inactivated FCS and antibiotics, </w:t>
      </w:r>
      <w:r w:rsidRPr="000A7B67">
        <w:t xml:space="preserve">used to produce the CVS virus (ATCC VR 959 CVS-11) are </w:t>
      </w:r>
      <w:proofErr w:type="spellStart"/>
      <w:r w:rsidRPr="000A7B67">
        <w:t>trypsinised</w:t>
      </w:r>
      <w:proofErr w:type="spellEnd"/>
      <w:r w:rsidRPr="000A7B67">
        <w:t xml:space="preserve"> during the rapid growth phase, i.e. cells are in the exponential phase of their kinetic growth. If the confluence of the layer is complete, a new passage should be made. The cells in the cell suspension should not be aggregated; 2 × 10</w:t>
      </w:r>
      <w:r w:rsidRPr="000A7B67">
        <w:rPr>
          <w:vertAlign w:val="superscript"/>
        </w:rPr>
        <w:t>7</w:t>
      </w:r>
      <w:r w:rsidRPr="000A7B67">
        <w:t xml:space="preserve"> cells are needed for a 75</w:t>
      </w:r>
      <w:r w:rsidR="002A10C6">
        <w:t> </w:t>
      </w:r>
      <w:r w:rsidRPr="000A7B67">
        <w:t>cm</w:t>
      </w:r>
      <w:r w:rsidRPr="000A7B67">
        <w:rPr>
          <w:vertAlign w:val="superscript"/>
        </w:rPr>
        <w:t>2</w:t>
      </w:r>
      <w:r w:rsidRPr="000A7B67">
        <w:t xml:space="preserve"> cell culture flask. Cells are collected within a volume of 20–30 ml in cell culture medium with 10% heat-inactivated FCS.</w:t>
      </w:r>
    </w:p>
    <w:p w14:paraId="684583CF" w14:textId="77777777" w:rsidR="00DD6EB9" w:rsidRPr="000A7B67" w:rsidRDefault="00DD6EB9" w:rsidP="00783640">
      <w:pPr>
        <w:pStyle w:val="i"/>
      </w:pPr>
      <w:r w:rsidRPr="000A7B67">
        <w:t>ii)</w:t>
      </w:r>
      <w:r w:rsidRPr="000A7B67">
        <w:tab/>
        <w:t>Infection of cells: the multiplicity of infection (number of infective particles per cell) is adjusted to between 0.1 and 0.5. The glass bottle containing the virus/cell suspension is incubated for 60 minutes at 35.5–37°C. The contents of the bottle are gently stirred every 10–15 minutes.</w:t>
      </w:r>
    </w:p>
    <w:p w14:paraId="4DDE810D" w14:textId="77777777" w:rsidR="00DD6EB9" w:rsidRPr="000A7B67" w:rsidRDefault="00DD6EB9" w:rsidP="00783640">
      <w:pPr>
        <w:pStyle w:val="i"/>
      </w:pPr>
      <w:r w:rsidRPr="000A7B67">
        <w:t>iii)</w:t>
      </w:r>
      <w:r w:rsidRPr="000A7B67">
        <w:tab/>
        <w:t xml:space="preserve">Virus growth: the virus/cell suspension is then centrifuged at 800–1000 </w:t>
      </w:r>
      <w:r w:rsidRPr="000A7B67">
        <w:rPr>
          <w:b/>
          <w:i/>
        </w:rPr>
        <w:t>g</w:t>
      </w:r>
      <w:r w:rsidRPr="000A7B67">
        <w:t xml:space="preserve"> for 15 minutes and the cell pellet is resuspended in cell culture medium mixed with 10% heat-inactivated FCS. Virus is harvested 2 days later.</w:t>
      </w:r>
    </w:p>
    <w:p w14:paraId="6C09BC4B" w14:textId="34348305" w:rsidR="00DD6EB9" w:rsidRPr="000A7B67" w:rsidRDefault="00DD6EB9" w:rsidP="006A10B5">
      <w:pPr>
        <w:pStyle w:val="i"/>
        <w:spacing w:after="240"/>
      </w:pPr>
      <w:r w:rsidRPr="000A7B67">
        <w:t>iv)</w:t>
      </w:r>
      <w:r w:rsidRPr="000A7B67">
        <w:tab/>
        <w:t xml:space="preserve">Harvest and storage: the supernatant is centrifuged at 800–1000 </w:t>
      </w:r>
      <w:r w:rsidRPr="000A7B67">
        <w:rPr>
          <w:b/>
          <w:i/>
        </w:rPr>
        <w:t xml:space="preserve">g </w:t>
      </w:r>
      <w:r w:rsidRPr="000A7B67">
        <w:t>for 15 minutes at 4°C. If several flasks have been used, the different centrifuged supernatants are mixed and then aliquoted and frozen at –80°C. The infective titre of the harvest is established at least 3</w:t>
      </w:r>
      <w:r w:rsidR="002A10C6">
        <w:t> </w:t>
      </w:r>
      <w:r w:rsidRPr="000A7B67">
        <w:t>days after freezing.</w:t>
      </w:r>
    </w:p>
    <w:p w14:paraId="4C896AA7" w14:textId="77777777" w:rsidR="00DD6EB9" w:rsidRPr="000A7B67" w:rsidRDefault="00DD6EB9" w:rsidP="001835EF">
      <w:pPr>
        <w:pStyle w:val="111"/>
      </w:pPr>
      <w:r w:rsidRPr="000A7B67">
        <w:t>2.1.</w:t>
      </w:r>
      <w:r w:rsidR="00457043">
        <w:t>3</w:t>
      </w:r>
      <w:r w:rsidRPr="000A7B67">
        <w:t>.</w:t>
      </w:r>
      <w:r w:rsidRPr="000A7B67">
        <w:tab/>
        <w:t>Titration of virus in TCID</w:t>
      </w:r>
      <w:r w:rsidRPr="000A7B67">
        <w:rPr>
          <w:vertAlign w:val="subscript"/>
        </w:rPr>
        <w:t>50</w:t>
      </w:r>
      <w:r w:rsidRPr="000A7B67">
        <w:t xml:space="preserve"> (50% tissue culture infective dose)</w:t>
      </w:r>
    </w:p>
    <w:p w14:paraId="4ECD679A" w14:textId="77777777" w:rsidR="00DD6EB9" w:rsidRPr="000A7B67" w:rsidRDefault="00DD6EB9" w:rsidP="00783640">
      <w:pPr>
        <w:pStyle w:val="111Para"/>
      </w:pPr>
      <w:r w:rsidRPr="000A7B67">
        <w:t xml:space="preserve">This titration method uses BHK-21 C13 cells (ATCC CCL-10) in </w:t>
      </w:r>
      <w:proofErr w:type="spellStart"/>
      <w:r w:rsidRPr="000A7B67">
        <w:t>microtitre</w:t>
      </w:r>
      <w:proofErr w:type="spellEnd"/>
      <w:r w:rsidRPr="000A7B67">
        <w:t xml:space="preserve"> plates.</w:t>
      </w:r>
    </w:p>
    <w:p w14:paraId="390C5E1B" w14:textId="77777777" w:rsidR="00DD6EB9" w:rsidRPr="000A7B67" w:rsidRDefault="00DD6EB9" w:rsidP="00783640">
      <w:pPr>
        <w:pStyle w:val="i"/>
      </w:pPr>
      <w:r w:rsidRPr="000A7B67">
        <w:t>i)</w:t>
      </w:r>
      <w:r w:rsidRPr="000A7B67">
        <w:tab/>
        <w:t>The day before titration, a cell suspension containing 10</w:t>
      </w:r>
      <w:r w:rsidRPr="000A7B67">
        <w:rPr>
          <w:vertAlign w:val="superscript"/>
        </w:rPr>
        <w:t>5</w:t>
      </w:r>
      <w:r w:rsidRPr="000A7B67">
        <w:t xml:space="preserve"> cells/ml is prepared in cell culture medium containing 10% heat-inactivated FCS, and is distributed, 200 µl per well, into 96-well </w:t>
      </w:r>
      <w:proofErr w:type="spellStart"/>
      <w:r w:rsidRPr="000A7B67">
        <w:t>microtitre</w:t>
      </w:r>
      <w:proofErr w:type="spellEnd"/>
      <w:r w:rsidRPr="000A7B67">
        <w:t xml:space="preserve"> plates. The plates are then incubated for 24 hours at 35.5°C–37°C with 5% CO</w:t>
      </w:r>
      <w:r w:rsidR="006A10B5" w:rsidRPr="00D9477C">
        <w:rPr>
          <w:szCs w:val="14"/>
          <w:vertAlign w:val="subscript"/>
        </w:rPr>
        <w:t>2</w:t>
      </w:r>
      <w:r w:rsidRPr="000A7B67">
        <w:t>.</w:t>
      </w:r>
    </w:p>
    <w:p w14:paraId="2A82FF83" w14:textId="77777777" w:rsidR="00DD6EB9" w:rsidRPr="000A7B67" w:rsidRDefault="00DD6EB9" w:rsidP="00783640">
      <w:pPr>
        <w:pStyle w:val="i"/>
      </w:pPr>
      <w:r w:rsidRPr="000A7B67">
        <w:t>ii)</w:t>
      </w:r>
      <w:r w:rsidRPr="000A7B67">
        <w:tab/>
        <w:t xml:space="preserve">The serial dilutions </w:t>
      </w:r>
      <w:r w:rsidR="003C78BC" w:rsidRPr="000A7B67">
        <w:t xml:space="preserve">of virus </w:t>
      </w:r>
      <w:r w:rsidRPr="000A7B67">
        <w:t xml:space="preserve">are performed in 5 ml tubes using a cell culture medium without FCS as diluent. Ten-fold dilutions from </w:t>
      </w:r>
      <w:r w:rsidR="006A10B5" w:rsidRPr="000A7B67">
        <w:t>10</w:t>
      </w:r>
      <w:r w:rsidR="006A10B5" w:rsidRPr="00D9477C">
        <w:rPr>
          <w:szCs w:val="14"/>
          <w:vertAlign w:val="superscript"/>
        </w:rPr>
        <w:t>–1</w:t>
      </w:r>
      <w:r w:rsidR="006A10B5" w:rsidRPr="000A7B67">
        <w:t xml:space="preserve"> to 10</w:t>
      </w:r>
      <w:r w:rsidR="006A10B5" w:rsidRPr="00D9477C">
        <w:rPr>
          <w:szCs w:val="14"/>
          <w:vertAlign w:val="superscript"/>
        </w:rPr>
        <w:t>–12</w:t>
      </w:r>
      <w:r w:rsidR="006A10B5" w:rsidRPr="000A7B67">
        <w:t xml:space="preserve"> </w:t>
      </w:r>
      <w:r w:rsidRPr="000A7B67">
        <w:t>are prepared (0.9 ml of diluent with 0.1 ml of the previous dilution).</w:t>
      </w:r>
    </w:p>
    <w:p w14:paraId="7E9105EC" w14:textId="77777777" w:rsidR="00DD6EB9" w:rsidRPr="000A7B67" w:rsidRDefault="00DD6EB9" w:rsidP="00783640">
      <w:pPr>
        <w:pStyle w:val="i"/>
      </w:pPr>
      <w:r w:rsidRPr="000A7B67">
        <w:t>iii)</w:t>
      </w:r>
      <w:r w:rsidRPr="000A7B67">
        <w:tab/>
        <w:t xml:space="preserve">The medium in the </w:t>
      </w:r>
      <w:proofErr w:type="spellStart"/>
      <w:r w:rsidRPr="000A7B67">
        <w:t>microtitre</w:t>
      </w:r>
      <w:proofErr w:type="spellEnd"/>
      <w:r w:rsidRPr="000A7B67">
        <w:t xml:space="preserve"> plates is discarded using an aspiration system. Fifty µl of each virus dilution is distributed per well. Six replicates are used per dilution. The </w:t>
      </w:r>
      <w:proofErr w:type="spellStart"/>
      <w:r w:rsidRPr="000A7B67">
        <w:t>microtitre</w:t>
      </w:r>
      <w:proofErr w:type="spellEnd"/>
      <w:r w:rsidRPr="000A7B67">
        <w:t xml:space="preserve"> plate is then incubated for 1 hour at 35.5–37°C with 5% CO</w:t>
      </w:r>
      <w:r w:rsidR="006A10B5" w:rsidRPr="00D9477C">
        <w:rPr>
          <w:szCs w:val="14"/>
          <w:vertAlign w:val="subscript"/>
        </w:rPr>
        <w:t>2</w:t>
      </w:r>
      <w:r w:rsidRPr="000A7B67">
        <w:t>. Then 200 µl of cell culture medium, containing 5% FCS, is added.</w:t>
      </w:r>
    </w:p>
    <w:p w14:paraId="1C9D3DED" w14:textId="77777777" w:rsidR="00DD6EB9" w:rsidRPr="000A7B67" w:rsidRDefault="00DD6EB9" w:rsidP="00783640">
      <w:pPr>
        <w:pStyle w:val="i"/>
      </w:pPr>
      <w:r w:rsidRPr="000A7B67">
        <w:t>iv)</w:t>
      </w:r>
      <w:r w:rsidRPr="000A7B67">
        <w:tab/>
        <w:t xml:space="preserve">Incubate </w:t>
      </w:r>
      <w:r w:rsidR="00141F18" w:rsidRPr="000A7B67">
        <w:t xml:space="preserve">in a humidified incubator </w:t>
      </w:r>
      <w:r w:rsidRPr="000A7B67">
        <w:t>for 3 days at 35.5–37°C in 5% CO</w:t>
      </w:r>
      <w:r w:rsidR="006A10B5" w:rsidRPr="00D9477C">
        <w:rPr>
          <w:szCs w:val="14"/>
          <w:vertAlign w:val="subscript"/>
        </w:rPr>
        <w:t>2</w:t>
      </w:r>
      <w:r w:rsidRPr="000A7B67">
        <w:t>.</w:t>
      </w:r>
    </w:p>
    <w:p w14:paraId="575D6511" w14:textId="0AA4C9C7" w:rsidR="00DD6EB9" w:rsidRPr="000A7B67" w:rsidRDefault="00DD6EB9" w:rsidP="00783640">
      <w:pPr>
        <w:pStyle w:val="i"/>
      </w:pPr>
      <w:r w:rsidRPr="000A7B67">
        <w:t>v)</w:t>
      </w:r>
      <w:r w:rsidRPr="000A7B67">
        <w:tab/>
        <w:t xml:space="preserve">The cells are stained using the DFA test, as detailed below. Reading is qualitative, every well that shows specific fluorescence is considered to be positive. The titre calculation is made using either the </w:t>
      </w:r>
      <w:proofErr w:type="spellStart"/>
      <w:r w:rsidRPr="000A7B67">
        <w:t>neoprobit</w:t>
      </w:r>
      <w:proofErr w:type="spellEnd"/>
      <w:r w:rsidRPr="000A7B67">
        <w:t xml:space="preserve"> graphic method or the Spearman–</w:t>
      </w:r>
      <w:proofErr w:type="spellStart"/>
      <w:r w:rsidRPr="000A7B67">
        <w:t>Kärber</w:t>
      </w:r>
      <w:proofErr w:type="spellEnd"/>
      <w:r w:rsidRPr="000A7B67">
        <w:t xml:space="preserve"> formula (</w:t>
      </w:r>
      <w:r w:rsidR="009F104D">
        <w:t xml:space="preserve">WHO, </w:t>
      </w:r>
      <w:r w:rsidR="009F104D" w:rsidRPr="00111383">
        <w:rPr>
          <w:strike/>
        </w:rPr>
        <w:t xml:space="preserve">1996 </w:t>
      </w:r>
      <w:r w:rsidR="009F104D" w:rsidRPr="00111383">
        <w:rPr>
          <w:u w:val="double"/>
        </w:rPr>
        <w:t>2018</w:t>
      </w:r>
      <w:r w:rsidRPr="000A7B67">
        <w:t>).</w:t>
      </w:r>
    </w:p>
    <w:p w14:paraId="34FB3151" w14:textId="77777777" w:rsidR="00DD6EB9" w:rsidRPr="000A7B67" w:rsidRDefault="00DD6EB9" w:rsidP="006A10B5">
      <w:pPr>
        <w:pStyle w:val="i"/>
        <w:spacing w:after="240"/>
      </w:pPr>
      <w:r w:rsidRPr="000A7B67">
        <w:t>vi)</w:t>
      </w:r>
      <w:r w:rsidRPr="000A7B67">
        <w:tab/>
        <w:t>The CVS titration must be performed by FAVN test to establish the infective dose in TCID</w:t>
      </w:r>
      <w:r w:rsidR="006A10B5" w:rsidRPr="00D9477C">
        <w:rPr>
          <w:szCs w:val="14"/>
          <w:vertAlign w:val="subscript"/>
        </w:rPr>
        <w:t>50</w:t>
      </w:r>
      <w:r w:rsidRPr="000A7B67">
        <w:t>.</w:t>
      </w:r>
    </w:p>
    <w:p w14:paraId="239FB8BC" w14:textId="77777777" w:rsidR="00DD6EB9" w:rsidRPr="000A7B67" w:rsidRDefault="00DD6EB9" w:rsidP="00783640">
      <w:pPr>
        <w:pStyle w:val="111"/>
      </w:pPr>
      <w:r w:rsidRPr="000A7B67">
        <w:t>2.1.</w:t>
      </w:r>
      <w:r w:rsidR="00457043">
        <w:t>4</w:t>
      </w:r>
      <w:r w:rsidRPr="000A7B67">
        <w:t>.</w:t>
      </w:r>
      <w:r w:rsidRPr="000A7B67">
        <w:tab/>
        <w:t>Test procedure</w:t>
      </w:r>
    </w:p>
    <w:p w14:paraId="417EC2A3" w14:textId="77777777" w:rsidR="00DD6EB9" w:rsidRPr="000A7B67" w:rsidRDefault="00DD6EB9" w:rsidP="00783640">
      <w:pPr>
        <w:pStyle w:val="i"/>
      </w:pPr>
      <w:r w:rsidRPr="000A7B67">
        <w:t>i)</w:t>
      </w:r>
      <w:r w:rsidRPr="000A7B67">
        <w:tab/>
        <w:t xml:space="preserve">The control plate is used for the titration of CVS (rows 1 to 4), standard sera and </w:t>
      </w:r>
      <w:r w:rsidR="006E1634" w:rsidRPr="000A7B67">
        <w:t xml:space="preserve">negative control </w:t>
      </w:r>
      <w:r w:rsidRPr="000A7B67">
        <w:t>serum are used. All other plates are used for the sera to be tested.</w:t>
      </w:r>
    </w:p>
    <w:p w14:paraId="36FDC5DA" w14:textId="3F7B4DAD" w:rsidR="00DD6EB9" w:rsidRPr="000A7B67" w:rsidRDefault="00DD6EB9" w:rsidP="00783640">
      <w:pPr>
        <w:pStyle w:val="i"/>
      </w:pPr>
      <w:r w:rsidRPr="000A7B67">
        <w:t>ii)</w:t>
      </w:r>
      <w:r w:rsidRPr="000A7B67">
        <w:tab/>
        <w:t>Medium is added to the wells as follows: control plate rows 1 to 4 and cells A9 to A12: add 150 µl per well; in the other plates, rows 6 and 12: add 200 µl per well; all other wells: add 100</w:t>
      </w:r>
      <w:r w:rsidR="006D6456">
        <w:t> </w:t>
      </w:r>
      <w:r w:rsidRPr="000A7B67">
        <w:t>µl.</w:t>
      </w:r>
    </w:p>
    <w:p w14:paraId="409BFF7B" w14:textId="77777777" w:rsidR="00DD6EB9" w:rsidRPr="000A7B67" w:rsidRDefault="00DD6EB9" w:rsidP="00783640">
      <w:pPr>
        <w:pStyle w:val="i"/>
      </w:pPr>
      <w:r w:rsidRPr="000A7B67">
        <w:t>iii)</w:t>
      </w:r>
      <w:r w:rsidRPr="000A7B67">
        <w:tab/>
        <w:t>Sera to be tested are heat inactivated for 30 minutes at 56°C. 50 µl of each undiluted serum to be tested is added to four adjacent wells.</w:t>
      </w:r>
    </w:p>
    <w:p w14:paraId="3BA4EFDE" w14:textId="77777777" w:rsidR="00DD6EB9" w:rsidRPr="000A7B67" w:rsidRDefault="00DD6EB9" w:rsidP="00783640">
      <w:pPr>
        <w:pStyle w:val="i"/>
      </w:pPr>
      <w:r w:rsidRPr="000A7B67">
        <w:t>iv)</w:t>
      </w:r>
      <w:r w:rsidRPr="000A7B67">
        <w:tab/>
        <w:t xml:space="preserve">Dilutions of sera are conducted in the microplates as follows: </w:t>
      </w:r>
    </w:p>
    <w:p w14:paraId="4192FDDA" w14:textId="73544BA5" w:rsidR="00D048E9" w:rsidRPr="000A7B67" w:rsidRDefault="00A064B8" w:rsidP="00F51117">
      <w:pPr>
        <w:pStyle w:val="afourthpara"/>
      </w:pPr>
      <w:r>
        <w:t>WOAH</w:t>
      </w:r>
      <w:r w:rsidR="00DD6EB9" w:rsidRPr="000A7B67">
        <w:t xml:space="preserve"> serum, the WHO serum, the internal control and the naive dog serum: with a 50–200</w:t>
      </w:r>
      <w:r w:rsidR="006A10B5" w:rsidRPr="000A7B67">
        <w:t> </w:t>
      </w:r>
      <w:r w:rsidR="00DD6EB9" w:rsidRPr="000A7B67">
        <w:t>µl multichannel pipette, mix the first dilution wells by sucking in and out at least eight times, transfer 50 µl from one row to the next one, until the last one is reached. Discard 50</w:t>
      </w:r>
      <w:r w:rsidR="006A10B5" w:rsidRPr="000A7B67">
        <w:t> </w:t>
      </w:r>
      <w:r w:rsidR="00DD6EB9" w:rsidRPr="000A7B67">
        <w:t>µl from the last row.</w:t>
      </w:r>
    </w:p>
    <w:p w14:paraId="3F2164BE" w14:textId="77777777" w:rsidR="00DD6EB9" w:rsidRPr="000A7B67" w:rsidRDefault="00DD6EB9" w:rsidP="00783640">
      <w:pPr>
        <w:pStyle w:val="afourthpara"/>
      </w:pPr>
      <w:r w:rsidRPr="000A7B67">
        <w:t xml:space="preserve">If there is a serum to be tested on the control plate, see below for the dilution step. </w:t>
      </w:r>
    </w:p>
    <w:p w14:paraId="7F22B0F9" w14:textId="77777777" w:rsidR="00DD6EB9" w:rsidRPr="000A7B67" w:rsidRDefault="00DD6EB9" w:rsidP="00783640">
      <w:pPr>
        <w:pStyle w:val="afourthpara"/>
      </w:pPr>
      <w:r w:rsidRPr="000A7B67">
        <w:t xml:space="preserve">A minimum of four three-fold dilutions is required. </w:t>
      </w:r>
    </w:p>
    <w:p w14:paraId="70EC4C7F" w14:textId="73DDE1C5" w:rsidR="00DD6EB9" w:rsidRPr="000A7B67" w:rsidRDefault="00DD6EB9" w:rsidP="00783640">
      <w:pPr>
        <w:pStyle w:val="afourthpara"/>
      </w:pPr>
      <w:r w:rsidRPr="000A7B67">
        <w:t xml:space="preserve">Sera being tested (all plates): as above, transfer successively 50 µl from one row to the </w:t>
      </w:r>
      <w:r w:rsidR="006A10B5" w:rsidRPr="000A7B67">
        <w:t>following one until rows 5 and 11 (dil. 10</w:t>
      </w:r>
      <w:r w:rsidR="006A10B5" w:rsidRPr="00D9477C">
        <w:rPr>
          <w:vertAlign w:val="superscript"/>
        </w:rPr>
        <w:t>–2.39</w:t>
      </w:r>
      <w:r w:rsidR="006A10B5" w:rsidRPr="000A7B67">
        <w:t>). With a 5–50 µl multichannel pipette, transfer 10 µl from rows 5 and 11 to rows 6 and 12, respectively (from dil. 10</w:t>
      </w:r>
      <w:r w:rsidR="006A10B5" w:rsidRPr="00D9477C">
        <w:rPr>
          <w:vertAlign w:val="superscript"/>
        </w:rPr>
        <w:t>–2.39</w:t>
      </w:r>
      <w:r w:rsidR="006A10B5" w:rsidRPr="000A7B67">
        <w:t xml:space="preserve"> to dil. 10</w:t>
      </w:r>
      <w:r w:rsidR="006A10B5" w:rsidRPr="00D9477C">
        <w:rPr>
          <w:vertAlign w:val="superscript"/>
        </w:rPr>
        <w:t>–4.23</w:t>
      </w:r>
      <w:r w:rsidR="006A10B5" w:rsidRPr="000A7B67">
        <w:t>)</w:t>
      </w:r>
      <w:r w:rsidRPr="000A7B67">
        <w:t>. Using a multichannel pipette adjusted to 90 µl, mix rows 6 and 12 and discard 180 µl. Then add 70</w:t>
      </w:r>
      <w:r w:rsidR="002A10C6">
        <w:t> </w:t>
      </w:r>
      <w:r w:rsidRPr="000A7B67">
        <w:t>µl of medium to these rows. This final step does not lend itself to high throughput testing. To attain or exceed the recommended final dilution alternative procedures may be used. These may require modifications to the plate layout.</w:t>
      </w:r>
    </w:p>
    <w:p w14:paraId="343F90B5" w14:textId="77777777" w:rsidR="00DD6EB9" w:rsidRPr="000A7B67" w:rsidRDefault="00DD6EB9" w:rsidP="00783640">
      <w:pPr>
        <w:pStyle w:val="111"/>
      </w:pPr>
      <w:r w:rsidRPr="000A7B67">
        <w:t>2.1.</w:t>
      </w:r>
      <w:r w:rsidR="00457043">
        <w:t>5</w:t>
      </w:r>
      <w:r w:rsidRPr="000A7B67">
        <w:t>.</w:t>
      </w:r>
      <w:r w:rsidRPr="000A7B67">
        <w:tab/>
        <w:t>Addition of challenge virus standard</w:t>
      </w:r>
    </w:p>
    <w:p w14:paraId="059F513D" w14:textId="77777777" w:rsidR="00DD6EB9" w:rsidRPr="000A7B67" w:rsidRDefault="00DD6EB9" w:rsidP="00783640">
      <w:pPr>
        <w:pStyle w:val="i"/>
      </w:pPr>
      <w:r w:rsidRPr="000A7B67">
        <w:t>i)</w:t>
      </w:r>
      <w:r w:rsidRPr="000A7B67">
        <w:tab/>
        <w:t>Stock CVS is stored in 1 ml microtubes at –80°C. One tube is thawed rapidly under cold running water, and placed in melting ice.</w:t>
      </w:r>
    </w:p>
    <w:p w14:paraId="4BFC50B3" w14:textId="77777777" w:rsidR="00DD6EB9" w:rsidRPr="000A7B67" w:rsidRDefault="00DD6EB9" w:rsidP="00783640">
      <w:pPr>
        <w:pStyle w:val="i"/>
      </w:pPr>
      <w:r w:rsidRPr="000A7B67">
        <w:t>ii)</w:t>
      </w:r>
      <w:r w:rsidRPr="000A7B67">
        <w:tab/>
        <w:t>One dilution from this tube is prepared in order to obtain 100 TCID</w:t>
      </w:r>
      <w:r w:rsidR="006A10B5" w:rsidRPr="00D9477C">
        <w:rPr>
          <w:szCs w:val="14"/>
          <w:vertAlign w:val="subscript"/>
        </w:rPr>
        <w:t>50</w:t>
      </w:r>
      <w:r w:rsidRPr="000A7B67">
        <w:t xml:space="preserve"> in 50 µl. Of this dilution, 50 µl is added to each serum-filled well. For virus titration, 50 µl is added to wells H1 to H4 (control plate). Next, transfer 50 µl from row to row (control plate, lines 1–4). Discard 50 µl from the last row (control plate, wells A1 to A4). No virus is added to wells A9 to A12 of control plate. The range allowed for the virus dose titre must be between 30</w:t>
      </w:r>
      <w:r w:rsidR="00D048E9" w:rsidRPr="000A7B67">
        <w:t> </w:t>
      </w:r>
      <w:r w:rsidRPr="000A7B67">
        <w:t>and 300 TCID</w:t>
      </w:r>
      <w:r w:rsidR="006A10B5" w:rsidRPr="00D9477C">
        <w:rPr>
          <w:szCs w:val="14"/>
          <w:vertAlign w:val="subscript"/>
        </w:rPr>
        <w:t>50</w:t>
      </w:r>
      <w:r w:rsidRPr="000A7B67">
        <w:t xml:space="preserve">/50 µl. </w:t>
      </w:r>
    </w:p>
    <w:p w14:paraId="29B0BE11" w14:textId="77777777" w:rsidR="00DD6EB9" w:rsidRPr="000A7B67" w:rsidRDefault="00DD6EB9" w:rsidP="00783640">
      <w:pPr>
        <w:pStyle w:val="i"/>
      </w:pPr>
      <w:r w:rsidRPr="000A7B67">
        <w:t>iii)</w:t>
      </w:r>
      <w:r w:rsidRPr="000A7B67">
        <w:tab/>
        <w:t>Incubate the microplates at 35–37°C in a humid incubator with 5% CO</w:t>
      </w:r>
      <w:r w:rsidR="006A10B5" w:rsidRPr="00D9477C">
        <w:rPr>
          <w:szCs w:val="14"/>
          <w:vertAlign w:val="subscript"/>
        </w:rPr>
        <w:t>2</w:t>
      </w:r>
      <w:r w:rsidRPr="000A7B67">
        <w:t xml:space="preserve"> for 1 hour.</w:t>
      </w:r>
    </w:p>
    <w:p w14:paraId="7C78603F" w14:textId="77777777" w:rsidR="00DD6EB9" w:rsidRPr="000A7B67" w:rsidRDefault="00DD6EB9" w:rsidP="00783640">
      <w:pPr>
        <w:pStyle w:val="i"/>
      </w:pPr>
      <w:r w:rsidRPr="000A7B67">
        <w:t>iv)</w:t>
      </w:r>
      <w:r w:rsidRPr="000A7B67">
        <w:tab/>
        <w:t xml:space="preserve">Addition of cells: </w:t>
      </w:r>
      <w:proofErr w:type="spellStart"/>
      <w:r w:rsidRPr="000A7B67">
        <w:t>trypsinise</w:t>
      </w:r>
      <w:proofErr w:type="spellEnd"/>
      <w:r w:rsidRPr="000A7B67">
        <w:t xml:space="preserve"> a </w:t>
      </w:r>
      <w:proofErr w:type="spellStart"/>
      <w:r w:rsidRPr="000A7B67">
        <w:t>subconfluent</w:t>
      </w:r>
      <w:proofErr w:type="spellEnd"/>
      <w:r w:rsidRPr="000A7B67">
        <w:t xml:space="preserve"> culture of BHK-21 cells. Resuspend the cells to obtain a 4 × </w:t>
      </w:r>
      <w:r w:rsidR="00B30BD0" w:rsidRPr="000A7B67">
        <w:t>10</w:t>
      </w:r>
      <w:r w:rsidR="00B30BD0" w:rsidRPr="00D9477C">
        <w:rPr>
          <w:vertAlign w:val="superscript"/>
        </w:rPr>
        <w:t>5</w:t>
      </w:r>
      <w:r w:rsidR="00B30BD0" w:rsidRPr="000A7B67">
        <w:t xml:space="preserve"> cells/ml </w:t>
      </w:r>
      <w:r w:rsidRPr="000A7B67">
        <w:t>suspension in DMEM supplemented with 10% heat-inactivated FCS. Add 50 µl of the cell suspension to each well.</w:t>
      </w:r>
    </w:p>
    <w:p w14:paraId="31115B6E" w14:textId="77777777" w:rsidR="00DD6EB9" w:rsidRPr="000A7B67" w:rsidRDefault="00DD6EB9" w:rsidP="007B4E2A">
      <w:pPr>
        <w:pStyle w:val="i"/>
        <w:spacing w:after="240"/>
      </w:pPr>
      <w:r w:rsidRPr="000A7B67">
        <w:t>v)</w:t>
      </w:r>
      <w:r w:rsidRPr="000A7B67">
        <w:tab/>
        <w:t>Incubate the microplates for 48 hours at 35–37°C in a humid incubator with 5% CO</w:t>
      </w:r>
      <w:r w:rsidR="006A10B5" w:rsidRPr="00D9477C">
        <w:rPr>
          <w:szCs w:val="14"/>
          <w:vertAlign w:val="subscript"/>
        </w:rPr>
        <w:t>2</w:t>
      </w:r>
      <w:r w:rsidRPr="000A7B67">
        <w:t>.</w:t>
      </w:r>
    </w:p>
    <w:p w14:paraId="01ED5F42" w14:textId="77777777" w:rsidR="00DD6EB9" w:rsidRPr="000A7B67" w:rsidRDefault="00DD6EB9" w:rsidP="00783640">
      <w:pPr>
        <w:pStyle w:val="111"/>
      </w:pPr>
      <w:r w:rsidRPr="000A7B67">
        <w:t>2.1.</w:t>
      </w:r>
      <w:r w:rsidR="00457043">
        <w:t>6</w:t>
      </w:r>
      <w:r w:rsidRPr="000A7B67">
        <w:t>.</w:t>
      </w:r>
      <w:r w:rsidRPr="000A7B67">
        <w:tab/>
        <w:t>Fixation and staining</w:t>
      </w:r>
    </w:p>
    <w:p w14:paraId="0A6C27B8" w14:textId="77777777" w:rsidR="00DD6EB9" w:rsidRPr="000A7B67" w:rsidRDefault="00DD6EB9" w:rsidP="00783640">
      <w:pPr>
        <w:pStyle w:val="i"/>
      </w:pPr>
      <w:r w:rsidRPr="000A7B67">
        <w:t>i)</w:t>
      </w:r>
      <w:r w:rsidRPr="000A7B67">
        <w:tab/>
        <w:t>After the 48-hour incubation period, the medium is discarded, and the microplates are rinsed once in PBS, pH 7.2, and once in 80% acetone. The microplates are then fixed in 80% acetone at room temperature for 30 minutes, and are dried at room temperature for at least 30 minutes.</w:t>
      </w:r>
    </w:p>
    <w:p w14:paraId="723C6EEC" w14:textId="77777777" w:rsidR="00DD6EB9" w:rsidRPr="000A7B67" w:rsidRDefault="00DD6EB9" w:rsidP="007B4E2A">
      <w:pPr>
        <w:pStyle w:val="i"/>
        <w:spacing w:after="240"/>
      </w:pPr>
      <w:r w:rsidRPr="000A7B67">
        <w:t>ii)</w:t>
      </w:r>
      <w:r w:rsidRPr="000A7B67">
        <w:tab/>
        <w:t>Add 50 µl of the FITC anti-rabies conjugate, at the working dilution, to each well, gently rock the microplates and incubate at 35–37°C for 30 minutes. Discard the fluorescent conjugate and rinse the microplates twice with PBS. Excess PBS is removed by briefly inverting the microplates on absorbent paper.</w:t>
      </w:r>
    </w:p>
    <w:p w14:paraId="13784399" w14:textId="77777777" w:rsidR="00DD6EB9" w:rsidRPr="000A7B67" w:rsidRDefault="00DD6EB9" w:rsidP="00783640">
      <w:pPr>
        <w:pStyle w:val="111"/>
      </w:pPr>
      <w:r w:rsidRPr="000A7B67">
        <w:t>2.1.</w:t>
      </w:r>
      <w:r w:rsidR="00457043">
        <w:t>7</w:t>
      </w:r>
      <w:r w:rsidRPr="000A7B67">
        <w:t>.</w:t>
      </w:r>
      <w:r w:rsidRPr="000A7B67">
        <w:tab/>
        <w:t>Reading and interpreting the results</w:t>
      </w:r>
    </w:p>
    <w:p w14:paraId="07C5F01E" w14:textId="77777777" w:rsidR="00DD6EB9" w:rsidRPr="000A7B67" w:rsidRDefault="00DD6EB9" w:rsidP="00584E61">
      <w:pPr>
        <w:pStyle w:val="111Para"/>
        <w:ind w:left="1843" w:hanging="425"/>
        <w:rPr>
          <w:rFonts w:ascii="Ottawa" w:hAnsi="Ottawa"/>
          <w:b/>
          <w:sz w:val="19"/>
        </w:rPr>
      </w:pPr>
      <w:r w:rsidRPr="000A7B67">
        <w:t>i)</w:t>
      </w:r>
      <w:r w:rsidRPr="000A7B67">
        <w:tab/>
        <w:t xml:space="preserve">The total surface of each well is observed. The reading evaluation is qualitative (plus or minus): no fluorescent cell – a minus score is recorded for the well; fluorescent cells (one cell or more) – a plus score is recorded for the well. </w:t>
      </w:r>
      <w:r w:rsidR="00141F18" w:rsidRPr="000A7B67">
        <w:t>Use a fluorescence microscope suitable for FITC fluorescence equipped with ×10 eye-piece and ×10 objective. The global magnification of the microscope ranges between ×100 and ×125 due to the extra magnification of some epi-fluorescence systems.</w:t>
      </w:r>
    </w:p>
    <w:p w14:paraId="4F9976D4" w14:textId="7E5A3825" w:rsidR="00DD6EB9" w:rsidRPr="000A7B67" w:rsidRDefault="00DD6EB9" w:rsidP="00783640">
      <w:pPr>
        <w:pStyle w:val="i"/>
      </w:pPr>
      <w:r w:rsidRPr="000A7B67">
        <w:t>ii)</w:t>
      </w:r>
      <w:r w:rsidRPr="000A7B67">
        <w:tab/>
        <w:t xml:space="preserve">Cell and virus controls are read first. For titration of CVS, </w:t>
      </w:r>
      <w:r w:rsidR="006E1634" w:rsidRPr="000A7B67">
        <w:t xml:space="preserve">negative control </w:t>
      </w:r>
      <w:r w:rsidRPr="000A7B67">
        <w:t xml:space="preserve">serum, and </w:t>
      </w:r>
      <w:r w:rsidR="00A064B8">
        <w:t>WOAH</w:t>
      </w:r>
      <w:r w:rsidRPr="000A7B67">
        <w:t xml:space="preserve"> standard serum, titres are calculated according to the Spearman–</w:t>
      </w:r>
      <w:proofErr w:type="spellStart"/>
      <w:r w:rsidRPr="000A7B67">
        <w:t>Kärber</w:t>
      </w:r>
      <w:proofErr w:type="spellEnd"/>
      <w:r w:rsidRPr="000A7B67">
        <w:t xml:space="preserve"> method or the </w:t>
      </w:r>
      <w:proofErr w:type="spellStart"/>
      <w:r w:rsidRPr="000A7B67">
        <w:t>neoprobit</w:t>
      </w:r>
      <w:proofErr w:type="spellEnd"/>
      <w:r w:rsidRPr="000A7B67">
        <w:t xml:space="preserve"> graphic method (</w:t>
      </w:r>
      <w:r w:rsidR="009F104D">
        <w:t xml:space="preserve">WHO, </w:t>
      </w:r>
      <w:r w:rsidR="009F104D" w:rsidRPr="00111383">
        <w:rPr>
          <w:strike/>
        </w:rPr>
        <w:t xml:space="preserve">1996 </w:t>
      </w:r>
      <w:r w:rsidR="009F104D" w:rsidRPr="00111383">
        <w:rPr>
          <w:u w:val="double"/>
        </w:rPr>
        <w:t>2018</w:t>
      </w:r>
      <w:r w:rsidRPr="000A7B67">
        <w:t>).</w:t>
      </w:r>
    </w:p>
    <w:p w14:paraId="4D708B3E" w14:textId="77777777" w:rsidR="00DD6EB9" w:rsidRPr="000A7B67" w:rsidRDefault="00DD6EB9" w:rsidP="00783640">
      <w:pPr>
        <w:pStyle w:val="i"/>
      </w:pPr>
      <w:r w:rsidRPr="000A7B67">
        <w:t>iii)</w:t>
      </w:r>
      <w:r w:rsidRPr="000A7B67">
        <w:tab/>
        <w:t>Results of titration of CVS (TCID</w:t>
      </w:r>
      <w:r w:rsidR="00B30BD0" w:rsidRPr="00D9477C">
        <w:rPr>
          <w:szCs w:val="14"/>
          <w:vertAlign w:val="subscript"/>
        </w:rPr>
        <w:t>50</w:t>
      </w:r>
      <w:r w:rsidRPr="000A7B67">
        <w:t>), naive serum (D</w:t>
      </w:r>
      <w:r w:rsidR="00B30BD0" w:rsidRPr="00D9477C">
        <w:rPr>
          <w:szCs w:val="14"/>
          <w:vertAlign w:val="subscript"/>
        </w:rPr>
        <w:t>50</w:t>
      </w:r>
      <w:r w:rsidRPr="000A7B67">
        <w:t xml:space="preserve"> [median dose]) and positive standard (D</w:t>
      </w:r>
      <w:r w:rsidR="00B30BD0" w:rsidRPr="00D9477C">
        <w:rPr>
          <w:szCs w:val="14"/>
          <w:vertAlign w:val="subscript"/>
        </w:rPr>
        <w:t>50</w:t>
      </w:r>
      <w:r w:rsidRPr="000A7B67">
        <w:t>) are reported on a control card for each of these three controls. The control results of the current test are compared with the accumulated control test results from previous tests using the same batch of control. The test is validated if the values obtained for the three controls in the current test are not statistically different from the mean (±2</w:t>
      </w:r>
      <w:r w:rsidR="00D048E9" w:rsidRPr="000A7B67">
        <w:t> </w:t>
      </w:r>
      <w:r w:rsidRPr="000A7B67">
        <w:t>SD) of all the values obtained in the tests conducted previously according to this technique.</w:t>
      </w:r>
    </w:p>
    <w:p w14:paraId="719A9666" w14:textId="71E925F9" w:rsidR="00B30BD0" w:rsidRPr="000A7B67" w:rsidRDefault="00DD6EB9" w:rsidP="007B4E2A">
      <w:pPr>
        <w:pStyle w:val="i"/>
        <w:spacing w:after="240"/>
      </w:pPr>
      <w:r w:rsidRPr="000A7B67">
        <w:t>iv)</w:t>
      </w:r>
      <w:r w:rsidRPr="000A7B67">
        <w:tab/>
        <w:t>The result of the test corresponds to the non-neutralised virus after incubation with the reference serum or with the serum to be tested. These titres are calculated with the neo-probit graphic method or with the Spearman–</w:t>
      </w:r>
      <w:proofErr w:type="spellStart"/>
      <w:r w:rsidRPr="000A7B67">
        <w:t>Kärber</w:t>
      </w:r>
      <w:proofErr w:type="spellEnd"/>
      <w:r w:rsidRPr="000A7B67">
        <w:t xml:space="preserve"> formula (</w:t>
      </w:r>
      <w:r w:rsidR="009F104D">
        <w:t xml:space="preserve">WHO, </w:t>
      </w:r>
      <w:r w:rsidR="009F104D" w:rsidRPr="00111383">
        <w:rPr>
          <w:strike/>
        </w:rPr>
        <w:t xml:space="preserve">1996 </w:t>
      </w:r>
      <w:r w:rsidR="009F104D" w:rsidRPr="00111383">
        <w:rPr>
          <w:u w:val="double"/>
        </w:rPr>
        <w:t>2018</w:t>
      </w:r>
      <w:r w:rsidRPr="000A7B67">
        <w:t>).The comparison of the measured titre of the tested sera with that of the positive standard serum of a known neutralising titre allows determination of the neutralising titre of the tested sera in IU/ml. The conversion to IU/ml can be made by using either the log D</w:t>
      </w:r>
      <w:r w:rsidR="00B30BD0" w:rsidRPr="00D9477C">
        <w:rPr>
          <w:szCs w:val="14"/>
          <w:vertAlign w:val="subscript"/>
        </w:rPr>
        <w:t>50</w:t>
      </w:r>
      <w:r w:rsidRPr="000A7B67">
        <w:t xml:space="preserve"> value of the day or the mean value of the </w:t>
      </w:r>
      <w:r w:rsidR="004E2B26" w:rsidRPr="000A7B67">
        <w:t xml:space="preserve">positive </w:t>
      </w:r>
      <w:r w:rsidRPr="000A7B67">
        <w:t>standard serum.</w:t>
      </w:r>
    </w:p>
    <w:p w14:paraId="5288AED4" w14:textId="77777777" w:rsidR="00783640" w:rsidRPr="000A7B67" w:rsidRDefault="00783640" w:rsidP="00783640">
      <w:pPr>
        <w:pStyle w:val="111"/>
        <w:rPr>
          <w:bCs/>
        </w:rPr>
      </w:pPr>
      <w:r w:rsidRPr="000A7B67">
        <w:rPr>
          <w:bCs/>
        </w:rPr>
        <w:t>2.1.</w:t>
      </w:r>
      <w:r w:rsidR="00457043">
        <w:rPr>
          <w:bCs/>
        </w:rPr>
        <w:t>8</w:t>
      </w:r>
      <w:r w:rsidRPr="000A7B67">
        <w:rPr>
          <w:bCs/>
        </w:rPr>
        <w:t>.</w:t>
      </w:r>
      <w:r w:rsidRPr="000A7B67">
        <w:rPr>
          <w:bCs/>
        </w:rPr>
        <w:tab/>
        <w:t>Formula to convert the log D</w:t>
      </w:r>
      <w:r w:rsidRPr="00D9477C">
        <w:rPr>
          <w:bCs/>
          <w:sz w:val="18"/>
          <w:szCs w:val="16"/>
          <w:vertAlign w:val="subscript"/>
        </w:rPr>
        <w:t>50</w:t>
      </w:r>
      <w:r w:rsidRPr="000A7B67">
        <w:rPr>
          <w:bCs/>
        </w:rPr>
        <w:t xml:space="preserve"> value in IU/ml titre:</w:t>
      </w:r>
    </w:p>
    <w:tbl>
      <w:tblPr>
        <w:tblW w:w="0" w:type="auto"/>
        <w:tblInd w:w="959" w:type="dxa"/>
        <w:tblBorders>
          <w:insideH w:val="single" w:sz="12" w:space="0" w:color="0000FF"/>
          <w:insideV w:val="single" w:sz="12" w:space="0" w:color="auto"/>
        </w:tblBorders>
        <w:tblLook w:val="01E0" w:firstRow="1" w:lastRow="1" w:firstColumn="1" w:lastColumn="1" w:noHBand="0" w:noVBand="0"/>
      </w:tblPr>
      <w:tblGrid>
        <w:gridCol w:w="567"/>
        <w:gridCol w:w="2353"/>
        <w:gridCol w:w="57"/>
        <w:gridCol w:w="4396"/>
        <w:gridCol w:w="187"/>
      </w:tblGrid>
      <w:tr w:rsidR="00CE6758" w:rsidRPr="000A7B67" w14:paraId="5D02F7AD" w14:textId="77777777" w:rsidTr="00CE6758">
        <w:trPr>
          <w:trHeight w:val="283"/>
        </w:trPr>
        <w:tc>
          <w:tcPr>
            <w:tcW w:w="567" w:type="dxa"/>
            <w:tcBorders>
              <w:top w:val="nil"/>
              <w:bottom w:val="nil"/>
              <w:right w:val="nil"/>
            </w:tcBorders>
          </w:tcPr>
          <w:p w14:paraId="39787F97" w14:textId="77777777" w:rsidR="00CE6758" w:rsidRPr="001A6CB2" w:rsidRDefault="00CE6758" w:rsidP="00CE6758">
            <w:pPr>
              <w:spacing w:before="120" w:after="120"/>
              <w:jc w:val="right"/>
              <w:rPr>
                <w:rFonts w:ascii="Söhne" w:hAnsi="Söhne" w:cs="Arial MT"/>
                <w:sz w:val="18"/>
                <w:szCs w:val="18"/>
              </w:rPr>
            </w:pPr>
          </w:p>
        </w:tc>
        <w:tc>
          <w:tcPr>
            <w:tcW w:w="2353" w:type="dxa"/>
            <w:tcBorders>
              <w:top w:val="nil"/>
              <w:left w:val="nil"/>
              <w:bottom w:val="nil"/>
              <w:right w:val="nil"/>
            </w:tcBorders>
          </w:tcPr>
          <w:p w14:paraId="60A7EAE2" w14:textId="0F5E8DF4" w:rsidR="00CE6758" w:rsidRPr="001A6CB2" w:rsidRDefault="00CE6758" w:rsidP="00CE6758">
            <w:pPr>
              <w:spacing w:before="120" w:after="120"/>
              <w:jc w:val="left"/>
              <w:rPr>
                <w:rFonts w:ascii="Söhne" w:hAnsi="Söhne" w:cs="Arial MT"/>
                <w:sz w:val="18"/>
                <w:szCs w:val="18"/>
              </w:rPr>
            </w:pPr>
            <w:r w:rsidRPr="001A6CB2">
              <w:rPr>
                <w:rFonts w:ascii="Söhne" w:hAnsi="Söhne" w:cs="Arial MT"/>
                <w:sz w:val="18"/>
                <w:szCs w:val="18"/>
              </w:rPr>
              <w:t>Serum titre (IU/ml) =</w:t>
            </w:r>
          </w:p>
        </w:tc>
        <w:tc>
          <w:tcPr>
            <w:tcW w:w="4640" w:type="dxa"/>
            <w:gridSpan w:val="3"/>
            <w:tcBorders>
              <w:top w:val="nil"/>
              <w:left w:val="nil"/>
              <w:bottom w:val="single" w:sz="12" w:space="0" w:color="auto"/>
            </w:tcBorders>
          </w:tcPr>
          <w:p w14:paraId="24EAC136" w14:textId="77777777" w:rsidR="00CE6758" w:rsidRPr="001A6CB2" w:rsidRDefault="00CE6758" w:rsidP="00CE6758">
            <w:pPr>
              <w:spacing w:before="120" w:after="120" w:line="240" w:lineRule="auto"/>
              <w:jc w:val="center"/>
              <w:rPr>
                <w:rFonts w:ascii="Söhne" w:hAnsi="Söhne"/>
              </w:rPr>
            </w:pPr>
            <w:r w:rsidRPr="001A6CB2">
              <w:rPr>
                <w:rFonts w:ascii="Söhne" w:hAnsi="Söhne" w:cs="Arial MT"/>
                <w:sz w:val="18"/>
                <w:szCs w:val="18"/>
              </w:rPr>
              <w:t xml:space="preserve">[(10 </w:t>
            </w:r>
            <w:r w:rsidRPr="001A6CB2">
              <w:rPr>
                <w:rFonts w:ascii="Söhne" w:hAnsi="Söhne" w:cs="Arial MT"/>
                <w:sz w:val="18"/>
                <w:szCs w:val="18"/>
                <w:vertAlign w:val="superscript"/>
              </w:rPr>
              <w:t>(serum log D</w:t>
            </w:r>
            <w:r w:rsidRPr="001A6CB2">
              <w:rPr>
                <w:rFonts w:ascii="Söhne" w:hAnsi="Söhne" w:cs="Arial MT"/>
                <w:position w:val="-2"/>
                <w:sz w:val="12"/>
                <w:szCs w:val="12"/>
              </w:rPr>
              <w:t>50</w:t>
            </w:r>
            <w:r w:rsidRPr="001A6CB2">
              <w:rPr>
                <w:rFonts w:ascii="Söhne" w:hAnsi="Söhne" w:cs="Arial MT"/>
                <w:sz w:val="18"/>
                <w:szCs w:val="18"/>
                <w:vertAlign w:val="superscript"/>
              </w:rPr>
              <w:t xml:space="preserve"> value)</w:t>
            </w:r>
            <w:r w:rsidRPr="001A6CB2">
              <w:rPr>
                <w:rFonts w:ascii="Söhne" w:hAnsi="Söhne" w:cs="Arial MT"/>
                <w:sz w:val="18"/>
                <w:szCs w:val="18"/>
              </w:rPr>
              <w:t>) × theoretical titre of positive standard serum 0.5 IU/ml]</w:t>
            </w:r>
          </w:p>
        </w:tc>
      </w:tr>
      <w:tr w:rsidR="00CE6758" w:rsidRPr="000A7B67" w14:paraId="0657AE40" w14:textId="77777777" w:rsidTr="00CE6758">
        <w:trPr>
          <w:gridAfter w:val="1"/>
          <w:wAfter w:w="187" w:type="dxa"/>
        </w:trPr>
        <w:tc>
          <w:tcPr>
            <w:tcW w:w="567" w:type="dxa"/>
            <w:tcBorders>
              <w:top w:val="nil"/>
              <w:bottom w:val="nil"/>
              <w:right w:val="nil"/>
            </w:tcBorders>
          </w:tcPr>
          <w:p w14:paraId="104395D3" w14:textId="77777777" w:rsidR="00CE6758" w:rsidRPr="001A6CB2" w:rsidRDefault="00CE6758" w:rsidP="00783640">
            <w:pPr>
              <w:spacing w:before="60"/>
              <w:jc w:val="center"/>
              <w:rPr>
                <w:rFonts w:ascii="Söhne" w:hAnsi="Söhne" w:cs="Arial"/>
                <w:lang w:val="en-IE"/>
              </w:rPr>
            </w:pPr>
          </w:p>
        </w:tc>
        <w:tc>
          <w:tcPr>
            <w:tcW w:w="2410" w:type="dxa"/>
            <w:gridSpan w:val="2"/>
            <w:tcBorders>
              <w:top w:val="nil"/>
              <w:left w:val="nil"/>
              <w:bottom w:val="nil"/>
              <w:right w:val="nil"/>
            </w:tcBorders>
          </w:tcPr>
          <w:p w14:paraId="55E4977D" w14:textId="5EC3954D" w:rsidR="00CE6758" w:rsidRPr="001A6CB2" w:rsidRDefault="00CE6758" w:rsidP="00783640">
            <w:pPr>
              <w:spacing w:before="60"/>
              <w:jc w:val="center"/>
              <w:rPr>
                <w:rFonts w:ascii="Söhne" w:hAnsi="Söhne" w:cs="Arial"/>
                <w:lang w:val="en-IE"/>
              </w:rPr>
            </w:pPr>
          </w:p>
        </w:tc>
        <w:tc>
          <w:tcPr>
            <w:tcW w:w="4396" w:type="dxa"/>
            <w:tcBorders>
              <w:top w:val="single" w:sz="12" w:space="0" w:color="auto"/>
              <w:left w:val="nil"/>
              <w:bottom w:val="nil"/>
            </w:tcBorders>
          </w:tcPr>
          <w:p w14:paraId="3D9488FA" w14:textId="77777777" w:rsidR="00CE6758" w:rsidRPr="001A6CB2" w:rsidRDefault="00CE6758" w:rsidP="00783640">
            <w:pPr>
              <w:spacing w:before="120" w:line="240" w:lineRule="auto"/>
              <w:jc w:val="center"/>
              <w:rPr>
                <w:rFonts w:ascii="Söhne" w:hAnsi="Söhne" w:cs="Arial"/>
                <w:lang w:val="nl-NL"/>
              </w:rPr>
            </w:pPr>
            <w:r w:rsidRPr="001A6CB2">
              <w:rPr>
                <w:rFonts w:ascii="Söhne" w:hAnsi="Söhne" w:cs="Arial"/>
                <w:lang w:val="nl-NL"/>
              </w:rPr>
              <w:t xml:space="preserve">(10 </w:t>
            </w:r>
            <w:r w:rsidRPr="001A6CB2">
              <w:rPr>
                <w:rFonts w:ascii="Söhne" w:hAnsi="Söhne" w:cs="Arial"/>
                <w:position w:val="8"/>
                <w:sz w:val="14"/>
                <w:lang w:val="nl-NL"/>
              </w:rPr>
              <w:t>(log D</w:t>
            </w:r>
            <w:r w:rsidRPr="001A6CB2">
              <w:rPr>
                <w:rFonts w:ascii="Söhne" w:hAnsi="Söhne" w:cs="Arial MT"/>
                <w:position w:val="2"/>
                <w:sz w:val="12"/>
                <w:szCs w:val="12"/>
                <w:lang w:val="nl-NL"/>
              </w:rPr>
              <w:t>50</w:t>
            </w:r>
            <w:r w:rsidRPr="001A6CB2">
              <w:rPr>
                <w:rFonts w:ascii="Söhne" w:hAnsi="Söhne" w:cs="Arial"/>
                <w:sz w:val="18"/>
                <w:vertAlign w:val="superscript"/>
                <w:lang w:val="nl-NL"/>
              </w:rPr>
              <w:t xml:space="preserve"> </w:t>
            </w:r>
            <w:r w:rsidRPr="001A6CB2">
              <w:rPr>
                <w:rFonts w:ascii="Söhne" w:hAnsi="Söhne" w:cs="Arial"/>
                <w:position w:val="8"/>
                <w:sz w:val="14"/>
                <w:lang w:val="nl-NL"/>
              </w:rPr>
              <w:t>of positive standard serum 0.5 IU/ml)</w:t>
            </w:r>
            <w:r w:rsidRPr="001A6CB2">
              <w:rPr>
                <w:rFonts w:ascii="Söhne" w:hAnsi="Söhne" w:cs="Arial"/>
                <w:lang w:val="nl-NL"/>
              </w:rPr>
              <w:t>)</w:t>
            </w:r>
          </w:p>
        </w:tc>
      </w:tr>
    </w:tbl>
    <w:p w14:paraId="6CC46F0A" w14:textId="77777777" w:rsidR="00783640" w:rsidRPr="000A7B67" w:rsidRDefault="00783640" w:rsidP="00783640">
      <w:pPr>
        <w:pStyle w:val="111Para"/>
        <w:spacing w:before="120"/>
      </w:pPr>
      <w:r w:rsidRPr="000A7B67">
        <w:t xml:space="preserve">Example of conversion: </w:t>
      </w:r>
    </w:p>
    <w:p w14:paraId="46E4CFC3" w14:textId="77777777" w:rsidR="00783640" w:rsidRPr="000A7B67" w:rsidRDefault="00783640" w:rsidP="00783640">
      <w:pPr>
        <w:pStyle w:val="i"/>
      </w:pPr>
      <w:r w:rsidRPr="000A7B67">
        <w:rPr>
          <w:rFonts w:ascii="GreekMathSymbols" w:eastAsia="GreekMathSymbols" w:hAnsi="GreekMathSymbols" w:cs="GreekMathSymbols"/>
        </w:rPr>
        <w:t>·</w:t>
      </w:r>
      <w:r w:rsidRPr="000A7B67">
        <w:tab/>
        <w:t>log D</w:t>
      </w:r>
      <w:r w:rsidRPr="00D9477C">
        <w:rPr>
          <w:vertAlign w:val="subscript"/>
        </w:rPr>
        <w:t>50</w:t>
      </w:r>
      <w:r w:rsidRPr="000A7B67">
        <w:t xml:space="preserve"> of the serum = 2.27 </w:t>
      </w:r>
    </w:p>
    <w:p w14:paraId="530352DE" w14:textId="77777777" w:rsidR="00783640" w:rsidRPr="000A7B67" w:rsidRDefault="00783640" w:rsidP="00783640">
      <w:pPr>
        <w:pStyle w:val="i"/>
      </w:pPr>
      <w:r w:rsidRPr="000A7B67">
        <w:rPr>
          <w:rFonts w:ascii="GreekMathSymbols" w:eastAsia="GreekMathSymbols" w:hAnsi="GreekMathSymbols" w:cs="GreekMathSymbols"/>
        </w:rPr>
        <w:t>·</w:t>
      </w:r>
      <w:r w:rsidRPr="000A7B67">
        <w:tab/>
        <w:t xml:space="preserve">theoretical titre of </w:t>
      </w:r>
      <w:r w:rsidR="004E2B26" w:rsidRPr="000A7B67">
        <w:t xml:space="preserve">positive standard </w:t>
      </w:r>
      <w:r w:rsidRPr="000A7B67">
        <w:t xml:space="preserve">serum 0.5 IU/ml = 0.5 IU/ml </w:t>
      </w:r>
    </w:p>
    <w:p w14:paraId="418EDF1F" w14:textId="77777777" w:rsidR="00783640" w:rsidRPr="000A7B67" w:rsidRDefault="00783640" w:rsidP="00783640">
      <w:pPr>
        <w:pStyle w:val="i"/>
        <w:spacing w:after="0"/>
      </w:pPr>
      <w:r w:rsidRPr="000A7B67">
        <w:rPr>
          <w:rFonts w:ascii="GreekMathSymbols" w:eastAsia="GreekMathSymbols" w:hAnsi="GreekMathSymbols" w:cs="GreekMathSymbols"/>
        </w:rPr>
        <w:t>·</w:t>
      </w:r>
      <w:r w:rsidRPr="000A7B67">
        <w:tab/>
        <w:t>log D</w:t>
      </w:r>
      <w:r w:rsidRPr="00D9477C">
        <w:rPr>
          <w:vertAlign w:val="subscript"/>
        </w:rPr>
        <w:t>50</w:t>
      </w:r>
      <w:r w:rsidRPr="000A7B67">
        <w:t xml:space="preserve"> of </w:t>
      </w:r>
      <w:r w:rsidR="004E2B26" w:rsidRPr="000A7B67">
        <w:t xml:space="preserve">positive standard </w:t>
      </w:r>
      <w:r w:rsidRPr="000A7B67">
        <w:t xml:space="preserve">serum = 1.43 </w:t>
      </w:r>
    </w:p>
    <w:p w14:paraId="21128540" w14:textId="77777777" w:rsidR="00783640" w:rsidRPr="000A7B67" w:rsidRDefault="00783640" w:rsidP="00783640">
      <w:pPr>
        <w:pStyle w:val="afourthpara"/>
        <w:spacing w:after="120"/>
      </w:pPr>
      <w:r w:rsidRPr="000A7B67">
        <w:t>(for the log D</w:t>
      </w:r>
      <w:r w:rsidRPr="00D9477C">
        <w:rPr>
          <w:vertAlign w:val="subscript"/>
        </w:rPr>
        <w:t>50</w:t>
      </w:r>
      <w:r w:rsidRPr="000A7B67">
        <w:t xml:space="preserve"> of </w:t>
      </w:r>
      <w:r w:rsidR="004E2B26" w:rsidRPr="000A7B67">
        <w:t>positive standard</w:t>
      </w:r>
      <w:r w:rsidRPr="000A7B67">
        <w:t xml:space="preserve">, the value of the day or the mean value can be considered) </w:t>
      </w:r>
    </w:p>
    <w:tbl>
      <w:tblPr>
        <w:tblW w:w="0" w:type="auto"/>
        <w:tblInd w:w="1951" w:type="dxa"/>
        <w:tblBorders>
          <w:insideH w:val="single" w:sz="12" w:space="0" w:color="0000FF"/>
          <w:insideV w:val="single" w:sz="12" w:space="0" w:color="auto"/>
        </w:tblBorders>
        <w:tblLook w:val="01E0" w:firstRow="1" w:lastRow="1" w:firstColumn="1" w:lastColumn="1" w:noHBand="0" w:noVBand="0"/>
      </w:tblPr>
      <w:tblGrid>
        <w:gridCol w:w="2126"/>
        <w:gridCol w:w="1276"/>
        <w:gridCol w:w="1559"/>
      </w:tblGrid>
      <w:tr w:rsidR="00783640" w:rsidRPr="001A6CB2" w14:paraId="696C516C" w14:textId="77777777" w:rsidTr="00783640">
        <w:tc>
          <w:tcPr>
            <w:tcW w:w="2126" w:type="dxa"/>
            <w:vMerge w:val="restart"/>
            <w:tcBorders>
              <w:top w:val="nil"/>
              <w:right w:val="nil"/>
            </w:tcBorders>
          </w:tcPr>
          <w:p w14:paraId="5E8EABAF" w14:textId="77777777" w:rsidR="00783640" w:rsidRPr="001A6CB2" w:rsidRDefault="00783640" w:rsidP="00783640">
            <w:pPr>
              <w:spacing w:before="240" w:after="120" w:line="240" w:lineRule="auto"/>
              <w:jc w:val="center"/>
              <w:rPr>
                <w:rFonts w:ascii="Söhne" w:hAnsi="Söhne" w:cs="Arial MT"/>
                <w:sz w:val="18"/>
                <w:szCs w:val="18"/>
                <w:lang w:val="de-DE"/>
              </w:rPr>
            </w:pPr>
            <w:r w:rsidRPr="001A6CB2">
              <w:rPr>
                <w:rFonts w:ascii="Söhne" w:hAnsi="Söhne" w:cs="Arial MT"/>
                <w:sz w:val="18"/>
                <w:szCs w:val="18"/>
                <w:lang w:val="de-DE"/>
              </w:rPr>
              <w:t>Serum titre (IU/ml) =</w:t>
            </w:r>
          </w:p>
        </w:tc>
        <w:tc>
          <w:tcPr>
            <w:tcW w:w="1276" w:type="dxa"/>
            <w:tcBorders>
              <w:top w:val="nil"/>
              <w:left w:val="nil"/>
              <w:bottom w:val="single" w:sz="12" w:space="0" w:color="auto"/>
              <w:right w:val="nil"/>
            </w:tcBorders>
          </w:tcPr>
          <w:p w14:paraId="225D44B3" w14:textId="77777777" w:rsidR="00783640" w:rsidRPr="001A6CB2" w:rsidRDefault="00783640" w:rsidP="00783640">
            <w:pPr>
              <w:spacing w:before="120" w:line="240" w:lineRule="auto"/>
              <w:jc w:val="center"/>
              <w:rPr>
                <w:rFonts w:ascii="Söhne" w:hAnsi="Söhne"/>
                <w:lang w:val="de-DE"/>
              </w:rPr>
            </w:pPr>
            <w:r w:rsidRPr="001A6CB2">
              <w:rPr>
                <w:rFonts w:ascii="Söhne" w:hAnsi="Söhne" w:cs="Arial MT"/>
                <w:sz w:val="18"/>
                <w:szCs w:val="18"/>
                <w:lang w:val="de-DE"/>
              </w:rPr>
              <w:t>10</w:t>
            </w:r>
            <w:r w:rsidRPr="001A6CB2">
              <w:rPr>
                <w:rFonts w:ascii="Söhne" w:hAnsi="Söhne" w:cs="Arial MT"/>
                <w:sz w:val="18"/>
                <w:szCs w:val="18"/>
                <w:vertAlign w:val="superscript"/>
                <w:lang w:val="de-DE"/>
              </w:rPr>
              <w:t>2.27</w:t>
            </w:r>
            <w:r w:rsidRPr="001A6CB2">
              <w:rPr>
                <w:rFonts w:ascii="Söhne" w:hAnsi="Söhne" w:cs="Arial MT"/>
                <w:sz w:val="18"/>
                <w:szCs w:val="18"/>
                <w:lang w:val="de-DE"/>
              </w:rPr>
              <w:t xml:space="preserve"> × 0.5 </w:t>
            </w:r>
          </w:p>
        </w:tc>
        <w:tc>
          <w:tcPr>
            <w:tcW w:w="1559" w:type="dxa"/>
            <w:vMerge w:val="restart"/>
            <w:tcBorders>
              <w:top w:val="nil"/>
              <w:left w:val="nil"/>
            </w:tcBorders>
          </w:tcPr>
          <w:p w14:paraId="6F213E9F" w14:textId="77777777" w:rsidR="00783640" w:rsidRPr="001A6CB2" w:rsidRDefault="00783640" w:rsidP="00783640">
            <w:pPr>
              <w:spacing w:before="240" w:after="120" w:line="240" w:lineRule="auto"/>
              <w:jc w:val="center"/>
              <w:rPr>
                <w:rFonts w:ascii="Söhne" w:hAnsi="Söhne" w:cs="Arial MT"/>
                <w:sz w:val="18"/>
                <w:szCs w:val="18"/>
                <w:lang w:val="de-DE"/>
              </w:rPr>
            </w:pPr>
            <w:r w:rsidRPr="001A6CB2">
              <w:rPr>
                <w:rFonts w:ascii="Söhne" w:hAnsi="Söhne" w:cs="Arial MT"/>
                <w:sz w:val="18"/>
                <w:szCs w:val="18"/>
                <w:lang w:val="de-DE"/>
              </w:rPr>
              <w:t>= 3.46 IU/ml</w:t>
            </w:r>
          </w:p>
        </w:tc>
      </w:tr>
      <w:tr w:rsidR="00783640" w:rsidRPr="001A6CB2" w14:paraId="3C088A90" w14:textId="77777777" w:rsidTr="00783640">
        <w:tc>
          <w:tcPr>
            <w:tcW w:w="2126" w:type="dxa"/>
            <w:vMerge/>
            <w:tcBorders>
              <w:bottom w:val="nil"/>
              <w:right w:val="nil"/>
            </w:tcBorders>
          </w:tcPr>
          <w:p w14:paraId="7B7C7938" w14:textId="77777777" w:rsidR="00783640" w:rsidRPr="001A6CB2" w:rsidRDefault="00783640" w:rsidP="00783640">
            <w:pPr>
              <w:spacing w:before="60" w:line="240" w:lineRule="auto"/>
              <w:jc w:val="center"/>
              <w:rPr>
                <w:rFonts w:ascii="Söhne" w:hAnsi="Söhne" w:cs="Arial"/>
                <w:lang w:val="fr-FR"/>
              </w:rPr>
            </w:pPr>
          </w:p>
        </w:tc>
        <w:tc>
          <w:tcPr>
            <w:tcW w:w="1276" w:type="dxa"/>
            <w:tcBorders>
              <w:top w:val="single" w:sz="12" w:space="0" w:color="auto"/>
              <w:left w:val="nil"/>
              <w:bottom w:val="nil"/>
              <w:right w:val="nil"/>
            </w:tcBorders>
          </w:tcPr>
          <w:p w14:paraId="71434324" w14:textId="77777777" w:rsidR="00783640" w:rsidRPr="001A6CB2" w:rsidRDefault="00783640" w:rsidP="00783640">
            <w:pPr>
              <w:spacing w:before="60" w:line="240" w:lineRule="auto"/>
              <w:jc w:val="center"/>
              <w:rPr>
                <w:rFonts w:ascii="Söhne" w:hAnsi="Söhne" w:cs="Arial"/>
              </w:rPr>
            </w:pPr>
            <w:r w:rsidRPr="001A6CB2">
              <w:rPr>
                <w:rFonts w:ascii="Söhne" w:hAnsi="Söhne" w:cs="Arial"/>
                <w:sz w:val="18"/>
                <w:szCs w:val="18"/>
              </w:rPr>
              <w:t>(10</w:t>
            </w:r>
            <w:r w:rsidRPr="001A6CB2">
              <w:rPr>
                <w:rFonts w:ascii="Söhne" w:hAnsi="Söhne" w:cs="Arial"/>
                <w:sz w:val="18"/>
                <w:vertAlign w:val="superscript"/>
              </w:rPr>
              <w:t>1.43</w:t>
            </w:r>
            <w:r w:rsidRPr="001A6CB2">
              <w:rPr>
                <w:rFonts w:ascii="Söhne" w:hAnsi="Söhne" w:cs="Arial"/>
                <w:sz w:val="18"/>
                <w:szCs w:val="18"/>
              </w:rPr>
              <w:t>)</w:t>
            </w:r>
          </w:p>
        </w:tc>
        <w:tc>
          <w:tcPr>
            <w:tcW w:w="1559" w:type="dxa"/>
            <w:vMerge/>
            <w:tcBorders>
              <w:left w:val="nil"/>
              <w:bottom w:val="nil"/>
            </w:tcBorders>
          </w:tcPr>
          <w:p w14:paraId="3C73A833" w14:textId="77777777" w:rsidR="00783640" w:rsidRPr="001A6CB2" w:rsidRDefault="00783640" w:rsidP="00783640">
            <w:pPr>
              <w:spacing w:before="60" w:line="240" w:lineRule="auto"/>
              <w:jc w:val="center"/>
              <w:rPr>
                <w:rFonts w:ascii="Söhne" w:hAnsi="Söhne" w:cs="Arial"/>
              </w:rPr>
            </w:pPr>
          </w:p>
        </w:tc>
      </w:tr>
    </w:tbl>
    <w:p w14:paraId="2EB88E94" w14:textId="77777777" w:rsidR="00783640" w:rsidRPr="000A7B67" w:rsidRDefault="00783640" w:rsidP="00783640">
      <w:pPr>
        <w:pStyle w:val="111Para"/>
        <w:spacing w:before="120" w:after="120"/>
      </w:pPr>
      <w:r w:rsidRPr="000A7B67">
        <w:t xml:space="preserve">The following parameters have to be strictly respected: </w:t>
      </w:r>
    </w:p>
    <w:p w14:paraId="79429C8D" w14:textId="19E5B570" w:rsidR="00783640" w:rsidRPr="000A7B67" w:rsidRDefault="00783640" w:rsidP="00783640">
      <w:pPr>
        <w:pStyle w:val="i"/>
      </w:pPr>
      <w:r w:rsidRPr="000A7B67">
        <w:rPr>
          <w:rFonts w:ascii="GreekMathSymbols" w:eastAsia="GreekMathSymbols" w:hAnsi="GreekMathSymbols" w:cs="GreekMathSymbols"/>
        </w:rPr>
        <w:t>·</w:t>
      </w:r>
      <w:r w:rsidRPr="000A7B67">
        <w:tab/>
      </w:r>
      <w:r w:rsidR="00DB6470" w:rsidRPr="00DB6470">
        <w:rPr>
          <w:strike/>
          <w:highlight w:val="yellow"/>
        </w:rPr>
        <w:t>Rabies virus</w:t>
      </w:r>
      <w:r w:rsidR="00DB6470">
        <w:rPr>
          <w:strike/>
          <w:highlight w:val="yellow"/>
        </w:rPr>
        <w:t xml:space="preserve"> </w:t>
      </w:r>
      <w:r w:rsidR="00DB6470" w:rsidRPr="00DB6470">
        <w:rPr>
          <w:highlight w:val="yellow"/>
          <w:u w:val="double"/>
        </w:rPr>
        <w:t>RABV</w:t>
      </w:r>
      <w:r w:rsidRPr="000A7B67">
        <w:t xml:space="preserve">: only the CVS-11 strain should be used. </w:t>
      </w:r>
    </w:p>
    <w:p w14:paraId="0B7CD6CB" w14:textId="77777777" w:rsidR="00783640" w:rsidRPr="000A7B67" w:rsidRDefault="00783640" w:rsidP="00783640">
      <w:pPr>
        <w:pStyle w:val="i"/>
      </w:pPr>
      <w:r w:rsidRPr="000A7B67">
        <w:rPr>
          <w:rFonts w:ascii="GreekMathSymbols" w:eastAsia="GreekMathSymbols" w:hAnsi="GreekMathSymbols" w:cs="GreekMathSymbols"/>
        </w:rPr>
        <w:t>·</w:t>
      </w:r>
      <w:r w:rsidRPr="000A7B67">
        <w:tab/>
        <w:t xml:space="preserve">Cells culture: only BHK-21 cells (ATCC number – CCL 10) should be used. </w:t>
      </w:r>
    </w:p>
    <w:p w14:paraId="4F48F01A" w14:textId="77777777" w:rsidR="00783640" w:rsidRPr="000A7B67" w:rsidRDefault="00783640" w:rsidP="00783640">
      <w:pPr>
        <w:pStyle w:val="i"/>
      </w:pPr>
      <w:r w:rsidRPr="000A7B67">
        <w:rPr>
          <w:rFonts w:ascii="GreekMathSymbols" w:eastAsia="GreekMathSymbols" w:hAnsi="GreekMathSymbols" w:cs="GreekMathSymbols"/>
        </w:rPr>
        <w:t>·</w:t>
      </w:r>
      <w:r w:rsidRPr="000A7B67">
        <w:tab/>
        <w:t xml:space="preserve">The FAVN test must be performed only in 96 wells microplate. </w:t>
      </w:r>
    </w:p>
    <w:p w14:paraId="3C3004CA" w14:textId="24B1779B" w:rsidR="00783640" w:rsidRPr="000A7B67" w:rsidRDefault="00783640" w:rsidP="00783640">
      <w:pPr>
        <w:pStyle w:val="i"/>
      </w:pPr>
      <w:r w:rsidRPr="000A7B67">
        <w:rPr>
          <w:rFonts w:ascii="GreekMathSymbols" w:eastAsia="GreekMathSymbols" w:hAnsi="GreekMathSymbols" w:cs="GreekMathSymbols"/>
        </w:rPr>
        <w:t>·</w:t>
      </w:r>
      <w:r w:rsidRPr="000A7B67">
        <w:tab/>
        <w:t xml:space="preserve">Control charts should be used for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w:t>
      </w:r>
      <w:r w:rsidR="000839B3" w:rsidRPr="000A7B67">
        <w:t xml:space="preserve">negative control </w:t>
      </w:r>
      <w:r w:rsidRPr="000A7B67">
        <w:t xml:space="preserve">serum and positive standard serum of dog origin. </w:t>
      </w:r>
    </w:p>
    <w:p w14:paraId="19349014" w14:textId="77777777" w:rsidR="00783640" w:rsidRPr="000A7B67" w:rsidRDefault="00783640" w:rsidP="00783640">
      <w:pPr>
        <w:pStyle w:val="i"/>
      </w:pPr>
      <w:r w:rsidRPr="000A7B67">
        <w:rPr>
          <w:rFonts w:ascii="GreekMathSymbols" w:eastAsia="GreekMathSymbols" w:hAnsi="GreekMathSymbols" w:cs="GreekMathSymbols"/>
        </w:rPr>
        <w:t>·</w:t>
      </w:r>
      <w:r w:rsidRPr="000A7B67">
        <w:tab/>
        <w:t xml:space="preserve">The back titration of the CVS virus, as well as </w:t>
      </w:r>
      <w:r w:rsidR="000839B3" w:rsidRPr="000A7B67">
        <w:t xml:space="preserve">negative control </w:t>
      </w:r>
      <w:r w:rsidRPr="000A7B67">
        <w:t xml:space="preserve">serum and positive standard serum of dog origin, must be present on control plate. </w:t>
      </w:r>
    </w:p>
    <w:p w14:paraId="108808D0" w14:textId="77777777" w:rsidR="00783640" w:rsidRPr="000A7B67" w:rsidRDefault="00783640" w:rsidP="00783640">
      <w:pPr>
        <w:pStyle w:val="i"/>
      </w:pPr>
      <w:r w:rsidRPr="000A7B67">
        <w:rPr>
          <w:rFonts w:ascii="GreekMathSymbols" w:eastAsia="GreekMathSymbols" w:hAnsi="GreekMathSymbols" w:cs="GreekMathSymbols"/>
        </w:rPr>
        <w:t>·</w:t>
      </w:r>
      <w:r w:rsidRPr="000A7B67">
        <w:tab/>
        <w:t xml:space="preserve">A minimum of four three-fold dilutions of sera are required. The reading method is ‘all or nothing’ only. </w:t>
      </w:r>
    </w:p>
    <w:p w14:paraId="4DC6DA38" w14:textId="77777777" w:rsidR="00783640" w:rsidRPr="000A7B67" w:rsidRDefault="00783640" w:rsidP="00783640">
      <w:pPr>
        <w:pStyle w:val="i"/>
      </w:pPr>
      <w:r w:rsidRPr="000A7B67">
        <w:rPr>
          <w:rFonts w:ascii="GreekMathSymbols" w:eastAsia="GreekMathSymbols" w:hAnsi="GreekMathSymbols" w:cs="GreekMathSymbols"/>
        </w:rPr>
        <w:t>·</w:t>
      </w:r>
      <w:r w:rsidRPr="000A7B67">
        <w:tab/>
        <w:t xml:space="preserve">Four replicates of each serum should be diluted. </w:t>
      </w:r>
    </w:p>
    <w:p w14:paraId="60AE7B32" w14:textId="77777777" w:rsidR="00783640" w:rsidRPr="000A7B67" w:rsidRDefault="00783640" w:rsidP="00783640">
      <w:pPr>
        <w:pStyle w:val="i"/>
        <w:spacing w:after="240"/>
      </w:pPr>
      <w:r w:rsidRPr="000A7B67">
        <w:rPr>
          <w:rFonts w:ascii="GreekMathSymbols" w:eastAsia="GreekMathSymbols" w:hAnsi="GreekMathSymbols" w:cs="GreekMathSymbols"/>
        </w:rPr>
        <w:t>·</w:t>
      </w:r>
      <w:r w:rsidRPr="000A7B67">
        <w:tab/>
        <w:t>For the conversion of log D</w:t>
      </w:r>
      <w:r w:rsidRPr="00D9477C">
        <w:rPr>
          <w:vertAlign w:val="subscript"/>
        </w:rPr>
        <w:t>50</w:t>
      </w:r>
      <w:r w:rsidRPr="000A7B67">
        <w:t xml:space="preserve"> in IU/ml, the laboratories should use only the log D</w:t>
      </w:r>
      <w:r w:rsidRPr="00D9477C">
        <w:rPr>
          <w:vertAlign w:val="subscript"/>
        </w:rPr>
        <w:t>50</w:t>
      </w:r>
      <w:r w:rsidRPr="000A7B67">
        <w:t xml:space="preserve"> value of the positive standard serum of dog origin.</w:t>
      </w:r>
    </w:p>
    <w:p w14:paraId="20B919BD" w14:textId="77777777" w:rsidR="00DD6EB9" w:rsidRPr="000A7B67" w:rsidRDefault="00DD6EB9" w:rsidP="001835EF">
      <w:pPr>
        <w:pStyle w:val="11"/>
      </w:pPr>
      <w:r w:rsidRPr="000A7B67">
        <w:t>2.2.</w:t>
      </w:r>
      <w:r w:rsidRPr="000A7B67">
        <w:tab/>
      </w:r>
      <w:r w:rsidR="004E2B26" w:rsidRPr="000A7B67">
        <w:t xml:space="preserve">Virus neutralisation test in cell culture: </w:t>
      </w:r>
      <w:r w:rsidR="00524589" w:rsidRPr="000A7B67">
        <w:t xml:space="preserve">the </w:t>
      </w:r>
      <w:r w:rsidRPr="000A7B67">
        <w:t>rapid fluorescent focus inhibition test (RFFIT)</w:t>
      </w:r>
    </w:p>
    <w:p w14:paraId="781D22B3" w14:textId="77777777" w:rsidR="00DD6EB9" w:rsidRPr="000A7B67" w:rsidRDefault="00DD6EB9" w:rsidP="00783640">
      <w:pPr>
        <w:pStyle w:val="111"/>
      </w:pPr>
      <w:r w:rsidRPr="000A7B67">
        <w:t>2.2.1.</w:t>
      </w:r>
      <w:r w:rsidRPr="000A7B67">
        <w:tab/>
        <w:t>Preparation of seed virus suspension</w:t>
      </w:r>
    </w:p>
    <w:p w14:paraId="10C93254" w14:textId="77777777" w:rsidR="00DD6EB9" w:rsidRPr="000A7B67" w:rsidRDefault="00DD6EB9" w:rsidP="00783640">
      <w:pPr>
        <w:pStyle w:val="i"/>
      </w:pPr>
      <w:r w:rsidRPr="000A7B67">
        <w:t>i)</w:t>
      </w:r>
      <w:r w:rsidRPr="000A7B67">
        <w:tab/>
      </w:r>
      <w:proofErr w:type="spellStart"/>
      <w:r w:rsidRPr="000A7B67">
        <w:t>Trypsinise</w:t>
      </w:r>
      <w:proofErr w:type="spellEnd"/>
      <w:r w:rsidRPr="000A7B67">
        <w:t xml:space="preserve"> one 3-day-old 150 ml flask culture of mouse neuroblastoma (MNA) cells. A similar cell line (CCL-131) may be obtained on request from the ATCC.</w:t>
      </w:r>
    </w:p>
    <w:p w14:paraId="119C7964" w14:textId="77777777" w:rsidR="00DD6EB9" w:rsidRPr="000A7B67" w:rsidRDefault="00DD6EB9" w:rsidP="00783640">
      <w:pPr>
        <w:pStyle w:val="i"/>
      </w:pPr>
      <w:r w:rsidRPr="000A7B67">
        <w:t>ii)</w:t>
      </w:r>
      <w:r w:rsidRPr="000A7B67">
        <w:tab/>
        <w:t xml:space="preserve">Resuspend 3 × </w:t>
      </w:r>
      <w:r w:rsidR="00B30BD0" w:rsidRPr="000A7B67">
        <w:t>10</w:t>
      </w:r>
      <w:r w:rsidR="00B30BD0" w:rsidRPr="00D9477C">
        <w:rPr>
          <w:vertAlign w:val="superscript"/>
        </w:rPr>
        <w:t>7</w:t>
      </w:r>
      <w:r w:rsidRPr="000A7B67">
        <w:t xml:space="preserve"> cells in a 50 ml conical centrifuge tube in 2.7 ml of Eagle’s minimal essential medium supplemented with 10% </w:t>
      </w:r>
      <w:proofErr w:type="spellStart"/>
      <w:r w:rsidRPr="000A7B67">
        <w:t>fetal</w:t>
      </w:r>
      <w:proofErr w:type="spellEnd"/>
      <w:r w:rsidRPr="000A7B67">
        <w:t xml:space="preserve"> </w:t>
      </w:r>
      <w:r w:rsidR="00340E07" w:rsidRPr="000A7B67">
        <w:t xml:space="preserve">calf </w:t>
      </w:r>
      <w:r w:rsidRPr="000A7B67">
        <w:t>serum (EMEM-10).</w:t>
      </w:r>
    </w:p>
    <w:p w14:paraId="3AE99FA2" w14:textId="751CEB20" w:rsidR="00DD6EB9" w:rsidRPr="000A7B67" w:rsidRDefault="00DD6EB9" w:rsidP="00783640">
      <w:pPr>
        <w:pStyle w:val="i"/>
      </w:pPr>
      <w:r w:rsidRPr="000A7B67">
        <w:t>iii)</w:t>
      </w:r>
      <w:r w:rsidRPr="000A7B67">
        <w:tab/>
        <w:t xml:space="preserve">Using standard rabies safety procedures, add 1 × </w:t>
      </w:r>
      <w:r w:rsidR="00B30BD0" w:rsidRPr="000A7B67">
        <w:t>10</w:t>
      </w:r>
      <w:r w:rsidR="00B30BD0" w:rsidRPr="00D9477C">
        <w:rPr>
          <w:vertAlign w:val="superscript"/>
        </w:rPr>
        <w:t>7</w:t>
      </w:r>
      <w:r w:rsidRPr="000A7B67">
        <w:t xml:space="preserve"> infectious units of CVS-11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(previously ATCC reference VR959) and vortex/mix once. Incubate the cells and virus for 15</w:t>
      </w:r>
      <w:r w:rsidR="006D6456">
        <w:t> </w:t>
      </w:r>
      <w:r w:rsidRPr="000A7B67">
        <w:t>minutes at 37°C; vortex/mix the cells once during this time.</w:t>
      </w:r>
    </w:p>
    <w:p w14:paraId="2F9DED6F" w14:textId="77777777" w:rsidR="00DD6EB9" w:rsidRPr="000A7B67" w:rsidRDefault="00DD6EB9" w:rsidP="00783640">
      <w:pPr>
        <w:pStyle w:val="i"/>
      </w:pPr>
      <w:r w:rsidRPr="000A7B67">
        <w:t>iv)</w:t>
      </w:r>
      <w:r w:rsidRPr="000A7B67">
        <w:tab/>
        <w:t xml:space="preserve">Add 10 ml EMEM-10, vortex/mix, and centrifuge the cells at 500 </w:t>
      </w:r>
      <w:r w:rsidRPr="000A7B67">
        <w:rPr>
          <w:b/>
          <w:i/>
        </w:rPr>
        <w:t>g</w:t>
      </w:r>
      <w:r w:rsidRPr="000A7B67">
        <w:t xml:space="preserve"> for 10 minutes.</w:t>
      </w:r>
    </w:p>
    <w:p w14:paraId="58AA7E29" w14:textId="77777777" w:rsidR="00DD6EB9" w:rsidRPr="000A7B67" w:rsidRDefault="00DD6EB9" w:rsidP="00783640">
      <w:pPr>
        <w:pStyle w:val="i"/>
      </w:pPr>
      <w:r w:rsidRPr="000A7B67">
        <w:t>v)</w:t>
      </w:r>
      <w:r w:rsidRPr="000A7B67">
        <w:tab/>
        <w:t>Discard the supernatant. Resuspend the cells in 30 ml of growth medium and transfer to a 150 ml flask.</w:t>
      </w:r>
    </w:p>
    <w:p w14:paraId="1FB6C5A3" w14:textId="77777777" w:rsidR="00DD6EB9" w:rsidRPr="000A7B67" w:rsidRDefault="00DD6EB9" w:rsidP="00783640">
      <w:pPr>
        <w:pStyle w:val="i"/>
      </w:pPr>
      <w:r w:rsidRPr="000A7B67">
        <w:t>vi)</w:t>
      </w:r>
      <w:r w:rsidRPr="000A7B67">
        <w:tab/>
        <w:t>Gently rock the flask to mix the cell suspension, and then prepare three eight-well tissue-culture chamber slides by pipetting 0.2 ml of the cell suspension into one well of each slide.</w:t>
      </w:r>
    </w:p>
    <w:p w14:paraId="41C8B06B" w14:textId="77777777" w:rsidR="00DD6EB9" w:rsidRPr="000A7B67" w:rsidRDefault="00DD6EB9" w:rsidP="00783640">
      <w:pPr>
        <w:pStyle w:val="i"/>
      </w:pPr>
      <w:r w:rsidRPr="000A7B67">
        <w:t>vii)</w:t>
      </w:r>
      <w:r w:rsidRPr="000A7B67">
        <w:tab/>
        <w:t>Incubate the flask and slides at 37°C in a humidified incubator with 0.5% carbon dioxide (CO</w:t>
      </w:r>
      <w:r w:rsidRPr="00D9477C">
        <w:rPr>
          <w:szCs w:val="14"/>
          <w:vertAlign w:val="subscript"/>
        </w:rPr>
        <w:t>2</w:t>
      </w:r>
      <w:r w:rsidRPr="000A7B67">
        <w:t>). The flask should be incubated as a closed culture (tighten the cap).</w:t>
      </w:r>
    </w:p>
    <w:p w14:paraId="4B24C72C" w14:textId="77777777" w:rsidR="00DD6EB9" w:rsidRPr="000A7B67" w:rsidRDefault="00DD6EB9" w:rsidP="00783640">
      <w:pPr>
        <w:pStyle w:val="i"/>
      </w:pPr>
      <w:r w:rsidRPr="000A7B67">
        <w:t>viii)</w:t>
      </w:r>
      <w:r w:rsidRPr="000A7B67">
        <w:tab/>
        <w:t>At 20, 40 and 64 hours after infection, acetone fix and stain one slide using an immunofluorescence technique to determine the virus infectivity. The supernatant should be harvested 24 hours after the cells reach 100% infectivity (typically 40 hours after infection).</w:t>
      </w:r>
    </w:p>
    <w:p w14:paraId="5CF9B5B4" w14:textId="77777777" w:rsidR="00DD6EB9" w:rsidRPr="000A7B67" w:rsidRDefault="00DD6EB9" w:rsidP="00783640">
      <w:pPr>
        <w:pStyle w:val="i"/>
      </w:pPr>
      <w:r w:rsidRPr="000A7B67">
        <w:t>ix)</w:t>
      </w:r>
      <w:r w:rsidRPr="000A7B67">
        <w:tab/>
        <w:t xml:space="preserve">Transfer the supernatant to a 50 ml centrifuge tube and centrifuge at 4000 </w:t>
      </w:r>
      <w:r w:rsidRPr="000A7B67">
        <w:rPr>
          <w:b/>
          <w:i/>
        </w:rPr>
        <w:t xml:space="preserve">g </w:t>
      </w:r>
      <w:r w:rsidRPr="000A7B67">
        <w:t>for 10</w:t>
      </w:r>
      <w:r w:rsidR="00E24C64" w:rsidRPr="000A7B67">
        <w:t> </w:t>
      </w:r>
      <w:r w:rsidRPr="000A7B67">
        <w:t>minutes.</w:t>
      </w:r>
    </w:p>
    <w:p w14:paraId="72BCA89B" w14:textId="77777777" w:rsidR="00DD6EB9" w:rsidRPr="000A7B67" w:rsidRDefault="00DD6EB9" w:rsidP="00E24C64">
      <w:pPr>
        <w:pStyle w:val="i"/>
        <w:spacing w:after="240"/>
      </w:pPr>
      <w:r w:rsidRPr="000A7B67">
        <w:t>x)</w:t>
      </w:r>
      <w:r w:rsidRPr="000A7B67">
        <w:tab/>
        <w:t>Distribute the supernatant into 0.5 ml aliquots and store at –70°C.</w:t>
      </w:r>
    </w:p>
    <w:p w14:paraId="4A9D49EE" w14:textId="77777777" w:rsidR="00DD6EB9" w:rsidRPr="000A7B67" w:rsidRDefault="00DD6EB9" w:rsidP="00A27900">
      <w:pPr>
        <w:pStyle w:val="111"/>
      </w:pPr>
      <w:r w:rsidRPr="000A7B67">
        <w:t>2.2.2.</w:t>
      </w:r>
      <w:r w:rsidRPr="000A7B67">
        <w:tab/>
        <w:t>Titration of seed virus suspension</w:t>
      </w:r>
    </w:p>
    <w:p w14:paraId="0F2A009D" w14:textId="77777777" w:rsidR="00DD6EB9" w:rsidRPr="000A7B67" w:rsidRDefault="00DD6EB9" w:rsidP="00783640">
      <w:pPr>
        <w:pStyle w:val="i"/>
      </w:pPr>
      <w:r w:rsidRPr="000A7B67">
        <w:t>i)</w:t>
      </w:r>
      <w:r w:rsidRPr="000A7B67">
        <w:tab/>
        <w:t>Thaw one aliquot of the seed virus and prepare serial ten-fold dilutions (</w:t>
      </w:r>
      <w:r w:rsidR="00E24C64" w:rsidRPr="000A7B67">
        <w:t>from 10</w:t>
      </w:r>
      <w:r w:rsidR="00E24C64" w:rsidRPr="00D9477C">
        <w:rPr>
          <w:vertAlign w:val="superscript"/>
        </w:rPr>
        <w:t>–1</w:t>
      </w:r>
      <w:r w:rsidR="00E24C64" w:rsidRPr="000A7B67">
        <w:t xml:space="preserve"> to 10</w:t>
      </w:r>
      <w:r w:rsidR="00E24C64" w:rsidRPr="00D9477C">
        <w:rPr>
          <w:vertAlign w:val="superscript"/>
        </w:rPr>
        <w:t>–8</w:t>
      </w:r>
      <w:r w:rsidR="00E24C64" w:rsidRPr="000A7B67">
        <w:t>) in EMEM-10</w:t>
      </w:r>
      <w:r w:rsidRPr="000A7B67">
        <w:t>.</w:t>
      </w:r>
    </w:p>
    <w:p w14:paraId="59662FA5" w14:textId="77777777" w:rsidR="00DD6EB9" w:rsidRPr="000A7B67" w:rsidRDefault="00DD6EB9" w:rsidP="00783640">
      <w:pPr>
        <w:pStyle w:val="i"/>
      </w:pPr>
      <w:r w:rsidRPr="000A7B67">
        <w:t>ii)</w:t>
      </w:r>
      <w:r w:rsidRPr="000A7B67">
        <w:tab/>
        <w:t xml:space="preserve">Distribute 0.1 ml of each virus dilution into one well of an eight-well tissue-culture chamber slide. Add 0.2 ml of MNA cells suspended in EMEM-10 (concentration 5 × </w:t>
      </w:r>
      <w:r w:rsidR="00EC4BB5" w:rsidRPr="000A7B67">
        <w:t>1</w:t>
      </w:r>
      <w:r w:rsidR="00E24C64" w:rsidRPr="000A7B67">
        <w:t>0</w:t>
      </w:r>
      <w:r w:rsidR="00E24C64" w:rsidRPr="00D9477C">
        <w:rPr>
          <w:vertAlign w:val="superscript"/>
        </w:rPr>
        <w:t>4</w:t>
      </w:r>
      <w:r w:rsidRPr="000A7B67">
        <w:t xml:space="preserve"> cells per 0.2</w:t>
      </w:r>
      <w:r w:rsidR="00E24C64" w:rsidRPr="000A7B67">
        <w:t> </w:t>
      </w:r>
      <w:r w:rsidRPr="000A7B67">
        <w:t>ml) to each well.</w:t>
      </w:r>
    </w:p>
    <w:p w14:paraId="403EB804" w14:textId="77777777" w:rsidR="00DD6EB9" w:rsidRPr="000A7B67" w:rsidRDefault="00DD6EB9" w:rsidP="00783640">
      <w:pPr>
        <w:pStyle w:val="i"/>
      </w:pPr>
      <w:r w:rsidRPr="000A7B67">
        <w:t>iii)</w:t>
      </w:r>
      <w:r w:rsidRPr="000A7B67">
        <w:tab/>
        <w:t>Mix the cells and virus by gently rocking the slide, then incubate at 37°C in a humidified incubator with 0.5% CO</w:t>
      </w:r>
      <w:r w:rsidR="00E24C64" w:rsidRPr="00D9477C">
        <w:rPr>
          <w:szCs w:val="14"/>
          <w:vertAlign w:val="subscript"/>
        </w:rPr>
        <w:t>2</w:t>
      </w:r>
      <w:r w:rsidRPr="000A7B67">
        <w:t xml:space="preserve"> for 40 hours.</w:t>
      </w:r>
    </w:p>
    <w:p w14:paraId="41263A95" w14:textId="77777777" w:rsidR="00DD6EB9" w:rsidRPr="000A7B67" w:rsidRDefault="00DD6EB9" w:rsidP="00E24C64">
      <w:pPr>
        <w:pStyle w:val="i"/>
        <w:spacing w:after="240"/>
      </w:pPr>
      <w:r w:rsidRPr="000A7B67">
        <w:t>iv)</w:t>
      </w:r>
      <w:r w:rsidRPr="000A7B67">
        <w:tab/>
        <w:t xml:space="preserve">Acetone fix and stain the slide using an immunofluorescence technique. Evidence of virus </w:t>
      </w:r>
      <w:r w:rsidR="00E24C64" w:rsidRPr="000A7B67">
        <w:t>infection should be observed at the 10</w:t>
      </w:r>
      <w:r w:rsidR="00E24C64" w:rsidRPr="00D9477C">
        <w:rPr>
          <w:vertAlign w:val="superscript"/>
        </w:rPr>
        <w:t>–6</w:t>
      </w:r>
      <w:r w:rsidR="00E24C64" w:rsidRPr="000A7B67">
        <w:t> dilution of virus, indicating a virus stock suspension containing at least 1 × 10</w:t>
      </w:r>
      <w:r w:rsidR="00E24C64" w:rsidRPr="00D9477C">
        <w:rPr>
          <w:vertAlign w:val="superscript"/>
        </w:rPr>
        <w:t>6</w:t>
      </w:r>
      <w:r w:rsidR="00E24C64" w:rsidRPr="000A7B67">
        <w:t> infectious units per 0.1 ml. Prepare sufficient seed virus so that frequent serial passage of the virus is unnecessary</w:t>
      </w:r>
      <w:r w:rsidRPr="000A7B67">
        <w:t>.</w:t>
      </w:r>
    </w:p>
    <w:p w14:paraId="72A24AC1" w14:textId="77777777" w:rsidR="00DD6EB9" w:rsidRPr="000A7B67" w:rsidRDefault="00DD6EB9" w:rsidP="00A27900">
      <w:pPr>
        <w:pStyle w:val="111"/>
      </w:pPr>
      <w:r w:rsidRPr="000A7B67">
        <w:t>2.2.3.</w:t>
      </w:r>
      <w:r w:rsidRPr="000A7B67">
        <w:tab/>
        <w:t>Preparation of stock virus suspension</w:t>
      </w:r>
    </w:p>
    <w:p w14:paraId="571ACC24" w14:textId="77777777" w:rsidR="00DD6EB9" w:rsidRPr="000A7B67" w:rsidRDefault="00DD6EB9" w:rsidP="00A27900">
      <w:pPr>
        <w:pStyle w:val="i"/>
      </w:pPr>
      <w:r w:rsidRPr="000A7B67">
        <w:t>i)</w:t>
      </w:r>
      <w:r w:rsidRPr="000A7B67">
        <w:tab/>
      </w:r>
      <w:r w:rsidR="00E24C64" w:rsidRPr="000A7B67">
        <w:t>Infect 3 × 10</w:t>
      </w:r>
      <w:r w:rsidR="00E24C64" w:rsidRPr="00D9477C">
        <w:rPr>
          <w:vertAlign w:val="superscript"/>
        </w:rPr>
        <w:t>7</w:t>
      </w:r>
      <w:r w:rsidR="00E24C64" w:rsidRPr="000A7B67">
        <w:t> MNA cells with 1 × 10</w:t>
      </w:r>
      <w:r w:rsidR="00E24C64" w:rsidRPr="00D9477C">
        <w:rPr>
          <w:szCs w:val="14"/>
          <w:vertAlign w:val="superscript"/>
        </w:rPr>
        <w:t>7</w:t>
      </w:r>
      <w:r w:rsidR="00E24C64" w:rsidRPr="000A7B67">
        <w:t> infectious units of the seed virus preparation (see above)</w:t>
      </w:r>
      <w:r w:rsidRPr="000A7B67">
        <w:t>.</w:t>
      </w:r>
    </w:p>
    <w:p w14:paraId="3A166F00" w14:textId="77777777" w:rsidR="00DD6EB9" w:rsidRPr="000A7B67" w:rsidRDefault="00DD6EB9" w:rsidP="00A27900">
      <w:pPr>
        <w:pStyle w:val="i"/>
      </w:pPr>
      <w:r w:rsidRPr="000A7B67">
        <w:t>ii)</w:t>
      </w:r>
      <w:r w:rsidRPr="000A7B67">
        <w:tab/>
        <w:t>Harvest the supernatant 24 hours after the cells reach 100% infectivity (typically 40 hours after infection).</w:t>
      </w:r>
    </w:p>
    <w:p w14:paraId="09AD1863" w14:textId="77777777" w:rsidR="00DD6EB9" w:rsidRPr="000A7B67" w:rsidRDefault="00DD6EB9" w:rsidP="00E24C64">
      <w:pPr>
        <w:pStyle w:val="i"/>
        <w:spacing w:after="240"/>
      </w:pPr>
      <w:r w:rsidRPr="000A7B67">
        <w:t>iii)</w:t>
      </w:r>
      <w:r w:rsidRPr="000A7B67">
        <w:tab/>
        <w:t>Distribute the supernatant into 0.5 ml aliquots and store at –70°C.</w:t>
      </w:r>
    </w:p>
    <w:p w14:paraId="508D4915" w14:textId="77777777" w:rsidR="00DD6EB9" w:rsidRPr="000A7B67" w:rsidRDefault="00DD6EB9" w:rsidP="00A27900">
      <w:pPr>
        <w:pStyle w:val="111"/>
      </w:pPr>
      <w:r w:rsidRPr="000A7B67">
        <w:t>2.2.4.</w:t>
      </w:r>
      <w:r w:rsidRPr="000A7B67">
        <w:tab/>
        <w:t>Titration of stock virus suspension</w:t>
      </w:r>
    </w:p>
    <w:p w14:paraId="57399088" w14:textId="77777777" w:rsidR="00DD6EB9" w:rsidRPr="000A7B67" w:rsidRDefault="00DD6EB9" w:rsidP="00A27900">
      <w:pPr>
        <w:pStyle w:val="i"/>
      </w:pPr>
      <w:r w:rsidRPr="000A7B67">
        <w:t>i)</w:t>
      </w:r>
      <w:r w:rsidRPr="000A7B67">
        <w:tab/>
      </w:r>
      <w:r w:rsidR="00E24C64" w:rsidRPr="000A7B67">
        <w:t>Thaw one aliquot of the stock virus and use this to prepare serial ten-fold dilutions (from 10</w:t>
      </w:r>
      <w:r w:rsidR="00E24C64" w:rsidRPr="00D9477C">
        <w:rPr>
          <w:rFonts w:ascii="GreekMathSymbols" w:eastAsia="GreekMathSymbols" w:hAnsi="GreekMathSymbols" w:cs="GreekMathSymbols"/>
          <w:szCs w:val="14"/>
          <w:vertAlign w:val="superscript"/>
        </w:rPr>
        <w:t>-</w:t>
      </w:r>
      <w:r w:rsidR="00E24C64" w:rsidRPr="00D9477C">
        <w:rPr>
          <w:szCs w:val="14"/>
          <w:vertAlign w:val="superscript"/>
        </w:rPr>
        <w:t>1</w:t>
      </w:r>
      <w:r w:rsidR="00E24C64" w:rsidRPr="000A7B67">
        <w:t xml:space="preserve"> to 10</w:t>
      </w:r>
      <w:r w:rsidR="00E24C64" w:rsidRPr="00D9477C">
        <w:rPr>
          <w:rFonts w:ascii="GreekMathSymbols" w:eastAsia="GreekMathSymbols" w:hAnsi="GreekMathSymbols" w:cs="GreekMathSymbols"/>
          <w:szCs w:val="14"/>
          <w:vertAlign w:val="superscript"/>
        </w:rPr>
        <w:t>-</w:t>
      </w:r>
      <w:r w:rsidR="00E24C64" w:rsidRPr="00D9477C">
        <w:rPr>
          <w:szCs w:val="14"/>
          <w:vertAlign w:val="superscript"/>
        </w:rPr>
        <w:t>6</w:t>
      </w:r>
      <w:r w:rsidR="00E24C64" w:rsidRPr="000A7B67">
        <w:t>) in EMEM-10</w:t>
      </w:r>
      <w:r w:rsidRPr="000A7B67">
        <w:t>.</w:t>
      </w:r>
    </w:p>
    <w:p w14:paraId="566A8C71" w14:textId="77777777" w:rsidR="00DD6EB9" w:rsidRPr="000A7B67" w:rsidRDefault="00DD6EB9" w:rsidP="00A27900">
      <w:pPr>
        <w:pStyle w:val="i"/>
      </w:pPr>
      <w:r w:rsidRPr="000A7B67">
        <w:t>ii)</w:t>
      </w:r>
      <w:r w:rsidRPr="000A7B67">
        <w:tab/>
        <w:t xml:space="preserve">Distribute 0.1 ml of each virus dilution into one well of an eight-well tissue-culture chamber slide. Add 0.2 ml of MNA cells suspended in EMEM-10 (concentration </w:t>
      </w:r>
      <w:r w:rsidR="00E24C64" w:rsidRPr="000A7B67">
        <w:t>1 × 10</w:t>
      </w:r>
      <w:r w:rsidR="00E24C64" w:rsidRPr="00D9477C">
        <w:rPr>
          <w:vertAlign w:val="superscript"/>
        </w:rPr>
        <w:t>5</w:t>
      </w:r>
      <w:r w:rsidR="00E24C64" w:rsidRPr="000A7B67">
        <w:t xml:space="preserve"> cells </w:t>
      </w:r>
      <w:r w:rsidRPr="000A7B67">
        <w:t>per 0.2</w:t>
      </w:r>
      <w:r w:rsidR="00E24C64" w:rsidRPr="000A7B67">
        <w:t> </w:t>
      </w:r>
      <w:r w:rsidRPr="000A7B67">
        <w:t>ml) to each well.</w:t>
      </w:r>
    </w:p>
    <w:p w14:paraId="509ABF7D" w14:textId="77777777" w:rsidR="00DD6EB9" w:rsidRPr="000A7B67" w:rsidRDefault="00DD6EB9" w:rsidP="00A27900">
      <w:pPr>
        <w:pStyle w:val="i"/>
      </w:pPr>
      <w:r w:rsidRPr="000A7B67">
        <w:t>iii)</w:t>
      </w:r>
      <w:r w:rsidRPr="000A7B67">
        <w:tab/>
        <w:t>Mix the cells and virus suspension by gently rocking the slide, then incubate at 37°C in a humidified incubator with 0.5% CO</w:t>
      </w:r>
      <w:r w:rsidRPr="00C5136A">
        <w:rPr>
          <w:vertAlign w:val="subscript"/>
        </w:rPr>
        <w:t>2</w:t>
      </w:r>
      <w:r w:rsidRPr="000A7B67">
        <w:t xml:space="preserve"> for 20 hours.</w:t>
      </w:r>
    </w:p>
    <w:p w14:paraId="5BB10297" w14:textId="77777777" w:rsidR="00DD6EB9" w:rsidRPr="000A7B67" w:rsidRDefault="00DD6EB9" w:rsidP="00A27900">
      <w:pPr>
        <w:pStyle w:val="i"/>
      </w:pPr>
      <w:r w:rsidRPr="000A7B67">
        <w:t>iv)</w:t>
      </w:r>
      <w:r w:rsidRPr="000A7B67">
        <w:tab/>
        <w:t>Acetone fix and stain the slide using an immunofluorescence technique.</w:t>
      </w:r>
    </w:p>
    <w:p w14:paraId="30BD2F13" w14:textId="77777777" w:rsidR="00DD6EB9" w:rsidRPr="000A7B67" w:rsidRDefault="00E24C64" w:rsidP="00A27900">
      <w:pPr>
        <w:pStyle w:val="111Para"/>
      </w:pPr>
      <w:r w:rsidRPr="000A7B67">
        <w:t>Each well of an eight-well tissue-culture chamber slide contains 25–50 distinct microscopic fields when observed at ×160–200 magnification</w:t>
      </w:r>
      <w:r w:rsidR="00035A7C" w:rsidRPr="000A7B67">
        <w:t xml:space="preserve"> or 20 distinct microscopic fields when observed at x100 magnification</w:t>
      </w:r>
      <w:r w:rsidRPr="000A7B67">
        <w:t>. One unit of virus for the RFFIT is determined as the dilution at which 50% of the observed microscopic fields contain one or more foci of infected cells (the focus-forming dose, FFD</w:t>
      </w:r>
      <w:r w:rsidRPr="00EF28D6">
        <w:rPr>
          <w:vertAlign w:val="subscript"/>
        </w:rPr>
        <w:t>50</w:t>
      </w:r>
      <w:r w:rsidRPr="000A7B67">
        <w:t>). The stock virus suspension should contain at least 1 × 10</w:t>
      </w:r>
      <w:r w:rsidRPr="00EF28D6">
        <w:rPr>
          <w:vertAlign w:val="superscript"/>
        </w:rPr>
        <w:t>4</w:t>
      </w:r>
      <w:r w:rsidRPr="000A7B67">
        <w:t> FFD</w:t>
      </w:r>
      <w:r w:rsidRPr="00EF28D6">
        <w:rPr>
          <w:vertAlign w:val="subscript"/>
        </w:rPr>
        <w:t>50</w:t>
      </w:r>
      <w:r w:rsidRPr="000A7B67">
        <w:t xml:space="preserve"> per 0.1 ml (i.e. the well with cells infected with the 10</w:t>
      </w:r>
      <w:r w:rsidRPr="00EF28D6">
        <w:rPr>
          <w:vertAlign w:val="superscript"/>
        </w:rPr>
        <w:t>–4</w:t>
      </w:r>
      <w:r w:rsidRPr="000A7B67">
        <w:t xml:space="preserve"> dilution of the virus should contain at least one focus of infected cells in 50% of the observed microscopic fields). </w:t>
      </w:r>
      <w:r w:rsidR="00035A7C" w:rsidRPr="000A7B67">
        <w:t>For example, a</w:t>
      </w:r>
      <w:r w:rsidRPr="000A7B67">
        <w:t xml:space="preserve"> stock virus suspension of this titre </w:t>
      </w:r>
      <w:r w:rsidR="00035A7C" w:rsidRPr="000A7B67">
        <w:t>(1 × 10</w:t>
      </w:r>
      <w:r w:rsidR="00035A7C" w:rsidRPr="000A7B67">
        <w:rPr>
          <w:vertAlign w:val="superscript"/>
        </w:rPr>
        <w:t>4</w:t>
      </w:r>
      <w:r w:rsidR="00035A7C" w:rsidRPr="000A7B67">
        <w:t xml:space="preserve"> </w:t>
      </w:r>
      <w:r w:rsidR="007B4E2A" w:rsidRPr="000A7B67">
        <w:t>FFD</w:t>
      </w:r>
      <w:r w:rsidR="007B4E2A" w:rsidRPr="00EF28D6">
        <w:rPr>
          <w:vertAlign w:val="subscript"/>
        </w:rPr>
        <w:t>50</w:t>
      </w:r>
      <w:r w:rsidR="00035A7C" w:rsidRPr="000A7B67">
        <w:t xml:space="preserve"> per 0.1 ml) </w:t>
      </w:r>
      <w:r w:rsidRPr="000A7B67">
        <w:t>can then be diluted to 10</w:t>
      </w:r>
      <w:r w:rsidRPr="00EF28D6">
        <w:rPr>
          <w:vertAlign w:val="superscript"/>
        </w:rPr>
        <w:t>–2.3</w:t>
      </w:r>
      <w:r w:rsidRPr="000A7B67">
        <w:t xml:space="preserve"> to obtain a challenge virus containing 50 FFD</w:t>
      </w:r>
      <w:r w:rsidRPr="00EF28D6">
        <w:rPr>
          <w:vertAlign w:val="subscript"/>
        </w:rPr>
        <w:t>50</w:t>
      </w:r>
      <w:r w:rsidRPr="000A7B67">
        <w:t>.</w:t>
      </w:r>
      <w:r w:rsidR="00035A7C" w:rsidRPr="000A7B67">
        <w:t xml:space="preserve"> To calculate the working dilution subtract the log of 50 (1.7) from the log of the virus dose (e.g. in the example given 4.0 – 1.7 – 2.3).</w:t>
      </w:r>
    </w:p>
    <w:p w14:paraId="64C3CC09" w14:textId="77777777" w:rsidR="00DD6EB9" w:rsidRPr="000A7B67" w:rsidRDefault="00DD6EB9" w:rsidP="006C4189">
      <w:pPr>
        <w:pStyle w:val="111"/>
        <w:keepNext/>
      </w:pPr>
      <w:r w:rsidRPr="000A7B67">
        <w:t>2.2.5.</w:t>
      </w:r>
      <w:r w:rsidRPr="000A7B67">
        <w:tab/>
        <w:t>Reference sera</w:t>
      </w:r>
    </w:p>
    <w:p w14:paraId="467750D5" w14:textId="7F6CC773" w:rsidR="00E24C64" w:rsidRPr="000A7B67" w:rsidRDefault="00DD6EB9" w:rsidP="00F51117">
      <w:pPr>
        <w:pStyle w:val="111Para"/>
        <w:rPr>
          <w:rFonts w:ascii="Ottawa" w:hAnsi="Ottawa"/>
          <w:b/>
          <w:sz w:val="19"/>
        </w:rPr>
      </w:pPr>
      <w:r w:rsidRPr="000A7B67">
        <w:t xml:space="preserve">A </w:t>
      </w:r>
      <w:r w:rsidR="002D2551" w:rsidRPr="000A7B67">
        <w:t>recogni</w:t>
      </w:r>
      <w:r w:rsidR="00984468" w:rsidRPr="000A7B67">
        <w:t>s</w:t>
      </w:r>
      <w:r w:rsidR="002D2551" w:rsidRPr="000A7B67">
        <w:t>ed (WHO</w:t>
      </w:r>
      <w:r w:rsidR="00584E61" w:rsidRPr="000A7B67">
        <w:t xml:space="preserve"> [see footnote 2]</w:t>
      </w:r>
      <w:r w:rsidR="002D2551" w:rsidRPr="000A7B67">
        <w:t xml:space="preserve">, </w:t>
      </w:r>
      <w:r w:rsidR="00A064B8">
        <w:t>WOAH</w:t>
      </w:r>
      <w:r w:rsidR="00584E61" w:rsidRPr="000A7B67">
        <w:t xml:space="preserve"> [see footnote 3])</w:t>
      </w:r>
      <w:r w:rsidR="002D2551" w:rsidRPr="000A7B67">
        <w:t xml:space="preserve"> reference serum stand</w:t>
      </w:r>
      <w:r w:rsidR="00984468" w:rsidRPr="000A7B67">
        <w:t>ard</w:t>
      </w:r>
      <w:r w:rsidR="0078691B" w:rsidRPr="000A7B67">
        <w:t xml:space="preserve"> </w:t>
      </w:r>
      <w:r w:rsidR="00867D51" w:rsidRPr="000A7B67">
        <w:t>or a prepared standard</w:t>
      </w:r>
      <w:r w:rsidR="002D2551" w:rsidRPr="000A7B67">
        <w:t xml:space="preserve"> verified against a recogni</w:t>
      </w:r>
      <w:r w:rsidR="00984468" w:rsidRPr="000A7B67">
        <w:t>s</w:t>
      </w:r>
      <w:r w:rsidR="002D2551" w:rsidRPr="000A7B67">
        <w:t xml:space="preserve">ed standard </w:t>
      </w:r>
      <w:r w:rsidRPr="000A7B67">
        <w:t>diluted to a potency of 2.0 IU/ml should be included in each test. The reference serum should be maintained as frozen aliquots in amounts sufficient for 1 week of tests. A positive serum control standard diluted to a potency of 0.5 IU/ml and a negative serum control standard with a potency of &lt;0.1</w:t>
      </w:r>
      <w:r w:rsidR="00E24C64" w:rsidRPr="000A7B67">
        <w:t> </w:t>
      </w:r>
      <w:r w:rsidRPr="000A7B67">
        <w:t>IU/ml should also be prepared by the laboratory and included in each test.</w:t>
      </w:r>
      <w:r w:rsidR="0078691B" w:rsidRPr="000A7B67">
        <w:t xml:space="preserve"> </w:t>
      </w:r>
    </w:p>
    <w:p w14:paraId="6A64D3DE" w14:textId="77777777" w:rsidR="00DD6EB9" w:rsidRPr="000A7B67" w:rsidRDefault="00DD6EB9" w:rsidP="00A27900">
      <w:pPr>
        <w:pStyle w:val="111"/>
      </w:pPr>
      <w:r w:rsidRPr="000A7B67">
        <w:t>2.2.6.</w:t>
      </w:r>
      <w:r w:rsidRPr="000A7B67">
        <w:tab/>
        <w:t>Test sera</w:t>
      </w:r>
    </w:p>
    <w:p w14:paraId="3920D958" w14:textId="77777777" w:rsidR="00C94830" w:rsidRPr="000A7B67" w:rsidRDefault="00DD6EB9" w:rsidP="00A27900">
      <w:pPr>
        <w:pStyle w:val="111Para"/>
      </w:pPr>
      <w:r w:rsidRPr="000A7B67">
        <w:t xml:space="preserve">Serum samples should be heated at 56°C for 30 minutes before testing in order to inactivate complement. If sera are frozen, they should be reheated after thawing. </w:t>
      </w:r>
      <w:r w:rsidR="00D504EE" w:rsidRPr="000A7B67">
        <w:t>Five-fold s</w:t>
      </w:r>
      <w:r w:rsidRPr="000A7B67">
        <w:t xml:space="preserve">erial dilutions of test sera may be prepared </w:t>
      </w:r>
      <w:r w:rsidR="00D504EE" w:rsidRPr="000A7B67">
        <w:t xml:space="preserve">directly </w:t>
      </w:r>
      <w:r w:rsidRPr="000A7B67">
        <w:t>in an eight-well tissue-culture chamber slide</w:t>
      </w:r>
      <w:r w:rsidR="00C94830" w:rsidRPr="000A7B67">
        <w:t xml:space="preserve"> or in a 96 well plate and transferred to the chamber slide wells (final volume 0.1 ml/serial dilution). The RFFIT may be performed as a screen using 2 dilutions or as an endpoint test suing 4 dilutions</w:t>
      </w:r>
      <w:r w:rsidRPr="000A7B67">
        <w:t xml:space="preserve">. </w:t>
      </w:r>
      <w:r w:rsidR="00C94830" w:rsidRPr="000A7B67">
        <w:t>Screening d</w:t>
      </w:r>
      <w:r w:rsidRPr="000A7B67">
        <w:t>ilutions of 1/5 and 1/50 are sufficient for routine evaluation of vaccination efficacy</w:t>
      </w:r>
      <w:r w:rsidR="00C94830" w:rsidRPr="000A7B67">
        <w:t>.</w:t>
      </w:r>
      <w:r w:rsidRPr="000A7B67">
        <w:t xml:space="preserve"> </w:t>
      </w:r>
      <w:r w:rsidR="00C94830" w:rsidRPr="000A7B67">
        <w:t xml:space="preserve">Endpoint testing is generally performed using dilutions of 1/5, 1/25, 1/125, and 1/625. </w:t>
      </w:r>
    </w:p>
    <w:p w14:paraId="3C3EDBD0" w14:textId="77777777" w:rsidR="00DD6EB9" w:rsidRPr="000A7B67" w:rsidRDefault="00C94830" w:rsidP="007B4E2A">
      <w:pPr>
        <w:pStyle w:val="111Para"/>
        <w:spacing w:after="120"/>
      </w:pPr>
      <w:r w:rsidRPr="000A7B67">
        <w:t>For the screening test</w:t>
      </w:r>
      <w:r w:rsidR="00DD6EB9" w:rsidRPr="000A7B67">
        <w:t>:</w:t>
      </w:r>
    </w:p>
    <w:p w14:paraId="5283820B" w14:textId="77777777" w:rsidR="00DD6EB9" w:rsidRPr="000A7B67" w:rsidRDefault="00DD6EB9" w:rsidP="00A27900">
      <w:pPr>
        <w:pStyle w:val="i"/>
      </w:pPr>
      <w:r w:rsidRPr="000A7B67">
        <w:t>i)</w:t>
      </w:r>
      <w:r w:rsidRPr="000A7B67">
        <w:tab/>
        <w:t>Prepare a 1/2.5 dilution by adding 0.1 ml of inactivated serum and 0.15 ml of EMEM-10 to one of the slides. Mix by gently rocking the slide.</w:t>
      </w:r>
    </w:p>
    <w:p w14:paraId="1A20C4C7" w14:textId="77777777" w:rsidR="00DD6EB9" w:rsidRPr="000A7B67" w:rsidRDefault="00DD6EB9" w:rsidP="00A27900">
      <w:pPr>
        <w:pStyle w:val="i"/>
      </w:pPr>
      <w:r w:rsidRPr="000A7B67">
        <w:t>ii)</w:t>
      </w:r>
      <w:r w:rsidRPr="000A7B67">
        <w:tab/>
        <w:t>Transfer 0.05 ml of the 1/2.5 dilution to a second well containing 0.45 ml of EMEM-10. Discard all but 0.1 ml from the well containing the 1/2.5 dilution.</w:t>
      </w:r>
    </w:p>
    <w:p w14:paraId="7629C588" w14:textId="77777777" w:rsidR="00DD6EB9" w:rsidRPr="000A7B67" w:rsidRDefault="00DD6EB9" w:rsidP="007B4E2A">
      <w:pPr>
        <w:pStyle w:val="i"/>
        <w:spacing w:after="240"/>
      </w:pPr>
      <w:r w:rsidRPr="000A7B67">
        <w:t>iii)</w:t>
      </w:r>
      <w:r w:rsidRPr="000A7B67">
        <w:tab/>
        <w:t>Mix the second well and discard all but 0.1 ml.</w:t>
      </w:r>
    </w:p>
    <w:p w14:paraId="3B8BD7EF" w14:textId="77777777" w:rsidR="00035A7C" w:rsidRPr="000A7B67" w:rsidRDefault="00035A7C" w:rsidP="00035A7C">
      <w:pPr>
        <w:pStyle w:val="i"/>
      </w:pPr>
      <w:r w:rsidRPr="000A7B67">
        <w:t>For the endpoint test:</w:t>
      </w:r>
    </w:p>
    <w:p w14:paraId="7EE7CA75" w14:textId="77777777" w:rsidR="00035A7C" w:rsidRPr="000A7B67" w:rsidRDefault="00035A7C" w:rsidP="00035A7C">
      <w:pPr>
        <w:pStyle w:val="i"/>
      </w:pPr>
      <w:r w:rsidRPr="000A7B67">
        <w:t>i)</w:t>
      </w:r>
      <w:r w:rsidRPr="000A7B67">
        <w:tab/>
        <w:t>Prepare a 1/2.5 dilution by adding 0.1 ml of inactivated serum and 0.15 ml of EMEM-10 to one of the slides. Mix by gently rocking the slide.</w:t>
      </w:r>
    </w:p>
    <w:p w14:paraId="1D4ED428" w14:textId="77777777" w:rsidR="00035A7C" w:rsidRPr="000A7B67" w:rsidRDefault="00035A7C" w:rsidP="00035A7C">
      <w:pPr>
        <w:pStyle w:val="i"/>
      </w:pPr>
      <w:r w:rsidRPr="000A7B67">
        <w:t>ii)</w:t>
      </w:r>
      <w:r w:rsidRPr="000A7B67">
        <w:tab/>
        <w:t>Transfer 0.05 ml of the 1/2.5 dilution to a second well containing 0.2 ml of EMEM-10. Discard all but 0.1 ml from the well containing the 1/2.5 dilution (first well).</w:t>
      </w:r>
    </w:p>
    <w:p w14:paraId="742DBA80" w14:textId="77777777" w:rsidR="00035A7C" w:rsidRPr="000A7B67" w:rsidRDefault="00035A7C" w:rsidP="00035A7C">
      <w:pPr>
        <w:pStyle w:val="i"/>
      </w:pPr>
      <w:r w:rsidRPr="000A7B67">
        <w:t>iii)</w:t>
      </w:r>
      <w:r w:rsidRPr="000A7B67">
        <w:tab/>
        <w:t>Transfer 0.05 ml of the 1/2.5 dilution to a third well containing 0.2 ml of EMEM-10. Discard all but 0.1 ml from the well containing the 1/5 dilution (second well).</w:t>
      </w:r>
    </w:p>
    <w:p w14:paraId="1958B4A4" w14:textId="77777777" w:rsidR="00035A7C" w:rsidRPr="000A7B67" w:rsidRDefault="00035A7C" w:rsidP="00035A7C">
      <w:pPr>
        <w:pStyle w:val="i"/>
      </w:pPr>
      <w:r w:rsidRPr="000A7B67">
        <w:t>iv)</w:t>
      </w:r>
      <w:r w:rsidRPr="000A7B67">
        <w:tab/>
        <w:t>Transfer 0.05 ml of the 1/2.5 dilution to a fourth well containing 0.2 ml of EMEM-10. Discard all but 0.1 ml from the well containing the 1/25 dilution (third well).</w:t>
      </w:r>
    </w:p>
    <w:p w14:paraId="7B16C008" w14:textId="77777777" w:rsidR="00035A7C" w:rsidRPr="000A7B67" w:rsidRDefault="00035A7C" w:rsidP="006A07CA">
      <w:pPr>
        <w:pStyle w:val="i"/>
        <w:spacing w:after="240"/>
      </w:pPr>
      <w:r w:rsidRPr="000A7B67">
        <w:t>v)</w:t>
      </w:r>
      <w:r w:rsidRPr="000A7B67">
        <w:tab/>
        <w:t>Mix the fourth well containing the 1/125 dilution and discard all but 0.1 ml.</w:t>
      </w:r>
    </w:p>
    <w:p w14:paraId="32D1E58C" w14:textId="76088EA8" w:rsidR="00035A7C" w:rsidRPr="000A7B67" w:rsidRDefault="00035A7C" w:rsidP="001A6CB2">
      <w:pPr>
        <w:pStyle w:val="111"/>
      </w:pPr>
      <w:r w:rsidRPr="000A7B67">
        <w:t>2.2.7.</w:t>
      </w:r>
      <w:r w:rsidRPr="000A7B67">
        <w:tab/>
        <w:t>Addition of virus</w:t>
      </w:r>
    </w:p>
    <w:p w14:paraId="39600267" w14:textId="77777777" w:rsidR="00DD6EB9" w:rsidRPr="000A7B67" w:rsidRDefault="00DD6EB9" w:rsidP="00A27900">
      <w:pPr>
        <w:pStyle w:val="i"/>
      </w:pPr>
      <w:r w:rsidRPr="000A7B67">
        <w:t>i)</w:t>
      </w:r>
      <w:r w:rsidRPr="000A7B67">
        <w:tab/>
        <w:t>Add 0.1 ml of the challenge virus preparation (</w:t>
      </w:r>
      <w:r w:rsidR="00035A7C" w:rsidRPr="000A7B67">
        <w:t>working dilution</w:t>
      </w:r>
      <w:r w:rsidRPr="000A7B67">
        <w:t>) to all serum dilutions.</w:t>
      </w:r>
    </w:p>
    <w:p w14:paraId="3348FB64" w14:textId="77777777" w:rsidR="00035A7C" w:rsidRPr="000A7B67" w:rsidRDefault="00035A7C" w:rsidP="00035A7C">
      <w:pPr>
        <w:pStyle w:val="i"/>
      </w:pPr>
      <w:r w:rsidRPr="000A7B67">
        <w:t>ii)</w:t>
      </w:r>
      <w:r w:rsidRPr="000A7B67">
        <w:tab/>
        <w:t>Prepare a 1/10 and 1/100 back titration of the challenge virus working dilution and add 0</w:t>
      </w:r>
      <w:r w:rsidR="00984468" w:rsidRPr="000A7B67">
        <w:t>.1 </w:t>
      </w:r>
      <w:r w:rsidRPr="000A7B67">
        <w:t>ml of each to a slide well.</w:t>
      </w:r>
    </w:p>
    <w:p w14:paraId="11E0FA3B" w14:textId="77777777" w:rsidR="00DD6EB9" w:rsidRPr="000A7B67" w:rsidRDefault="00035A7C" w:rsidP="00E24C64">
      <w:pPr>
        <w:pStyle w:val="i"/>
        <w:spacing w:after="240"/>
      </w:pPr>
      <w:r w:rsidRPr="000A7B67">
        <w:t>iii</w:t>
      </w:r>
      <w:r w:rsidR="00DD6EB9" w:rsidRPr="000A7B67">
        <w:t>)</w:t>
      </w:r>
      <w:r w:rsidR="00DD6EB9" w:rsidRPr="000A7B67">
        <w:tab/>
        <w:t xml:space="preserve">Mix and incubate at </w:t>
      </w:r>
      <w:r w:rsidRPr="000A7B67">
        <w:t>37</w:t>
      </w:r>
      <w:r w:rsidR="00DD6EB9" w:rsidRPr="000A7B67">
        <w:t>°C in a humidified incubator with 0.5% CO</w:t>
      </w:r>
      <w:r w:rsidR="00E24C64" w:rsidRPr="00D9477C">
        <w:rPr>
          <w:vertAlign w:val="subscript"/>
        </w:rPr>
        <w:t>2</w:t>
      </w:r>
      <w:r w:rsidR="00DD6EB9" w:rsidRPr="000A7B67">
        <w:t xml:space="preserve"> for 90 minutes.</w:t>
      </w:r>
    </w:p>
    <w:p w14:paraId="7EEC672C" w14:textId="77777777" w:rsidR="00DD6EB9" w:rsidRPr="000A7B67" w:rsidRDefault="00DD6EB9" w:rsidP="00A27900">
      <w:pPr>
        <w:pStyle w:val="111"/>
      </w:pPr>
      <w:r w:rsidRPr="000A7B67">
        <w:t>2.2.</w:t>
      </w:r>
      <w:r w:rsidR="00035A7C" w:rsidRPr="000A7B67">
        <w:t>8</w:t>
      </w:r>
      <w:r w:rsidRPr="000A7B67">
        <w:t>.</w:t>
      </w:r>
      <w:r w:rsidRPr="000A7B67">
        <w:tab/>
        <w:t>Addition of cells</w:t>
      </w:r>
    </w:p>
    <w:p w14:paraId="4E3EF699" w14:textId="77777777" w:rsidR="00DD6EB9" w:rsidRPr="000A7B67" w:rsidRDefault="00DD6EB9" w:rsidP="00A27900">
      <w:pPr>
        <w:pStyle w:val="i"/>
      </w:pPr>
      <w:r w:rsidRPr="000A7B67">
        <w:t>i)</w:t>
      </w:r>
      <w:r w:rsidRPr="000A7B67">
        <w:tab/>
        <w:t xml:space="preserve">During the incubation period, </w:t>
      </w:r>
      <w:proofErr w:type="spellStart"/>
      <w:r w:rsidRPr="000A7B67">
        <w:t>trypsinise</w:t>
      </w:r>
      <w:proofErr w:type="spellEnd"/>
      <w:r w:rsidRPr="000A7B67">
        <w:t xml:space="preserve"> a stock culture of 3- to 5-day-old MNA cells.</w:t>
      </w:r>
    </w:p>
    <w:p w14:paraId="60872FE9" w14:textId="77777777" w:rsidR="00DD6EB9" w:rsidRPr="000A7B67" w:rsidRDefault="00DD6EB9" w:rsidP="00A27900">
      <w:pPr>
        <w:pStyle w:val="i"/>
      </w:pPr>
      <w:r w:rsidRPr="000A7B67">
        <w:t>ii)</w:t>
      </w:r>
      <w:r w:rsidRPr="000A7B67">
        <w:tab/>
        <w:t>Resuspend the cells in EMEM-10 to give a final concentration of 1 × 10</w:t>
      </w:r>
      <w:r w:rsidR="00E24C64" w:rsidRPr="00D9477C">
        <w:rPr>
          <w:vertAlign w:val="superscript"/>
        </w:rPr>
        <w:t>5</w:t>
      </w:r>
      <w:r w:rsidRPr="000A7B67">
        <w:t xml:space="preserve"> cells per 0.2 ml.</w:t>
      </w:r>
    </w:p>
    <w:p w14:paraId="3D45DFCD" w14:textId="77777777" w:rsidR="00DD6EB9" w:rsidRPr="000A7B67" w:rsidRDefault="00DD6EB9" w:rsidP="00E24C64">
      <w:pPr>
        <w:pStyle w:val="i"/>
        <w:spacing w:after="240"/>
      </w:pPr>
      <w:r w:rsidRPr="000A7B67">
        <w:t>iii)</w:t>
      </w:r>
      <w:r w:rsidRPr="000A7B67">
        <w:tab/>
        <w:t>Distribute 0.2 ml of the cell suspension into each well of the slide and incubate at 35°C in a humidified incubator with 0.5% CO</w:t>
      </w:r>
      <w:r w:rsidR="00E24C64" w:rsidRPr="00D9477C">
        <w:rPr>
          <w:vertAlign w:val="subscript"/>
        </w:rPr>
        <w:t>2</w:t>
      </w:r>
      <w:r w:rsidRPr="000A7B67">
        <w:t xml:space="preserve"> for a further 20 hours.</w:t>
      </w:r>
    </w:p>
    <w:p w14:paraId="3CA7935D" w14:textId="77777777" w:rsidR="00DD6EB9" w:rsidRPr="000A7B67" w:rsidRDefault="00DD6EB9" w:rsidP="00EF28D6">
      <w:pPr>
        <w:pStyle w:val="111"/>
        <w:keepNext/>
      </w:pPr>
      <w:r w:rsidRPr="000A7B67">
        <w:t>2.2.</w:t>
      </w:r>
      <w:r w:rsidR="00035A7C" w:rsidRPr="000A7B67">
        <w:t>9</w:t>
      </w:r>
      <w:r w:rsidRPr="000A7B67">
        <w:t>.</w:t>
      </w:r>
      <w:r w:rsidRPr="000A7B67">
        <w:tab/>
        <w:t>Acetone fixation and staining by immunofluorescence</w:t>
      </w:r>
    </w:p>
    <w:p w14:paraId="03CD331A" w14:textId="77777777" w:rsidR="00DD6EB9" w:rsidRPr="000A7B67" w:rsidRDefault="00DD6EB9" w:rsidP="00A27900">
      <w:pPr>
        <w:pStyle w:val="i"/>
      </w:pPr>
      <w:r w:rsidRPr="000A7B67">
        <w:t>i)</w:t>
      </w:r>
      <w:r w:rsidRPr="000A7B67">
        <w:tab/>
        <w:t>After 20 hours, remove the slides from the incubator and pour off the medium into a virucidal solution.</w:t>
      </w:r>
    </w:p>
    <w:p w14:paraId="722E1787" w14:textId="77777777" w:rsidR="00DD6EB9" w:rsidRPr="000A7B67" w:rsidRDefault="00DD6EB9" w:rsidP="00A27900">
      <w:pPr>
        <w:pStyle w:val="i"/>
      </w:pPr>
      <w:r w:rsidRPr="000A7B67">
        <w:t>ii)</w:t>
      </w:r>
      <w:r w:rsidRPr="000A7B67">
        <w:tab/>
        <w:t>Rinse the slides once in PBS and then fix for 10 minutes at room temperature in cold acetone (–20°C).</w:t>
      </w:r>
      <w:r w:rsidR="00035A7C" w:rsidRPr="000A7B67">
        <w:t xml:space="preserve"> Note: if using plastic slides use 80% cold acetone.</w:t>
      </w:r>
    </w:p>
    <w:p w14:paraId="6D4980E3" w14:textId="77777777" w:rsidR="00DD6EB9" w:rsidRPr="000A7B67" w:rsidRDefault="00DD6EB9" w:rsidP="006C4189">
      <w:pPr>
        <w:pStyle w:val="i"/>
        <w:keepLines/>
      </w:pPr>
      <w:r w:rsidRPr="000A7B67">
        <w:t>iii)</w:t>
      </w:r>
      <w:r w:rsidRPr="000A7B67">
        <w:tab/>
        <w:t>Leave the slides to dry for 10</w:t>
      </w:r>
      <w:r w:rsidR="00C5136A">
        <w:t>–</w:t>
      </w:r>
      <w:r w:rsidR="00471476" w:rsidRPr="000A7B67">
        <w:t>30</w:t>
      </w:r>
      <w:r w:rsidRPr="000A7B67">
        <w:t xml:space="preserve"> minutes before adding FITC-conjugated anti-rabies </w:t>
      </w:r>
      <w:r w:rsidR="003C78BC" w:rsidRPr="000A7B67">
        <w:t>antibody</w:t>
      </w:r>
      <w:r w:rsidRPr="000A7B67">
        <w:t>. The conjugate may be prepared in EMEM-10 or PBS; there is no need to adsorb the conjugate with tissue or cells. The working dilution of the conjugate should be determined by titration. The slides should be stained for 20–</w:t>
      </w:r>
      <w:r w:rsidR="00471476" w:rsidRPr="000A7B67">
        <w:t xml:space="preserve">60 </w:t>
      </w:r>
      <w:r w:rsidRPr="000A7B67">
        <w:t xml:space="preserve">minutes at 37°C </w:t>
      </w:r>
      <w:r w:rsidR="00471476" w:rsidRPr="000A7B67">
        <w:t xml:space="preserve">(optimal time determined by conjugate qualification) </w:t>
      </w:r>
      <w:r w:rsidRPr="000A7B67">
        <w:t>and then rinsed in PBS and distilled water, respectively.</w:t>
      </w:r>
    </w:p>
    <w:p w14:paraId="37E28591" w14:textId="67DB21B8" w:rsidR="00DD6EB9" w:rsidRPr="000A7B67" w:rsidRDefault="00DD6EB9" w:rsidP="00E24C64">
      <w:pPr>
        <w:pStyle w:val="i"/>
        <w:spacing w:after="240"/>
      </w:pPr>
      <w:r w:rsidRPr="000A7B67">
        <w:t>iv)</w:t>
      </w:r>
      <w:r w:rsidRPr="000A7B67">
        <w:tab/>
        <w:t>Observe the slides under a fluorescence microscope.</w:t>
      </w:r>
      <w:r w:rsidR="00471476" w:rsidRPr="000A7B67">
        <w:t xml:space="preserve"> Record the number of fields (out of 20</w:t>
      </w:r>
      <w:r w:rsidR="00D52D78">
        <w:t> </w:t>
      </w:r>
      <w:r w:rsidR="00471476" w:rsidRPr="000A7B67">
        <w:t>per well) where virus infection of cells is observed.</w:t>
      </w:r>
    </w:p>
    <w:p w14:paraId="082AE452" w14:textId="7A5C1D9A" w:rsidR="00DD6EB9" w:rsidRPr="000A7B67" w:rsidRDefault="00DD6EB9" w:rsidP="00A27900">
      <w:pPr>
        <w:pStyle w:val="111"/>
      </w:pPr>
      <w:r w:rsidRPr="000A7B67">
        <w:rPr>
          <w:sz w:val="18"/>
          <w:szCs w:val="18"/>
        </w:rPr>
        <w:t>2.2.</w:t>
      </w:r>
      <w:r w:rsidR="00471476" w:rsidRPr="000A7B67">
        <w:rPr>
          <w:sz w:val="18"/>
          <w:szCs w:val="18"/>
        </w:rPr>
        <w:t>10</w:t>
      </w:r>
      <w:r w:rsidRPr="000A7B67">
        <w:rPr>
          <w:sz w:val="18"/>
          <w:szCs w:val="18"/>
        </w:rPr>
        <w:t>.</w:t>
      </w:r>
      <w:r w:rsidRPr="000A7B67">
        <w:rPr>
          <w:sz w:val="18"/>
          <w:szCs w:val="18"/>
        </w:rPr>
        <w:tab/>
      </w:r>
      <w:r w:rsidR="00984468" w:rsidRPr="000A7B67">
        <w:tab/>
      </w:r>
      <w:r w:rsidRPr="000A7B67">
        <w:t>Calculation of virus-neutralising antibody titres</w:t>
      </w:r>
    </w:p>
    <w:p w14:paraId="7085CCB1" w14:textId="1E32DB95" w:rsidR="00DD6EB9" w:rsidRPr="000A7B67" w:rsidRDefault="00DD6EB9" w:rsidP="00A27900">
      <w:pPr>
        <w:pStyle w:val="111Para"/>
      </w:pPr>
      <w:r w:rsidRPr="000A7B67">
        <w:t xml:space="preserve">Residual virus is detected using a standard fluorescence microscope. The serum neutralisation end-point titre is defined as the dilution factor of the highest serum dilution at which 50% of the observed microscopic fields contain one or more infected cells (i.e. a 97% reduction in the virus inoculum). This value may be obtained by mathematical interpolation. Alternatively, a 100% neutralisation titre may be determined by recording the highest serum dilution at which 100% of the challenge inoculum is neutralised and there are no infected cells in any of the observed fields. For both titration methods, the titre of antibody in the test serum (in IU/ml) can be obtained by comparison with the titre of the </w:t>
      </w:r>
      <w:r w:rsidR="00471476" w:rsidRPr="000A7B67">
        <w:t>recogni</w:t>
      </w:r>
      <w:r w:rsidR="00984468" w:rsidRPr="000A7B67">
        <w:t>s</w:t>
      </w:r>
      <w:r w:rsidR="00471476" w:rsidRPr="000A7B67">
        <w:t xml:space="preserve">ed </w:t>
      </w:r>
      <w:r w:rsidRPr="000A7B67">
        <w:t xml:space="preserve">reference </w:t>
      </w:r>
      <w:r w:rsidR="00471476" w:rsidRPr="000A7B67">
        <w:t xml:space="preserve">serum </w:t>
      </w:r>
      <w:r w:rsidRPr="000A7B67">
        <w:t>standard included in each test. It should be noted that it is also valid to perform the RFFIT using BHK-21 cells instead of neuroblastoma cells. A modified protocol for this has been published (</w:t>
      </w:r>
      <w:r w:rsidR="009F104D">
        <w:t xml:space="preserve">WHO, </w:t>
      </w:r>
      <w:r w:rsidR="009F104D" w:rsidRPr="00111383">
        <w:rPr>
          <w:strike/>
        </w:rPr>
        <w:t xml:space="preserve">1996 </w:t>
      </w:r>
      <w:r w:rsidR="009F104D" w:rsidRPr="00111383">
        <w:rPr>
          <w:u w:val="double"/>
        </w:rPr>
        <w:t>2018</w:t>
      </w:r>
      <w:r w:rsidRPr="000A7B67">
        <w:t>).</w:t>
      </w:r>
    </w:p>
    <w:p w14:paraId="580A9743" w14:textId="77777777" w:rsidR="00DD6EB9" w:rsidRPr="000A7B67" w:rsidRDefault="00DD6EB9" w:rsidP="00A27900">
      <w:pPr>
        <w:pStyle w:val="111Para"/>
      </w:pPr>
      <w:r w:rsidRPr="000A7B67">
        <w:t>The following parameters have to be strictly adhered to:</w:t>
      </w:r>
    </w:p>
    <w:p w14:paraId="2959D403" w14:textId="1043B1EB" w:rsidR="00DD6EB9" w:rsidRPr="000A7B67" w:rsidRDefault="00DD6EB9" w:rsidP="00A27900">
      <w:pPr>
        <w:pStyle w:val="i"/>
      </w:pPr>
      <w:r w:rsidRPr="000A7B67">
        <w:t>i)</w:t>
      </w:r>
      <w:r w:rsidRPr="000A7B67">
        <w:tab/>
      </w:r>
      <w:r w:rsidR="00DB6470" w:rsidRPr="00DB6470">
        <w:rPr>
          <w:strike/>
          <w:highlight w:val="yellow"/>
        </w:rPr>
        <w:t>Rabies virus</w:t>
      </w:r>
      <w:r w:rsidR="00DB6470">
        <w:rPr>
          <w:strike/>
          <w:highlight w:val="yellow"/>
        </w:rPr>
        <w:t xml:space="preserve"> </w:t>
      </w:r>
      <w:r w:rsidR="00DB6470" w:rsidRPr="00DB6470">
        <w:rPr>
          <w:highlight w:val="yellow"/>
          <w:u w:val="double"/>
        </w:rPr>
        <w:t>RABV</w:t>
      </w:r>
      <w:r w:rsidRPr="000A7B67">
        <w:t xml:space="preserve">; only the CVS-11 strain should be used. </w:t>
      </w:r>
      <w:r w:rsidR="00EC4BB5" w:rsidRPr="000A7B67">
        <w:t xml:space="preserve">Virus: CVS-11 (previously ATCC reference VR 959) strain, which is available from the ATCC or the </w:t>
      </w:r>
      <w:r w:rsidR="00A064B8">
        <w:t>WOAH</w:t>
      </w:r>
      <w:r w:rsidR="00EC4BB5" w:rsidRPr="000A7B67">
        <w:t xml:space="preserve"> Reference Laboratory for </w:t>
      </w:r>
      <w:r w:rsidR="00150957" w:rsidRPr="000A7B67">
        <w:t>rabies</w:t>
      </w:r>
      <w:r w:rsidR="00EC4BB5" w:rsidRPr="000A7B67">
        <w:t>, Nancy, France. Vials are stored at –80°C.</w:t>
      </w:r>
      <w:r w:rsidR="00471476" w:rsidRPr="000A7B67">
        <w:t xml:space="preserve"> The back titration should indicate a dose of 30</w:t>
      </w:r>
      <w:r w:rsidR="007B4E2A">
        <w:t>–100 </w:t>
      </w:r>
      <w:r w:rsidR="007B4E2A" w:rsidRPr="000A7B67">
        <w:t>FFD</w:t>
      </w:r>
      <w:r w:rsidR="007B4E2A" w:rsidRPr="00D9477C">
        <w:rPr>
          <w:vertAlign w:val="subscript"/>
        </w:rPr>
        <w:t>50</w:t>
      </w:r>
      <w:r w:rsidR="00471476" w:rsidRPr="000A7B67">
        <w:t>.</w:t>
      </w:r>
    </w:p>
    <w:p w14:paraId="7627356D" w14:textId="77777777" w:rsidR="00DD6EB9" w:rsidRPr="000A7B67" w:rsidRDefault="00DD6EB9" w:rsidP="00A27900">
      <w:pPr>
        <w:pStyle w:val="i"/>
      </w:pPr>
      <w:r w:rsidRPr="000A7B67">
        <w:t>ii)</w:t>
      </w:r>
      <w:r w:rsidRPr="000A7B67">
        <w:tab/>
        <w:t xml:space="preserve">Cells cultures: only BHK-21 cells (ATCC number CCL10) or MNA cells (ATCC number CCL131) should be used. </w:t>
      </w:r>
    </w:p>
    <w:p w14:paraId="59399B98" w14:textId="77777777" w:rsidR="00DD6EB9" w:rsidRPr="000A7B67" w:rsidRDefault="00DD6EB9" w:rsidP="00A27900">
      <w:pPr>
        <w:pStyle w:val="i"/>
      </w:pPr>
      <w:r w:rsidRPr="000A7B67">
        <w:t>iii)</w:t>
      </w:r>
      <w:r w:rsidRPr="000A7B67">
        <w:tab/>
        <w:t xml:space="preserve">The test should be performed only on </w:t>
      </w:r>
      <w:r w:rsidR="00C30C1E" w:rsidRPr="000A7B67">
        <w:t xml:space="preserve">suitable </w:t>
      </w:r>
      <w:r w:rsidRPr="000A7B67">
        <w:t xml:space="preserve">chamber slides. </w:t>
      </w:r>
    </w:p>
    <w:p w14:paraId="1212FFF2" w14:textId="3825DD13" w:rsidR="00DD6EB9" w:rsidRPr="000A7B67" w:rsidRDefault="00DD6EB9" w:rsidP="00A27900">
      <w:pPr>
        <w:pStyle w:val="i"/>
      </w:pPr>
      <w:r w:rsidRPr="000A7B67">
        <w:t>iv)</w:t>
      </w:r>
      <w:r w:rsidRPr="000A7B67">
        <w:tab/>
        <w:t xml:space="preserve">Control charts should be used for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naïve serum and positive standard dog serum.</w:t>
      </w:r>
    </w:p>
    <w:p w14:paraId="7DF1A5B3" w14:textId="4DCA7586" w:rsidR="00DD6EB9" w:rsidRPr="000A7B67" w:rsidRDefault="00DD6EB9" w:rsidP="00A27900">
      <w:pPr>
        <w:pStyle w:val="i"/>
      </w:pPr>
      <w:r w:rsidRPr="000A7B67">
        <w:t>v)</w:t>
      </w:r>
      <w:r w:rsidRPr="000A7B67">
        <w:tab/>
        <w:t xml:space="preserve">The back titration of the CVS virus, as well as the naïve serum and positive standard dog, </w:t>
      </w:r>
      <w:r w:rsidR="00A064B8">
        <w:t>WOAH</w:t>
      </w:r>
      <w:r w:rsidR="00EC4BB5" w:rsidRPr="000A7B67">
        <w:t xml:space="preserve"> Reference Serum </w:t>
      </w:r>
      <w:r w:rsidRPr="000A7B67">
        <w:t xml:space="preserve">must be present on control plate. </w:t>
      </w:r>
    </w:p>
    <w:p w14:paraId="3A6ECC79" w14:textId="77777777" w:rsidR="00DD6EB9" w:rsidRPr="000A7B67" w:rsidRDefault="00DD6EB9" w:rsidP="00A27900">
      <w:pPr>
        <w:pStyle w:val="i"/>
      </w:pPr>
      <w:r w:rsidRPr="000A7B67">
        <w:t>vi)</w:t>
      </w:r>
      <w:r w:rsidRPr="000A7B67">
        <w:tab/>
        <w:t>Reading method for the test: each chamber slide should contain 25–50 fields and be observed at ×160–200 magnification</w:t>
      </w:r>
      <w:r w:rsidR="00471476" w:rsidRPr="000A7B67">
        <w:t xml:space="preserve"> or 20 fields and be observed at </w:t>
      </w:r>
      <w:r w:rsidR="00465DA6" w:rsidRPr="000A7B67">
        <w:t>×</w:t>
      </w:r>
      <w:r w:rsidR="00471476" w:rsidRPr="000A7B67">
        <w:t>100 magnification</w:t>
      </w:r>
      <w:r w:rsidRPr="000A7B67">
        <w:t xml:space="preserve">. </w:t>
      </w:r>
    </w:p>
    <w:p w14:paraId="47A70EF4" w14:textId="77777777" w:rsidR="00DD6EB9" w:rsidRPr="000A7B67" w:rsidRDefault="00DD6EB9" w:rsidP="00E24C64">
      <w:pPr>
        <w:pStyle w:val="i"/>
        <w:spacing w:after="240"/>
      </w:pPr>
      <w:r w:rsidRPr="000A7B67">
        <w:t>vii)</w:t>
      </w:r>
      <w:r w:rsidRPr="000A7B67">
        <w:tab/>
      </w:r>
      <w:r w:rsidR="0078691B" w:rsidRPr="000A7B67">
        <w:t>C</w:t>
      </w:r>
      <w:r w:rsidRPr="000A7B67">
        <w:t>onver</w:t>
      </w:r>
      <w:r w:rsidR="0078691B" w:rsidRPr="000A7B67">
        <w:t>t</w:t>
      </w:r>
      <w:r w:rsidRPr="000A7B67">
        <w:t xml:space="preserve"> log D</w:t>
      </w:r>
      <w:r w:rsidR="00E24C64" w:rsidRPr="00D9477C">
        <w:rPr>
          <w:vertAlign w:val="subscript"/>
        </w:rPr>
        <w:t>50</w:t>
      </w:r>
      <w:r w:rsidRPr="000A7B67">
        <w:t xml:space="preserve"> to IU/ml</w:t>
      </w:r>
      <w:r w:rsidR="0078691B" w:rsidRPr="000A7B67">
        <w:t xml:space="preserve"> of test sera using </w:t>
      </w:r>
      <w:r w:rsidRPr="000A7B67">
        <w:t>the log D</w:t>
      </w:r>
      <w:r w:rsidR="00E24C64" w:rsidRPr="00D9477C">
        <w:rPr>
          <w:vertAlign w:val="subscript"/>
        </w:rPr>
        <w:t>50</w:t>
      </w:r>
      <w:r w:rsidRPr="000A7B67">
        <w:t xml:space="preserve"> value of the </w:t>
      </w:r>
      <w:r w:rsidR="0078691B" w:rsidRPr="000A7B67">
        <w:t>recogni</w:t>
      </w:r>
      <w:r w:rsidR="00984468" w:rsidRPr="000A7B67">
        <w:t>s</w:t>
      </w:r>
      <w:r w:rsidR="0078691B" w:rsidRPr="000A7B67">
        <w:t xml:space="preserve">ed </w:t>
      </w:r>
      <w:r w:rsidRPr="000A7B67">
        <w:t xml:space="preserve">standard serum </w:t>
      </w:r>
      <w:r w:rsidR="0078691B" w:rsidRPr="000A7B67">
        <w:t>diluted to a potency of 2.0 IU/ml</w:t>
      </w:r>
      <w:r w:rsidRPr="000A7B67">
        <w:t>.</w:t>
      </w:r>
      <w:r w:rsidR="00EC4BB5" w:rsidRPr="000A7B67">
        <w:t xml:space="preserve"> </w:t>
      </w:r>
    </w:p>
    <w:p w14:paraId="6EF58E0A" w14:textId="77777777" w:rsidR="00DD6EB9" w:rsidRPr="000A7B67" w:rsidRDefault="00DD6EB9" w:rsidP="00A27900">
      <w:pPr>
        <w:pStyle w:val="11"/>
      </w:pPr>
      <w:r w:rsidRPr="000A7B67">
        <w:t>2.3.</w:t>
      </w:r>
      <w:r w:rsidRPr="000A7B67">
        <w:tab/>
        <w:t xml:space="preserve">Enzyme-linked immunosorbent assay </w:t>
      </w:r>
      <w:r w:rsidR="00230BD5" w:rsidRPr="000A7B67">
        <w:t>(ELISA)</w:t>
      </w:r>
    </w:p>
    <w:p w14:paraId="5D5708F2" w14:textId="184B0B29" w:rsidR="00DD6EB9" w:rsidRPr="000A7B67" w:rsidRDefault="00DD6EB9" w:rsidP="00230BD5">
      <w:pPr>
        <w:pStyle w:val="11Para"/>
      </w:pPr>
      <w:r w:rsidRPr="000A7B67">
        <w:t xml:space="preserve">ELISAs provide a rapid serological test that avoids the requirement to handle live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w:t>
      </w:r>
      <w:r w:rsidR="00230BD5" w:rsidRPr="000A7B67">
        <w:t xml:space="preserve">Those tests detect antibodies that can specifically bind to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00230BD5" w:rsidRPr="000A7B67">
        <w:t xml:space="preserve">antigens, primarily the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00230BD5" w:rsidRPr="000A7B67">
        <w:t xml:space="preserve">glycoprotein and nucleoprotein. </w:t>
      </w:r>
      <w:r w:rsidRPr="000A7B67">
        <w:t>None of the available direct</w:t>
      </w:r>
      <w:r w:rsidR="003C78BC" w:rsidRPr="000A7B67">
        <w:t>,</w:t>
      </w:r>
      <w:r w:rsidRPr="000A7B67">
        <w:t xml:space="preserve"> indirect or competitive ELISAs </w:t>
      </w:r>
      <w:r w:rsidR="002B63E5">
        <w:t>is</w:t>
      </w:r>
      <w:r w:rsidRPr="000A7B67">
        <w:t xml:space="preserve"> validated for international animal movement or trade</w:t>
      </w:r>
      <w:r w:rsidR="009520C8" w:rsidRPr="000A7B67">
        <w:t xml:space="preserve"> (Wasniewski </w:t>
      </w:r>
      <w:r w:rsidR="009520C8" w:rsidRPr="000A7B67">
        <w:rPr>
          <w:i/>
        </w:rPr>
        <w:t>et al.,</w:t>
      </w:r>
      <w:r w:rsidR="009520C8" w:rsidRPr="000A7B67">
        <w:t xml:space="preserve"> 2014)</w:t>
      </w:r>
      <w:r w:rsidR="004E2B26" w:rsidRPr="000A7B67">
        <w:t xml:space="preserve">. However, ELISAs are a useful tool </w:t>
      </w:r>
      <w:r w:rsidR="00EC4BB5" w:rsidRPr="000A7B67">
        <w:t>for monitoring rabies vaccination campaigns in wildlife species</w:t>
      </w:r>
      <w:r w:rsidR="00E677D1" w:rsidRPr="000A7B67">
        <w:t xml:space="preserve"> provided they are properly validated for this purpose</w:t>
      </w:r>
      <w:r w:rsidRPr="000A7B67">
        <w:t>.</w:t>
      </w:r>
      <w:r w:rsidR="00E677D1" w:rsidRPr="000A7B67">
        <w:t xml:space="preserve"> A commercial ELISA has been recommended for monitoring rabies vaccination campaigns in foxes and raccoon dogs (</w:t>
      </w:r>
      <w:r w:rsidR="00230BD5" w:rsidRPr="000A7B67">
        <w:t xml:space="preserve">Wasniewski </w:t>
      </w:r>
      <w:r w:rsidR="00230BD5" w:rsidRPr="000A7B67">
        <w:rPr>
          <w:i/>
        </w:rPr>
        <w:t>et al.,</w:t>
      </w:r>
      <w:r w:rsidR="00230BD5" w:rsidRPr="000A7B67">
        <w:t xml:space="preserve"> 2016).</w:t>
      </w:r>
    </w:p>
    <w:p w14:paraId="6EFF1ABB" w14:textId="77777777" w:rsidR="00DD6EB9" w:rsidRPr="000A7B67" w:rsidRDefault="00DD6EB9" w:rsidP="00EF28D6">
      <w:pPr>
        <w:pStyle w:val="1"/>
        <w:keepNext/>
      </w:pPr>
      <w:r w:rsidRPr="000A7B67">
        <w:t>3.</w:t>
      </w:r>
      <w:r w:rsidRPr="000A7B67">
        <w:tab/>
        <w:t>Quality assurance</w:t>
      </w:r>
    </w:p>
    <w:p w14:paraId="4BB16A93" w14:textId="5ACD9B48" w:rsidR="00DD6EB9" w:rsidRPr="000A7B67" w:rsidRDefault="00DD6EB9" w:rsidP="00E24C64">
      <w:pPr>
        <w:pStyle w:val="1Para"/>
        <w:spacing w:after="480"/>
      </w:pPr>
      <w:r w:rsidRPr="000A7B67">
        <w:t xml:space="preserve">Annual participation in inter-laboratory proficiency testing is highly encouraged as part of quality assurance schemes; such tests should be organised for Regional Laboratories by the National Reference Laboratories, while the latter in turn should participate in international proficiency tests organised by </w:t>
      </w:r>
      <w:r w:rsidR="00A064B8">
        <w:t>WOAH</w:t>
      </w:r>
      <w:r w:rsidRPr="000A7B67">
        <w:t xml:space="preserve"> Reference Laboratories. Whenever possible, international accreditation of a laboratory should be considered (see Chapter 1.1.5 </w:t>
      </w:r>
      <w:r w:rsidRPr="000A7B67">
        <w:rPr>
          <w:i/>
        </w:rPr>
        <w:t>Quality management and veterinary testing laboratories</w:t>
      </w:r>
      <w:r w:rsidRPr="000A7B67">
        <w:t>).</w:t>
      </w:r>
    </w:p>
    <w:p w14:paraId="70525FF1" w14:textId="77777777" w:rsidR="00DD6EB9" w:rsidRPr="000A7B67" w:rsidRDefault="00DD6EB9" w:rsidP="006C4189">
      <w:pPr>
        <w:pStyle w:val="A"/>
        <w:keepNext/>
      </w:pPr>
      <w:r w:rsidRPr="000A7B67">
        <w:t>C.  REQUIREMENTS FOR VACCINES</w:t>
      </w:r>
    </w:p>
    <w:p w14:paraId="233798E3" w14:textId="77777777" w:rsidR="00DD6EB9" w:rsidRPr="000A7B67" w:rsidRDefault="00DD6EB9" w:rsidP="00A27900">
      <w:pPr>
        <w:pStyle w:val="1"/>
      </w:pPr>
      <w:r w:rsidRPr="000A7B67">
        <w:t>1.</w:t>
      </w:r>
      <w:r w:rsidRPr="000A7B67">
        <w:tab/>
        <w:t>General background</w:t>
      </w:r>
    </w:p>
    <w:p w14:paraId="26F10B84" w14:textId="77777777" w:rsidR="009171C2" w:rsidRPr="000A7B67" w:rsidRDefault="009171C2" w:rsidP="009171C2">
      <w:pPr>
        <w:pStyle w:val="1Para"/>
      </w:pPr>
      <w:r w:rsidRPr="000A7B67">
        <w:t xml:space="preserve">The prevention and control of rabies in a country is a national responsibility and, in many countries, the vaccine may be used only under the control of the Competent Authority. Guidelines for the production of veterinary vaccines are given in Chapter 1.1.8 </w:t>
      </w:r>
      <w:r w:rsidRPr="000A7B67">
        <w:rPr>
          <w:i/>
        </w:rPr>
        <w:t>Principles of veterinary vaccine production</w:t>
      </w:r>
      <w:r w:rsidRPr="000A7B67">
        <w:t xml:space="preserve">. The guidelines given here and in chapter 1.1.8 are intended to be general in nature and may be supplemented by national and regional requirements. Varying requirements relating to quality, safety and efficacy apply in particular countries or regions for manufacturers to obtain </w:t>
      </w:r>
      <w:r w:rsidR="009971B1" w:rsidRPr="000A7B67">
        <w:t>relevant regulatory approval</w:t>
      </w:r>
      <w:r w:rsidR="009971B1" w:rsidRPr="000A7B67" w:rsidDel="009971B1">
        <w:t xml:space="preserve"> </w:t>
      </w:r>
      <w:r w:rsidRPr="000A7B67">
        <w:t>for a veterinary vaccine. Where possible, manufacturers should seek to obtain such a licence or authorisation for their rabies vaccines as independent verification of the quality of their product.</w:t>
      </w:r>
      <w:r w:rsidR="00BF2CD3" w:rsidRPr="000A7B67">
        <w:t xml:space="preserve"> </w:t>
      </w:r>
      <w:r w:rsidR="00502F30" w:rsidRPr="000A7B67">
        <w:t>International</w:t>
      </w:r>
      <w:r w:rsidR="00584E61" w:rsidRPr="000A7B67">
        <w:t>ly</w:t>
      </w:r>
      <w:r w:rsidR="00502F30" w:rsidRPr="000A7B67">
        <w:t xml:space="preserve"> and national</w:t>
      </w:r>
      <w:r w:rsidR="00584E61" w:rsidRPr="000A7B67">
        <w:t>ly</w:t>
      </w:r>
      <w:r w:rsidR="00502F30" w:rsidRPr="000A7B67">
        <w:t xml:space="preserve"> recogni</w:t>
      </w:r>
      <w:r w:rsidR="00584E61" w:rsidRPr="000A7B67">
        <w:t>s</w:t>
      </w:r>
      <w:r w:rsidR="00502F30" w:rsidRPr="000A7B67">
        <w:t xml:space="preserve">ed regulations for animal experimentation should be followed </w:t>
      </w:r>
      <w:r w:rsidR="00CA4308" w:rsidRPr="000A7B67">
        <w:t>in</w:t>
      </w:r>
      <w:r w:rsidR="00502F30" w:rsidRPr="000A7B67">
        <w:t xml:space="preserve"> </w:t>
      </w:r>
      <w:r w:rsidR="0010512C" w:rsidRPr="000A7B67">
        <w:t xml:space="preserve">all stages of </w:t>
      </w:r>
      <w:r w:rsidR="00CA4308" w:rsidRPr="000A7B67">
        <w:t xml:space="preserve">rabies vaccine </w:t>
      </w:r>
      <w:r w:rsidR="00502F30" w:rsidRPr="000A7B67">
        <w:t xml:space="preserve">development and production. </w:t>
      </w:r>
    </w:p>
    <w:p w14:paraId="085392A2" w14:textId="64D31AC8" w:rsidR="009171C2" w:rsidRPr="000A7B67" w:rsidRDefault="009171C2" w:rsidP="009171C2">
      <w:pPr>
        <w:pStyle w:val="1Para"/>
      </w:pPr>
      <w:r w:rsidRPr="000A7B67">
        <w:t xml:space="preserve">Virulent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Pr="000A7B67">
        <w:t>may be used to produce inactivated rabies vaccine; consequently, the rabies vaccine production facility should operate under the appropriate biosafety procedures and practices. The facility should meet the requirements for containment outlined in chapter 1.1.4 and WHO (2005).</w:t>
      </w:r>
    </w:p>
    <w:p w14:paraId="092D15DD" w14:textId="50448E85" w:rsidR="009171C2" w:rsidRDefault="009171C2" w:rsidP="009171C2">
      <w:pPr>
        <w:pStyle w:val="1Para"/>
      </w:pPr>
      <w:r w:rsidRPr="000A7B67">
        <w:t>Rabies vaccines are defined as a standardised formulation containing defined amounts of immunogens. These immunogens are either inactivated (killed), live-attenuated or biotechnology-derived as described in chapter 1.1.8.</w:t>
      </w:r>
    </w:p>
    <w:p w14:paraId="21AC7DED" w14:textId="77777777" w:rsidR="009171C2" w:rsidRPr="000A7B67" w:rsidRDefault="009971B1" w:rsidP="009171C2">
      <w:pPr>
        <w:pStyle w:val="1Para"/>
      </w:pPr>
      <w:r w:rsidRPr="000A7B67">
        <w:t xml:space="preserve">Authorised </w:t>
      </w:r>
      <w:r w:rsidR="009171C2" w:rsidRPr="000A7B67">
        <w:t xml:space="preserve">vaccines for the parenteral vaccination of domestic animals and oral vaccines for the immunisation of wild animals and free-roaming dogs are available. These vaccines are frequently used off-label. </w:t>
      </w:r>
    </w:p>
    <w:p w14:paraId="7167C13D" w14:textId="08A50E9B" w:rsidR="009171C2" w:rsidRPr="000A7B67" w:rsidRDefault="009171C2" w:rsidP="009171C2">
      <w:pPr>
        <w:pStyle w:val="1Para"/>
      </w:pPr>
      <w:r>
        <w:t>Oral rabies vaccination (ORV) has been successfully used to control the disease in certain wildlife reservoir species (</w:t>
      </w:r>
      <w:proofErr w:type="spellStart"/>
      <w:r>
        <w:t>Cliquet</w:t>
      </w:r>
      <w:proofErr w:type="spellEnd"/>
      <w:r>
        <w:t xml:space="preserve"> </w:t>
      </w:r>
      <w:r w:rsidRPr="0C08F6F3">
        <w:rPr>
          <w:i/>
          <w:iCs/>
        </w:rPr>
        <w:t>et al</w:t>
      </w:r>
      <w:r>
        <w:t xml:space="preserve">., 2012; Freuling </w:t>
      </w:r>
      <w:r w:rsidRPr="0C08F6F3">
        <w:rPr>
          <w:i/>
          <w:iCs/>
        </w:rPr>
        <w:t>et al.,</w:t>
      </w:r>
      <w:r>
        <w:t xml:space="preserve"> 2013). However, because dog-mediated human rabies is a candidate for global elimination, the dog should be considered a main target for rabies elimination</w:t>
      </w:r>
      <w:r w:rsidR="00FC32AA">
        <w:t xml:space="preserve">; </w:t>
      </w:r>
      <w:r w:rsidR="00FC32AA" w:rsidRPr="00FC32AA">
        <w:rPr>
          <w:u w:val="double"/>
        </w:rPr>
        <w:t>more than 99% of all human cases of rabies are caused by dogs</w:t>
      </w:r>
      <w:r>
        <w:t xml:space="preserve">. Countries should assess the need for both </w:t>
      </w:r>
      <w:r w:rsidR="00FF2CDD">
        <w:t xml:space="preserve">ORV </w:t>
      </w:r>
      <w:r>
        <w:t>of dogs and parenteral vaccination in their rabies control strategy.</w:t>
      </w:r>
      <w:r w:rsidR="00FC32AA">
        <w:t xml:space="preserve"> P</w:t>
      </w:r>
      <w:r>
        <w:t xml:space="preserve">arenteral vaccination of dogs should remain the foundation of mass vaccination campaigns. Apart from mass parenteral vaccination (carried out concurrently or sequentially), the use of oral vaccination, especially in free-roaming and inaccessible dogs, taking into account structure and accessibility of the dog population, should represent a complementary measure for the improvement of the overall vaccination coverage in dog rabies control programmes (WHO, 2013). For </w:t>
      </w:r>
      <w:r w:rsidR="00FF2CDD">
        <w:t>ORV of dogs</w:t>
      </w:r>
      <w:r>
        <w:t>, the handout and retrieve model should be used</w:t>
      </w:r>
      <w:r w:rsidR="00AF08C7">
        <w:t xml:space="preserve"> </w:t>
      </w:r>
      <w:r w:rsidR="00AF08C7" w:rsidRPr="00112124">
        <w:rPr>
          <w:u w:val="double"/>
        </w:rPr>
        <w:t>preferably unless the situation requires other means of distribution</w:t>
      </w:r>
      <w:r>
        <w:t>.</w:t>
      </w:r>
    </w:p>
    <w:p w14:paraId="346D40B0" w14:textId="6D2CFB14" w:rsidR="009171C2" w:rsidRPr="000A7B67" w:rsidRDefault="009171C2" w:rsidP="009171C2">
      <w:pPr>
        <w:pStyle w:val="1Para"/>
      </w:pPr>
      <w:r w:rsidRPr="000A7B67">
        <w:t xml:space="preserve">An optimal individual or combination vaccination strategy for both vaccination of wildlife (ORV </w:t>
      </w:r>
      <w:r w:rsidR="00C14ADB" w:rsidRPr="000A7B67">
        <w:t>with or without</w:t>
      </w:r>
      <w:r w:rsidRPr="000A7B67">
        <w:t xml:space="preserve"> Trap-Vaccinate-Release) and dogs (Central Point Vaccination, House-to-House vaccination, </w:t>
      </w:r>
      <w:r w:rsidR="00C14ADB" w:rsidRPr="000A7B67">
        <w:t xml:space="preserve">with or without </w:t>
      </w:r>
      <w:r w:rsidR="00EC6816" w:rsidRPr="000A7B67">
        <w:t>ORV</w:t>
      </w:r>
      <w:r w:rsidRPr="000A7B67">
        <w:t xml:space="preserve">) should be determined by taking the size of the target species population into account. As regards ORV of wildlife and </w:t>
      </w:r>
      <w:r w:rsidR="00EC6816" w:rsidRPr="000A7B67">
        <w:t>dogs</w:t>
      </w:r>
      <w:r w:rsidRPr="000A7B67">
        <w:t xml:space="preserve">, oral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Pr="000A7B67">
        <w:t xml:space="preserve">vaccine bait candidates should be selected based on efficacy and safety profiles. Monitoring of human exposure to oral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Pr="000A7B67">
        <w:t>vaccines and risk management should be undertaken. Under specific circumstances, vaccination of other susceptible companion animals and livestock would be beneficial and should be considered as part of any national vaccination programme.</w:t>
      </w:r>
    </w:p>
    <w:p w14:paraId="5E577FC5" w14:textId="78366B7F" w:rsidR="00DD6EB9" w:rsidRPr="000A7B67" w:rsidRDefault="00DD6EB9" w:rsidP="00A27900">
      <w:pPr>
        <w:pStyle w:val="1"/>
      </w:pPr>
      <w:r w:rsidRPr="000A7B67">
        <w:t>2.</w:t>
      </w:r>
      <w:r w:rsidRPr="000A7B67">
        <w:tab/>
        <w:t>Rabies vaccine for injectable use</w:t>
      </w:r>
    </w:p>
    <w:p w14:paraId="5DCD8E9E" w14:textId="77777777" w:rsidR="00DD6EB9" w:rsidRPr="000A7B67" w:rsidRDefault="00DD6EB9" w:rsidP="00A27900">
      <w:pPr>
        <w:pStyle w:val="11"/>
      </w:pPr>
      <w:r w:rsidRPr="000A7B67">
        <w:t>2.1.</w:t>
      </w:r>
      <w:r w:rsidRPr="000A7B67">
        <w:tab/>
        <w:t>Background</w:t>
      </w:r>
    </w:p>
    <w:p w14:paraId="6B5BB1BB" w14:textId="3E6FA955" w:rsidR="00614B57" w:rsidRDefault="00DD6EB9" w:rsidP="00A27900">
      <w:pPr>
        <w:pStyle w:val="11Para"/>
      </w:pPr>
      <w:r w:rsidRPr="000A7B67">
        <w:t xml:space="preserve">The principal rationale for the use of </w:t>
      </w:r>
      <w:r w:rsidRPr="00614B57">
        <w:rPr>
          <w:strike/>
          <w:highlight w:val="yellow"/>
        </w:rPr>
        <w:t>injectable</w:t>
      </w:r>
      <w:r w:rsidRPr="00614B57">
        <w:rPr>
          <w:strike/>
        </w:rPr>
        <w:t xml:space="preserve"> </w:t>
      </w:r>
      <w:r w:rsidRPr="000A7B67">
        <w:t xml:space="preserve">rabies vaccine is to protect animals and, as a consequence, humans. </w:t>
      </w:r>
      <w:bookmarkStart w:id="3" w:name="_Hlk128404700"/>
      <w:r w:rsidR="00750432" w:rsidRPr="003055CF">
        <w:rPr>
          <w:highlight w:val="yellow"/>
          <w:u w:val="double"/>
        </w:rPr>
        <w:t xml:space="preserve">For </w:t>
      </w:r>
      <w:r w:rsidR="00F515A9">
        <w:rPr>
          <w:highlight w:val="yellow"/>
          <w:u w:val="double"/>
        </w:rPr>
        <w:t xml:space="preserve">injectable </w:t>
      </w:r>
      <w:r w:rsidR="00750432" w:rsidRPr="003055CF">
        <w:rPr>
          <w:highlight w:val="yellow"/>
          <w:u w:val="double"/>
        </w:rPr>
        <w:t xml:space="preserve">rabies vaccination in animals, inactivated virus (for </w:t>
      </w:r>
      <w:r w:rsidR="002A4324">
        <w:rPr>
          <w:highlight w:val="yellow"/>
          <w:u w:val="double"/>
        </w:rPr>
        <w:t xml:space="preserve">companion animals and </w:t>
      </w:r>
      <w:r w:rsidR="00F515A9" w:rsidRPr="00F515A9">
        <w:rPr>
          <w:highlight w:val="yellow"/>
          <w:u w:val="double"/>
        </w:rPr>
        <w:t>livestock</w:t>
      </w:r>
      <w:r w:rsidR="00750432" w:rsidRPr="00F515A9">
        <w:rPr>
          <w:highlight w:val="yellow"/>
          <w:u w:val="double"/>
        </w:rPr>
        <w:t xml:space="preserve">), and recombinant </w:t>
      </w:r>
      <w:r w:rsidR="00750432" w:rsidRPr="003055CF">
        <w:rPr>
          <w:highlight w:val="yellow"/>
          <w:u w:val="double"/>
        </w:rPr>
        <w:t xml:space="preserve">vaccines (for </w:t>
      </w:r>
      <w:r w:rsidR="002A4324">
        <w:rPr>
          <w:highlight w:val="yellow"/>
          <w:u w:val="double"/>
        </w:rPr>
        <w:t>cats</w:t>
      </w:r>
      <w:r w:rsidR="00750432" w:rsidRPr="003055CF">
        <w:rPr>
          <w:highlight w:val="yellow"/>
          <w:u w:val="double"/>
        </w:rPr>
        <w:t xml:space="preserve">) are </w:t>
      </w:r>
      <w:r w:rsidR="00750432" w:rsidRPr="00614B57">
        <w:rPr>
          <w:highlight w:val="yellow"/>
          <w:u w:val="double"/>
        </w:rPr>
        <w:t>used</w:t>
      </w:r>
      <w:r w:rsidR="003055CF" w:rsidRPr="00614B57">
        <w:rPr>
          <w:highlight w:val="yellow"/>
          <w:u w:val="double"/>
        </w:rPr>
        <w:t>.</w:t>
      </w:r>
      <w:r w:rsidR="003055CF" w:rsidRPr="00614B57">
        <w:rPr>
          <w:highlight w:val="yellow"/>
        </w:rPr>
        <w:t xml:space="preserve"> </w:t>
      </w:r>
      <w:r w:rsidRPr="00614B57">
        <w:rPr>
          <w:strike/>
          <w:highlight w:val="yellow"/>
        </w:rPr>
        <w:t xml:space="preserve">Live-attenuated vaccines were widely used for injection in domestic </w:t>
      </w:r>
      <w:r w:rsidRPr="00E15622">
        <w:rPr>
          <w:strike/>
          <w:highlight w:val="yellow"/>
        </w:rPr>
        <w:t xml:space="preserve">animals. However, several of these products </w:t>
      </w:r>
      <w:r w:rsidR="00E15622">
        <w:rPr>
          <w:highlight w:val="yellow"/>
          <w:u w:val="double"/>
        </w:rPr>
        <w:t>As injectable l</w:t>
      </w:r>
      <w:r w:rsidR="00614B57" w:rsidRPr="00614B57">
        <w:rPr>
          <w:highlight w:val="yellow"/>
          <w:u w:val="double"/>
        </w:rPr>
        <w:t>ive-attenuated vaccines</w:t>
      </w:r>
      <w:r w:rsidR="00614B57" w:rsidRPr="00614B57">
        <w:t xml:space="preserve"> </w:t>
      </w:r>
      <w:r w:rsidRPr="000A7B67">
        <w:t>have been documented to cause vaccine-induced rabies</w:t>
      </w:r>
      <w:r w:rsidR="00E15622">
        <w:t xml:space="preserve"> </w:t>
      </w:r>
      <w:r w:rsidR="00E15622" w:rsidRPr="00E15622">
        <w:rPr>
          <w:highlight w:val="yellow"/>
          <w:u w:val="double"/>
        </w:rPr>
        <w:t xml:space="preserve">(Bellinger </w:t>
      </w:r>
      <w:r w:rsidR="00E15622" w:rsidRPr="00E15622">
        <w:rPr>
          <w:i/>
          <w:highlight w:val="yellow"/>
          <w:u w:val="double"/>
        </w:rPr>
        <w:t>et al</w:t>
      </w:r>
      <w:r w:rsidR="00E15622" w:rsidRPr="00E15622">
        <w:rPr>
          <w:highlight w:val="yellow"/>
          <w:u w:val="double"/>
        </w:rPr>
        <w:t xml:space="preserve">., 1983; Esh </w:t>
      </w:r>
      <w:r w:rsidR="00E15622" w:rsidRPr="00E15622">
        <w:rPr>
          <w:i/>
          <w:highlight w:val="yellow"/>
          <w:u w:val="double"/>
        </w:rPr>
        <w:t>et al</w:t>
      </w:r>
      <w:r w:rsidR="00E15622" w:rsidRPr="00E15622">
        <w:rPr>
          <w:highlight w:val="yellow"/>
          <w:u w:val="double"/>
        </w:rPr>
        <w:t>., 1982)</w:t>
      </w:r>
      <w:r w:rsidRPr="00E15622">
        <w:rPr>
          <w:strike/>
          <w:highlight w:val="yellow"/>
        </w:rPr>
        <w:t xml:space="preserve">, and therefore injectable </w:t>
      </w:r>
      <w:r w:rsidR="00E15622" w:rsidRPr="00E15622">
        <w:rPr>
          <w:highlight w:val="yellow"/>
          <w:u w:val="double"/>
        </w:rPr>
        <w:t>their</w:t>
      </w:r>
      <w:r w:rsidR="00E15622" w:rsidRPr="00E15622">
        <w:t xml:space="preserve"> use</w:t>
      </w:r>
      <w:r w:rsidR="00614B57" w:rsidRPr="00614B57">
        <w:t xml:space="preserve"> </w:t>
      </w:r>
      <w:r w:rsidRPr="000A7B67">
        <w:t>should be discontinued</w:t>
      </w:r>
      <w:r w:rsidRPr="00E15622">
        <w:rPr>
          <w:strike/>
        </w:rPr>
        <w:t xml:space="preserve"> </w:t>
      </w:r>
      <w:bookmarkEnd w:id="3"/>
      <w:r w:rsidRPr="00E15622">
        <w:rPr>
          <w:strike/>
          <w:highlight w:val="yellow"/>
        </w:rPr>
        <w:t xml:space="preserve">(Bellinger </w:t>
      </w:r>
      <w:r w:rsidR="00944968" w:rsidRPr="00E15622">
        <w:rPr>
          <w:i/>
          <w:strike/>
          <w:highlight w:val="yellow"/>
        </w:rPr>
        <w:t>et al</w:t>
      </w:r>
      <w:r w:rsidRPr="00E15622">
        <w:rPr>
          <w:strike/>
          <w:highlight w:val="yellow"/>
        </w:rPr>
        <w:t xml:space="preserve">., 1983; Esh </w:t>
      </w:r>
      <w:r w:rsidR="00944968" w:rsidRPr="00E15622">
        <w:rPr>
          <w:i/>
          <w:strike/>
          <w:highlight w:val="yellow"/>
        </w:rPr>
        <w:t>et al</w:t>
      </w:r>
      <w:r w:rsidRPr="00E15622">
        <w:rPr>
          <w:strike/>
          <w:highlight w:val="yellow"/>
        </w:rPr>
        <w:t>., 1982)</w:t>
      </w:r>
      <w:r w:rsidRPr="000A7B67">
        <w:t>.</w:t>
      </w:r>
      <w:r w:rsidR="00614B57">
        <w:t xml:space="preserve"> </w:t>
      </w:r>
    </w:p>
    <w:p w14:paraId="0B8B18A3" w14:textId="318E2FD7" w:rsidR="00D52D78" w:rsidRPr="008914EE" w:rsidRDefault="00DD6EB9" w:rsidP="00A27900">
      <w:pPr>
        <w:pStyle w:val="11Para"/>
        <w:rPr>
          <w:strike/>
        </w:rPr>
      </w:pPr>
      <w:r w:rsidRPr="008914EE">
        <w:rPr>
          <w:strike/>
        </w:rPr>
        <w:t xml:space="preserve">Rabies virus glycoprotein biotechnology-derived vector vaccines are prepared by inserting non-infectious rabies virus nucleic acid coding for rabies virus glycoprotein into a vector such as </w:t>
      </w:r>
      <w:proofErr w:type="spellStart"/>
      <w:r w:rsidRPr="008914EE">
        <w:rPr>
          <w:strike/>
        </w:rPr>
        <w:t>avipox</w:t>
      </w:r>
      <w:proofErr w:type="spellEnd"/>
      <w:r w:rsidRPr="008914EE">
        <w:rPr>
          <w:strike/>
        </w:rPr>
        <w:t xml:space="preserve"> for injectable vaccine (WHO, 1996).</w:t>
      </w:r>
    </w:p>
    <w:p w14:paraId="2E6118AF" w14:textId="496ECAF9" w:rsidR="00DD6EB9" w:rsidRDefault="00DD6EB9" w:rsidP="00A27900">
      <w:pPr>
        <w:pStyle w:val="11Para"/>
        <w:rPr>
          <w:strike/>
        </w:rPr>
      </w:pPr>
      <w:r w:rsidRPr="008914EE">
        <w:rPr>
          <w:strike/>
        </w:rPr>
        <w:t xml:space="preserve">As these do not contain live rabies virus, animals vaccinated with such vaccines should not be restricted from entry into countries (Taylor </w:t>
      </w:r>
      <w:r w:rsidR="00944968" w:rsidRPr="008914EE">
        <w:rPr>
          <w:i/>
          <w:iCs/>
          <w:strike/>
        </w:rPr>
        <w:t>et al</w:t>
      </w:r>
      <w:r w:rsidRPr="008914EE">
        <w:rPr>
          <w:strike/>
        </w:rPr>
        <w:t xml:space="preserve">., 1991). </w:t>
      </w:r>
    </w:p>
    <w:p w14:paraId="3A6D8507" w14:textId="571BA8D3" w:rsidR="00595C34" w:rsidRPr="00595C34" w:rsidRDefault="00595C34" w:rsidP="00A27900">
      <w:pPr>
        <w:pStyle w:val="11Para"/>
        <w:rPr>
          <w:strike/>
          <w:u w:val="double"/>
        </w:rPr>
      </w:pPr>
      <w:r w:rsidRPr="25F0BC72">
        <w:rPr>
          <w:u w:val="double"/>
        </w:rPr>
        <w:t xml:space="preserve">Rabies virus glycoprotein biotechnology-derived vector vaccines are prepared by inserting non-infectious rabies virus nucleic acid coding for rabies virus glycoprotein into a vector such as </w:t>
      </w:r>
      <w:proofErr w:type="spellStart"/>
      <w:r w:rsidRPr="25F0BC72">
        <w:rPr>
          <w:u w:val="double"/>
        </w:rPr>
        <w:t>avipox</w:t>
      </w:r>
      <w:proofErr w:type="spellEnd"/>
      <w:r w:rsidRPr="25F0BC72">
        <w:rPr>
          <w:u w:val="double"/>
        </w:rPr>
        <w:t xml:space="preserve"> for injectable vaccine (WHO, </w:t>
      </w:r>
      <w:r w:rsidR="009F104D" w:rsidRPr="25F0BC72">
        <w:rPr>
          <w:u w:val="double"/>
        </w:rPr>
        <w:t>2018</w:t>
      </w:r>
      <w:r w:rsidRPr="25F0BC72">
        <w:rPr>
          <w:u w:val="double"/>
        </w:rPr>
        <w:t xml:space="preserve">). </w:t>
      </w:r>
      <w:r w:rsidRPr="25F0BC72">
        <w:rPr>
          <w:rFonts w:cstheme="minorBidi"/>
          <w:u w:val="double"/>
          <w:lang w:val="en-US"/>
        </w:rPr>
        <w:t xml:space="preserve">Alternatively, non-replication competent constructs (e.g. virus like particles [VLPs], replicon vaccines, mRNA vaccines, plasmid vaccines or subunit vaccines etc.) or replication restricted rabies vaccine constructs (e.g. single cell cycle rabies vaccines), may be available for injectable use in the future (see Chapter 1.1.8). While the same efficacy requirements apply in principle to </w:t>
      </w:r>
      <w:r w:rsidRPr="25F0BC72">
        <w:rPr>
          <w:u w:val="double"/>
          <w:lang w:val="en-US"/>
        </w:rPr>
        <w:t xml:space="preserve">these </w:t>
      </w:r>
      <w:r w:rsidRPr="25F0BC72">
        <w:rPr>
          <w:rFonts w:cstheme="minorBidi"/>
          <w:u w:val="double"/>
          <w:lang w:val="en-US"/>
        </w:rPr>
        <w:t xml:space="preserve">vaccine constructs, additional safety considerations may need to be taken into account. </w:t>
      </w:r>
      <w:r w:rsidRPr="25F0BC72">
        <w:rPr>
          <w:u w:val="double"/>
        </w:rPr>
        <w:t xml:space="preserve">As these vaccines do not contain live rabies virus, animals vaccinated with such vaccines should not be restricted from entry into countries (Taylor </w:t>
      </w:r>
      <w:r w:rsidRPr="25F0BC72">
        <w:rPr>
          <w:i/>
          <w:iCs/>
          <w:u w:val="double"/>
        </w:rPr>
        <w:t>et al</w:t>
      </w:r>
      <w:r w:rsidRPr="25F0BC72">
        <w:rPr>
          <w:u w:val="double"/>
        </w:rPr>
        <w:t xml:space="preserve">., 1991). </w:t>
      </w:r>
    </w:p>
    <w:p w14:paraId="5DFCBEC0" w14:textId="77777777" w:rsidR="00DD6EB9" w:rsidRPr="000A7B67" w:rsidRDefault="00DD6EB9" w:rsidP="006C4189">
      <w:pPr>
        <w:pStyle w:val="11"/>
        <w:keepNext/>
      </w:pPr>
      <w:r w:rsidRPr="000A7B67">
        <w:t>2.2.</w:t>
      </w:r>
      <w:r w:rsidRPr="000A7B67">
        <w:tab/>
        <w:t>Outline of production and minimum requirements for conventional vaccines</w:t>
      </w:r>
    </w:p>
    <w:p w14:paraId="442EA909" w14:textId="77777777" w:rsidR="00DD6EB9" w:rsidRPr="000A7B67" w:rsidRDefault="00DD6EB9" w:rsidP="006C4189">
      <w:pPr>
        <w:pStyle w:val="111"/>
        <w:keepNext/>
      </w:pPr>
      <w:r w:rsidRPr="000A7B67">
        <w:t>2.2.1.</w:t>
      </w:r>
      <w:r w:rsidRPr="000A7B67">
        <w:tab/>
        <w:t>Characteristics of the seed</w:t>
      </w:r>
    </w:p>
    <w:p w14:paraId="4D179D94" w14:textId="77777777" w:rsidR="00DD6EB9" w:rsidRPr="000A7B67" w:rsidRDefault="00DD6EB9" w:rsidP="006C4189">
      <w:pPr>
        <w:pStyle w:val="i"/>
        <w:keepNext/>
      </w:pPr>
      <w:r w:rsidRPr="000A7B67">
        <w:t>i)</w:t>
      </w:r>
      <w:r w:rsidRPr="000A7B67">
        <w:tab/>
        <w:t>Biological characteristics</w:t>
      </w:r>
    </w:p>
    <w:p w14:paraId="1E051268" w14:textId="49AA52B4" w:rsidR="00DD6EB9" w:rsidRPr="000A7B67" w:rsidRDefault="00DD6EB9" w:rsidP="00A27900">
      <w:pPr>
        <w:pStyle w:val="afourthpara"/>
      </w:pPr>
      <w:r w:rsidRPr="000A7B67">
        <w:t xml:space="preserve">Any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strain considered for vaccine production should protect against any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variant of phylogroup 1. Selection of master seed viruses (MSVs) should ideally be based on the ease of growth in culture, virus yield, stability and antigenic spectrum (Wu </w:t>
      </w:r>
      <w:r w:rsidR="00944968" w:rsidRPr="000A7B67">
        <w:rPr>
          <w:i/>
        </w:rPr>
        <w:t>et al</w:t>
      </w:r>
      <w:r w:rsidRPr="000A7B67">
        <w:t>., 2011). A record of the source of the MSV should be maintained.</w:t>
      </w:r>
    </w:p>
    <w:p w14:paraId="439FD8E0" w14:textId="592103F2" w:rsidR="00DD6EB9" w:rsidRPr="000A7B67" w:rsidRDefault="00DD6EB9" w:rsidP="00A27900">
      <w:pPr>
        <w:pStyle w:val="afourthpara"/>
      </w:pPr>
      <w:r w:rsidRPr="000A7B67">
        <w:t xml:space="preserve">Biotechnology-derived vaccines are prepared in appropriate cell lines using a vector expressing the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glycoprotein.</w:t>
      </w:r>
    </w:p>
    <w:p w14:paraId="664FF2F2" w14:textId="77777777" w:rsidR="00DD6EB9" w:rsidRPr="000A7B67" w:rsidRDefault="00DD6EB9" w:rsidP="00A27900">
      <w:pPr>
        <w:pStyle w:val="i"/>
      </w:pPr>
      <w:r w:rsidRPr="000A7B67">
        <w:t>ii)</w:t>
      </w:r>
      <w:r w:rsidRPr="000A7B67">
        <w:tab/>
        <w:t>Quality criteria</w:t>
      </w:r>
    </w:p>
    <w:p w14:paraId="24282B7F" w14:textId="77777777" w:rsidR="00DD6EB9" w:rsidRPr="000A7B67" w:rsidRDefault="00DD6EB9" w:rsidP="00A27900">
      <w:pPr>
        <w:pStyle w:val="afourthpara"/>
      </w:pPr>
      <w:r w:rsidRPr="000A7B67">
        <w:t xml:space="preserve">MSVs </w:t>
      </w:r>
      <w:r w:rsidR="00F541D8" w:rsidRPr="000A7B67">
        <w:t xml:space="preserve">for vaccine production </w:t>
      </w:r>
      <w:r w:rsidRPr="000A7B67">
        <w:t xml:space="preserve">must be well characterised and proven to be pure and free from all extraneous agents in accordance with Chapter 1.1.9 </w:t>
      </w:r>
      <w:r w:rsidRPr="000A7B67">
        <w:rPr>
          <w:i/>
        </w:rPr>
        <w:t>Tests for sterility and freedom from contamination</w:t>
      </w:r>
      <w:r w:rsidRPr="000A7B67">
        <w:t xml:space="preserve"> </w:t>
      </w:r>
      <w:r w:rsidR="00D9477C" w:rsidRPr="000A7B67">
        <w:rPr>
          <w:i/>
        </w:rPr>
        <w:t>of biological materials</w:t>
      </w:r>
      <w:r w:rsidR="00D9477C">
        <w:rPr>
          <w:i/>
        </w:rPr>
        <w:t xml:space="preserve"> intended for veterinary use</w:t>
      </w:r>
      <w:r w:rsidR="00D9477C" w:rsidRPr="000A7B67">
        <w:rPr>
          <w:i/>
        </w:rPr>
        <w:t xml:space="preserve"> </w:t>
      </w:r>
      <w:r w:rsidRPr="000A7B67">
        <w:t xml:space="preserve">and those listed by the appropriate </w:t>
      </w:r>
      <w:r w:rsidR="009971B1" w:rsidRPr="000A7B67">
        <w:t xml:space="preserve">regulatory </w:t>
      </w:r>
      <w:r w:rsidRPr="000A7B67">
        <w:t>authorities.</w:t>
      </w:r>
    </w:p>
    <w:p w14:paraId="34196B19" w14:textId="77777777" w:rsidR="00BF2CD3" w:rsidRPr="000A7B67" w:rsidRDefault="00DD6EB9" w:rsidP="00A27900">
      <w:pPr>
        <w:pStyle w:val="afourthpara"/>
      </w:pPr>
      <w:r w:rsidRPr="000A7B67">
        <w:t xml:space="preserve">The efficacy of the resultant vaccine is assessed by studies on every target species </w:t>
      </w:r>
      <w:r w:rsidR="00C30C1E" w:rsidRPr="000A7B67">
        <w:t xml:space="preserve">to be </w:t>
      </w:r>
      <w:r w:rsidRPr="000A7B67">
        <w:t xml:space="preserve">vaccinated as recommended in chapter 1.1.8 and Section C.2.3.3 of this chapter. </w:t>
      </w:r>
    </w:p>
    <w:p w14:paraId="4E2E6E41" w14:textId="77777777" w:rsidR="00DD6EB9" w:rsidRPr="000A7B67" w:rsidRDefault="00DD6EB9" w:rsidP="00A27900">
      <w:pPr>
        <w:pStyle w:val="111"/>
      </w:pPr>
      <w:r w:rsidRPr="000A7B67">
        <w:t>2.2.2.</w:t>
      </w:r>
      <w:r w:rsidRPr="000A7B67">
        <w:tab/>
        <w:t>Method of manufacture</w:t>
      </w:r>
    </w:p>
    <w:p w14:paraId="66489B16" w14:textId="77777777" w:rsidR="00DD6EB9" w:rsidRPr="000A7B67" w:rsidRDefault="00DD6EB9" w:rsidP="00A27900">
      <w:pPr>
        <w:pStyle w:val="i"/>
      </w:pPr>
      <w:r w:rsidRPr="000A7B67">
        <w:t>i)</w:t>
      </w:r>
      <w:r w:rsidRPr="000A7B67">
        <w:tab/>
        <w:t>Procedures</w:t>
      </w:r>
    </w:p>
    <w:p w14:paraId="0A729547" w14:textId="77777777" w:rsidR="00DD6EB9" w:rsidRPr="000A7B67" w:rsidRDefault="00DD6EB9" w:rsidP="003C52D3">
      <w:pPr>
        <w:pStyle w:val="afourthlevel"/>
      </w:pPr>
      <w:r w:rsidRPr="000A7B67">
        <w:t>a)</w:t>
      </w:r>
      <w:r w:rsidRPr="000A7B67">
        <w:tab/>
        <w:t>In cell culture</w:t>
      </w:r>
    </w:p>
    <w:p w14:paraId="68D5890D" w14:textId="77777777" w:rsidR="00DD6EB9" w:rsidRPr="000A7B67" w:rsidRDefault="00DD6EB9" w:rsidP="003C52D3">
      <w:pPr>
        <w:pStyle w:val="ififthpara"/>
      </w:pPr>
      <w:r w:rsidRPr="000A7B67">
        <w:t>The virus is used to infect a suspension or monolayers of an established cell line. Such cell culture should be proven to be free from contaminating microorganisms (see chapter 1.1.8).</w:t>
      </w:r>
    </w:p>
    <w:p w14:paraId="62F7A3C4" w14:textId="6087E060" w:rsidR="00DD6EB9" w:rsidRPr="000A7B67" w:rsidRDefault="00DD6EB9" w:rsidP="003C52D3">
      <w:pPr>
        <w:pStyle w:val="ififthpara"/>
      </w:pPr>
      <w:r w:rsidRPr="000A7B67">
        <w:t xml:space="preserve">Cultures are infected with cell-culture-adapted MSV and incubated at the appropriate temperature for a defined period. As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Pr="000A7B67">
        <w:t xml:space="preserve">does not normally cause cytopathic effect, this allows several harvests from the same culture. This material is processed and used to formulate vaccine. For inactivated (killed) vaccine the virus is inactivated by addition of an </w:t>
      </w:r>
      <w:proofErr w:type="spellStart"/>
      <w:r w:rsidRPr="000A7B67">
        <w:t>inactivant</w:t>
      </w:r>
      <w:proofErr w:type="spellEnd"/>
      <w:r w:rsidRPr="000A7B67">
        <w:t xml:space="preserve"> of the first order, usually β-propiolactone (BPL) or ethyleneimine (EI) in the form of binary ethyleneimine (BEI). It is important that the necessary safety precautions for working with </w:t>
      </w:r>
      <w:proofErr w:type="spellStart"/>
      <w:r w:rsidRPr="000A7B67">
        <w:t>inactivants</w:t>
      </w:r>
      <w:proofErr w:type="spellEnd"/>
      <w:r w:rsidRPr="000A7B67">
        <w:t xml:space="preserve"> are fully observed. Other </w:t>
      </w:r>
      <w:proofErr w:type="spellStart"/>
      <w:r w:rsidRPr="000A7B67">
        <w:t>inactivants</w:t>
      </w:r>
      <w:proofErr w:type="spellEnd"/>
      <w:r w:rsidRPr="000A7B67">
        <w:t xml:space="preserve">, such as formalin or phenic acid, should not be used. The </w:t>
      </w:r>
      <w:proofErr w:type="spellStart"/>
      <w:r w:rsidRPr="000A7B67">
        <w:t>inactivant</w:t>
      </w:r>
      <w:proofErr w:type="spellEnd"/>
      <w:r w:rsidRPr="000A7B67">
        <w:t xml:space="preserve"> is added to a virus suspension to achieve a predetermined final concentration. Inactivation must be duly validated and documented to show the inactivation kinetics and the results of the inactivation controls. The time period for </w:t>
      </w:r>
      <w:proofErr w:type="spellStart"/>
      <w:r w:rsidRPr="000A7B67">
        <w:t>inactivant</w:t>
      </w:r>
      <w:proofErr w:type="spellEnd"/>
      <w:r w:rsidRPr="000A7B67">
        <w:t xml:space="preserve"> treatment and temperature used for inactivation must be validated for the actual conditions and equipment used during industrial production.</w:t>
      </w:r>
    </w:p>
    <w:p w14:paraId="5152938F" w14:textId="77777777" w:rsidR="00DD6EB9" w:rsidRPr="000A7B67" w:rsidRDefault="00DD6EB9" w:rsidP="003C52D3">
      <w:pPr>
        <w:pStyle w:val="ififthpara"/>
      </w:pPr>
      <w:r w:rsidRPr="000A7B67">
        <w:t xml:space="preserve">Inactivated rabies vaccines are usually formulated as liquid or freeze dried. The liquid vaccine is prepared by adsorbing the antigen onto </w:t>
      </w:r>
      <w:r w:rsidR="003C78BC" w:rsidRPr="000A7B67">
        <w:t xml:space="preserve">an </w:t>
      </w:r>
      <w:r w:rsidRPr="000A7B67">
        <w:t>adjuvant, for example aluminium hydroxide gel.</w:t>
      </w:r>
    </w:p>
    <w:p w14:paraId="67F3AA5E" w14:textId="77777777" w:rsidR="00DD6EB9" w:rsidRPr="000A7B67" w:rsidRDefault="00DD6EB9" w:rsidP="003C52D3">
      <w:pPr>
        <w:pStyle w:val="i"/>
      </w:pPr>
      <w:r w:rsidRPr="000A7B67">
        <w:t>ii)</w:t>
      </w:r>
      <w:r w:rsidRPr="000A7B67">
        <w:tab/>
        <w:t>Requirements for media and substrates</w:t>
      </w:r>
    </w:p>
    <w:p w14:paraId="09DBB4B0" w14:textId="77777777" w:rsidR="00DD6EB9" w:rsidRPr="000A7B67" w:rsidRDefault="00DD6EB9" w:rsidP="003C52D3">
      <w:pPr>
        <w:pStyle w:val="afourthpara"/>
      </w:pPr>
      <w:r w:rsidRPr="000A7B67">
        <w:t xml:space="preserve">The final blend may include antifoam, phenol red dye (if permitted by the country requiring vaccine), lactalbumin hydrolysate, </w:t>
      </w:r>
      <w:proofErr w:type="spellStart"/>
      <w:r w:rsidRPr="000A7B67">
        <w:t>tryptose</w:t>
      </w:r>
      <w:proofErr w:type="spellEnd"/>
      <w:r w:rsidRPr="000A7B67">
        <w:t xml:space="preserve"> phosphate broth, amino acids, vitamins and buffer salts. Saponin or other polysaccharides as adjuvant could be incorporated in rabies vaccines for ruminants. Addition of preservatives is recommended for multi-dose vials. The freeze-dried vaccines should be reconstituted before injection with the appropriate solvent.</w:t>
      </w:r>
    </w:p>
    <w:p w14:paraId="4CAF83ED" w14:textId="77777777" w:rsidR="00DD6EB9" w:rsidRPr="000A7B67" w:rsidRDefault="00DD6EB9" w:rsidP="00EF28D6">
      <w:pPr>
        <w:pStyle w:val="afourthlevel"/>
        <w:keepNext/>
      </w:pPr>
      <w:r w:rsidRPr="000A7B67">
        <w:t>a)</w:t>
      </w:r>
      <w:r w:rsidRPr="000A7B67">
        <w:tab/>
        <w:t>In cells</w:t>
      </w:r>
    </w:p>
    <w:p w14:paraId="0464F996" w14:textId="6B38D5C8" w:rsidR="00DD6EB9" w:rsidRPr="000A7B67" w:rsidRDefault="00DD6EB9" w:rsidP="003C52D3">
      <w:pPr>
        <w:pStyle w:val="ififthpara"/>
      </w:pPr>
      <w:r w:rsidRPr="000A7B67">
        <w:t xml:space="preserve">The cell lines used for the production of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Pr="000A7B67">
        <w:t>vaccines should be in accordance with chapter 1.1.8.</w:t>
      </w:r>
    </w:p>
    <w:p w14:paraId="30C7A4D8" w14:textId="77777777" w:rsidR="00DD6EB9" w:rsidRPr="000A7B67" w:rsidRDefault="00DD6EB9" w:rsidP="006C4189">
      <w:pPr>
        <w:pStyle w:val="afourthlevel"/>
        <w:keepNext/>
      </w:pPr>
      <w:r w:rsidRPr="000A7B67">
        <w:t>b)</w:t>
      </w:r>
      <w:r w:rsidRPr="000A7B67">
        <w:tab/>
        <w:t>In embryonated eggs</w:t>
      </w:r>
    </w:p>
    <w:p w14:paraId="760BB288" w14:textId="77777777" w:rsidR="00DD6EB9" w:rsidRPr="000A7B67" w:rsidRDefault="00DD6EB9" w:rsidP="003C52D3">
      <w:pPr>
        <w:pStyle w:val="ififthpara"/>
      </w:pPr>
      <w:r w:rsidRPr="000A7B67">
        <w:t xml:space="preserve">This method of culture is used for the production of live-attenuated vaccines such as the Flury LEP or the HEP variant strain. Their use should be discontinued as indicated in Section C.2.1 (Tao </w:t>
      </w:r>
      <w:r w:rsidR="00944968" w:rsidRPr="000A7B67">
        <w:rPr>
          <w:i/>
        </w:rPr>
        <w:t>et al</w:t>
      </w:r>
      <w:r w:rsidRPr="000A7B67">
        <w:t xml:space="preserve">., 2010; </w:t>
      </w:r>
      <w:proofErr w:type="spellStart"/>
      <w:r w:rsidRPr="000A7B67">
        <w:t>Wachendörfer</w:t>
      </w:r>
      <w:proofErr w:type="spellEnd"/>
      <w:r w:rsidRPr="000A7B67">
        <w:t xml:space="preserve"> </w:t>
      </w:r>
      <w:r w:rsidR="00944968" w:rsidRPr="000A7B67">
        <w:rPr>
          <w:i/>
        </w:rPr>
        <w:t>et al</w:t>
      </w:r>
      <w:r w:rsidRPr="000A7B67">
        <w:t>., 1982).</w:t>
      </w:r>
    </w:p>
    <w:p w14:paraId="39CCF0DC" w14:textId="77777777" w:rsidR="00DD6EB9" w:rsidRPr="000A7B67" w:rsidRDefault="00DD6EB9" w:rsidP="003C52D3">
      <w:pPr>
        <w:pStyle w:val="i"/>
      </w:pPr>
      <w:r w:rsidRPr="000A7B67">
        <w:t>iii)</w:t>
      </w:r>
      <w:r w:rsidRPr="000A7B67">
        <w:tab/>
        <w:t>In-process control</w:t>
      </w:r>
    </w:p>
    <w:p w14:paraId="0640FFAB" w14:textId="77777777" w:rsidR="00DD6EB9" w:rsidRPr="000A7B67" w:rsidRDefault="00DD6EB9" w:rsidP="003C52D3">
      <w:pPr>
        <w:pStyle w:val="afourthpara"/>
      </w:pPr>
      <w:r w:rsidRPr="000A7B67">
        <w:t>During the production process, tests are undertaken at different times before constitution of the final blend, which allows the consistency of production to be verified as in accordance with chapter 1.1.8. Tests for infectivity, sterility and inactivation are fundamental in-process controls. The formulation of the final product can be standardised using additional tests to measure viral integrity after storage, antigenic mass and glycoprotein content.</w:t>
      </w:r>
    </w:p>
    <w:p w14:paraId="069CEB23" w14:textId="05118EF7" w:rsidR="00DD6EB9" w:rsidRPr="000A7B67" w:rsidRDefault="00DD6EB9" w:rsidP="003C52D3">
      <w:pPr>
        <w:pStyle w:val="afourthlevel"/>
      </w:pPr>
      <w:r w:rsidRPr="000A7B67">
        <w:t>a)</w:t>
      </w:r>
      <w:r w:rsidRPr="000A7B67">
        <w:tab/>
        <w:t>Inactivation test</w:t>
      </w:r>
    </w:p>
    <w:p w14:paraId="4CF5510A" w14:textId="72ADFEAD" w:rsidR="00DD6EB9" w:rsidRPr="000A7B67" w:rsidRDefault="00DD6EB9" w:rsidP="003C52D3">
      <w:pPr>
        <w:pStyle w:val="ififthpara"/>
      </w:pPr>
      <w:r w:rsidRPr="000A7B67">
        <w:t xml:space="preserve">Inactivation is verified using a test for residual live virus. For this, the inactivated harvest is inoculated into the same type of cell culture as that used in the production of the vaccine or a cell culture shown to be at least as sensitive. The quantity of inactivated virus harvest used is equivalent to not less than 25 doses of the vaccine. After incubation for 4 days, a subculture is made using </w:t>
      </w:r>
      <w:proofErr w:type="spellStart"/>
      <w:r w:rsidRPr="000A7B67">
        <w:t>trypsinised</w:t>
      </w:r>
      <w:proofErr w:type="spellEnd"/>
      <w:r w:rsidRPr="000A7B67">
        <w:t xml:space="preserve"> cells; after incubation for a further 4 days, the cultures are examined for residual live-</w:t>
      </w:r>
      <w:r w:rsidR="00DB6470" w:rsidRPr="00DB6470">
        <w:rPr>
          <w:strike/>
          <w:highlight w:val="yellow"/>
        </w:rPr>
        <w:t>rabies virus</w:t>
      </w:r>
      <w:r w:rsidR="00DB6470">
        <w:rPr>
          <w:strike/>
          <w:highlight w:val="yellow"/>
        </w:rPr>
        <w:t xml:space="preserve"> </w:t>
      </w:r>
      <w:r w:rsidR="00DB6470" w:rsidRPr="00DB6470">
        <w:rPr>
          <w:highlight w:val="yellow"/>
          <w:u w:val="double"/>
        </w:rPr>
        <w:t>RABV</w:t>
      </w:r>
      <w:r w:rsidR="00DB6470" w:rsidRPr="000A7B67">
        <w:t xml:space="preserve"> </w:t>
      </w:r>
      <w:r w:rsidRPr="000A7B67">
        <w:t xml:space="preserve">by the immunofluorescence test. The inactivated virus harvest complies if no live virus is detected (European Pharmacopoeia, </w:t>
      </w:r>
      <w:r w:rsidRPr="00757128">
        <w:rPr>
          <w:strike/>
          <w:highlight w:val="yellow"/>
        </w:rPr>
        <w:t>201</w:t>
      </w:r>
      <w:r w:rsidR="004922D5" w:rsidRPr="00757128">
        <w:rPr>
          <w:strike/>
          <w:highlight w:val="yellow"/>
        </w:rPr>
        <w:t>3</w:t>
      </w:r>
      <w:r w:rsidR="00FA6958" w:rsidRPr="00757128">
        <w:rPr>
          <w:strike/>
          <w:highlight w:val="yellow"/>
        </w:rPr>
        <w:t>a</w:t>
      </w:r>
      <w:r w:rsidR="00757128" w:rsidRPr="00757128">
        <w:rPr>
          <w:strike/>
          <w:highlight w:val="yellow"/>
        </w:rPr>
        <w:t xml:space="preserve"> </w:t>
      </w:r>
      <w:r w:rsidR="00757128" w:rsidRPr="00757128">
        <w:rPr>
          <w:highlight w:val="yellow"/>
          <w:u w:val="double"/>
        </w:rPr>
        <w:t>2021</w:t>
      </w:r>
      <w:r w:rsidRPr="000A7B67">
        <w:t>).</w:t>
      </w:r>
    </w:p>
    <w:p w14:paraId="7A32D6BA" w14:textId="77777777" w:rsidR="00DD6EB9" w:rsidRPr="000A7B67" w:rsidRDefault="00DD6EB9" w:rsidP="003C52D3">
      <w:pPr>
        <w:pStyle w:val="i"/>
      </w:pPr>
      <w:r w:rsidRPr="000A7B67">
        <w:t>iv)</w:t>
      </w:r>
      <w:r w:rsidRPr="000A7B67">
        <w:tab/>
        <w:t>Final product batch/serial tests</w:t>
      </w:r>
    </w:p>
    <w:p w14:paraId="0B64A592" w14:textId="77777777" w:rsidR="00DD6EB9" w:rsidRPr="000A7B67" w:rsidRDefault="00DD6EB9" w:rsidP="003C52D3">
      <w:pPr>
        <w:pStyle w:val="afourthpara"/>
      </w:pPr>
      <w:r w:rsidRPr="000A7B67">
        <w:t>After combining all of the ingredients the final blend contains the definite vaccine formulation. Filling of the final blend into vials is the last step in the production process for a batch/serial. This final batch/serial undergoes the tests described below.</w:t>
      </w:r>
    </w:p>
    <w:p w14:paraId="2F30793A" w14:textId="77777777" w:rsidR="00DD6EB9" w:rsidRPr="000A7B67" w:rsidRDefault="00DD6EB9" w:rsidP="003C52D3">
      <w:pPr>
        <w:pStyle w:val="afourthlevel"/>
      </w:pPr>
      <w:r w:rsidRPr="000A7B67">
        <w:t>a)</w:t>
      </w:r>
      <w:r w:rsidRPr="000A7B67">
        <w:tab/>
        <w:t>Sterility</w:t>
      </w:r>
    </w:p>
    <w:p w14:paraId="71A77FD5" w14:textId="77777777" w:rsidR="00DD6EB9" w:rsidRPr="000A7B67" w:rsidRDefault="00DD6EB9" w:rsidP="003C52D3">
      <w:pPr>
        <w:pStyle w:val="ififthpara"/>
      </w:pPr>
      <w:r w:rsidRPr="000A7B67">
        <w:t xml:space="preserve">Tests for sterility and freedom from contamination </w:t>
      </w:r>
      <w:r w:rsidR="00D9477C" w:rsidRPr="000A7B67">
        <w:t>of biological materials</w:t>
      </w:r>
      <w:r w:rsidR="00D9477C">
        <w:t xml:space="preserve"> intended for veterinary use</w:t>
      </w:r>
      <w:r w:rsidR="00D9477C" w:rsidRPr="000A7B67">
        <w:t xml:space="preserve"> </w:t>
      </w:r>
      <w:r w:rsidRPr="000A7B67">
        <w:t>may be found in chapter 1.1.9.</w:t>
      </w:r>
    </w:p>
    <w:p w14:paraId="41DFFF72" w14:textId="77777777" w:rsidR="00DD6EB9" w:rsidRPr="000A7B67" w:rsidRDefault="00DD6EB9" w:rsidP="003C52D3">
      <w:pPr>
        <w:pStyle w:val="afourthlevel"/>
      </w:pPr>
      <w:r w:rsidRPr="000A7B67">
        <w:t>b)</w:t>
      </w:r>
      <w:r w:rsidRPr="000A7B67">
        <w:tab/>
        <w:t>Safety</w:t>
      </w:r>
    </w:p>
    <w:p w14:paraId="49579600" w14:textId="77777777" w:rsidR="009171C2" w:rsidRPr="000A7B67" w:rsidRDefault="009171C2" w:rsidP="009171C2">
      <w:pPr>
        <w:pStyle w:val="ififthpara"/>
      </w:pPr>
      <w:r w:rsidRPr="000A7B67">
        <w:t xml:space="preserve">Safety tests in target animals are not required by many regulatory authorities for the release of each batch. Where required, standard procedures are generally conducted using fewer animals than are used in the safety tests required for </w:t>
      </w:r>
      <w:r w:rsidR="009971B1" w:rsidRPr="000A7B67">
        <w:t>relevant regulatory approval</w:t>
      </w:r>
      <w:r w:rsidRPr="000A7B67">
        <w:t>.</w:t>
      </w:r>
    </w:p>
    <w:p w14:paraId="402252D2" w14:textId="77777777" w:rsidR="00DD6EB9" w:rsidRPr="000A7B67" w:rsidRDefault="00DD6EB9" w:rsidP="003C52D3">
      <w:pPr>
        <w:pStyle w:val="ififthpara"/>
      </w:pPr>
      <w:r w:rsidRPr="000A7B67">
        <w:t>Unless consistent safety of the product is demonstrated and approved in the registration dossier, and the production process is approved for consistency in accordance with the standard requirements referred to in chapter 1.1.8, batch safety testing is to be performed.</w:t>
      </w:r>
    </w:p>
    <w:p w14:paraId="7FD00D70" w14:textId="3D8267CB" w:rsidR="00DD6EB9" w:rsidRPr="000A7B67" w:rsidRDefault="00DD6EB9" w:rsidP="003C52D3">
      <w:pPr>
        <w:pStyle w:val="ififthpara"/>
      </w:pPr>
      <w:r w:rsidRPr="000A7B67">
        <w:t xml:space="preserve">This final product batch/serial safety test is conducted to detect any abnormal local or systemic adverse reactions. For the purposes of batch/serial release, each of at least two healthy seronegative target animals is inoculated by the recommended route a minimum of a double dose of the vaccine. The animals are observed at least daily for 14 days. The vaccine complies with the test if no animal shows adverse reactions or dies of causes attributable to the vaccine (European Pharmacopoeia, </w:t>
      </w:r>
      <w:r w:rsidR="00757128" w:rsidRPr="00757128">
        <w:rPr>
          <w:strike/>
          <w:highlight w:val="yellow"/>
        </w:rPr>
        <w:t xml:space="preserve">2013a </w:t>
      </w:r>
      <w:r w:rsidR="00757128" w:rsidRPr="00757128">
        <w:rPr>
          <w:highlight w:val="yellow"/>
          <w:u w:val="double"/>
        </w:rPr>
        <w:t>2021</w:t>
      </w:r>
      <w:r w:rsidRPr="000A7B67">
        <w:t>).</w:t>
      </w:r>
    </w:p>
    <w:p w14:paraId="6BA08901" w14:textId="77777777" w:rsidR="00DD6EB9" w:rsidRPr="000A7B67" w:rsidRDefault="00DD6EB9" w:rsidP="003C52D3">
      <w:pPr>
        <w:pStyle w:val="afourthlevel"/>
      </w:pPr>
      <w:r w:rsidRPr="000A7B67">
        <w:t>c)</w:t>
      </w:r>
      <w:r w:rsidRPr="000A7B67">
        <w:tab/>
        <w:t>Residual live virus</w:t>
      </w:r>
    </w:p>
    <w:p w14:paraId="08B4ED5E" w14:textId="77777777" w:rsidR="00DD6EB9" w:rsidRPr="000A7B67" w:rsidRDefault="00DD6EB9" w:rsidP="003C52D3">
      <w:pPr>
        <w:pStyle w:val="ififthpara"/>
      </w:pPr>
      <w:r w:rsidRPr="000A7B67">
        <w:t>The test is carried out using a pool of the contents of five containers.</w:t>
      </w:r>
    </w:p>
    <w:p w14:paraId="2002E852" w14:textId="77777777" w:rsidR="00DD6EB9" w:rsidRPr="000A7B67" w:rsidRDefault="00DD6EB9" w:rsidP="003C52D3">
      <w:pPr>
        <w:pStyle w:val="ififthpara"/>
      </w:pPr>
      <w:r w:rsidRPr="000A7B67">
        <w:t>For vaccines that do not contain an adjuvant, a suitable amplification test for residual live virus is carried out using the same type of cell culture as that used in the production of the vaccine or a cell culture shown to be at least as sensitive. The vaccine complies with the test if no live virus is detected.</w:t>
      </w:r>
    </w:p>
    <w:p w14:paraId="2A975BF8" w14:textId="4C78C6EA" w:rsidR="00DD6EB9" w:rsidRPr="000A7B67" w:rsidRDefault="00DD6EB9" w:rsidP="003C52D3">
      <w:pPr>
        <w:pStyle w:val="ififthpara"/>
      </w:pPr>
      <w:r w:rsidRPr="000A7B67">
        <w:t xml:space="preserve">For vaccines that contain an adjuvant, 0.03 ml of a pool of at least five times the smallest stated dose is injected intracerebrally into each of no fewer than ten mice, each weighing 11–15 g. To avoid interference of any microbial preservative or the adjuvant, the vaccine may be diluted more than 10 times before injection. In this case, or if the vaccine strain is pathogenic only for suckling mice, the test is carried out on 1- to 4-day-old mice. The animals are observed for 21 days. If more than two animals die during the first 48 hours, the test is repeated. The vaccine complies with the test if, from the day 3 to day 21 post-injection, the animals show no signs of rabies and immunofluorescence test carried out on the brains of the animals show no indication of the presence of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w:t>
      </w:r>
    </w:p>
    <w:p w14:paraId="0BB00C31" w14:textId="77777777" w:rsidR="00DD6EB9" w:rsidRPr="000A7B67" w:rsidRDefault="00DD6EB9" w:rsidP="003C52D3">
      <w:pPr>
        <w:pStyle w:val="afourthlevel"/>
      </w:pPr>
      <w:r w:rsidRPr="000A7B67">
        <w:t>d)</w:t>
      </w:r>
      <w:r w:rsidRPr="000A7B67">
        <w:tab/>
        <w:t>Batch/serial potency</w:t>
      </w:r>
    </w:p>
    <w:p w14:paraId="7BD07822" w14:textId="77777777" w:rsidR="00DD6EB9" w:rsidRPr="000A7B67" w:rsidRDefault="00DD6EB9" w:rsidP="003C52D3">
      <w:pPr>
        <w:pStyle w:val="ififthpara"/>
      </w:pPr>
      <w:r w:rsidRPr="000A7B67">
        <w:t xml:space="preserve">For live attenuated and biotechnology-derived vaccines, virus titrations are reliable indicators of vaccine potency once a relationship has been established between the level of protection conferred by the vaccine in the target species and titres of the modified live vaccine. Virus titration should be carried out using cell culture techniques. This allows laboratories to act in accordance with the </w:t>
      </w:r>
      <w:r w:rsidR="00B25BC2" w:rsidRPr="000A7B67">
        <w:t>3Rs principles</w:t>
      </w:r>
      <w:r w:rsidR="00BB434E" w:rsidRPr="000A7B67">
        <w:t xml:space="preserve"> (European </w:t>
      </w:r>
      <w:r w:rsidR="009171C2" w:rsidRPr="000A7B67">
        <w:t>Commission</w:t>
      </w:r>
      <w:r w:rsidR="00BB434E" w:rsidRPr="000A7B67">
        <w:t>, 2010)</w:t>
      </w:r>
      <w:r w:rsidRPr="000A7B67">
        <w:t xml:space="preserve">. </w:t>
      </w:r>
    </w:p>
    <w:p w14:paraId="079DA35F" w14:textId="3AE263AE" w:rsidR="00DD6EB9" w:rsidRPr="000A7B67" w:rsidRDefault="00DD6EB9" w:rsidP="003C52D3">
      <w:pPr>
        <w:pStyle w:val="ififthpara"/>
      </w:pPr>
      <w:r w:rsidRPr="000A7B67">
        <w:t xml:space="preserve">The potency of inactivated vaccines is tested in mice by a serological test (Krämer </w:t>
      </w:r>
      <w:r w:rsidR="00944968" w:rsidRPr="000A7B67">
        <w:rPr>
          <w:i/>
        </w:rPr>
        <w:t>et al</w:t>
      </w:r>
      <w:r w:rsidRPr="000A7B67">
        <w:t xml:space="preserve">., 2010), or a challenge test (European Pharmacopoeia, </w:t>
      </w:r>
      <w:r w:rsidR="00757128" w:rsidRPr="00757128">
        <w:rPr>
          <w:strike/>
          <w:highlight w:val="yellow"/>
        </w:rPr>
        <w:t xml:space="preserve">2013a </w:t>
      </w:r>
      <w:r w:rsidR="00757128" w:rsidRPr="00757128">
        <w:rPr>
          <w:highlight w:val="yellow"/>
          <w:u w:val="double"/>
        </w:rPr>
        <w:t>2021</w:t>
      </w:r>
      <w:r w:rsidRPr="000A7B67">
        <w:t xml:space="preserve">; WHO, </w:t>
      </w:r>
      <w:r w:rsidR="009F104D" w:rsidRPr="00111383">
        <w:rPr>
          <w:strike/>
        </w:rPr>
        <w:t xml:space="preserve">1996 </w:t>
      </w:r>
      <w:r w:rsidR="009F104D" w:rsidRPr="00111383">
        <w:rPr>
          <w:u w:val="double"/>
        </w:rPr>
        <w:t>2018</w:t>
      </w:r>
      <w:r w:rsidRPr="000A7B67">
        <w:t xml:space="preserve">). For inactivated virus vaccines, an </w:t>
      </w:r>
      <w:r w:rsidRPr="002A0643">
        <w:rPr>
          <w:i/>
          <w:iCs/>
        </w:rPr>
        <w:t>in-vitro</w:t>
      </w:r>
      <w:r w:rsidRPr="000A7B67">
        <w:t xml:space="preserve"> agent identification test has been reported (Stokes </w:t>
      </w:r>
      <w:r w:rsidR="00944968" w:rsidRPr="000A7B67">
        <w:rPr>
          <w:i/>
        </w:rPr>
        <w:t>et al</w:t>
      </w:r>
      <w:r w:rsidRPr="000A7B67">
        <w:t xml:space="preserve">., 2012). </w:t>
      </w:r>
    </w:p>
    <w:p w14:paraId="45912018" w14:textId="77777777" w:rsidR="00DD6EB9" w:rsidRPr="000A7B67" w:rsidRDefault="00DD6EB9" w:rsidP="003C52D3">
      <w:pPr>
        <w:pStyle w:val="ififthpara"/>
      </w:pPr>
      <w:r w:rsidRPr="000A7B67">
        <w:t>It is not necessary to carry out the potency tests described in Section C.2.2.2.iv.d.1 Serological test, and Section C.2.2.2.iv.d.2 Challenge test, for each batch/serial of vaccine produced, provided that at least one of these tests has been carried out on a previous batch/serial of vaccine and this batch/serial has been demonstrated to meet the minimum potency requirements. Under these circumstances, an alternative validated method may be used to establish batch/serial potency, the criteria for acceptance being set with reference to the batch/serial of vaccine that has given satisfactory results in either the serological test or the challenge test as described below:</w:t>
      </w:r>
    </w:p>
    <w:p w14:paraId="6B89157A" w14:textId="77777777" w:rsidR="00DD6EB9" w:rsidRPr="006A07CA" w:rsidRDefault="00DD6EB9" w:rsidP="003C52D3">
      <w:pPr>
        <w:pStyle w:val="ififthlevel"/>
        <w:rPr>
          <w:b/>
          <w:bCs/>
        </w:rPr>
      </w:pPr>
      <w:r w:rsidRPr="006A07CA">
        <w:rPr>
          <w:b/>
          <w:bCs/>
        </w:rPr>
        <w:t>1)</w:t>
      </w:r>
      <w:r w:rsidRPr="006A07CA">
        <w:rPr>
          <w:b/>
          <w:bCs/>
        </w:rPr>
        <w:tab/>
        <w:t>Serological test</w:t>
      </w:r>
    </w:p>
    <w:p w14:paraId="0509E495" w14:textId="56B0B471" w:rsidR="00DD6EB9" w:rsidRPr="000A7B67" w:rsidRDefault="00DD6EB9" w:rsidP="006A07CA">
      <w:pPr>
        <w:pStyle w:val="dotsixthpara"/>
        <w:ind w:left="2268"/>
      </w:pPr>
      <w:r w:rsidRPr="000A7B67">
        <w:t xml:space="preserve">In the serological test, the </w:t>
      </w:r>
      <w:r w:rsidR="00F541D8" w:rsidRPr="000A7B67">
        <w:t xml:space="preserve">inactivated </w:t>
      </w:r>
      <w:r w:rsidRPr="000A7B67">
        <w:t>vaccine is compared with the standard reference vaccine by measuring the amounts of neutralising anti-</w:t>
      </w:r>
      <w:r w:rsidR="00DB6470" w:rsidRPr="00DB6470">
        <w:rPr>
          <w:strike/>
          <w:highlight w:val="yellow"/>
        </w:rPr>
        <w:t>rabies virus</w:t>
      </w:r>
      <w:r w:rsidR="00DB6470">
        <w:rPr>
          <w:strike/>
          <w:highlight w:val="yellow"/>
        </w:rPr>
        <w:t xml:space="preserve"> </w:t>
      </w:r>
      <w:r w:rsidR="00DB6470" w:rsidRPr="00DB6470">
        <w:rPr>
          <w:highlight w:val="yellow"/>
          <w:u w:val="double"/>
        </w:rPr>
        <w:t>RABV</w:t>
      </w:r>
      <w:r w:rsidRPr="000A7B67">
        <w:t>-specific antibodies in mouse serum. The test vaccine passes if it induces more antibodies than the standard reference vaccine. The test should be performed as follows:</w:t>
      </w:r>
    </w:p>
    <w:p w14:paraId="6792D3F6" w14:textId="0456A467" w:rsidR="00DD6EB9" w:rsidRPr="000A7B67" w:rsidRDefault="004922D5" w:rsidP="006A07CA">
      <w:pPr>
        <w:pStyle w:val="dotsixthpara"/>
        <w:ind w:left="2268"/>
      </w:pPr>
      <w:r w:rsidRPr="000A7B67">
        <w:t xml:space="preserve">Eight to ten </w:t>
      </w:r>
      <w:r w:rsidR="00DD6EB9" w:rsidRPr="000A7B67">
        <w:t>mice, each weighing 18–20 g are used. Each mouse is vaccinated by a subcutaneous</w:t>
      </w:r>
      <w:r w:rsidRPr="000A7B67">
        <w:t>,</w:t>
      </w:r>
      <w:r w:rsidR="00DD6EB9" w:rsidRPr="000A7B67">
        <w:t xml:space="preserve"> intramuscular </w:t>
      </w:r>
      <w:r w:rsidRPr="000A7B67">
        <w:t xml:space="preserve">or intraperitoneal </w:t>
      </w:r>
      <w:r w:rsidR="00DD6EB9" w:rsidRPr="000A7B67">
        <w:t>route using 1/5 of the recommended dose volume. Blood samples are taken 14 days after the injection and the sera are tested individually for rabies antibodies (see Section B.2</w:t>
      </w:r>
      <w:r w:rsidR="00A21950" w:rsidRPr="000A7B67">
        <w:t xml:space="preserve"> and </w:t>
      </w:r>
      <w:r w:rsidR="00DD6EB9" w:rsidRPr="000A7B67">
        <w:t xml:space="preserve">European Pharmacopoeia, </w:t>
      </w:r>
      <w:r w:rsidR="00757128" w:rsidRPr="00757128">
        <w:rPr>
          <w:strike/>
          <w:highlight w:val="yellow"/>
        </w:rPr>
        <w:t xml:space="preserve">2013a </w:t>
      </w:r>
      <w:r w:rsidR="00757128" w:rsidRPr="00757128">
        <w:rPr>
          <w:highlight w:val="yellow"/>
          <w:u w:val="double"/>
        </w:rPr>
        <w:t>2021</w:t>
      </w:r>
      <w:r w:rsidR="00DD6EB9" w:rsidRPr="000A7B67">
        <w:t>).</w:t>
      </w:r>
    </w:p>
    <w:p w14:paraId="06DA682D" w14:textId="34E4A6E7" w:rsidR="007F3CD8" w:rsidRPr="000A7B67" w:rsidRDefault="00DD6EB9" w:rsidP="006A07CA">
      <w:pPr>
        <w:pStyle w:val="dotsixthpara"/>
        <w:ind w:left="2268"/>
      </w:pPr>
      <w:r w:rsidRPr="000A7B67">
        <w:t xml:space="preserve">The vaccine meets the requirement if the </w:t>
      </w:r>
      <w:r w:rsidR="007F3CD8" w:rsidRPr="000A7B67">
        <w:t>rabies</w:t>
      </w:r>
      <w:r w:rsidRPr="000A7B67">
        <w:t xml:space="preserve"> antibody titre </w:t>
      </w:r>
      <w:r w:rsidR="007F3CD8" w:rsidRPr="000A7B67">
        <w:t>of mice immuni</w:t>
      </w:r>
      <w:r w:rsidR="00C85515">
        <w:t>s</w:t>
      </w:r>
      <w:r w:rsidR="007F3CD8" w:rsidRPr="000A7B67">
        <w:t xml:space="preserve">ed with the test vaccine </w:t>
      </w:r>
      <w:r w:rsidRPr="000A7B67">
        <w:t xml:space="preserve">is </w:t>
      </w:r>
      <w:r w:rsidR="007F3CD8" w:rsidRPr="000A7B67">
        <w:t>significantly</w:t>
      </w:r>
      <w:r w:rsidRPr="000A7B67">
        <w:t xml:space="preserve"> higher than that obtained with a </w:t>
      </w:r>
      <w:r w:rsidR="007F3CD8" w:rsidRPr="000A7B67">
        <w:t>reference</w:t>
      </w:r>
      <w:r w:rsidRPr="000A7B67">
        <w:t xml:space="preserve"> vaccine that gave satisfactory results in the test described in C.2.2.2.iv.d.2 Challenge test.</w:t>
      </w:r>
      <w:r w:rsidR="007F3CD8" w:rsidRPr="000A7B67">
        <w:t xml:space="preserve"> </w:t>
      </w:r>
    </w:p>
    <w:p w14:paraId="03DB37BB" w14:textId="77777777" w:rsidR="00DD6EB9" w:rsidRPr="000A7B67" w:rsidRDefault="00DD6EB9" w:rsidP="00222839">
      <w:pPr>
        <w:pStyle w:val="ififthlevel"/>
        <w:keepNext/>
      </w:pPr>
      <w:r w:rsidRPr="000A7B67">
        <w:t>2)</w:t>
      </w:r>
      <w:r w:rsidRPr="000A7B67">
        <w:tab/>
        <w:t>Challenge test</w:t>
      </w:r>
    </w:p>
    <w:p w14:paraId="0BF5A8F3" w14:textId="77777777" w:rsidR="00DD6EB9" w:rsidRPr="000A7B67" w:rsidRDefault="00DD6EB9" w:rsidP="006A07CA">
      <w:pPr>
        <w:pStyle w:val="ififthpara"/>
        <w:ind w:left="2268"/>
      </w:pPr>
      <w:r w:rsidRPr="000A7B67">
        <w:t>In the challenge test, the test vaccine is compared with the reference vaccine by measuring the protection conferred on mice. The test vaccine passes if it induces more protection than the reference vaccine</w:t>
      </w:r>
    </w:p>
    <w:p w14:paraId="6A5F259A" w14:textId="77777777" w:rsidR="00DD6EB9" w:rsidRPr="000A7B67" w:rsidRDefault="00DD6EB9" w:rsidP="006A07CA">
      <w:pPr>
        <w:pStyle w:val="ififthpara"/>
        <w:ind w:left="2268"/>
      </w:pPr>
      <w:r w:rsidRPr="000A7B67">
        <w:t xml:space="preserve">According to the European Pharmacopoeia, the test described below uses a parallel-line model with at least 3 points for the vaccine to be examined and the reference preparation. </w:t>
      </w:r>
    </w:p>
    <w:p w14:paraId="5F326F0B" w14:textId="77777777" w:rsidR="00DD6EB9" w:rsidRPr="000A7B67" w:rsidRDefault="00DD6EB9" w:rsidP="00EF28D6">
      <w:pPr>
        <w:pStyle w:val="dot-sixthlevellist"/>
        <w:keepNext/>
      </w:pPr>
      <w:r w:rsidRPr="000A7B67">
        <w:t>i)</w:t>
      </w:r>
      <w:r w:rsidRPr="000A7B67">
        <w:tab/>
        <w:t>Selection and distribution of the test animals</w:t>
      </w:r>
    </w:p>
    <w:p w14:paraId="2CDADAA1" w14:textId="77777777" w:rsidR="00DD6EB9" w:rsidRPr="000A7B67" w:rsidRDefault="00DD6EB9" w:rsidP="003C52D3">
      <w:pPr>
        <w:pStyle w:val="dotseventhlevelpara"/>
      </w:pPr>
      <w:r w:rsidRPr="000A7B67">
        <w:t xml:space="preserve">Healthy female mice about 4 weeks old, preferably in a range of 18–20 g live weight and from the same stock should be used in the test. The mice should be distributed into at least ten groups of no fewer than ten mice. </w:t>
      </w:r>
    </w:p>
    <w:p w14:paraId="63021FF6" w14:textId="77777777" w:rsidR="00DD6EB9" w:rsidRPr="000A7B67" w:rsidRDefault="00DD6EB9" w:rsidP="006C4189">
      <w:pPr>
        <w:pStyle w:val="dot-sixthlevellist"/>
        <w:keepNext/>
      </w:pPr>
      <w:r w:rsidRPr="000A7B67">
        <w:t>ii)</w:t>
      </w:r>
      <w:r w:rsidRPr="000A7B67">
        <w:tab/>
        <w:t>Preparation of the challenge suspension</w:t>
      </w:r>
    </w:p>
    <w:p w14:paraId="63911986" w14:textId="14B9D5FA" w:rsidR="00DD6EB9" w:rsidRPr="000A7B67" w:rsidRDefault="00DD6EB9" w:rsidP="003C52D3">
      <w:pPr>
        <w:pStyle w:val="dotseventhlevelpara"/>
      </w:pPr>
      <w:r w:rsidRPr="000A7B67">
        <w:t xml:space="preserve">A group of mice is inoculated intracerebrally with the CVS strain of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when the mice show signs of rabies, they are killed, the brains are removed and a homogenate of the brain tissue is prepared in a suitable diluent. Gross particulate matter is separated by centrifugation and the supernatant is used as challenge suspension. The suspension is distributed in small volumes in ampoules that are sealed and stored at</w:t>
      </w:r>
      <w:r w:rsidR="00AC5F43" w:rsidRPr="000A7B67">
        <w:t xml:space="preserve"> </w:t>
      </w:r>
      <w:r w:rsidRPr="000A7B67">
        <w:t>–</w:t>
      </w:r>
      <w:r w:rsidR="007F3CD8" w:rsidRPr="000A7B67">
        <w:t>8</w:t>
      </w:r>
      <w:r w:rsidRPr="000A7B67">
        <w:t xml:space="preserve">0°C. One ampoule of the suspension is thawed and serial dilutions are made in a suitable diluent. Each dilution is allocated to a group of mice and each mouse is </w:t>
      </w:r>
      <w:r w:rsidR="007F3CD8" w:rsidRPr="000A7B67">
        <w:t xml:space="preserve">anaesthetised and </w:t>
      </w:r>
      <w:r w:rsidRPr="000A7B67">
        <w:t>injected intracerebrally with 0.03 ml of the dilution allocated to its group. The animals are observed at least daily for 14 days and the number in each group that develop signs of rabies between day 5 and day 14 is recorded. The median mouse intracerebral lethal dose (MICLD</w:t>
      </w:r>
      <w:r w:rsidRPr="00D9477C">
        <w:rPr>
          <w:szCs w:val="14"/>
          <w:vertAlign w:val="subscript"/>
        </w:rPr>
        <w:t>50</w:t>
      </w:r>
      <w:r w:rsidRPr="000A7B67">
        <w:t>) of the undiluted suspension is calculated.</w:t>
      </w:r>
    </w:p>
    <w:p w14:paraId="508D1EDE" w14:textId="77777777" w:rsidR="00DD6EB9" w:rsidRPr="000A7B67" w:rsidRDefault="00DD6EB9" w:rsidP="003C52D3">
      <w:pPr>
        <w:pStyle w:val="dot-sixthlevellist"/>
      </w:pPr>
      <w:r w:rsidRPr="000A7B67">
        <w:t>iii)</w:t>
      </w:r>
      <w:r w:rsidRPr="000A7B67">
        <w:tab/>
        <w:t>Determination of potency of the vaccine to be examined</w:t>
      </w:r>
    </w:p>
    <w:p w14:paraId="50E607C9" w14:textId="77777777" w:rsidR="00DD6EB9" w:rsidRPr="000A7B67" w:rsidRDefault="00DD6EB9" w:rsidP="003C52D3">
      <w:pPr>
        <w:pStyle w:val="dotseventhlevelpara"/>
      </w:pPr>
      <w:r w:rsidRPr="000A7B67">
        <w:t xml:space="preserve">At least three serial dilutions of the vaccine are prepared for examination along with three similar dilutions of the reference preparation. The dilutions are prepared such that those containing the largest quantity of vaccine may be expected to protect more than 50% of the animals into which they are injected and those containing the smallest quantities of vaccine may be expected to protect less than 50% of the animals into which they are injected. </w:t>
      </w:r>
    </w:p>
    <w:p w14:paraId="23C57B65" w14:textId="77777777" w:rsidR="00DD6EB9" w:rsidRPr="000A7B67" w:rsidRDefault="00DD6EB9" w:rsidP="003C52D3">
      <w:pPr>
        <w:pStyle w:val="dotseventhlevelpara"/>
      </w:pPr>
      <w:r w:rsidRPr="000A7B67">
        <w:t>Each dilution is allocated to a different group of mice and each mouse is injected by the intraperitoneal route with 0.5 ml of the dilution allocated to its group. A suspension of the challenge virus is prepared 14 days after the injection such that, on the basis of the preliminary titration, it contains about 50</w:t>
      </w:r>
      <w:r w:rsidR="00711433" w:rsidRPr="000A7B67">
        <w:t> </w:t>
      </w:r>
      <w:r w:rsidRPr="000A7B67">
        <w:t>ID</w:t>
      </w:r>
      <w:r w:rsidRPr="00D9477C">
        <w:rPr>
          <w:szCs w:val="14"/>
          <w:vertAlign w:val="subscript"/>
        </w:rPr>
        <w:t>50</w:t>
      </w:r>
      <w:r w:rsidRPr="000A7B67">
        <w:t xml:space="preserve"> in each 0.03 ml. Each vaccinated mouse is injected intracerebrally with 0.03 ml of this suspension.</w:t>
      </w:r>
    </w:p>
    <w:p w14:paraId="6A1B8F35" w14:textId="77777777" w:rsidR="00DD6EB9" w:rsidRPr="000A7B67" w:rsidRDefault="00DD6EB9" w:rsidP="003C52D3">
      <w:pPr>
        <w:pStyle w:val="dotseventhlevelpara"/>
      </w:pPr>
      <w:r w:rsidRPr="000A7B67">
        <w:t xml:space="preserve">Three suitable serial dilutions of the challenge suspension are prepared. The challenge suspension and the three dilutions are allocated, one to each of four groups of ten unvaccinated mice. Each mouse is </w:t>
      </w:r>
      <w:r w:rsidR="007F3CD8" w:rsidRPr="000A7B67">
        <w:t xml:space="preserve">anaesthetised and </w:t>
      </w:r>
      <w:r w:rsidRPr="000A7B67">
        <w:t xml:space="preserve">injected intracerebrally with 0.03 ml of the suspension of the dilution allocated to its group (Stokes </w:t>
      </w:r>
      <w:r w:rsidR="00944968" w:rsidRPr="000A7B67">
        <w:rPr>
          <w:i/>
        </w:rPr>
        <w:t>et al</w:t>
      </w:r>
      <w:r w:rsidRPr="000A7B67">
        <w:t>., 2012). The animals in each group are observed at least daily for 14 days. The test is invalid if more than two mice of any group succumb within the first 4</w:t>
      </w:r>
      <w:r w:rsidR="00711433" w:rsidRPr="000A7B67">
        <w:t> </w:t>
      </w:r>
      <w:r w:rsidRPr="000A7B67">
        <w:t>days after challenge. The number in each group that develops signs of rabies between day 5 and day 14 after challenge is recorded.</w:t>
      </w:r>
    </w:p>
    <w:p w14:paraId="3E51C2F7" w14:textId="77777777" w:rsidR="00DD6EB9" w:rsidRPr="000A7B67" w:rsidRDefault="00DD6EB9" w:rsidP="003C52D3">
      <w:pPr>
        <w:pStyle w:val="dotseventhlevelpara"/>
      </w:pPr>
      <w:r w:rsidRPr="000A7B67">
        <w:t>The test is invalid unless:</w:t>
      </w:r>
    </w:p>
    <w:p w14:paraId="61B147FC" w14:textId="77777777" w:rsidR="00DD6EB9" w:rsidRPr="000A7B67" w:rsidRDefault="00DD6EB9" w:rsidP="003C52D3">
      <w:pPr>
        <w:pStyle w:val="dotseventhlevellist"/>
      </w:pPr>
      <w:r w:rsidRPr="000A7B67">
        <w:t>a)</w:t>
      </w:r>
      <w:r w:rsidRPr="000A7B67">
        <w:tab/>
      </w:r>
      <w:r w:rsidR="00D048E9" w:rsidRPr="000A7B67">
        <w:t>For</w:t>
      </w:r>
      <w:r w:rsidRPr="000A7B67">
        <w:t xml:space="preserve"> both the vaccine being examined and the reference preparation, the 50% protective dose lies between the smallest and the largest dose given to the mice;</w:t>
      </w:r>
    </w:p>
    <w:p w14:paraId="6923689C" w14:textId="77777777" w:rsidR="00DD6EB9" w:rsidRPr="000A7B67" w:rsidRDefault="00DD6EB9" w:rsidP="003C52D3">
      <w:pPr>
        <w:pStyle w:val="dotseventhlevellist"/>
      </w:pPr>
      <w:r w:rsidRPr="000A7B67">
        <w:t>b)</w:t>
      </w:r>
      <w:r w:rsidRPr="000A7B67">
        <w:tab/>
      </w:r>
      <w:r w:rsidR="00D048E9" w:rsidRPr="000A7B67">
        <w:t>The</w:t>
      </w:r>
      <w:r w:rsidRPr="000A7B67">
        <w:t xml:space="preserve"> titration of the challenge suspension shows that 0.03 ml of the suspension contained </w:t>
      </w:r>
      <w:r w:rsidR="00FF110F" w:rsidRPr="000A7B67">
        <w:t xml:space="preserve">at least </w:t>
      </w:r>
      <w:r w:rsidRPr="000A7B67">
        <w:t>10 ID</w:t>
      </w:r>
      <w:r w:rsidR="00711433" w:rsidRPr="00D9477C">
        <w:rPr>
          <w:szCs w:val="14"/>
          <w:vertAlign w:val="subscript"/>
        </w:rPr>
        <w:t>50</w:t>
      </w:r>
      <w:r w:rsidRPr="000A7B67">
        <w:t>;</w:t>
      </w:r>
    </w:p>
    <w:p w14:paraId="0E710F41" w14:textId="77777777" w:rsidR="00DD6EB9" w:rsidRPr="000A7B67" w:rsidRDefault="00DD6EB9" w:rsidP="003C52D3">
      <w:pPr>
        <w:pStyle w:val="dotseventhlevellist"/>
      </w:pPr>
      <w:r w:rsidRPr="000A7B67">
        <w:t>c)</w:t>
      </w:r>
      <w:r w:rsidRPr="000A7B67">
        <w:tab/>
      </w:r>
      <w:r w:rsidR="00D048E9" w:rsidRPr="000A7B67">
        <w:t xml:space="preserve">The </w:t>
      </w:r>
      <w:r w:rsidRPr="000A7B67">
        <w:t>confidence limits (</w:t>
      </w:r>
      <w:r w:rsidRPr="000A7B67">
        <w:rPr>
          <w:i/>
        </w:rPr>
        <w:t>p</w:t>
      </w:r>
      <w:r w:rsidRPr="000A7B67">
        <w:t xml:space="preserve"> = 0.95) are not less than 25% and not more than 400% of the estimated potency; when this validity criterion is not met, the lower limit of the estimated potency must be at least 1 IU in the smallest prescribed dose;</w:t>
      </w:r>
    </w:p>
    <w:p w14:paraId="2262D747" w14:textId="77777777" w:rsidR="00DD6EB9" w:rsidRPr="000A7B67" w:rsidRDefault="00DD6EB9" w:rsidP="003C52D3">
      <w:pPr>
        <w:pStyle w:val="dotseventhlevellist"/>
      </w:pPr>
      <w:r w:rsidRPr="000A7B67">
        <w:t>d)</w:t>
      </w:r>
      <w:r w:rsidRPr="000A7B67">
        <w:tab/>
      </w:r>
      <w:r w:rsidR="00D048E9" w:rsidRPr="000A7B67">
        <w:t xml:space="preserve">Statistical </w:t>
      </w:r>
      <w:r w:rsidRPr="000A7B67">
        <w:t>analysis shows a significant slope (</w:t>
      </w:r>
      <w:r w:rsidRPr="000A7B67">
        <w:rPr>
          <w:i/>
        </w:rPr>
        <w:t>p</w:t>
      </w:r>
      <w:r w:rsidRPr="000A7B67">
        <w:t xml:space="preserve"> = 0.95) and no significant deviations from linearity or parallelism of the dose–response curves (</w:t>
      </w:r>
      <w:r w:rsidRPr="000A7B67">
        <w:rPr>
          <w:i/>
        </w:rPr>
        <w:t>p</w:t>
      </w:r>
      <w:r w:rsidRPr="000A7B67">
        <w:t xml:space="preserve"> = 0.99).</w:t>
      </w:r>
    </w:p>
    <w:p w14:paraId="44E98E24" w14:textId="348CE74F" w:rsidR="00DD6EB9" w:rsidRPr="000A7B67" w:rsidRDefault="00DD6EB9" w:rsidP="003C52D3">
      <w:pPr>
        <w:pStyle w:val="doteighthlevelpara"/>
      </w:pPr>
      <w:r w:rsidRPr="000A7B67">
        <w:t xml:space="preserve">The vaccine meets the </w:t>
      </w:r>
      <w:r w:rsidR="00A064B8">
        <w:t>WOAH</w:t>
      </w:r>
      <w:r w:rsidRPr="000A7B67">
        <w:t xml:space="preserve"> requirement if the estimated potency is not less than 1 IU in the smallest prescribed dose.</w:t>
      </w:r>
    </w:p>
    <w:p w14:paraId="4EFEE2A1" w14:textId="77777777" w:rsidR="00DD6EB9" w:rsidRPr="000A7B67" w:rsidRDefault="00DD6EB9" w:rsidP="003C52D3">
      <w:pPr>
        <w:pStyle w:val="dot-sixthlevellist"/>
      </w:pPr>
      <w:r w:rsidRPr="000A7B67">
        <w:t>iv)</w:t>
      </w:r>
      <w:r w:rsidRPr="000A7B67">
        <w:tab/>
        <w:t xml:space="preserve">Application of </w:t>
      </w:r>
      <w:r w:rsidR="00FF110F" w:rsidRPr="000A7B67">
        <w:t xml:space="preserve">humane </w:t>
      </w:r>
      <w:r w:rsidRPr="000A7B67">
        <w:t>end-points</w:t>
      </w:r>
    </w:p>
    <w:p w14:paraId="23491561" w14:textId="77777777" w:rsidR="00DD6EB9" w:rsidRPr="000A7B67" w:rsidRDefault="00DD6EB9" w:rsidP="003C52D3">
      <w:pPr>
        <w:pStyle w:val="dotseventhlevelpara"/>
      </w:pPr>
      <w:r w:rsidRPr="000A7B67">
        <w:t>Once a laboratory has established the above assay for routine use, the lethal end-point is replaced by an observation of clinical signs and the application of an end-point earlier than death to reduce animal suffering. The following scoring scheme is given as an example.</w:t>
      </w:r>
    </w:p>
    <w:p w14:paraId="45C5EA60" w14:textId="77777777" w:rsidR="00DD6EB9" w:rsidRPr="000A7B67" w:rsidRDefault="00DD6EB9" w:rsidP="003C52D3">
      <w:pPr>
        <w:pStyle w:val="dotseventhlevelpara"/>
      </w:pPr>
      <w:r w:rsidRPr="000A7B67">
        <w:t>The progress of rabies infection in mice following intracerebral injection can be represented by five stages defined by typical clinical signs:</w:t>
      </w:r>
    </w:p>
    <w:p w14:paraId="54BD514C" w14:textId="77777777" w:rsidR="00DD6EB9" w:rsidRPr="000A7B67" w:rsidRDefault="00DD6EB9" w:rsidP="00EF28D6">
      <w:pPr>
        <w:pStyle w:val="dotseventhlevelpara"/>
        <w:spacing w:after="120"/>
      </w:pPr>
      <w:r w:rsidRPr="000A7B67">
        <w:t>Score 1: ruffled fur, hunched back;</w:t>
      </w:r>
    </w:p>
    <w:p w14:paraId="7DE4A413" w14:textId="77777777" w:rsidR="00DD6EB9" w:rsidRPr="000A7B67" w:rsidRDefault="00DD6EB9" w:rsidP="00EF28D6">
      <w:pPr>
        <w:pStyle w:val="dotseventhlevelpara"/>
        <w:spacing w:after="120"/>
      </w:pPr>
      <w:r w:rsidRPr="000A7B67">
        <w:t>Score 2: slow movements, loss of alertness (circular movements may also occur);</w:t>
      </w:r>
    </w:p>
    <w:p w14:paraId="47777A71" w14:textId="77777777" w:rsidR="00DD6EB9" w:rsidRPr="000A7B67" w:rsidRDefault="00DD6EB9" w:rsidP="00EF28D6">
      <w:pPr>
        <w:pStyle w:val="dotseventhlevelpara"/>
        <w:spacing w:after="120"/>
      </w:pPr>
      <w:r w:rsidRPr="000A7B67">
        <w:t>Score 3: shaky movements, trembling, convulsions;</w:t>
      </w:r>
    </w:p>
    <w:p w14:paraId="4DA11F89" w14:textId="77777777" w:rsidR="00DD6EB9" w:rsidRPr="000A7B67" w:rsidRDefault="00DD6EB9" w:rsidP="00EF28D6">
      <w:pPr>
        <w:pStyle w:val="dotseventhlevelpara"/>
        <w:spacing w:after="120"/>
      </w:pPr>
      <w:r w:rsidRPr="000A7B67">
        <w:t>Score 4: signs of paresis or paralysis;</w:t>
      </w:r>
    </w:p>
    <w:p w14:paraId="3943A67C" w14:textId="77777777" w:rsidR="00DD6EB9" w:rsidRPr="000A7B67" w:rsidRDefault="00DD6EB9" w:rsidP="003C52D3">
      <w:pPr>
        <w:pStyle w:val="dotseventhlevelpara"/>
      </w:pPr>
      <w:r w:rsidRPr="000A7B67">
        <w:t>Score 5: moribund state.</w:t>
      </w:r>
    </w:p>
    <w:p w14:paraId="7356A31C" w14:textId="77777777" w:rsidR="00DD6EB9" w:rsidRPr="000A7B67" w:rsidRDefault="00DD6EB9" w:rsidP="003C52D3">
      <w:pPr>
        <w:pStyle w:val="dotseventhlevelpara"/>
      </w:pPr>
      <w:r w:rsidRPr="000A7B67">
        <w:t>Mice are observed at least twice daily from day 4 after challenge. Clinical signs are recorded at each observation. Experience has shown that using score 3 as an end-point yields assay results equivalent to those found when a lethal end-point is used. This must be verified by each laboratory by scoring a suitable number of assays using both clinical signs and the lethal end-point.</w:t>
      </w:r>
    </w:p>
    <w:p w14:paraId="5DBC4EA0" w14:textId="4D321ECF" w:rsidR="00DD6EB9" w:rsidRPr="000A7B67" w:rsidRDefault="00DD6EB9" w:rsidP="003C52D3">
      <w:pPr>
        <w:pStyle w:val="dotseventhlevelpara"/>
      </w:pPr>
      <w:r w:rsidRPr="000A7B67">
        <w:t xml:space="preserve">The potency test of the National Institute of Health (NIH test), as described in the US Code of Federal Regulations (9CFR), is similar to the European test, except that a second injection of vaccine is performed one week after the first injection. Reading and calculation are identical (European Pharmacopoeia, </w:t>
      </w:r>
      <w:r w:rsidR="00757128" w:rsidRPr="00757128">
        <w:rPr>
          <w:strike/>
          <w:highlight w:val="yellow"/>
        </w:rPr>
        <w:t xml:space="preserve">2013a </w:t>
      </w:r>
      <w:r w:rsidR="00757128" w:rsidRPr="00757128">
        <w:rPr>
          <w:highlight w:val="yellow"/>
          <w:u w:val="double"/>
        </w:rPr>
        <w:t>2021</w:t>
      </w:r>
      <w:r w:rsidRPr="000A7B67">
        <w:t>; 9CFR, 2010).</w:t>
      </w:r>
    </w:p>
    <w:p w14:paraId="1C2127DE" w14:textId="77777777" w:rsidR="00DD6EB9" w:rsidRPr="000A7B67" w:rsidRDefault="00DD6EB9" w:rsidP="003C52D3">
      <w:pPr>
        <w:pStyle w:val="11"/>
      </w:pPr>
      <w:r w:rsidRPr="000A7B67">
        <w:t>2.3.</w:t>
      </w:r>
      <w:r w:rsidRPr="000A7B67">
        <w:tab/>
        <w:t xml:space="preserve">Requirements for </w:t>
      </w:r>
      <w:r w:rsidR="009971B1" w:rsidRPr="000A7B67">
        <w:t>relevant regulatory approval</w:t>
      </w:r>
    </w:p>
    <w:p w14:paraId="3F033E06" w14:textId="77777777" w:rsidR="00DD6EB9" w:rsidRPr="000A7B67" w:rsidRDefault="00DD6EB9" w:rsidP="003C52D3">
      <w:pPr>
        <w:pStyle w:val="111"/>
      </w:pPr>
      <w:r w:rsidRPr="000A7B67">
        <w:t>2.3.1.</w:t>
      </w:r>
      <w:r w:rsidRPr="000A7B67">
        <w:tab/>
        <w:t>Manufacturing process</w:t>
      </w:r>
    </w:p>
    <w:p w14:paraId="7A6F45DE" w14:textId="77777777" w:rsidR="00DD6EB9" w:rsidRPr="000A7B67" w:rsidRDefault="00DD6EB9" w:rsidP="003C52D3">
      <w:pPr>
        <w:pStyle w:val="111Para"/>
      </w:pPr>
      <w:r w:rsidRPr="000A7B67">
        <w:t>For registration of vaccine, all relevant details concerning manufacture of the vaccine and quality control testing (see Sections C.2.2.1 and C.2.2.2) should be submitted to the authorities. This information shall be provided from three consecutive vaccine batches/serials with a volume not less than 1/3 of the typical industrial batch/serial volume.</w:t>
      </w:r>
    </w:p>
    <w:p w14:paraId="19D83FC0" w14:textId="77777777" w:rsidR="00DD6EB9" w:rsidRPr="000A7B67" w:rsidRDefault="00DD6EB9" w:rsidP="003C52D3">
      <w:pPr>
        <w:pStyle w:val="111"/>
      </w:pPr>
      <w:r w:rsidRPr="000A7B67">
        <w:t>2.3.2.</w:t>
      </w:r>
      <w:r w:rsidRPr="000A7B67">
        <w:tab/>
        <w:t>Safety requirements</w:t>
      </w:r>
    </w:p>
    <w:p w14:paraId="18126405" w14:textId="77777777" w:rsidR="00DD6EB9" w:rsidRPr="000A7B67" w:rsidRDefault="00DD6EB9" w:rsidP="003C52D3">
      <w:pPr>
        <w:pStyle w:val="111Para"/>
      </w:pPr>
      <w:r w:rsidRPr="000A7B67">
        <w:t xml:space="preserve">Safety tests for registration of inactivated injectable rabies vaccine are identical to those described in Section C.2.2.2.iv.d.1 and need to be carried out in accordance with </w:t>
      </w:r>
      <w:r w:rsidR="00711433" w:rsidRPr="000A7B67">
        <w:t>VICH Guideline</w:t>
      </w:r>
      <w:r w:rsidRPr="000A7B67">
        <w:t xml:space="preserve"> 44, Section 2.1.2, as outlined here.</w:t>
      </w:r>
    </w:p>
    <w:p w14:paraId="1493E14C" w14:textId="77777777" w:rsidR="00DD6EB9" w:rsidRPr="000A7B67" w:rsidRDefault="00DD6EB9" w:rsidP="003C52D3">
      <w:pPr>
        <w:pStyle w:val="111Para"/>
      </w:pPr>
      <w:r w:rsidRPr="000A7B67">
        <w:t>For vaccines that require a single life-time dose or primary vaccination series only, the primary vaccination regimen should be used. For vaccines that require a single dose or primary vaccination series followed by booster vaccination, the primary vaccination regimen and an additional dose should be used. For convenience, the recommended intervals between administrations may be shortened to an interval of at least 14 days. Evaluation of the one or repeat dose testing should be conducted using either a pilot or production batch containing the maximum release potency or, in the case where maximum release potency is not specified, then a justified multiple of the minimum release potency should be used.</w:t>
      </w:r>
    </w:p>
    <w:p w14:paraId="0836CD0C" w14:textId="77777777" w:rsidR="00DD6EB9" w:rsidRPr="000A7B67" w:rsidRDefault="00DD6EB9" w:rsidP="003C52D3">
      <w:pPr>
        <w:pStyle w:val="111Para"/>
      </w:pPr>
      <w:r w:rsidRPr="000A7B67">
        <w:t>In general, eight animals per group should be used unless otherwise justified. For each target species, the most sensitive class, age and sex proposed on the label should be used. Seronegative animals should be used. In cases where seronegative animals are not available, the use of alternatives should be justified.</w:t>
      </w:r>
    </w:p>
    <w:p w14:paraId="3964EDD2" w14:textId="77777777" w:rsidR="00DD6EB9" w:rsidRPr="000A7B67" w:rsidRDefault="00DD6EB9" w:rsidP="003C52D3">
      <w:pPr>
        <w:pStyle w:val="111Para"/>
      </w:pPr>
      <w:r w:rsidRPr="000A7B67">
        <w:t>If multiple routes and methods of administration are specified for the product concerned, administration by all routes is recommended. If one route of administration has been shown to cause the most severe effects, this single route may be selected as the only one for use in the study. Special attention shall be paid to the site of injection, especially for cats. Site recommendations should be followed.</w:t>
      </w:r>
    </w:p>
    <w:p w14:paraId="70046E6C" w14:textId="7B585A4B" w:rsidR="00DD6EB9" w:rsidRPr="000A7B67" w:rsidRDefault="00DD6EB9" w:rsidP="003C52D3">
      <w:pPr>
        <w:pStyle w:val="111Para"/>
      </w:pPr>
      <w:r w:rsidRPr="000A7B67">
        <w:t xml:space="preserve">Biotechnology-derived injectable vaccines do not shed virulent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Pr="000A7B67">
        <w:t xml:space="preserve">, but other safety concerns may be evident (Roess </w:t>
      </w:r>
      <w:r w:rsidR="00944968" w:rsidRPr="000A7B67">
        <w:rPr>
          <w:i/>
        </w:rPr>
        <w:t>et al</w:t>
      </w:r>
      <w:r w:rsidRPr="000A7B67">
        <w:t>., 2012). Specific requirements for safety of this type of vaccine are described in chapter 1.1.8 for biotechnology-derived vaccines.</w:t>
      </w:r>
    </w:p>
    <w:p w14:paraId="750D1CF8" w14:textId="77777777" w:rsidR="00DD6EB9" w:rsidRPr="000A7B67" w:rsidRDefault="00DD6EB9" w:rsidP="003C52D3">
      <w:pPr>
        <w:pStyle w:val="111Para"/>
      </w:pPr>
      <w:r w:rsidRPr="000A7B67">
        <w:t>Tests for reversion to virulence of modified live vaccines (MLV) should be done in accordance with chapter 1.1.8.</w:t>
      </w:r>
    </w:p>
    <w:p w14:paraId="131D3A20" w14:textId="77777777" w:rsidR="00DD6EB9" w:rsidRPr="000A7B67" w:rsidRDefault="00DD6EB9" w:rsidP="003C52D3">
      <w:pPr>
        <w:pStyle w:val="i"/>
      </w:pPr>
      <w:r w:rsidRPr="000A7B67">
        <w:t>i)</w:t>
      </w:r>
      <w:r w:rsidRPr="000A7B67">
        <w:tab/>
        <w:t>Precautions and hazards</w:t>
      </w:r>
    </w:p>
    <w:p w14:paraId="634BA3FB" w14:textId="77777777" w:rsidR="00DD6EB9" w:rsidRPr="000A7B67" w:rsidRDefault="00DD6EB9" w:rsidP="005B0077">
      <w:pPr>
        <w:pStyle w:val="afourthpara"/>
      </w:pPr>
      <w:r w:rsidRPr="000A7B67">
        <w:t xml:space="preserve">For adjuvanted vaccines, live attenuated vaccines and biotechnology-derived vaccines, warnings </w:t>
      </w:r>
      <w:r w:rsidR="00350507" w:rsidRPr="000A7B67">
        <w:t xml:space="preserve">should </w:t>
      </w:r>
      <w:r w:rsidRPr="000A7B67">
        <w:t>be provided by manufacturers that medical advice shall be sought in case of self-injection</w:t>
      </w:r>
    </w:p>
    <w:p w14:paraId="67DEC386" w14:textId="77777777" w:rsidR="00DD6EB9" w:rsidRPr="000A7B67" w:rsidRDefault="00DD6EB9" w:rsidP="005B0077">
      <w:pPr>
        <w:pStyle w:val="111"/>
      </w:pPr>
      <w:r w:rsidRPr="000A7B67">
        <w:t>2.3.3.</w:t>
      </w:r>
      <w:r w:rsidRPr="000A7B67">
        <w:tab/>
        <w:t>Efficacy requirements</w:t>
      </w:r>
    </w:p>
    <w:p w14:paraId="67FFE8BC" w14:textId="3E45142E" w:rsidR="00DD6EB9" w:rsidRPr="000A7B67" w:rsidRDefault="00DD6EB9" w:rsidP="003C52D3">
      <w:pPr>
        <w:pStyle w:val="111Para"/>
      </w:pPr>
      <w:r w:rsidRPr="000A7B67">
        <w:t xml:space="preserve">In herbivores, as a minimum requirement, efficacy can be demonstrated by serology (European Pharmacopoeia, </w:t>
      </w:r>
      <w:r w:rsidR="00757128" w:rsidRPr="00757128">
        <w:rPr>
          <w:strike/>
          <w:highlight w:val="yellow"/>
        </w:rPr>
        <w:t xml:space="preserve">2013a </w:t>
      </w:r>
      <w:r w:rsidR="00757128" w:rsidRPr="00757128">
        <w:rPr>
          <w:highlight w:val="yellow"/>
          <w:u w:val="double"/>
        </w:rPr>
        <w:t>2021</w:t>
      </w:r>
      <w:r w:rsidRPr="000A7B67">
        <w:t>). In other species efficacy is demonstrated by challenge</w:t>
      </w:r>
      <w:r w:rsidR="0037667A" w:rsidRPr="000A7B67">
        <w:t xml:space="preserve"> with an appropriate challenge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37667A" w:rsidRPr="000A7B67">
        <w:t xml:space="preserve">. </w:t>
      </w:r>
      <w:r w:rsidRPr="000A7B67">
        <w:t xml:space="preserve">Test animals shall be uniform and have no neutralising antibodies to rabies as determined by the serum neutralisation tests (see Section B of this chapter). </w:t>
      </w:r>
    </w:p>
    <w:p w14:paraId="5F905434" w14:textId="77777777" w:rsidR="00DD6EB9" w:rsidRPr="000A7B67" w:rsidRDefault="00DD6EB9" w:rsidP="003C52D3">
      <w:pPr>
        <w:pStyle w:val="111Para"/>
      </w:pPr>
      <w:r w:rsidRPr="000A7B67">
        <w:t xml:space="preserve">For challenge tests, </w:t>
      </w:r>
      <w:r w:rsidR="0037667A" w:rsidRPr="000A7B67">
        <w:t xml:space="preserve">challenge-dose finding studies are conducted </w:t>
      </w:r>
      <w:r w:rsidRPr="000A7B67">
        <w:t>to determine the dose and route that is sufficient to induce clinical signs of rabies in at least 80% of unvaccinated control animals. As soon as clinical signs of rabies are observed, animals are killed and rabies is confirmed using the diagnostic tests described in Section B of this chapter.</w:t>
      </w:r>
    </w:p>
    <w:p w14:paraId="3EFB3BE9" w14:textId="77777777" w:rsidR="00DD6EB9" w:rsidRPr="000A7B67" w:rsidRDefault="00DD6EB9" w:rsidP="003C52D3">
      <w:pPr>
        <w:pStyle w:val="111Para"/>
      </w:pPr>
      <w:r w:rsidRPr="000A7B67">
        <w:t xml:space="preserve">For efficacy tests in vaccinated animals, such as dogs, 25 or more animals shall be used as vaccinates. The vaccine formulation used for the efficacy trial is the minimum to be used for routine production. Ten or more additional animals shall be added as controls. At the end of the period claimed for duration of immunity, vaccinates and controls are challenged with the predetermined dose as described above. Animals are observed at least daily for 90 days after challenge. As soon as clinical signs of rabies are observed, animals are </w:t>
      </w:r>
      <w:r w:rsidR="00FF110F" w:rsidRPr="000A7B67">
        <w:t xml:space="preserve">humanely </w:t>
      </w:r>
      <w:r w:rsidRPr="000A7B67">
        <w:t xml:space="preserve">killed and rabies is confirmed using appropriate diagnostic tests. At the end of the observation period, all surviving animals are </w:t>
      </w:r>
      <w:r w:rsidR="00FF110F" w:rsidRPr="000A7B67">
        <w:t xml:space="preserve">humanely </w:t>
      </w:r>
      <w:r w:rsidRPr="000A7B67">
        <w:t>killed and their brains are tested using the diagnostic tests described in Section B of this chapter.</w:t>
      </w:r>
    </w:p>
    <w:p w14:paraId="47363E7F" w14:textId="77777777" w:rsidR="00DD6EB9" w:rsidRPr="000A7B67" w:rsidRDefault="00DD6EB9" w:rsidP="003C52D3">
      <w:pPr>
        <w:pStyle w:val="111Para"/>
      </w:pPr>
      <w:r w:rsidRPr="000A7B67">
        <w:t xml:space="preserve">Requirements for acceptance in challenge tests shall be death due to rabies in at least 80% of the control animals while at least 22 of 25 or 26 of 30 or a statistically equivalent number of the vaccinates remain free of rabies for a period of 90 days. </w:t>
      </w:r>
    </w:p>
    <w:p w14:paraId="07087AB6" w14:textId="77777777" w:rsidR="00DD6EB9" w:rsidRPr="000A7B67" w:rsidRDefault="00DD6EB9" w:rsidP="005B0077">
      <w:pPr>
        <w:pStyle w:val="111"/>
      </w:pPr>
      <w:r w:rsidRPr="000A7B67">
        <w:t>2.3.4.</w:t>
      </w:r>
      <w:r w:rsidRPr="000A7B67">
        <w:tab/>
        <w:t>Stability</w:t>
      </w:r>
    </w:p>
    <w:p w14:paraId="6B585329" w14:textId="77777777" w:rsidR="00711433" w:rsidRPr="000A7B67" w:rsidRDefault="00DD6EB9" w:rsidP="00F51117">
      <w:pPr>
        <w:pStyle w:val="111Para"/>
        <w:rPr>
          <w:rFonts w:ascii="Ottawa" w:hAnsi="Ottawa"/>
          <w:b/>
          <w:sz w:val="19"/>
        </w:rPr>
      </w:pPr>
      <w:r w:rsidRPr="000A7B67">
        <w:t>As described in chapter 1.1.8.</w:t>
      </w:r>
    </w:p>
    <w:p w14:paraId="367B2AD4" w14:textId="77777777" w:rsidR="00DD6EB9" w:rsidRPr="000A7B67" w:rsidRDefault="00DD6EB9" w:rsidP="005B0077">
      <w:pPr>
        <w:pStyle w:val="111"/>
      </w:pPr>
      <w:r w:rsidRPr="000A7B67">
        <w:t>2.3.5.</w:t>
      </w:r>
      <w:r w:rsidRPr="000A7B67">
        <w:tab/>
        <w:t>Duration of immunity</w:t>
      </w:r>
    </w:p>
    <w:p w14:paraId="2E26E640" w14:textId="77777777" w:rsidR="00DD6EB9" w:rsidRPr="000A7B67" w:rsidRDefault="00DD6EB9" w:rsidP="003C52D3">
      <w:pPr>
        <w:pStyle w:val="111Para"/>
      </w:pPr>
      <w:r w:rsidRPr="000A7B67">
        <w:t>As part of the authorisation procedure the manufacturer should be required to demonstrate the duration of immunity of a given vaccine by either challenge or the use of a validated alternative test, such as serology at the end of the claimed period of protection.</w:t>
      </w:r>
    </w:p>
    <w:p w14:paraId="255BF9EC" w14:textId="77777777" w:rsidR="00DD6EB9" w:rsidRPr="000A7B67" w:rsidRDefault="00DD6EB9" w:rsidP="00222839">
      <w:pPr>
        <w:pStyle w:val="1"/>
        <w:keepNext/>
      </w:pPr>
      <w:r w:rsidRPr="000A7B67">
        <w:t>3.</w:t>
      </w:r>
      <w:r w:rsidRPr="000A7B67">
        <w:tab/>
        <w:t>Rabies vaccines for oral use</w:t>
      </w:r>
    </w:p>
    <w:p w14:paraId="548F8FF3" w14:textId="77777777" w:rsidR="00DD6EB9" w:rsidRPr="000A7B67" w:rsidRDefault="00DD6EB9" w:rsidP="005B0077">
      <w:pPr>
        <w:pStyle w:val="11"/>
      </w:pPr>
      <w:r w:rsidRPr="000A7B67">
        <w:t>3.1.</w:t>
      </w:r>
      <w:r w:rsidRPr="000A7B67">
        <w:tab/>
        <w:t>Background</w:t>
      </w:r>
    </w:p>
    <w:p w14:paraId="1726B207" w14:textId="157D5E39" w:rsidR="00595C34" w:rsidRDefault="00DD6EB9" w:rsidP="00595C34">
      <w:pPr>
        <w:pStyle w:val="11Para"/>
      </w:pPr>
      <w:r w:rsidRPr="000A7B67">
        <w:t xml:space="preserve">All vaccines currently used for oral vaccination are either MLV or biotechnology-derived vaccines (BDVs). It should be noted that </w:t>
      </w:r>
      <w:r w:rsidR="009006BC" w:rsidRPr="000A7B67">
        <w:t xml:space="preserve">oral rabies vaccine constructs generated using reverse genetics </w:t>
      </w:r>
      <w:r w:rsidRPr="000A7B67">
        <w:t xml:space="preserve">are considered from a regulatory perspective as BDVs although they do not express a foreign gene. </w:t>
      </w:r>
      <w:r w:rsidR="00595C34" w:rsidRPr="00595C34">
        <w:rPr>
          <w:u w:val="double"/>
        </w:rPr>
        <w:t xml:space="preserve">While there are numerous oral rabies vaccines for wildlife available (Müller </w:t>
      </w:r>
      <w:r w:rsidR="00634CD2" w:rsidRPr="00634CD2">
        <w:rPr>
          <w:iCs/>
          <w:u w:val="double"/>
        </w:rPr>
        <w:t>&amp;</w:t>
      </w:r>
      <w:r w:rsidR="00595C34" w:rsidRPr="00595C34">
        <w:rPr>
          <w:u w:val="double"/>
        </w:rPr>
        <w:t xml:space="preserve"> Freuling, 2020), they are perhaps the most underused of all tools in the fight against dog-mediated rabies (</w:t>
      </w:r>
      <w:proofErr w:type="spellStart"/>
      <w:r w:rsidR="00595C34" w:rsidRPr="00595C34">
        <w:rPr>
          <w:u w:val="double"/>
        </w:rPr>
        <w:t>Cliquet</w:t>
      </w:r>
      <w:proofErr w:type="spellEnd"/>
      <w:r w:rsidR="00595C34" w:rsidRPr="00595C34">
        <w:rPr>
          <w:u w:val="double"/>
        </w:rPr>
        <w:t xml:space="preserve"> </w:t>
      </w:r>
      <w:r w:rsidR="00595C34" w:rsidRPr="00595C34">
        <w:rPr>
          <w:i/>
          <w:u w:val="double"/>
        </w:rPr>
        <w:t>et al</w:t>
      </w:r>
      <w:r w:rsidR="00595C34" w:rsidRPr="00595C34">
        <w:rPr>
          <w:u w:val="double"/>
        </w:rPr>
        <w:t>., 2018</w:t>
      </w:r>
      <w:r w:rsidR="00634CD2">
        <w:rPr>
          <w:u w:val="double"/>
        </w:rPr>
        <w:t>;</w:t>
      </w:r>
      <w:r w:rsidR="00595C34" w:rsidRPr="00595C34">
        <w:rPr>
          <w:u w:val="double"/>
        </w:rPr>
        <w:t xml:space="preserve"> Wallace </w:t>
      </w:r>
      <w:r w:rsidR="00595C34" w:rsidRPr="00595C34">
        <w:rPr>
          <w:i/>
          <w:u w:val="double"/>
        </w:rPr>
        <w:t>et al</w:t>
      </w:r>
      <w:r w:rsidR="00595C34" w:rsidRPr="00595C34">
        <w:rPr>
          <w:u w:val="double"/>
        </w:rPr>
        <w:t>., 2020).</w:t>
      </w:r>
      <w:r w:rsidR="00595C34" w:rsidRPr="00595C34">
        <w:t xml:space="preserve"> </w:t>
      </w:r>
    </w:p>
    <w:p w14:paraId="2292467B" w14:textId="3F237422" w:rsidR="00DD6EB9" w:rsidRPr="000A7B67" w:rsidRDefault="00DD6EB9" w:rsidP="006B2B88">
      <w:pPr>
        <w:pStyle w:val="11Para"/>
      </w:pPr>
      <w:r w:rsidRPr="000A7B67">
        <w:t>Of paramount consideration for oral vaccine use is safety, not only for the target animals, but for the environment and other species, including humans, who may come in contact with the vaccine (see chapter 1.1.8).</w:t>
      </w:r>
      <w:r w:rsidR="006B2B88" w:rsidRPr="000A7B67">
        <w:t xml:space="preserve"> Some of the MLVs have been documented to cause vaccine-derived rabies in</w:t>
      </w:r>
      <w:r w:rsidR="00FF045B" w:rsidRPr="000A7B67">
        <w:t xml:space="preserve"> target and non-target species </w:t>
      </w:r>
      <w:r w:rsidR="006B2B88" w:rsidRPr="000A7B67">
        <w:t xml:space="preserve">(Fehlner-Gardiner </w:t>
      </w:r>
      <w:r w:rsidR="006B2B88" w:rsidRPr="000A7B67">
        <w:rPr>
          <w:i/>
        </w:rPr>
        <w:t xml:space="preserve">et al., </w:t>
      </w:r>
      <w:r w:rsidR="006B2B88" w:rsidRPr="000A7B67">
        <w:t xml:space="preserve">2008, Müller </w:t>
      </w:r>
      <w:r w:rsidR="006B2B88" w:rsidRPr="000A7B67">
        <w:rPr>
          <w:i/>
        </w:rPr>
        <w:t xml:space="preserve">et al., </w:t>
      </w:r>
      <w:r w:rsidR="006B2B88" w:rsidRPr="000A7B67">
        <w:t xml:space="preserve">2009, </w:t>
      </w:r>
      <w:r w:rsidR="00CE5578" w:rsidRPr="000A7B67">
        <w:t xml:space="preserve">Hostnik </w:t>
      </w:r>
      <w:r w:rsidR="00CE5578" w:rsidRPr="000A7B67">
        <w:rPr>
          <w:i/>
        </w:rPr>
        <w:t xml:space="preserve">et al. </w:t>
      </w:r>
      <w:r w:rsidR="00CE5578" w:rsidRPr="000A7B67">
        <w:t>2014</w:t>
      </w:r>
      <w:r w:rsidR="000839B3" w:rsidRPr="000A7B67">
        <w:t xml:space="preserve">, Pfaff </w:t>
      </w:r>
      <w:r w:rsidR="000839B3" w:rsidRPr="000A7B67">
        <w:rPr>
          <w:i/>
        </w:rPr>
        <w:t>et al.</w:t>
      </w:r>
      <w:r w:rsidR="000839B3" w:rsidRPr="000A7B67">
        <w:t>, 2018</w:t>
      </w:r>
      <w:r w:rsidR="00CE5578" w:rsidRPr="000A7B67">
        <w:t>)</w:t>
      </w:r>
      <w:r w:rsidR="00503060" w:rsidRPr="000A7B67">
        <w:t>.</w:t>
      </w:r>
    </w:p>
    <w:p w14:paraId="26A2394E" w14:textId="6666F7AF" w:rsidR="00634CD2" w:rsidRDefault="00DD6EB9" w:rsidP="005B0077">
      <w:pPr>
        <w:pStyle w:val="11Para"/>
      </w:pPr>
      <w:r w:rsidRPr="000A7B67">
        <w:t>Requirements for guaranteeing the safety and efficacy of oral vaccines both for the target species and non-target species (especially humans) that might be in contact with baits or a recently vaccinated animal have been developed</w:t>
      </w:r>
      <w:r w:rsidR="005559DE" w:rsidRPr="000A7B67">
        <w:t xml:space="preserve"> (</w:t>
      </w:r>
      <w:r w:rsidR="009724AF" w:rsidRPr="000A7B67">
        <w:t xml:space="preserve">European Pharmacopoeia, </w:t>
      </w:r>
      <w:r w:rsidR="00757128" w:rsidRPr="00757128">
        <w:rPr>
          <w:strike/>
          <w:highlight w:val="yellow"/>
        </w:rPr>
        <w:t>2013</w:t>
      </w:r>
      <w:r w:rsidR="00757128">
        <w:rPr>
          <w:strike/>
          <w:highlight w:val="yellow"/>
        </w:rPr>
        <w:t>b</w:t>
      </w:r>
      <w:r w:rsidR="00757128" w:rsidRPr="00757128">
        <w:rPr>
          <w:strike/>
          <w:highlight w:val="yellow"/>
        </w:rPr>
        <w:t xml:space="preserve"> </w:t>
      </w:r>
      <w:r w:rsidR="00757128" w:rsidRPr="00757128">
        <w:rPr>
          <w:highlight w:val="yellow"/>
          <w:u w:val="double"/>
        </w:rPr>
        <w:t>202</w:t>
      </w:r>
      <w:r w:rsidR="00757128">
        <w:rPr>
          <w:highlight w:val="yellow"/>
          <w:u w:val="double"/>
        </w:rPr>
        <w:t>0</w:t>
      </w:r>
      <w:r w:rsidR="009724AF" w:rsidRPr="000A7B67">
        <w:t xml:space="preserve">; </w:t>
      </w:r>
      <w:r w:rsidR="005559DE" w:rsidRPr="000A7B67">
        <w:t>WHO, 2007; 2013)</w:t>
      </w:r>
      <w:r w:rsidRPr="000A7B67">
        <w:t xml:space="preserve">. </w:t>
      </w:r>
    </w:p>
    <w:p w14:paraId="60A6910F" w14:textId="77EE24F7" w:rsidR="00DD6EB9" w:rsidRPr="000A7B67" w:rsidRDefault="00DD6EB9" w:rsidP="005B0077">
      <w:pPr>
        <w:pStyle w:val="11Para"/>
      </w:pPr>
      <w:r w:rsidRPr="000A7B67">
        <w:t xml:space="preserve">As well as the requirements for oral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Pr="000A7B67">
        <w:t xml:space="preserve">vaccines as described below, for </w:t>
      </w:r>
      <w:r w:rsidR="004C0E0A" w:rsidRPr="000A7B67">
        <w:t xml:space="preserve">ORV </w:t>
      </w:r>
      <w:r w:rsidRPr="000A7B67">
        <w:t xml:space="preserve">of </w:t>
      </w:r>
      <w:r w:rsidR="004C0E0A" w:rsidRPr="000A7B67">
        <w:t xml:space="preserve">wildlife and </w:t>
      </w:r>
      <w:r w:rsidRPr="000A7B67">
        <w:t>dogs, appropriate bait configuration and bait delivery system</w:t>
      </w:r>
      <w:r w:rsidR="00350507" w:rsidRPr="000A7B67">
        <w:t>s</w:t>
      </w:r>
      <w:r w:rsidRPr="000A7B67">
        <w:t xml:space="preserve"> are also critical and may require adaptation to local circumstances. It may be necessary to reassess efficacy with each significant variation of baits and bait delivery systems.</w:t>
      </w:r>
    </w:p>
    <w:p w14:paraId="7117C503" w14:textId="77777777" w:rsidR="00DD6EB9" w:rsidRPr="000A7B67" w:rsidRDefault="00DD6EB9" w:rsidP="006C4189">
      <w:pPr>
        <w:pStyle w:val="11"/>
        <w:keepNext/>
      </w:pPr>
      <w:r w:rsidRPr="000A7B67">
        <w:t>3.2.</w:t>
      </w:r>
      <w:r w:rsidRPr="000A7B67">
        <w:tab/>
        <w:t>Outline of production and minimum requirement for vaccines</w:t>
      </w:r>
    </w:p>
    <w:p w14:paraId="37EDF8C1" w14:textId="77777777" w:rsidR="00DD6EB9" w:rsidRPr="000A7B67" w:rsidRDefault="00DD6EB9" w:rsidP="005B0077">
      <w:pPr>
        <w:pStyle w:val="11Para"/>
      </w:pPr>
      <w:r w:rsidRPr="000A7B67">
        <w:t>In addition to the requirements outlined in chapter 1.1.8, the following specific requirements must be met.</w:t>
      </w:r>
    </w:p>
    <w:p w14:paraId="3F6CD6E9" w14:textId="77777777" w:rsidR="00DD6EB9" w:rsidRPr="000A7B67" w:rsidRDefault="00DD6EB9" w:rsidP="005B0077">
      <w:pPr>
        <w:pStyle w:val="111"/>
      </w:pPr>
      <w:r w:rsidRPr="000A7B67">
        <w:t>3.2.1.</w:t>
      </w:r>
      <w:r w:rsidRPr="000A7B67">
        <w:tab/>
        <w:t>Characteristics of the seed</w:t>
      </w:r>
    </w:p>
    <w:p w14:paraId="4D7D7778" w14:textId="77777777" w:rsidR="00DD6EB9" w:rsidRPr="000A7B67" w:rsidRDefault="00DD6EB9" w:rsidP="00711433">
      <w:pPr>
        <w:pStyle w:val="111Para"/>
      </w:pPr>
      <w:r w:rsidRPr="000A7B67">
        <w:t>The seed is a pure preparation of a single immunogenic clonal strain of a highly attenuated MLV or BDV. The history of the MSV, its immunogenic properties, safety and absence of reversion to virulence shall be well characterised, including the presence of genetic markers for MLV. A full genome consensus sequence of the MSV should be submitted to the regulatory authority and deposited in a public database for verification of identity and genetic stability. For biotechnology-derived MSV, additional information on recombination should be considered, as a theoretical risk exists for the potential of genetic transfer and exchange with other viruses.</w:t>
      </w:r>
    </w:p>
    <w:p w14:paraId="615D13BA" w14:textId="77777777" w:rsidR="00DD6EB9" w:rsidRPr="000A7B67" w:rsidRDefault="00DD6EB9" w:rsidP="005B0077">
      <w:pPr>
        <w:pStyle w:val="111"/>
      </w:pPr>
      <w:r w:rsidRPr="000A7B67">
        <w:t>3.2.2.</w:t>
      </w:r>
      <w:r w:rsidRPr="000A7B67">
        <w:tab/>
        <w:t>Method of manufacture</w:t>
      </w:r>
    </w:p>
    <w:p w14:paraId="4ACABE4E" w14:textId="77777777" w:rsidR="00DD6EB9" w:rsidRPr="000A7B67" w:rsidRDefault="00DD6EB9" w:rsidP="005B0077">
      <w:pPr>
        <w:pStyle w:val="i"/>
      </w:pPr>
      <w:r w:rsidRPr="000A7B67">
        <w:t>i)</w:t>
      </w:r>
      <w:r w:rsidRPr="000A7B67">
        <w:tab/>
        <w:t>Procedure</w:t>
      </w:r>
    </w:p>
    <w:p w14:paraId="5EF39A37" w14:textId="77777777" w:rsidR="00DD6EB9" w:rsidRPr="000A7B67" w:rsidRDefault="00DD6EB9" w:rsidP="005B0077">
      <w:pPr>
        <w:pStyle w:val="afourthpara"/>
      </w:pPr>
      <w:r w:rsidRPr="000A7B67">
        <w:t xml:space="preserve">The MSV is used to infect a suspension or monolayers of an established cell line. Ideally, these cell cultures should be non-tumorigenic and free from contaminating microorganisms. </w:t>
      </w:r>
    </w:p>
    <w:p w14:paraId="42700EB1" w14:textId="77777777" w:rsidR="00DD6EB9" w:rsidRPr="000A7B67" w:rsidRDefault="00DD6EB9" w:rsidP="005B0077">
      <w:pPr>
        <w:pStyle w:val="i"/>
      </w:pPr>
      <w:r w:rsidRPr="000A7B67">
        <w:t>ii)</w:t>
      </w:r>
      <w:r w:rsidRPr="000A7B67">
        <w:tab/>
        <w:t>In-process control</w:t>
      </w:r>
    </w:p>
    <w:p w14:paraId="5FF0668E" w14:textId="77777777" w:rsidR="00DD6EB9" w:rsidRPr="000A7B67" w:rsidRDefault="00DD6EB9" w:rsidP="005B0077">
      <w:pPr>
        <w:pStyle w:val="afourthpara"/>
      </w:pPr>
      <w:r w:rsidRPr="000A7B67">
        <w:t xml:space="preserve">During the production process, tests are undertaken at different times before constitution of the final blend, which allow the consistency of production to be verified. Tests for infectivity and sterility are fundamental in process controls. </w:t>
      </w:r>
    </w:p>
    <w:p w14:paraId="249B2FA7" w14:textId="77777777" w:rsidR="00DD6EB9" w:rsidRPr="000A7B67" w:rsidRDefault="00DD6EB9" w:rsidP="005B0077">
      <w:pPr>
        <w:pStyle w:val="i"/>
      </w:pPr>
      <w:r w:rsidRPr="000A7B67">
        <w:t>iii)</w:t>
      </w:r>
      <w:r w:rsidRPr="000A7B67">
        <w:tab/>
        <w:t>Final product batch/serial tests</w:t>
      </w:r>
    </w:p>
    <w:p w14:paraId="707FD9E1" w14:textId="77777777" w:rsidR="00DD6EB9" w:rsidRPr="000A7B67" w:rsidRDefault="00DD6EB9" w:rsidP="005B0077">
      <w:pPr>
        <w:pStyle w:val="afourthpara"/>
      </w:pPr>
      <w:r w:rsidRPr="000A7B67">
        <w:t>After combining all of the ingredients the final blend contains the definitive formulation that is either used in a freeze-dried or in liquid form. Filling the final blend into sachets/capsules to be included in baits or filling directly into the bait is the last step of production of a batch/serial. This final batch/serial undergoes the tests described below.</w:t>
      </w:r>
    </w:p>
    <w:p w14:paraId="73D68020" w14:textId="77777777" w:rsidR="00DD6EB9" w:rsidRPr="000A7B67" w:rsidRDefault="00DD6EB9" w:rsidP="005B0077">
      <w:pPr>
        <w:pStyle w:val="afourthlevel"/>
      </w:pPr>
      <w:r w:rsidRPr="000A7B67">
        <w:t>a)</w:t>
      </w:r>
      <w:r w:rsidRPr="000A7B67">
        <w:tab/>
        <w:t>Sterility</w:t>
      </w:r>
    </w:p>
    <w:p w14:paraId="06FE4157" w14:textId="77777777" w:rsidR="00DD6EB9" w:rsidRPr="000A7B67" w:rsidRDefault="00DD6EB9" w:rsidP="005B0077">
      <w:pPr>
        <w:pStyle w:val="ififthpara"/>
      </w:pPr>
      <w:r w:rsidRPr="000A7B67">
        <w:t>This test may be done before or after filling the bait. Tests for sterility and freedom from contamination</w:t>
      </w:r>
      <w:r w:rsidR="00FF045B" w:rsidRPr="000A7B67">
        <w:t xml:space="preserve"> of biological materials intended for veterinary use</w:t>
      </w:r>
      <w:r w:rsidRPr="000A7B67">
        <w:t xml:space="preserve"> are described in chapter 1.1.9.</w:t>
      </w:r>
    </w:p>
    <w:p w14:paraId="631D67DE" w14:textId="77777777" w:rsidR="00DD6EB9" w:rsidRPr="000A7B67" w:rsidRDefault="00DD6EB9" w:rsidP="005B0077">
      <w:pPr>
        <w:pStyle w:val="afourthlevel"/>
      </w:pPr>
      <w:r w:rsidRPr="000A7B67">
        <w:t>b)</w:t>
      </w:r>
      <w:r w:rsidRPr="000A7B67">
        <w:tab/>
        <w:t xml:space="preserve">Identity </w:t>
      </w:r>
    </w:p>
    <w:p w14:paraId="7A269180" w14:textId="77777777" w:rsidR="00DD6EB9" w:rsidRPr="000A7B67" w:rsidRDefault="00DD6EB9" w:rsidP="005B0077">
      <w:pPr>
        <w:pStyle w:val="ififthpara"/>
      </w:pPr>
      <w:r w:rsidRPr="000A7B67">
        <w:t xml:space="preserve">The identity of the immunogen is tested using rabies anti-serum monospecific </w:t>
      </w:r>
      <w:r w:rsidR="003C78BC" w:rsidRPr="000A7B67">
        <w:t xml:space="preserve">for </w:t>
      </w:r>
      <w:r w:rsidRPr="000A7B67">
        <w:t xml:space="preserve">the glycoprotein G for </w:t>
      </w:r>
      <w:r w:rsidR="003C78BC" w:rsidRPr="000A7B67">
        <w:t>BDV</w:t>
      </w:r>
      <w:r w:rsidRPr="000A7B67">
        <w:t>, and for MLV a test is carried out to demonstrate the presence of the genetic marker.</w:t>
      </w:r>
    </w:p>
    <w:p w14:paraId="34A8E43F" w14:textId="77777777" w:rsidR="00DD6EB9" w:rsidRPr="000A7B67" w:rsidRDefault="00DD6EB9" w:rsidP="005B0077">
      <w:pPr>
        <w:pStyle w:val="afourthlevel"/>
      </w:pPr>
      <w:r w:rsidRPr="000A7B67">
        <w:t>c)</w:t>
      </w:r>
      <w:r w:rsidRPr="000A7B67">
        <w:tab/>
        <w:t>Batch/serial purity</w:t>
      </w:r>
    </w:p>
    <w:p w14:paraId="4E490B65" w14:textId="5DCD5CB2" w:rsidR="00DD6EB9" w:rsidRPr="000A7B67" w:rsidRDefault="00DD6EB9" w:rsidP="005B0077">
      <w:pPr>
        <w:pStyle w:val="ififthpara"/>
      </w:pPr>
      <w:r w:rsidRPr="000A7B67">
        <w:t xml:space="preserve">For MLV, 1 in 10 and 1 in 1000 dilutions of the vaccine are inoculated into susceptible cell cultures. The dilutions are incubated at 37°C. After 2, 4 and 6 days, the cells are stained with a panel of monoclonal antibodies that do not react with the vaccine strain but that react with other strains of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Pr="000A7B67">
        <w:t xml:space="preserve">(for example, street virus, Pasteur strain). Alternatively, genetic characterisation can be used. The vaccine complies with the test if it shows no evidence of contaminating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Pr="000A7B67">
        <w:t xml:space="preserve">(European Pharmacopoeia, </w:t>
      </w:r>
      <w:r w:rsidR="00757128" w:rsidRPr="00757128">
        <w:rPr>
          <w:strike/>
          <w:highlight w:val="yellow"/>
        </w:rPr>
        <w:t xml:space="preserve">2013a </w:t>
      </w:r>
      <w:r w:rsidR="00757128" w:rsidRPr="00757128">
        <w:rPr>
          <w:highlight w:val="yellow"/>
          <w:u w:val="double"/>
        </w:rPr>
        <w:t>2021</w:t>
      </w:r>
      <w:r w:rsidRPr="000A7B67">
        <w:t>).</w:t>
      </w:r>
    </w:p>
    <w:p w14:paraId="6346F89B" w14:textId="77777777" w:rsidR="00DD6EB9" w:rsidRPr="000A7B67" w:rsidRDefault="00DD6EB9" w:rsidP="005B0077">
      <w:pPr>
        <w:pStyle w:val="afourthlevel"/>
      </w:pPr>
      <w:r w:rsidRPr="000A7B67">
        <w:t>d)</w:t>
      </w:r>
      <w:r w:rsidRPr="000A7B67">
        <w:tab/>
        <w:t>Safety</w:t>
      </w:r>
    </w:p>
    <w:p w14:paraId="34BC471F" w14:textId="77777777" w:rsidR="00FF045B" w:rsidRPr="000A7B67" w:rsidRDefault="00FF045B" w:rsidP="00FF045B">
      <w:pPr>
        <w:pStyle w:val="ififthpara"/>
      </w:pPr>
      <w:r w:rsidRPr="000A7B67">
        <w:t xml:space="preserve">Safety tests in target animals are not required by many regulatory authorities for the release of each batch or serial. Where required, standard procedures are generally conducted using fewer animals than are used in the safety tests required for </w:t>
      </w:r>
      <w:r w:rsidR="0005678C" w:rsidRPr="000A7B67">
        <w:t>relevant regulatory approval</w:t>
      </w:r>
      <w:r w:rsidRPr="000A7B67">
        <w:t>.</w:t>
      </w:r>
    </w:p>
    <w:p w14:paraId="360150EC" w14:textId="77777777" w:rsidR="00DD6EB9" w:rsidRPr="000A7B67" w:rsidRDefault="00DD6EB9" w:rsidP="005B0077">
      <w:pPr>
        <w:pStyle w:val="ififthpara"/>
      </w:pPr>
      <w:r w:rsidRPr="000A7B67">
        <w:t xml:space="preserve">Unless consistent safety of the product is demonstrated and approved in the registration dossier, and the production process is approved for consistency in accordance with the standard requirements referred to in chapter 1.1.8, batch safety testing is to be performed as follows: two healthy </w:t>
      </w:r>
      <w:r w:rsidR="000A2B1B" w:rsidRPr="000A7B67">
        <w:t xml:space="preserve">seronegative </w:t>
      </w:r>
      <w:r w:rsidRPr="000A7B67">
        <w:t xml:space="preserve">animals of the target species are administered orally with </w:t>
      </w:r>
      <w:r w:rsidR="005559DE" w:rsidRPr="000A7B67">
        <w:t>10 times the field concentration</w:t>
      </w:r>
      <w:r w:rsidRPr="000A7B67">
        <w:t>. In addition, a 0.5 ml dose is injected by the intraperitoneal or subcutaneous routes into eight mice</w:t>
      </w:r>
      <w:r w:rsidR="00005E38">
        <w:t xml:space="preserve">. </w:t>
      </w:r>
      <w:r w:rsidR="00E85412" w:rsidRPr="000A7B67">
        <w:t xml:space="preserve">All animals </w:t>
      </w:r>
      <w:r w:rsidRPr="000A7B67">
        <w:t xml:space="preserve">are then observed for </w:t>
      </w:r>
      <w:r w:rsidR="000D3C43" w:rsidRPr="000A7B67">
        <w:t xml:space="preserve">at least </w:t>
      </w:r>
      <w:r w:rsidRPr="000A7B67">
        <w:t xml:space="preserve">14 days. If any </w:t>
      </w:r>
      <w:r w:rsidR="00E85412" w:rsidRPr="000A7B67">
        <w:t xml:space="preserve">intolerable </w:t>
      </w:r>
      <w:r w:rsidRPr="000A7B67">
        <w:t>adverse reactions attributable to the products occur in any animals during the observation period, the batch/serial is unsatisfactory.</w:t>
      </w:r>
    </w:p>
    <w:p w14:paraId="6B8A2D59" w14:textId="4EE63712" w:rsidR="00DD6EB9" w:rsidRPr="000A7B67" w:rsidRDefault="00DD6EB9" w:rsidP="005B0077">
      <w:pPr>
        <w:pStyle w:val="afourthlevel"/>
      </w:pPr>
      <w:r w:rsidRPr="000A7B67">
        <w:t>e)</w:t>
      </w:r>
      <w:r w:rsidRPr="000A7B67">
        <w:tab/>
        <w:t>Batch/serial potency</w:t>
      </w:r>
    </w:p>
    <w:p w14:paraId="2EFA9157" w14:textId="77777777" w:rsidR="00DD6EB9" w:rsidRPr="000A7B67" w:rsidRDefault="00DD6EB9" w:rsidP="005B0077">
      <w:pPr>
        <w:pStyle w:val="ififthpara"/>
      </w:pPr>
      <w:r w:rsidRPr="000A7B67">
        <w:t xml:space="preserve">For MLV and BDV, virus titrations are reliable indicators of vaccine potency once a relationship has been established between the level of protection conferred by the vaccine in the target species and titres of the vaccine. Virus titration should be carried out using cell culture. This allows laboratories to act in accordance with the </w:t>
      </w:r>
      <w:r w:rsidR="00BB434E" w:rsidRPr="000A7B67">
        <w:t>3Rs principles</w:t>
      </w:r>
      <w:r w:rsidR="00D6289F" w:rsidRPr="000A7B67">
        <w:t xml:space="preserve"> (European </w:t>
      </w:r>
      <w:r w:rsidR="00FF045B" w:rsidRPr="000A7B67">
        <w:t>Commission</w:t>
      </w:r>
      <w:r w:rsidR="00D6289F" w:rsidRPr="000A7B67">
        <w:t>, 2010)</w:t>
      </w:r>
      <w:r w:rsidRPr="000A7B67">
        <w:t xml:space="preserve">. </w:t>
      </w:r>
    </w:p>
    <w:p w14:paraId="5DA6808F" w14:textId="39544C7E" w:rsidR="00DD6EB9" w:rsidRPr="000A7B67" w:rsidRDefault="00DD6EB9" w:rsidP="005B0077">
      <w:pPr>
        <w:pStyle w:val="11"/>
      </w:pPr>
      <w:r w:rsidRPr="000A7B67">
        <w:t>3.3.</w:t>
      </w:r>
      <w:r w:rsidRPr="000A7B67">
        <w:tab/>
        <w:t xml:space="preserve">Requirements for </w:t>
      </w:r>
      <w:r w:rsidR="0005678C" w:rsidRPr="000A7B67">
        <w:t>relevant regulatory approval</w:t>
      </w:r>
    </w:p>
    <w:p w14:paraId="579ED280" w14:textId="77777777" w:rsidR="00DD6EB9" w:rsidRPr="000A7B67" w:rsidRDefault="00DD6EB9" w:rsidP="005B0077">
      <w:pPr>
        <w:pStyle w:val="111"/>
      </w:pPr>
      <w:r w:rsidRPr="000A7B67">
        <w:t>3.3.1.</w:t>
      </w:r>
      <w:r w:rsidRPr="000A7B67">
        <w:tab/>
        <w:t>Manufacturing process</w:t>
      </w:r>
    </w:p>
    <w:p w14:paraId="02FE6F91" w14:textId="77777777" w:rsidR="00DD6EB9" w:rsidRPr="000A7B67" w:rsidRDefault="00DD6EB9" w:rsidP="005B0077">
      <w:pPr>
        <w:pStyle w:val="111Para"/>
      </w:pPr>
      <w:r w:rsidRPr="000A7B67">
        <w:t>For registration of a vaccine, all relevant details concerning manufacture of the vaccine and quality control testing should be submitted to the Competent Authority. This information shall be provided from three consecutive vaccine batch/serials with a volume not less than 1/3 of the typical industrial batch/serial volume.</w:t>
      </w:r>
    </w:p>
    <w:p w14:paraId="760AB2D6" w14:textId="77777777" w:rsidR="00DD6EB9" w:rsidRPr="000A7B67" w:rsidRDefault="00DD6EB9" w:rsidP="005B0077">
      <w:pPr>
        <w:pStyle w:val="111Para"/>
      </w:pPr>
      <w:r w:rsidRPr="000A7B67">
        <w:t>The in-process controls are part of the manufacturing process.</w:t>
      </w:r>
    </w:p>
    <w:p w14:paraId="137BBF8C" w14:textId="77777777" w:rsidR="00DD6EB9" w:rsidRPr="000A7B67" w:rsidRDefault="00DD6EB9" w:rsidP="005B0077">
      <w:pPr>
        <w:pStyle w:val="111"/>
      </w:pPr>
      <w:r w:rsidRPr="000A7B67">
        <w:t>3.3.2.</w:t>
      </w:r>
      <w:r w:rsidRPr="000A7B67">
        <w:tab/>
        <w:t xml:space="preserve">Safety requirements </w:t>
      </w:r>
    </w:p>
    <w:p w14:paraId="0D701562" w14:textId="77777777" w:rsidR="00DD6EB9" w:rsidRPr="000A7B67" w:rsidRDefault="00DD6EB9" w:rsidP="005B0077">
      <w:pPr>
        <w:pStyle w:val="111Para"/>
      </w:pPr>
      <w:r w:rsidRPr="000A7B67">
        <w:t xml:space="preserve">In accordance with chapter 1.1.8, safety tests are required in each species for which the product is indicated. For purposes of this class of product, only the overdose and reversion-to-virulence safety tests are required. </w:t>
      </w:r>
    </w:p>
    <w:p w14:paraId="1FF11AEF" w14:textId="77777777" w:rsidR="00DD6EB9" w:rsidRPr="000A7B67" w:rsidRDefault="00DD6EB9" w:rsidP="005B0077">
      <w:pPr>
        <w:pStyle w:val="111Para"/>
      </w:pPr>
      <w:r w:rsidRPr="000A7B67">
        <w:t xml:space="preserve">Tests for reversion to virulence of MLVs and safety testing of BDV should be done in accordance with chapter 1.1.8. </w:t>
      </w:r>
    </w:p>
    <w:p w14:paraId="7FA2FD7D" w14:textId="77777777" w:rsidR="00DD6EB9" w:rsidRPr="000A7B67" w:rsidRDefault="00DD6EB9" w:rsidP="005B0077">
      <w:pPr>
        <w:pStyle w:val="i"/>
      </w:pPr>
      <w:r w:rsidRPr="000A7B67">
        <w:t>i)</w:t>
      </w:r>
      <w:r w:rsidRPr="000A7B67">
        <w:tab/>
        <w:t>Modified live vaccines (MLV)</w:t>
      </w:r>
    </w:p>
    <w:p w14:paraId="2AE3AD3B" w14:textId="77777777" w:rsidR="00DD6EB9" w:rsidRPr="000A7B67" w:rsidRDefault="00DD6EB9" w:rsidP="005B0077">
      <w:pPr>
        <w:pStyle w:val="afourthlevel"/>
      </w:pPr>
      <w:r w:rsidRPr="000A7B67">
        <w:t>a)</w:t>
      </w:r>
      <w:r w:rsidRPr="000A7B67">
        <w:tab/>
        <w:t>In target species</w:t>
      </w:r>
    </w:p>
    <w:p w14:paraId="7B797DFB" w14:textId="77777777" w:rsidR="00DD6EB9" w:rsidRPr="000A7B67" w:rsidRDefault="00DD6EB9" w:rsidP="005B0077">
      <w:pPr>
        <w:pStyle w:val="ififthpara"/>
      </w:pPr>
      <w:r w:rsidRPr="000A7B67">
        <w:t xml:space="preserve">For the overdose safety test, a 10 × </w:t>
      </w:r>
      <w:r w:rsidR="000A2B1B" w:rsidRPr="000A7B67">
        <w:t xml:space="preserve">maximum titre </w:t>
      </w:r>
      <w:r w:rsidR="0097520E" w:rsidRPr="000A7B67">
        <w:t>of a field dose</w:t>
      </w:r>
      <w:r w:rsidR="00583618" w:rsidRPr="000A7B67">
        <w:t xml:space="preserve"> </w:t>
      </w:r>
      <w:r w:rsidRPr="000A7B67">
        <w:t xml:space="preserve">is administered, preferably using a syringe, via the oral route to ten animals (less than 6 months of age for wild animals and less than 10 weeks for dogs), that are free of rabies antibodies. After administration, the possibility of excretion of vaccine virus in the saliva of the animals described above should be assessed by taking swabs several times within the first day and on several additional selected time points within the first week after vaccine administration. Any virus recovered should be characterised. The animals are observed for </w:t>
      </w:r>
      <w:r w:rsidR="000D3C43" w:rsidRPr="000A7B67">
        <w:t>at least 9</w:t>
      </w:r>
      <w:r w:rsidRPr="000A7B67">
        <w:t>0 days. Particular attention shall be paid to neurological signs and sudden death and shall be investigated using appropriate tests (see Section B of this chapter). At the termination of the study, the brain should be examined for vaccine virus presence</w:t>
      </w:r>
      <w:r w:rsidR="00E068D9" w:rsidRPr="000A7B67">
        <w:t xml:space="preserve"> using reference </w:t>
      </w:r>
      <w:r w:rsidR="009724AF" w:rsidRPr="000A7B67">
        <w:t>tests as described in Section B.1.3.1</w:t>
      </w:r>
      <w:r w:rsidRPr="000A7B67">
        <w:t xml:space="preserve">. </w:t>
      </w:r>
    </w:p>
    <w:p w14:paraId="7EE3064F" w14:textId="77777777" w:rsidR="00DD6EB9" w:rsidRPr="000A7B67" w:rsidRDefault="00DD6EB9" w:rsidP="005B0077">
      <w:pPr>
        <w:pStyle w:val="ififthpara"/>
      </w:pPr>
      <w:r w:rsidRPr="000A7B67">
        <w:t xml:space="preserve">The test is satisfactory if no </w:t>
      </w:r>
      <w:r w:rsidR="00DB5830" w:rsidRPr="000A7B67">
        <w:t xml:space="preserve">intolerable </w:t>
      </w:r>
      <w:r w:rsidRPr="000A7B67">
        <w:t>adverse reactions attributable to the vaccine are observed and if no virus is detected in the brain. Virus recovered in swabs should be the vaccine strain and be consistent temporally and quantitatively with limited viral replication.</w:t>
      </w:r>
    </w:p>
    <w:p w14:paraId="6675F5EA" w14:textId="77777777" w:rsidR="00DD6EB9" w:rsidRPr="000A7B67" w:rsidRDefault="00DD6EB9" w:rsidP="005B0077">
      <w:pPr>
        <w:pStyle w:val="afourthlevel"/>
      </w:pPr>
      <w:r w:rsidRPr="000A7B67">
        <w:t>b)</w:t>
      </w:r>
      <w:r w:rsidRPr="000A7B67">
        <w:tab/>
        <w:t xml:space="preserve">In non-target species </w:t>
      </w:r>
    </w:p>
    <w:p w14:paraId="5667FD87" w14:textId="77777777" w:rsidR="00DD6EB9" w:rsidRPr="000A7B67" w:rsidRDefault="00DD6EB9" w:rsidP="005B0077">
      <w:pPr>
        <w:pStyle w:val="ififthpara"/>
      </w:pPr>
      <w:r w:rsidRPr="000A7B67">
        <w:t xml:space="preserve">A representative group of species </w:t>
      </w:r>
      <w:r w:rsidR="008A5D1B" w:rsidRPr="000A7B67">
        <w:t xml:space="preserve">including rodents, cats and dogs </w:t>
      </w:r>
      <w:r w:rsidRPr="000A7B67">
        <w:t xml:space="preserve">that are likely to consume the baits should be investigated. At least ten animals of each species should be tested orally with </w:t>
      </w:r>
      <w:r w:rsidR="008A5D1B" w:rsidRPr="000A7B67">
        <w:t xml:space="preserve">10 × maximum titre </w:t>
      </w:r>
      <w:r w:rsidR="0097520E" w:rsidRPr="000A7B67">
        <w:t xml:space="preserve">of a </w:t>
      </w:r>
      <w:r w:rsidRPr="000A7B67">
        <w:t xml:space="preserve">field dose and observed </w:t>
      </w:r>
      <w:r w:rsidR="006E72BA" w:rsidRPr="000A7B67">
        <w:t>for at least 90 days</w:t>
      </w:r>
      <w:r w:rsidRPr="000A7B67">
        <w:t>.</w:t>
      </w:r>
    </w:p>
    <w:p w14:paraId="6E7616FB" w14:textId="26F59D63" w:rsidR="00DD6EB9" w:rsidRPr="000A7B67" w:rsidRDefault="00DD6EB9" w:rsidP="005B0077">
      <w:pPr>
        <w:pStyle w:val="ififthpara"/>
      </w:pPr>
      <w:r w:rsidRPr="000A7B67">
        <w:t xml:space="preserve">As testing wild animals might prove to be difficult and should be kept at a minimum, additional tests using different routes of administration in laboratory rodents (both nude and SCID mice or other immunocompromised animals) are recommended. Rodents (i.e. mice and rats) should be tested using at least 20 animals per test, inoculated orally with the amount of vaccine strain equivalent to one maximum oral dose. The same number of contact animals should be used for investigation of virus transmission. All animals should be observed daily for at least 30 days. Animals that die from causes not attributable to rabies are eliminated. </w:t>
      </w:r>
      <w:r w:rsidR="008A5D1B" w:rsidRPr="000A7B67">
        <w:t xml:space="preserve">After termination of the study, the brain of animals should be examined for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008A5D1B" w:rsidRPr="000A7B67">
        <w:t xml:space="preserve">antigen using reference tests as described in </w:t>
      </w:r>
      <w:r w:rsidR="00FC7EA3">
        <w:t>Section B.</w:t>
      </w:r>
      <w:r w:rsidR="008A5D1B" w:rsidRPr="000A7B67">
        <w:t>1.3.1.</w:t>
      </w:r>
    </w:p>
    <w:p w14:paraId="435C8D73" w14:textId="77777777" w:rsidR="00DD6EB9" w:rsidRPr="000A7B67" w:rsidRDefault="00DD6EB9" w:rsidP="005B0077">
      <w:pPr>
        <w:pStyle w:val="ififthpara"/>
      </w:pPr>
      <w:r w:rsidRPr="000A7B67">
        <w:t>A risk assessment should be undertaken to evaluate directly the safety risk for humans (safety of vaccine) and the risk that humans will come in contact with the vaccine.</w:t>
      </w:r>
    </w:p>
    <w:p w14:paraId="50AB4EC4" w14:textId="2E4123D3" w:rsidR="00DD6EB9" w:rsidRPr="000A7B67" w:rsidRDefault="00DD6EB9" w:rsidP="005B0077">
      <w:pPr>
        <w:pStyle w:val="i"/>
      </w:pPr>
      <w:r w:rsidRPr="000A7B67">
        <w:t>ii)</w:t>
      </w:r>
      <w:r w:rsidRPr="000A7B67">
        <w:tab/>
        <w:t>Biotechnology-derived vaccines (BDV)</w:t>
      </w:r>
    </w:p>
    <w:p w14:paraId="56F994D0" w14:textId="77777777" w:rsidR="00DD6EB9" w:rsidRPr="000A7B67" w:rsidRDefault="00DD6EB9" w:rsidP="005B0077">
      <w:pPr>
        <w:pStyle w:val="afourthlevel"/>
      </w:pPr>
      <w:r w:rsidRPr="000A7B67">
        <w:t>a)</w:t>
      </w:r>
      <w:r w:rsidRPr="000A7B67">
        <w:tab/>
        <w:t>In target species</w:t>
      </w:r>
    </w:p>
    <w:p w14:paraId="3FCEC0B6" w14:textId="77777777" w:rsidR="00DD6EB9" w:rsidRPr="000A7B67" w:rsidRDefault="00DD6EB9" w:rsidP="005B0077">
      <w:pPr>
        <w:pStyle w:val="ififthpara"/>
      </w:pPr>
      <w:r w:rsidRPr="000A7B67">
        <w:t xml:space="preserve">For the overdose safety test, a 10× </w:t>
      </w:r>
      <w:r w:rsidR="005B7BA3" w:rsidRPr="000A7B67">
        <w:t>maximum titre</w:t>
      </w:r>
      <w:r w:rsidRPr="000A7B67">
        <w:t xml:space="preserve"> is administered, preferably using a syringe, via the oral route to ten animals that are free of rabies antibodies. After administration, the possibility of excretion of vaccine virus in the saliva of these animals should be assessed by taking swabs on the first day and on several additional selected time points within the first week after vaccine administration. Any virus recovered should be characterised. The an</w:t>
      </w:r>
      <w:r w:rsidR="00FF045B" w:rsidRPr="000A7B67">
        <w:t xml:space="preserve">imals should be observed </w:t>
      </w:r>
      <w:r w:rsidR="00E96FAE" w:rsidRPr="000A7B67">
        <w:t xml:space="preserve">for at least 90 days or </w:t>
      </w:r>
      <w:r w:rsidR="006E72BA" w:rsidRPr="000A7B67">
        <w:t>according to their known incubation period for the vector used</w:t>
      </w:r>
      <w:r w:rsidRPr="000A7B67">
        <w:t xml:space="preserve">. </w:t>
      </w:r>
    </w:p>
    <w:p w14:paraId="79C3D517" w14:textId="77777777" w:rsidR="00DD6EB9" w:rsidRPr="000A7B67" w:rsidRDefault="00DD6EB9" w:rsidP="005B0077">
      <w:pPr>
        <w:pStyle w:val="ififthpara"/>
      </w:pPr>
      <w:r w:rsidRPr="000A7B67">
        <w:t xml:space="preserve">The test is satisfactory if no </w:t>
      </w:r>
      <w:r w:rsidR="008A5D1B" w:rsidRPr="000A7B67">
        <w:t xml:space="preserve">intolerable </w:t>
      </w:r>
      <w:r w:rsidRPr="000A7B67">
        <w:t>adverse reactions attributable to the vaccine are observed. Viral RNA and virus recovered from swabs should be the vaccine strain and be consistent temporally and quantitatively with limited viral replication. For vaccine intended for use in dogs, absence of the virus should be demonstrated 4</w:t>
      </w:r>
      <w:r w:rsidR="00FF045B" w:rsidRPr="000A7B67">
        <w:t> </w:t>
      </w:r>
      <w:r w:rsidRPr="000A7B67">
        <w:t>days post-immunisation.</w:t>
      </w:r>
    </w:p>
    <w:p w14:paraId="68D2BE6D" w14:textId="77777777" w:rsidR="00DD6EB9" w:rsidRPr="000A7B67" w:rsidRDefault="00DD6EB9" w:rsidP="005B0077">
      <w:pPr>
        <w:pStyle w:val="afourthlevel"/>
      </w:pPr>
      <w:r w:rsidRPr="000A7B67">
        <w:t>b)</w:t>
      </w:r>
      <w:r w:rsidRPr="000A7B67">
        <w:tab/>
        <w:t>In non-target species</w:t>
      </w:r>
    </w:p>
    <w:p w14:paraId="77E04B2A" w14:textId="77777777" w:rsidR="00DD6EB9" w:rsidRPr="000A7B67" w:rsidRDefault="00DD6EB9" w:rsidP="005B0077">
      <w:pPr>
        <w:pStyle w:val="ififthpara"/>
      </w:pPr>
      <w:r w:rsidRPr="000A7B67">
        <w:t xml:space="preserve">A representative group of species </w:t>
      </w:r>
      <w:r w:rsidR="005B7BA3" w:rsidRPr="000A7B67">
        <w:t xml:space="preserve">including rodents, cats and dogs </w:t>
      </w:r>
      <w:r w:rsidRPr="000A7B67">
        <w:t xml:space="preserve">that are susceptible to the virus vector and likely to consume the baits should be investigated. At least ten animals of each species should be tested orally with </w:t>
      </w:r>
      <w:r w:rsidR="005B7BA3" w:rsidRPr="000A7B67">
        <w:t xml:space="preserve">a 10 × maximum titre </w:t>
      </w:r>
      <w:r w:rsidRPr="000A7B67">
        <w:t xml:space="preserve">and observed </w:t>
      </w:r>
      <w:r w:rsidR="00E96FAE" w:rsidRPr="000A7B67">
        <w:t xml:space="preserve">for at least 90 days or </w:t>
      </w:r>
      <w:r w:rsidRPr="000A7B67">
        <w:t>according to their known incubation period for the vector used.</w:t>
      </w:r>
    </w:p>
    <w:p w14:paraId="72B075DA" w14:textId="77777777" w:rsidR="00DD6EB9" w:rsidRPr="000A7B67" w:rsidRDefault="00DD6EB9" w:rsidP="005B0077">
      <w:pPr>
        <w:pStyle w:val="ififthpara"/>
      </w:pPr>
      <w:r w:rsidRPr="000A7B67">
        <w:t xml:space="preserve">As testing wild animals might prove to be difficult and should be kept to a minimum, additional tests in laboratory animals susceptible to the vector are recommended. Laboratory animals should be tested using at least 20 animals per test, inoculated orally with the amount of vaccine strain equivalent to one maximum oral dose. The same number of contact animals should be used for investigation of virus transmission. All animals should be observed daily for at least </w:t>
      </w:r>
      <w:r w:rsidR="006E72BA" w:rsidRPr="000A7B67">
        <w:t>30</w:t>
      </w:r>
      <w:r w:rsidRPr="000A7B67">
        <w:t xml:space="preserve"> days. Animals that die from causes not attributable to the disease caused by the vector are eliminated. </w:t>
      </w:r>
    </w:p>
    <w:p w14:paraId="76A6261A" w14:textId="77777777" w:rsidR="00DD6EB9" w:rsidRPr="000A7B67" w:rsidRDefault="00DD6EB9" w:rsidP="005B0077">
      <w:pPr>
        <w:pStyle w:val="ififthpara"/>
      </w:pPr>
      <w:r w:rsidRPr="000A7B67">
        <w:t>A risk assessment should be undertaken to evaluate directly the safety risk for humans (safety of vaccine) and the risk that humans will come in contact with the vaccine.</w:t>
      </w:r>
    </w:p>
    <w:p w14:paraId="5F10A1AA" w14:textId="77777777" w:rsidR="00DD6EB9" w:rsidRPr="000A7B67" w:rsidRDefault="00DD6EB9" w:rsidP="005B0077">
      <w:pPr>
        <w:pStyle w:val="i"/>
      </w:pPr>
      <w:r w:rsidRPr="000A7B67">
        <w:t>iii)</w:t>
      </w:r>
      <w:r w:rsidRPr="000A7B67">
        <w:tab/>
        <w:t>Precautions hazards</w:t>
      </w:r>
    </w:p>
    <w:p w14:paraId="1C16D818" w14:textId="77777777" w:rsidR="00DD6EB9" w:rsidRPr="000A7B67" w:rsidRDefault="00DD6EB9" w:rsidP="005B0077">
      <w:pPr>
        <w:pStyle w:val="afourthpara"/>
      </w:pPr>
      <w:r w:rsidRPr="000A7B67">
        <w:t>The release of oral vaccines into the environment shall comply with the requirements in chapter 1.1.8.</w:t>
      </w:r>
      <w:r w:rsidR="001835EF" w:rsidRPr="000A7B67">
        <w:t xml:space="preserve"> </w:t>
      </w:r>
      <w:r w:rsidR="005B7BA3" w:rsidRPr="000A7B67">
        <w:t>O</w:t>
      </w:r>
      <w:r w:rsidRPr="000A7B67">
        <w:t xml:space="preserve">ral rabies vaccines are innocuous when presented in bait form and present no toxic hazard to vaccinators. For leaks from ruptured sachets containing vaccines, warnings shall be provided by manufacturers that medical advice shall be sought in the event of inadvertent contact, especially when contact is with mucosal membranes, skin or skin abrasions. </w:t>
      </w:r>
    </w:p>
    <w:p w14:paraId="336CC253" w14:textId="77777777" w:rsidR="00DD6EB9" w:rsidRPr="000A7B67" w:rsidRDefault="00DD6EB9" w:rsidP="005B0077">
      <w:pPr>
        <w:pStyle w:val="afourthpara"/>
      </w:pPr>
      <w:r w:rsidRPr="000A7B67">
        <w:t>Prior to initiating vaccination campaigns, public health officials should be informed and public education provided, particularly not to touch baits or be in contact with animals that have recently consumed baits.</w:t>
      </w:r>
    </w:p>
    <w:p w14:paraId="6E67A711" w14:textId="77777777" w:rsidR="00DD6EB9" w:rsidRPr="000A7B67" w:rsidRDefault="00DD6EB9" w:rsidP="005B0077">
      <w:pPr>
        <w:pStyle w:val="afourthpara"/>
      </w:pPr>
      <w:r w:rsidRPr="000A7B67">
        <w:t xml:space="preserve">Public </w:t>
      </w:r>
      <w:r w:rsidR="00711433" w:rsidRPr="000A7B67">
        <w:t xml:space="preserve">health </w:t>
      </w:r>
      <w:r w:rsidRPr="000A7B67">
        <w:t>information with respect to the risk of oral vaccines in specific human population groups is provided by WHO (2005).</w:t>
      </w:r>
    </w:p>
    <w:p w14:paraId="19812ADE" w14:textId="77777777" w:rsidR="00DD6EB9" w:rsidRPr="000A7B67" w:rsidRDefault="00DD6EB9" w:rsidP="006C4189">
      <w:pPr>
        <w:pStyle w:val="111"/>
        <w:keepNext/>
      </w:pPr>
      <w:r w:rsidRPr="000A7B67">
        <w:t>3.3.3.</w:t>
      </w:r>
      <w:r w:rsidRPr="000A7B67">
        <w:tab/>
        <w:t>Efficacy requirements</w:t>
      </w:r>
    </w:p>
    <w:p w14:paraId="0B564B83" w14:textId="2A6E2A35" w:rsidR="00DD6EB9" w:rsidRPr="000A7B67" w:rsidRDefault="00DD6EB9" w:rsidP="006C4189">
      <w:pPr>
        <w:pStyle w:val="111Para"/>
        <w:keepLines/>
      </w:pPr>
      <w:r w:rsidRPr="000A7B67">
        <w:t xml:space="preserve">Efficacy of the final product (vaccine bait) (see Section C.3.3.5) shall be demonstrated in each species for which the vaccine use is claimed by the manufacturer. </w:t>
      </w:r>
      <w:r w:rsidR="003C78BC" w:rsidRPr="000A7B67">
        <w:t xml:space="preserve">The protection status cannot be checked by serology only; a virulent challenge with an appropriate challenge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003C78BC" w:rsidRPr="000A7B67">
        <w:t xml:space="preserve">is necessary. Preferably, a target species adapted </w:t>
      </w:r>
      <w:r w:rsidR="00C85515" w:rsidRPr="00DB6470">
        <w:rPr>
          <w:strike/>
          <w:highlight w:val="yellow"/>
        </w:rPr>
        <w:t xml:space="preserve">rabies </w:t>
      </w:r>
      <w:r w:rsidR="00DB6470" w:rsidRPr="00DB6470">
        <w:rPr>
          <w:strike/>
          <w:highlight w:val="yellow"/>
        </w:rPr>
        <w:t>virus</w:t>
      </w:r>
      <w:r w:rsidR="00DB6470">
        <w:rPr>
          <w:strike/>
          <w:highlight w:val="yellow"/>
        </w:rPr>
        <w:t xml:space="preserve"> </w:t>
      </w:r>
      <w:r w:rsidR="00DB6470" w:rsidRPr="00DB6470">
        <w:rPr>
          <w:highlight w:val="yellow"/>
          <w:u w:val="double"/>
        </w:rPr>
        <w:t>RABV</w:t>
      </w:r>
      <w:r w:rsidR="00DB6470" w:rsidRPr="000A7B67">
        <w:t xml:space="preserve"> </w:t>
      </w:r>
      <w:r w:rsidR="003C78BC" w:rsidRPr="000A7B67">
        <w:t>strain should be used</w:t>
      </w:r>
      <w:r w:rsidR="0037667A" w:rsidRPr="000A7B67">
        <w:t>.</w:t>
      </w:r>
      <w:r w:rsidR="003C78BC" w:rsidRPr="000A7B67">
        <w:t xml:space="preserve"> </w:t>
      </w:r>
      <w:r w:rsidRPr="000A7B67">
        <w:t xml:space="preserve">The vaccine titre </w:t>
      </w:r>
      <w:r w:rsidR="00D21146" w:rsidRPr="000A7B67">
        <w:t xml:space="preserve">should not be greater than the </w:t>
      </w:r>
      <w:r w:rsidR="00792440" w:rsidRPr="000A7B67">
        <w:t xml:space="preserve">claimed </w:t>
      </w:r>
      <w:r w:rsidR="00D21146" w:rsidRPr="000A7B67">
        <w:t>minimum</w:t>
      </w:r>
      <w:r w:rsidR="00792440" w:rsidRPr="000A7B67">
        <w:t xml:space="preserve"> protective dose</w:t>
      </w:r>
      <w:r w:rsidRPr="000A7B67">
        <w:t>.</w:t>
      </w:r>
    </w:p>
    <w:p w14:paraId="089B914C" w14:textId="77777777" w:rsidR="00DD6EB9" w:rsidRPr="000A7B67" w:rsidRDefault="00DD6EB9" w:rsidP="005B0077">
      <w:pPr>
        <w:pStyle w:val="111Para"/>
      </w:pPr>
      <w:r w:rsidRPr="000A7B67">
        <w:t xml:space="preserve">Test animals </w:t>
      </w:r>
      <w:r w:rsidR="00BA7BF3" w:rsidRPr="000A7B67">
        <w:t xml:space="preserve">at least three months of age should </w:t>
      </w:r>
      <w:r w:rsidRPr="000A7B67">
        <w:t xml:space="preserve">have no </w:t>
      </w:r>
      <w:r w:rsidR="00BA7BF3" w:rsidRPr="000A7B67">
        <w:t xml:space="preserve">rabies specific </w:t>
      </w:r>
      <w:r w:rsidRPr="000A7B67">
        <w:t>antibodies to rabies as determined by the serum neutralisation tests (see Section B of this chapter).</w:t>
      </w:r>
    </w:p>
    <w:p w14:paraId="5321C6A2" w14:textId="77777777" w:rsidR="00DD6EB9" w:rsidRPr="000A7B67" w:rsidRDefault="00DD6EB9" w:rsidP="005B0077">
      <w:pPr>
        <w:pStyle w:val="111Para"/>
      </w:pPr>
      <w:r w:rsidRPr="000A7B67">
        <w:t xml:space="preserve">For challenge tests, </w:t>
      </w:r>
      <w:r w:rsidR="0037667A" w:rsidRPr="000A7B67">
        <w:t xml:space="preserve">challenge-dose finding studies </w:t>
      </w:r>
      <w:r w:rsidR="005B7BA3" w:rsidRPr="000A7B67">
        <w:t>should be</w:t>
      </w:r>
      <w:r w:rsidR="0037667A" w:rsidRPr="000A7B67">
        <w:t xml:space="preserve"> conducted </w:t>
      </w:r>
      <w:r w:rsidRPr="000A7B67">
        <w:t>to determine the dose and route that is sufficient to induce clinical signs of rabies in at least 80% of unvaccinated control animals for each target species. As soon as clinical signs of rabies are observed, animals are killed and rabies is confirmed using the diagnostic tests described in Section B of this chapter.</w:t>
      </w:r>
    </w:p>
    <w:p w14:paraId="51CE0D44" w14:textId="77777777" w:rsidR="00DD6EB9" w:rsidRPr="000A7B67" w:rsidRDefault="00DD6EB9" w:rsidP="00EC645C">
      <w:pPr>
        <w:pStyle w:val="111Para"/>
        <w:spacing w:after="200"/>
      </w:pPr>
      <w:r w:rsidRPr="000A7B67">
        <w:t>For efficacy tests in vaccinated animals, at least 25 animals shall be used as vaccinates. The titre of the vaccine virus that is used in the efficacy test establishes the minimum immunising dose. A</w:t>
      </w:r>
      <w:r w:rsidR="0093575B" w:rsidRPr="000A7B67">
        <w:t>t</w:t>
      </w:r>
      <w:r w:rsidRPr="000A7B67">
        <w:t xml:space="preserve"> </w:t>
      </w:r>
      <w:r w:rsidR="0037667A" w:rsidRPr="000A7B67">
        <w:t>18</w:t>
      </w:r>
      <w:r w:rsidRPr="000A7B67">
        <w:t>0 days</w:t>
      </w:r>
      <w:r w:rsidR="0037667A" w:rsidRPr="000A7B67">
        <w:t xml:space="preserve"> after presentation of a vaccine-bait</w:t>
      </w:r>
      <w:r w:rsidRPr="000A7B67">
        <w:t xml:space="preserve">, vaccinates and controls are challenged with the predetermined dose as described above. Animals </w:t>
      </w:r>
      <w:r w:rsidR="0097532B" w:rsidRPr="000A7B67">
        <w:t xml:space="preserve">need to be </w:t>
      </w:r>
      <w:r w:rsidR="0062694A">
        <w:t>observed daily for 90 </w:t>
      </w:r>
      <w:r w:rsidRPr="000A7B67">
        <w:t>days after challenge</w:t>
      </w:r>
      <w:r w:rsidR="00583618" w:rsidRPr="000A7B67">
        <w:t xml:space="preserve"> </w:t>
      </w:r>
      <w:r w:rsidR="0097532B" w:rsidRPr="000A7B67">
        <w:t>and humanely euthanised at the first definitive clinical signs of rabies. The diagnosis of rabies must be confirmed in animals that die or have to be euthanised using appropriate diagnostic tests.</w:t>
      </w:r>
      <w:r w:rsidRPr="000A7B67">
        <w:t xml:space="preserve"> At the end of the observation period, all surviving animals are </w:t>
      </w:r>
      <w:r w:rsidR="00BA7BF3" w:rsidRPr="000A7B67">
        <w:t xml:space="preserve">humanely </w:t>
      </w:r>
      <w:r w:rsidRPr="000A7B67">
        <w:t>killed and their brain tissues tested using the virus identification tests described in Section B of this chapter.</w:t>
      </w:r>
    </w:p>
    <w:p w14:paraId="68DFD06D" w14:textId="77777777" w:rsidR="00DD6EB9" w:rsidRPr="000A7B67" w:rsidRDefault="00DD6EB9" w:rsidP="00EC645C">
      <w:pPr>
        <w:pStyle w:val="111Para"/>
        <w:spacing w:after="200"/>
      </w:pPr>
      <w:r w:rsidRPr="000A7B67">
        <w:t xml:space="preserve">Requirements for acceptance in challenge tests shall be death due to rabies in at least 80% of the control animals while at least 22 of 25, 26 of 30 or a statistically equivalent number of the vaccinates remain free of rabies for a period of 90 days. </w:t>
      </w:r>
    </w:p>
    <w:p w14:paraId="6D4BE6EC" w14:textId="77777777" w:rsidR="00711433" w:rsidRPr="000A7B67" w:rsidRDefault="00DD6EB9" w:rsidP="00EC645C">
      <w:pPr>
        <w:pStyle w:val="111Para"/>
        <w:spacing w:after="200"/>
      </w:pPr>
      <w:r w:rsidRPr="000A7B67">
        <w:t xml:space="preserve">Once the minimum immunising dose has been established in one species, the efficacy study for additional species can be limited to a study using </w:t>
      </w:r>
      <w:r w:rsidR="004A19BF" w:rsidRPr="000A7B67">
        <w:t>vaccine-</w:t>
      </w:r>
      <w:r w:rsidRPr="000A7B67">
        <w:t>baits</w:t>
      </w:r>
      <w:r w:rsidR="004A19BF" w:rsidRPr="000A7B67">
        <w:t xml:space="preserve">. The bait casing may have to be adapted to the new target species </w:t>
      </w:r>
      <w:r w:rsidRPr="000A7B67">
        <w:t xml:space="preserve">(see Section C.3.3.5). </w:t>
      </w:r>
    </w:p>
    <w:p w14:paraId="13E6D935" w14:textId="77777777" w:rsidR="00DD6EB9" w:rsidRPr="000A7B67" w:rsidRDefault="00DD6EB9" w:rsidP="00711433">
      <w:pPr>
        <w:pStyle w:val="111"/>
      </w:pPr>
      <w:r w:rsidRPr="000A7B67">
        <w:t>3.3.4</w:t>
      </w:r>
      <w:r w:rsidR="00CE0B46" w:rsidRPr="000A7B67">
        <w:t>.</w:t>
      </w:r>
      <w:r w:rsidRPr="000A7B67">
        <w:tab/>
        <w:t>Stability</w:t>
      </w:r>
    </w:p>
    <w:p w14:paraId="1A278845" w14:textId="2686BD47" w:rsidR="00DD6EB9" w:rsidRPr="000A7B67" w:rsidRDefault="00DD6EB9" w:rsidP="00EC645C">
      <w:pPr>
        <w:pStyle w:val="111Para"/>
        <w:spacing w:after="200"/>
      </w:pPr>
      <w:r w:rsidRPr="000A7B67">
        <w:t>A minimum of five samples of the final product are incubated at 25°C for 5</w:t>
      </w:r>
      <w:r w:rsidR="00711433" w:rsidRPr="000A7B67">
        <w:t> </w:t>
      </w:r>
      <w:r w:rsidRPr="000A7B67">
        <w:t>days. The vaccine is titrated three times. The mean virus titre must be at least the minimum virus titre stated on the label or as approved for end of shelf life. The bait is heated at 40°C for 1</w:t>
      </w:r>
      <w:r w:rsidR="00711433" w:rsidRPr="000A7B67">
        <w:t> </w:t>
      </w:r>
      <w:r w:rsidRPr="000A7B67">
        <w:t>hour, and the bait casing complies with the test if it remains in its original shape and adheres to the vaccine container</w:t>
      </w:r>
      <w:r w:rsidR="004A19BF" w:rsidRPr="000A7B67">
        <w:t xml:space="preserve"> (European Pharmacopoeia, </w:t>
      </w:r>
      <w:r w:rsidR="00757128" w:rsidRPr="00757128">
        <w:rPr>
          <w:strike/>
          <w:highlight w:val="yellow"/>
        </w:rPr>
        <w:t>2013</w:t>
      </w:r>
      <w:r w:rsidR="00757128">
        <w:rPr>
          <w:strike/>
          <w:highlight w:val="yellow"/>
        </w:rPr>
        <w:t>b</w:t>
      </w:r>
      <w:r w:rsidR="00757128" w:rsidRPr="00757128">
        <w:rPr>
          <w:strike/>
          <w:highlight w:val="yellow"/>
        </w:rPr>
        <w:t xml:space="preserve"> </w:t>
      </w:r>
      <w:r w:rsidR="00757128" w:rsidRPr="00757128">
        <w:rPr>
          <w:highlight w:val="yellow"/>
          <w:u w:val="double"/>
        </w:rPr>
        <w:t>202</w:t>
      </w:r>
      <w:r w:rsidR="00757128">
        <w:rPr>
          <w:highlight w:val="yellow"/>
          <w:u w:val="double"/>
        </w:rPr>
        <w:t>0</w:t>
      </w:r>
      <w:r w:rsidR="004A19BF" w:rsidRPr="000A7B67">
        <w:t>)</w:t>
      </w:r>
      <w:r w:rsidRPr="000A7B67">
        <w:t>.</w:t>
      </w:r>
      <w:r w:rsidR="0097520E" w:rsidRPr="000A7B67">
        <w:t xml:space="preserve"> </w:t>
      </w:r>
    </w:p>
    <w:p w14:paraId="79A37383" w14:textId="77777777" w:rsidR="00DD6EB9" w:rsidRPr="000A7B67" w:rsidRDefault="00DD6EB9" w:rsidP="005B0077">
      <w:pPr>
        <w:pStyle w:val="111"/>
      </w:pPr>
      <w:r w:rsidRPr="000A7B67">
        <w:t>3.3.5.</w:t>
      </w:r>
      <w:r w:rsidRPr="000A7B67">
        <w:tab/>
        <w:t>Bait requirements</w:t>
      </w:r>
      <w:r w:rsidR="008542DB" w:rsidRPr="000A7B67">
        <w:t xml:space="preserve"> and characteristics</w:t>
      </w:r>
    </w:p>
    <w:p w14:paraId="0E936E7D" w14:textId="77777777" w:rsidR="00DD6EB9" w:rsidRPr="000A7B67" w:rsidRDefault="00DD6EB9" w:rsidP="00EC645C">
      <w:pPr>
        <w:pStyle w:val="111Para"/>
        <w:spacing w:after="120"/>
      </w:pPr>
      <w:r w:rsidRPr="000A7B67">
        <w:t>The bait is an integral part of the product and should ideally meet certain criteria:</w:t>
      </w:r>
    </w:p>
    <w:p w14:paraId="49027BAA" w14:textId="77777777" w:rsidR="00DD6EB9" w:rsidRPr="000A7B67" w:rsidRDefault="005B0077" w:rsidP="005B0077">
      <w:pPr>
        <w:pStyle w:val="111ilist"/>
      </w:pPr>
      <w:r w:rsidRPr="000A7B67">
        <w:t>i)</w:t>
      </w:r>
      <w:r w:rsidR="00DD6EB9" w:rsidRPr="000A7B67">
        <w:tab/>
        <w:t xml:space="preserve">Designed for and attractive to the target species and adapted to the mode of distribution. </w:t>
      </w:r>
    </w:p>
    <w:p w14:paraId="7F4F02D1" w14:textId="77777777" w:rsidR="00DD6EB9" w:rsidRPr="000A7B67" w:rsidRDefault="005B0077" w:rsidP="005B0077">
      <w:pPr>
        <w:pStyle w:val="111ilist"/>
      </w:pPr>
      <w:r w:rsidRPr="000A7B67">
        <w:t>ii)</w:t>
      </w:r>
      <w:r w:rsidR="00DD6EB9" w:rsidRPr="000A7B67">
        <w:tab/>
        <w:t xml:space="preserve">Adapted to the food preferences of the local dog population for </w:t>
      </w:r>
      <w:r w:rsidR="00EC6816" w:rsidRPr="000A7B67">
        <w:t>ORV</w:t>
      </w:r>
      <w:r w:rsidR="00DD6EB9" w:rsidRPr="000A7B67">
        <w:t>;</w:t>
      </w:r>
    </w:p>
    <w:p w14:paraId="152C18DE" w14:textId="77777777" w:rsidR="00DD6EB9" w:rsidRPr="000A7B67" w:rsidRDefault="005B0077" w:rsidP="005B0077">
      <w:pPr>
        <w:pStyle w:val="111ilist"/>
      </w:pPr>
      <w:r w:rsidRPr="000A7B67">
        <w:t>iii)</w:t>
      </w:r>
      <w:r w:rsidR="00DD6EB9" w:rsidRPr="000A7B67">
        <w:tab/>
        <w:t>The attractant should be compatible with bait and vaccine and adherent to the bait, and should remain palatable for a defined period;</w:t>
      </w:r>
    </w:p>
    <w:p w14:paraId="57C2C9C0" w14:textId="77777777" w:rsidR="00DD6EB9" w:rsidRPr="000A7B67" w:rsidRDefault="005B0077" w:rsidP="005B0077">
      <w:pPr>
        <w:pStyle w:val="111ilist"/>
      </w:pPr>
      <w:r w:rsidRPr="000A7B67">
        <w:t>iv)</w:t>
      </w:r>
      <w:r w:rsidR="00DD6EB9" w:rsidRPr="000A7B67">
        <w:tab/>
        <w:t>Keep its form and shape under a wide range of temperature and weather conditions to protect the vaccine under field conditions;</w:t>
      </w:r>
    </w:p>
    <w:p w14:paraId="66C2A111" w14:textId="77777777" w:rsidR="00DD6EB9" w:rsidRPr="000A7B67" w:rsidRDefault="005B0077" w:rsidP="005B0077">
      <w:pPr>
        <w:pStyle w:val="111ilist"/>
      </w:pPr>
      <w:r w:rsidRPr="000A7B67">
        <w:t>v)</w:t>
      </w:r>
      <w:r w:rsidR="00DD6EB9" w:rsidRPr="000A7B67">
        <w:tab/>
        <w:t>The shape of the bait should allow easy ingestion by all ages and sizes of target species;</w:t>
      </w:r>
    </w:p>
    <w:p w14:paraId="53A9EC9B" w14:textId="77777777" w:rsidR="00DD6EB9" w:rsidRPr="000A7B67" w:rsidRDefault="005B0077" w:rsidP="005B0077">
      <w:pPr>
        <w:pStyle w:val="111ilist"/>
      </w:pPr>
      <w:r w:rsidRPr="000A7B67">
        <w:t>vi)</w:t>
      </w:r>
      <w:r w:rsidR="00DD6EB9" w:rsidRPr="000A7B67">
        <w:tab/>
        <w:t>Optimise the release of vaccine into the oral cavity and to the target tissues;</w:t>
      </w:r>
    </w:p>
    <w:p w14:paraId="38E6D192" w14:textId="77777777" w:rsidR="00DD6EB9" w:rsidRPr="000A7B67" w:rsidRDefault="005B0077" w:rsidP="005B0077">
      <w:pPr>
        <w:pStyle w:val="111ilist"/>
      </w:pPr>
      <w:r w:rsidRPr="000A7B67">
        <w:t>vii)</w:t>
      </w:r>
      <w:r w:rsidR="00DD6EB9" w:rsidRPr="000A7B67">
        <w:tab/>
        <w:t>Be safe for target and non-target species;</w:t>
      </w:r>
    </w:p>
    <w:p w14:paraId="0A02B106" w14:textId="77777777" w:rsidR="00DD6EB9" w:rsidRPr="000A7B67" w:rsidRDefault="006B025A" w:rsidP="005B0077">
      <w:pPr>
        <w:pStyle w:val="111ilist"/>
      </w:pPr>
      <w:r w:rsidRPr="000A7B67">
        <w:t>viii</w:t>
      </w:r>
      <w:r w:rsidR="005B0077" w:rsidRPr="000A7B67">
        <w:t>)</w:t>
      </w:r>
      <w:r w:rsidR="00DD6EB9" w:rsidRPr="000A7B67">
        <w:tab/>
        <w:t>Ingredients should not be harmful, should comply with animal feed standards and should not interfere with vaccine activity;</w:t>
      </w:r>
    </w:p>
    <w:p w14:paraId="244DE4A2" w14:textId="77777777" w:rsidR="00DD6EB9" w:rsidRPr="000A7B67" w:rsidRDefault="006B025A" w:rsidP="005B0077">
      <w:pPr>
        <w:pStyle w:val="111ilist"/>
      </w:pPr>
      <w:r w:rsidRPr="000A7B67">
        <w:t>i</w:t>
      </w:r>
      <w:r w:rsidR="005B0077" w:rsidRPr="000A7B67">
        <w:t>x)</w:t>
      </w:r>
      <w:r w:rsidR="00DD6EB9" w:rsidRPr="000A7B67">
        <w:tab/>
        <w:t xml:space="preserve">Allow the incorporation of a biomarker, topical or systemic (for example: </w:t>
      </w:r>
    </w:p>
    <w:p w14:paraId="5B48F032" w14:textId="77777777" w:rsidR="00DD6EB9" w:rsidRPr="000A7B67" w:rsidRDefault="00DD6EB9" w:rsidP="006A07CA">
      <w:pPr>
        <w:pStyle w:val="ififthlevellist"/>
        <w:ind w:left="2268"/>
      </w:pPr>
      <w:r w:rsidRPr="000A7B67">
        <w:t>a)</w:t>
      </w:r>
      <w:r w:rsidR="005B0077" w:rsidRPr="000A7B67">
        <w:tab/>
      </w:r>
      <w:r w:rsidRPr="000A7B67">
        <w:t>surface markers (Rhodamine B, other dyes);</w:t>
      </w:r>
    </w:p>
    <w:p w14:paraId="183383BC" w14:textId="77777777" w:rsidR="00DD6EB9" w:rsidRPr="000A7B67" w:rsidRDefault="00DD6EB9" w:rsidP="006A07CA">
      <w:pPr>
        <w:pStyle w:val="ififthlevellist"/>
        <w:ind w:left="2268"/>
      </w:pPr>
      <w:r w:rsidRPr="000A7B67">
        <w:t>b)</w:t>
      </w:r>
      <w:r w:rsidR="005B0077" w:rsidRPr="000A7B67">
        <w:tab/>
      </w:r>
      <w:r w:rsidRPr="000A7B67">
        <w:t>tissue markers (</w:t>
      </w:r>
      <w:proofErr w:type="spellStart"/>
      <w:r w:rsidRPr="000A7B67">
        <w:t>Iophenoxic</w:t>
      </w:r>
      <w:proofErr w:type="spellEnd"/>
      <w:r w:rsidRPr="000A7B67">
        <w:t xml:space="preserve"> acid, etc.);</w:t>
      </w:r>
    </w:p>
    <w:p w14:paraId="0B518769" w14:textId="77777777" w:rsidR="00DD6EB9" w:rsidRPr="000A7B67" w:rsidRDefault="00DD6EB9" w:rsidP="006A07CA">
      <w:pPr>
        <w:pStyle w:val="ififthlevellist"/>
        <w:ind w:left="2268"/>
      </w:pPr>
      <w:r w:rsidRPr="000A7B67">
        <w:t>c)</w:t>
      </w:r>
      <w:r w:rsidR="005B0077" w:rsidRPr="000A7B67">
        <w:tab/>
      </w:r>
      <w:proofErr w:type="spellStart"/>
      <w:r w:rsidRPr="000A7B67">
        <w:t>calciphilic</w:t>
      </w:r>
      <w:proofErr w:type="spellEnd"/>
      <w:r w:rsidRPr="000A7B67">
        <w:t xml:space="preserve"> markers </w:t>
      </w:r>
      <w:r w:rsidR="0026573B" w:rsidRPr="000A7B67">
        <w:t>such as t</w:t>
      </w:r>
      <w:r w:rsidRPr="000A7B67">
        <w:t>etracycline</w:t>
      </w:r>
      <w:r w:rsidR="0026573B" w:rsidRPr="000A7B67">
        <w:t xml:space="preserve"> (TC</w:t>
      </w:r>
      <w:r w:rsidRPr="000A7B67">
        <w:t>), which should be compatible with other bait components, safe for target and non-target species, detectable in target species for a defined period using technically simple, economical and locally available assay methods, absent or minimally present in subject population.</w:t>
      </w:r>
      <w:r w:rsidR="0026573B" w:rsidRPr="000A7B67">
        <w:t xml:space="preserve"> In case of TC, </w:t>
      </w:r>
      <w:r w:rsidR="006B025A" w:rsidRPr="000A7B67">
        <w:t xml:space="preserve">care must be taken that the ratio of TC vs </w:t>
      </w:r>
      <w:proofErr w:type="spellStart"/>
      <w:r w:rsidR="006B025A" w:rsidRPr="000A7B67">
        <w:t>epitetracycline</w:t>
      </w:r>
      <w:proofErr w:type="spellEnd"/>
      <w:r w:rsidR="006B025A" w:rsidRPr="000A7B67">
        <w:t xml:space="preserve"> </w:t>
      </w:r>
      <w:r w:rsidR="0026573B" w:rsidRPr="000A7B67">
        <w:t xml:space="preserve">in the final bait </w:t>
      </w:r>
      <w:r w:rsidR="006B025A" w:rsidRPr="000A7B67">
        <w:t>formulation</w:t>
      </w:r>
      <w:r w:rsidR="0026573B" w:rsidRPr="000A7B67">
        <w:t xml:space="preserve"> </w:t>
      </w:r>
      <w:r w:rsidR="006B025A" w:rsidRPr="000A7B67">
        <w:t>should be as high as possible to guarantee biomarker effectiveness.</w:t>
      </w:r>
    </w:p>
    <w:p w14:paraId="51C47EE4" w14:textId="77777777" w:rsidR="00DD6EB9" w:rsidRPr="000A7B67" w:rsidRDefault="005B0077" w:rsidP="005B0077">
      <w:pPr>
        <w:pStyle w:val="111ilist"/>
      </w:pPr>
      <w:r w:rsidRPr="000A7B67">
        <w:t>x)</w:t>
      </w:r>
      <w:r w:rsidR="00DD6EB9" w:rsidRPr="000A7B67">
        <w:tab/>
      </w:r>
      <w:r w:rsidR="0025686A" w:rsidRPr="000A7B67">
        <w:t>Be</w:t>
      </w:r>
      <w:r w:rsidR="00DD6EB9" w:rsidRPr="000A7B67">
        <w:t xml:space="preserve"> economic to produce in standard form, possibly under local conditions;</w:t>
      </w:r>
    </w:p>
    <w:p w14:paraId="7A44D00F" w14:textId="77777777" w:rsidR="00DD6EB9" w:rsidRPr="000A7B67" w:rsidRDefault="005B0077" w:rsidP="00EC645C">
      <w:pPr>
        <w:pStyle w:val="111ilist"/>
        <w:spacing w:after="440"/>
      </w:pPr>
      <w:r w:rsidRPr="000A7B67">
        <w:t>xi)</w:t>
      </w:r>
      <w:r w:rsidR="00DD6EB9" w:rsidRPr="000A7B67">
        <w:tab/>
        <w:t xml:space="preserve">Feature a labelling system with a public warning and identification of the product. </w:t>
      </w:r>
    </w:p>
    <w:p w14:paraId="3CEECA7B" w14:textId="14CB97B9" w:rsidR="00DD6EB9" w:rsidRPr="00484E5E" w:rsidRDefault="00DD6EB9" w:rsidP="00EC645C">
      <w:pPr>
        <w:pStyle w:val="Referencetitle"/>
        <w:spacing w:after="200"/>
        <w:rPr>
          <w:lang w:val="en-IE"/>
        </w:rPr>
      </w:pPr>
      <w:r w:rsidRPr="0C08F6F3">
        <w:rPr>
          <w:lang w:val="en-IE"/>
        </w:rPr>
        <w:t>REFERENCES</w:t>
      </w:r>
    </w:p>
    <w:p w14:paraId="2FDAB46A" w14:textId="77777777" w:rsidR="005B0077" w:rsidRPr="001A6CB2" w:rsidRDefault="00FA4C58" w:rsidP="005B0077">
      <w:pPr>
        <w:spacing w:after="240" w:line="240" w:lineRule="auto"/>
        <w:rPr>
          <w:rFonts w:ascii="Söhne" w:hAnsi="Söhne" w:cs="Arial"/>
          <w:sz w:val="18"/>
          <w:szCs w:val="18"/>
        </w:rPr>
      </w:pPr>
      <w:hyperlink r:id="rId11" w:history="1">
        <w:proofErr w:type="spellStart"/>
        <w:r w:rsidR="005B0077" w:rsidRPr="001A6CB2">
          <w:rPr>
            <w:rFonts w:ascii="Söhne" w:hAnsi="Söhne" w:cs="Arial"/>
            <w:smallCaps/>
            <w:sz w:val="18"/>
            <w:szCs w:val="18"/>
            <w:lang w:val="en-IE"/>
          </w:rPr>
          <w:t>B</w:t>
        </w:r>
      </w:hyperlink>
      <w:hyperlink r:id="rId12" w:history="1">
        <w:r w:rsidR="005B0077" w:rsidRPr="001A6CB2">
          <w:rPr>
            <w:rFonts w:ascii="Söhne" w:hAnsi="Söhne" w:cs="Arial"/>
            <w:smallCaps/>
            <w:sz w:val="18"/>
            <w:szCs w:val="18"/>
            <w:lang w:val="en-IE"/>
          </w:rPr>
          <w:t>adrane</w:t>
        </w:r>
        <w:proofErr w:type="spellEnd"/>
        <w:r w:rsidR="005B0077" w:rsidRPr="001A6CB2">
          <w:rPr>
            <w:rFonts w:ascii="Söhne" w:hAnsi="Söhne" w:cs="Arial"/>
            <w:smallCaps/>
            <w:sz w:val="18"/>
            <w:szCs w:val="18"/>
            <w:lang w:val="en-IE"/>
          </w:rPr>
          <w:t xml:space="preserve"> </w:t>
        </w:r>
      </w:hyperlink>
      <w:hyperlink r:id="rId13" w:history="1">
        <w:r w:rsidR="005B0077" w:rsidRPr="001A6CB2">
          <w:rPr>
            <w:rFonts w:ascii="Söhne" w:hAnsi="Söhne" w:cs="Arial"/>
            <w:smallCaps/>
            <w:sz w:val="18"/>
            <w:szCs w:val="18"/>
            <w:lang w:val="en-IE"/>
          </w:rPr>
          <w:t>H</w:t>
        </w:r>
      </w:hyperlink>
      <w:r w:rsidR="005B0077" w:rsidRPr="001A6CB2">
        <w:rPr>
          <w:rFonts w:ascii="Söhne" w:hAnsi="Söhne" w:cs="Arial"/>
          <w:smallCaps/>
          <w:sz w:val="18"/>
          <w:szCs w:val="18"/>
          <w:lang w:val="en-IE"/>
        </w:rPr>
        <w:t>.,</w:t>
      </w:r>
      <w:hyperlink r:id="rId14" w:history="1">
        <w:r w:rsidR="005B0077" w:rsidRPr="001A6CB2">
          <w:rPr>
            <w:rFonts w:ascii="Söhne" w:hAnsi="Söhne" w:cs="Arial"/>
            <w:smallCaps/>
            <w:sz w:val="18"/>
            <w:szCs w:val="18"/>
            <w:lang w:val="en-IE"/>
          </w:rPr>
          <w:t xml:space="preserve"> B</w:t>
        </w:r>
      </w:hyperlink>
      <w:hyperlink r:id="rId15" w:history="1">
        <w:r w:rsidR="005B0077" w:rsidRPr="001A6CB2">
          <w:rPr>
            <w:rFonts w:ascii="Söhne" w:hAnsi="Söhne" w:cs="Arial"/>
            <w:smallCaps/>
            <w:sz w:val="18"/>
            <w:szCs w:val="18"/>
            <w:lang w:val="en-IE"/>
          </w:rPr>
          <w:t xml:space="preserve">ahloul </w:t>
        </w:r>
      </w:hyperlink>
      <w:hyperlink r:id="rId16" w:history="1">
        <w:r w:rsidR="005B0077" w:rsidRPr="001A6CB2">
          <w:rPr>
            <w:rFonts w:ascii="Söhne" w:hAnsi="Söhne" w:cs="Arial"/>
            <w:smallCaps/>
            <w:sz w:val="18"/>
            <w:szCs w:val="18"/>
            <w:lang w:val="en-IE"/>
          </w:rPr>
          <w:t>C</w:t>
        </w:r>
      </w:hyperlink>
      <w:r w:rsidR="005B0077" w:rsidRPr="001A6CB2">
        <w:rPr>
          <w:rFonts w:ascii="Söhne" w:hAnsi="Söhne" w:cs="Arial"/>
          <w:smallCaps/>
          <w:sz w:val="18"/>
          <w:szCs w:val="18"/>
          <w:lang w:val="en-IE"/>
        </w:rPr>
        <w:t>.,</w:t>
      </w:r>
      <w:hyperlink r:id="rId17" w:history="1">
        <w:r w:rsidR="005B0077" w:rsidRPr="001A6CB2">
          <w:rPr>
            <w:rFonts w:ascii="Söhne" w:hAnsi="Söhne" w:cs="Arial"/>
            <w:smallCaps/>
            <w:sz w:val="18"/>
            <w:szCs w:val="18"/>
            <w:lang w:val="en-IE"/>
          </w:rPr>
          <w:t xml:space="preserve"> P</w:t>
        </w:r>
      </w:hyperlink>
      <w:hyperlink r:id="rId18" w:history="1">
        <w:r w:rsidR="005B0077" w:rsidRPr="001A6CB2">
          <w:rPr>
            <w:rFonts w:ascii="Söhne" w:hAnsi="Söhne" w:cs="Arial"/>
            <w:smallCaps/>
            <w:sz w:val="18"/>
            <w:szCs w:val="18"/>
            <w:lang w:val="en-IE"/>
          </w:rPr>
          <w:t xml:space="preserve">errin </w:t>
        </w:r>
      </w:hyperlink>
      <w:hyperlink r:id="rId19" w:history="1">
        <w:r w:rsidR="005B0077" w:rsidRPr="001A6CB2">
          <w:rPr>
            <w:rFonts w:ascii="Söhne" w:hAnsi="Söhne" w:cs="Arial"/>
            <w:smallCaps/>
            <w:sz w:val="18"/>
            <w:szCs w:val="18"/>
            <w:lang w:val="en-IE"/>
          </w:rPr>
          <w:t>P</w:t>
        </w:r>
      </w:hyperlink>
      <w:hyperlink r:id="rId20" w:history="1">
        <w:r w:rsidR="005B0077" w:rsidRPr="001A6CB2">
          <w:rPr>
            <w:rFonts w:ascii="Söhne" w:hAnsi="Söhne" w:cs="Arial"/>
            <w:smallCaps/>
            <w:sz w:val="18"/>
            <w:szCs w:val="18"/>
            <w:lang w:val="en-IE"/>
          </w:rPr>
          <w:t xml:space="preserve">. &amp; </w:t>
        </w:r>
        <w:proofErr w:type="spellStart"/>
        <w:r w:rsidR="005B0077" w:rsidRPr="001A6CB2">
          <w:rPr>
            <w:rFonts w:ascii="Söhne" w:hAnsi="Söhne" w:cs="Arial"/>
            <w:smallCaps/>
            <w:sz w:val="18"/>
            <w:szCs w:val="18"/>
            <w:lang w:val="en-IE"/>
          </w:rPr>
          <w:t>Tordo</w:t>
        </w:r>
        <w:proofErr w:type="spellEnd"/>
        <w:r w:rsidR="005B0077" w:rsidRPr="001A6CB2">
          <w:rPr>
            <w:rFonts w:ascii="Söhne" w:hAnsi="Söhne" w:cs="Arial"/>
            <w:smallCaps/>
            <w:sz w:val="18"/>
            <w:szCs w:val="18"/>
            <w:lang w:val="en-IE"/>
          </w:rPr>
          <w:t xml:space="preserve"> </w:t>
        </w:r>
      </w:hyperlink>
      <w:hyperlink r:id="rId21" w:history="1">
        <w:r w:rsidR="005B0077" w:rsidRPr="001A6CB2">
          <w:rPr>
            <w:rFonts w:ascii="Söhne" w:hAnsi="Söhne" w:cs="Arial"/>
            <w:smallCaps/>
            <w:sz w:val="18"/>
            <w:szCs w:val="18"/>
            <w:lang w:val="en-IE"/>
          </w:rPr>
          <w:t>N</w:t>
        </w:r>
      </w:hyperlink>
      <w:r w:rsidR="005B0077" w:rsidRPr="001A6CB2">
        <w:rPr>
          <w:rFonts w:ascii="Söhne" w:hAnsi="Söhne" w:cs="Arial"/>
          <w:smallCaps/>
          <w:sz w:val="18"/>
          <w:szCs w:val="18"/>
          <w:lang w:val="en-IE"/>
        </w:rPr>
        <w:t>.</w:t>
      </w:r>
      <w:r w:rsidR="005B0077" w:rsidRPr="001A6CB2">
        <w:rPr>
          <w:rFonts w:ascii="Söhne" w:hAnsi="Söhne" w:cs="Arial"/>
          <w:sz w:val="18"/>
          <w:szCs w:val="18"/>
          <w:lang w:val="en-IE"/>
        </w:rPr>
        <w:t xml:space="preserve"> </w:t>
      </w:r>
      <w:r w:rsidR="005B0077" w:rsidRPr="001A6CB2">
        <w:rPr>
          <w:rFonts w:ascii="Söhne" w:hAnsi="Söhne" w:cs="Arial"/>
          <w:sz w:val="18"/>
          <w:szCs w:val="18"/>
        </w:rPr>
        <w:t xml:space="preserve">(2001). Evidence of two Lyssavirus phylogroups with distinct pathogenicity and immunogenicity. </w:t>
      </w:r>
      <w:r w:rsidR="005B0077" w:rsidRPr="001A6CB2">
        <w:rPr>
          <w:rFonts w:ascii="Söhne" w:hAnsi="Söhne" w:cs="Arial"/>
          <w:i/>
          <w:iCs/>
          <w:sz w:val="18"/>
          <w:szCs w:val="18"/>
        </w:rPr>
        <w:t>J. Virol.</w:t>
      </w:r>
      <w:r w:rsidR="005B0077" w:rsidRPr="001A6CB2">
        <w:rPr>
          <w:rFonts w:ascii="Söhne" w:hAnsi="Söhne" w:cs="Arial"/>
          <w:sz w:val="18"/>
          <w:szCs w:val="18"/>
        </w:rPr>
        <w:t xml:space="preserve">, </w:t>
      </w:r>
      <w:r w:rsidR="005B0077" w:rsidRPr="001A6CB2">
        <w:rPr>
          <w:rFonts w:ascii="Söhne" w:hAnsi="Söhne" w:cs="Arial"/>
          <w:b/>
          <w:bCs/>
          <w:sz w:val="18"/>
          <w:szCs w:val="18"/>
        </w:rPr>
        <w:t>75</w:t>
      </w:r>
      <w:r w:rsidR="005B0077" w:rsidRPr="001A6CB2">
        <w:rPr>
          <w:rFonts w:ascii="Söhne" w:hAnsi="Söhne" w:cs="Arial"/>
          <w:sz w:val="18"/>
          <w:szCs w:val="18"/>
        </w:rPr>
        <w:t xml:space="preserve">, 3268–3276. </w:t>
      </w:r>
    </w:p>
    <w:p w14:paraId="74481747" w14:textId="77777777" w:rsidR="005B0077" w:rsidRPr="001A6CB2" w:rsidRDefault="005B0077" w:rsidP="005B0077">
      <w:pPr>
        <w:pStyle w:val="StyleRefPetitesmajuscules"/>
        <w:rPr>
          <w:smallCaps w:val="0"/>
          <w:lang w:val="fr-FR"/>
        </w:rPr>
      </w:pPr>
      <w:r w:rsidRPr="001A6CB2">
        <w:t xml:space="preserve">Barrat J. (1992). </w:t>
      </w:r>
      <w:r w:rsidRPr="001A6CB2">
        <w:rPr>
          <w:smallCaps w:val="0"/>
        </w:rPr>
        <w:t xml:space="preserve">Experimental Diagnosis of Rabies. </w:t>
      </w:r>
      <w:r w:rsidRPr="001A6CB2">
        <w:rPr>
          <w:smallCaps w:val="0"/>
          <w:lang w:val="en-US"/>
        </w:rPr>
        <w:t xml:space="preserve">Adaptations to Field and Tropical Conditions. </w:t>
      </w:r>
      <w:r w:rsidRPr="001A6CB2">
        <w:rPr>
          <w:smallCaps w:val="0"/>
        </w:rPr>
        <w:t xml:space="preserve">Proceedings of the International Conference on Epidemiology, Control and Prevention of Rabies in Eastern and Southern Africa. </w:t>
      </w:r>
      <w:r w:rsidRPr="001A6CB2">
        <w:rPr>
          <w:smallCaps w:val="0"/>
          <w:lang w:val="fr-FR"/>
        </w:rPr>
        <w:t xml:space="preserve">Lusaka, </w:t>
      </w:r>
      <w:proofErr w:type="spellStart"/>
      <w:r w:rsidRPr="001A6CB2">
        <w:rPr>
          <w:smallCaps w:val="0"/>
          <w:lang w:val="fr-FR"/>
        </w:rPr>
        <w:t>Zambia</w:t>
      </w:r>
      <w:proofErr w:type="spellEnd"/>
      <w:r w:rsidRPr="001A6CB2">
        <w:rPr>
          <w:smallCaps w:val="0"/>
          <w:lang w:val="fr-FR"/>
        </w:rPr>
        <w:t>, 2–5 June 1992, 72–83.</w:t>
      </w:r>
    </w:p>
    <w:p w14:paraId="0CB1F7A8" w14:textId="77777777" w:rsidR="005B0077" w:rsidRPr="001A6CB2" w:rsidRDefault="005B0077" w:rsidP="005B0077">
      <w:pPr>
        <w:pStyle w:val="StyleRefPetitesmajuscules"/>
        <w:rPr>
          <w:smallCaps w:val="0"/>
          <w:lang w:val="fr-FR"/>
        </w:rPr>
      </w:pPr>
      <w:r w:rsidRPr="001A6CB2">
        <w:rPr>
          <w:lang w:val="fr-FR"/>
        </w:rPr>
        <w:t xml:space="preserve">Barrat J. &amp; Aubert M.F.A. (1995). </w:t>
      </w:r>
      <w:r w:rsidRPr="001A6CB2">
        <w:rPr>
          <w:smallCaps w:val="0"/>
          <w:lang w:val="fr-FR"/>
        </w:rPr>
        <w:t xml:space="preserve">Diagnostic de la rage animale en France de 1991 à 1993, bilan de CNEVA laboratoire d’études sur la rage et la pathologie des animaux sauvages en France. </w:t>
      </w:r>
      <w:r w:rsidRPr="001A6CB2">
        <w:rPr>
          <w:i/>
          <w:smallCaps w:val="0"/>
          <w:lang w:val="fr-FR"/>
        </w:rPr>
        <w:t xml:space="preserve">Revue Méd. </w:t>
      </w:r>
      <w:proofErr w:type="spellStart"/>
      <w:r w:rsidRPr="001A6CB2">
        <w:rPr>
          <w:i/>
          <w:smallCaps w:val="0"/>
          <w:lang w:val="fr-FR"/>
        </w:rPr>
        <w:t>Vét</w:t>
      </w:r>
      <w:proofErr w:type="spellEnd"/>
      <w:r w:rsidRPr="001A6CB2">
        <w:rPr>
          <w:i/>
          <w:smallCaps w:val="0"/>
          <w:lang w:val="fr-FR"/>
        </w:rPr>
        <w:t xml:space="preserve">., </w:t>
      </w:r>
      <w:r w:rsidRPr="001A6CB2">
        <w:rPr>
          <w:b/>
          <w:smallCaps w:val="0"/>
          <w:lang w:val="fr-FR"/>
        </w:rPr>
        <w:t>146</w:t>
      </w:r>
      <w:r w:rsidRPr="001A6CB2">
        <w:rPr>
          <w:smallCaps w:val="0"/>
          <w:lang w:val="fr-FR"/>
        </w:rPr>
        <w:t>, 561–566.</w:t>
      </w:r>
    </w:p>
    <w:p w14:paraId="22769B0F" w14:textId="77777777" w:rsidR="005B0077" w:rsidRPr="00426923" w:rsidRDefault="005B0077" w:rsidP="005B0077">
      <w:pPr>
        <w:pStyle w:val="StyleRefPetitesmajuscules"/>
        <w:rPr>
          <w:smallCaps w:val="0"/>
          <w:lang w:val="fr-FR"/>
        </w:rPr>
      </w:pPr>
      <w:r w:rsidRPr="001A6CB2">
        <w:rPr>
          <w:lang w:val="fr-FR"/>
        </w:rPr>
        <w:t>Barrat J.</w:t>
      </w:r>
      <w:r w:rsidRPr="001A6CB2">
        <w:rPr>
          <w:caps/>
          <w:lang w:val="fr-FR"/>
        </w:rPr>
        <w:t xml:space="preserve"> &amp; </w:t>
      </w:r>
      <w:proofErr w:type="spellStart"/>
      <w:r w:rsidRPr="001A6CB2">
        <w:rPr>
          <w:lang w:val="fr-FR"/>
        </w:rPr>
        <w:t>Blancou</w:t>
      </w:r>
      <w:proofErr w:type="spellEnd"/>
      <w:r w:rsidRPr="001A6CB2">
        <w:rPr>
          <w:lang w:val="fr-FR"/>
        </w:rPr>
        <w:t xml:space="preserve"> J. (1988). </w:t>
      </w:r>
      <w:r w:rsidRPr="001A6CB2">
        <w:rPr>
          <w:smallCaps w:val="0"/>
          <w:lang w:val="fr-FR"/>
        </w:rPr>
        <w:t xml:space="preserve">Technique simplifiée de prélèvement, de conditionnement et d’expédition de matière cérébrale pour le diagnostic de rage. </w:t>
      </w:r>
      <w:r w:rsidRPr="00426923">
        <w:rPr>
          <w:smallCaps w:val="0"/>
          <w:lang w:val="fr-FR"/>
        </w:rPr>
        <w:t xml:space="preserve">Doc. WHO/Rab. </w:t>
      </w:r>
      <w:proofErr w:type="spellStart"/>
      <w:r w:rsidRPr="00426923">
        <w:rPr>
          <w:smallCaps w:val="0"/>
          <w:lang w:val="fr-FR"/>
        </w:rPr>
        <w:t>Res</w:t>
      </w:r>
      <w:proofErr w:type="spellEnd"/>
      <w:r w:rsidRPr="00426923">
        <w:rPr>
          <w:smallCaps w:val="0"/>
          <w:lang w:val="fr-FR"/>
        </w:rPr>
        <w:t>./88.27.</w:t>
      </w:r>
    </w:p>
    <w:p w14:paraId="3B275CAD" w14:textId="77777777" w:rsidR="005B0077" w:rsidRPr="001A6CB2" w:rsidRDefault="005B0077" w:rsidP="005B0077">
      <w:pPr>
        <w:pStyle w:val="StyleRefPetitesmajuscules"/>
        <w:rPr>
          <w:rFonts w:eastAsia="MS Mincho"/>
          <w:smallCaps w:val="0"/>
          <w:color w:val="000000"/>
          <w:lang w:val="en-IE"/>
        </w:rPr>
      </w:pPr>
      <w:proofErr w:type="spellStart"/>
      <w:r w:rsidRPr="00426923">
        <w:rPr>
          <w:lang w:val="fr-FR"/>
        </w:rPr>
        <w:t>Bellinger</w:t>
      </w:r>
      <w:proofErr w:type="spellEnd"/>
      <w:r w:rsidRPr="00426923">
        <w:rPr>
          <w:lang w:val="fr-FR"/>
        </w:rPr>
        <w:t xml:space="preserve"> D.A., Chang J., </w:t>
      </w:r>
      <w:proofErr w:type="spellStart"/>
      <w:r w:rsidRPr="00426923">
        <w:rPr>
          <w:lang w:val="fr-FR"/>
        </w:rPr>
        <w:t>Bunn</w:t>
      </w:r>
      <w:proofErr w:type="spellEnd"/>
      <w:r w:rsidRPr="00426923">
        <w:rPr>
          <w:lang w:val="fr-FR"/>
        </w:rPr>
        <w:t xml:space="preserve"> T.O., Pick J.R., Murphy M. &amp; </w:t>
      </w:r>
      <w:proofErr w:type="spellStart"/>
      <w:r w:rsidRPr="00426923">
        <w:rPr>
          <w:lang w:val="fr-FR"/>
        </w:rPr>
        <w:t>Rahija</w:t>
      </w:r>
      <w:proofErr w:type="spellEnd"/>
      <w:r w:rsidRPr="00426923">
        <w:rPr>
          <w:lang w:val="fr-FR"/>
        </w:rPr>
        <w:t xml:space="preserve"> R. (1983). </w:t>
      </w:r>
      <w:r w:rsidRPr="001A6CB2">
        <w:rPr>
          <w:smallCaps w:val="0"/>
        </w:rPr>
        <w:t xml:space="preserve">Rabies induced in a cat by high-egg-passage Flury strain vaccine. </w:t>
      </w:r>
      <w:r w:rsidRPr="001A6CB2">
        <w:rPr>
          <w:i/>
          <w:smallCaps w:val="0"/>
          <w:lang w:val="en-IE"/>
        </w:rPr>
        <w:t>J. Am. Vet. Med. Assoc</w:t>
      </w:r>
      <w:r w:rsidRPr="001A6CB2">
        <w:rPr>
          <w:smallCaps w:val="0"/>
          <w:lang w:val="en-IE"/>
        </w:rPr>
        <w:t xml:space="preserve">., </w:t>
      </w:r>
      <w:r w:rsidRPr="001A6CB2">
        <w:rPr>
          <w:b/>
          <w:smallCaps w:val="0"/>
          <w:lang w:val="en-IE"/>
        </w:rPr>
        <w:t>183</w:t>
      </w:r>
      <w:r w:rsidRPr="001A6CB2">
        <w:rPr>
          <w:smallCaps w:val="0"/>
          <w:lang w:val="en-IE"/>
        </w:rPr>
        <w:t>, 997–998.</w:t>
      </w:r>
    </w:p>
    <w:p w14:paraId="701B2499" w14:textId="77777777" w:rsidR="005B0077" w:rsidRPr="001A6CB2" w:rsidRDefault="005B0077" w:rsidP="005B0077">
      <w:pPr>
        <w:pStyle w:val="StyleRefPetitesmajuscules"/>
        <w:rPr>
          <w:smallCaps w:val="0"/>
          <w:lang w:val="en-IE"/>
        </w:rPr>
      </w:pPr>
      <w:r w:rsidRPr="00426923">
        <w:t xml:space="preserve">Bingham J. &amp; van der Merwe M. (2002). </w:t>
      </w:r>
      <w:r w:rsidRPr="001A6CB2">
        <w:rPr>
          <w:smallCaps w:val="0"/>
        </w:rPr>
        <w:t xml:space="preserve">Distribution of rabies antigen in infected brain material: determining the reliability of different regions of the brain for the rabies fluorescent antibody test. </w:t>
      </w:r>
      <w:r w:rsidRPr="001A6CB2">
        <w:rPr>
          <w:smallCaps w:val="0"/>
          <w:lang w:val="en-IE"/>
        </w:rPr>
        <w:t>J</w:t>
      </w:r>
      <w:r w:rsidRPr="001A6CB2">
        <w:rPr>
          <w:i/>
          <w:smallCaps w:val="0"/>
          <w:lang w:val="en-IE"/>
        </w:rPr>
        <w:t>. Virol. Methods</w:t>
      </w:r>
      <w:r w:rsidRPr="001A6CB2">
        <w:rPr>
          <w:smallCaps w:val="0"/>
          <w:lang w:val="en-IE"/>
        </w:rPr>
        <w:t xml:space="preserve">, </w:t>
      </w:r>
      <w:r w:rsidRPr="001A6CB2">
        <w:rPr>
          <w:b/>
          <w:smallCaps w:val="0"/>
          <w:lang w:val="en-IE"/>
        </w:rPr>
        <w:t>101</w:t>
      </w:r>
      <w:r w:rsidRPr="001A6CB2">
        <w:rPr>
          <w:smallCaps w:val="0"/>
          <w:lang w:val="en-IE"/>
        </w:rPr>
        <w:t>, 85–94.</w:t>
      </w:r>
    </w:p>
    <w:p w14:paraId="5C57F3EC" w14:textId="77777777" w:rsidR="005B0077" w:rsidRPr="001A6CB2" w:rsidRDefault="005B0077" w:rsidP="005B0077">
      <w:pPr>
        <w:spacing w:after="240" w:line="240" w:lineRule="auto"/>
        <w:rPr>
          <w:rFonts w:ascii="Söhne" w:hAnsi="Söhne" w:cs="Arial"/>
          <w:sz w:val="18"/>
          <w:szCs w:val="18"/>
        </w:rPr>
      </w:pPr>
      <w:r w:rsidRPr="001A6CB2">
        <w:rPr>
          <w:rFonts w:ascii="Söhne" w:hAnsi="Söhne" w:cs="Arial"/>
          <w:smallCaps/>
          <w:sz w:val="18"/>
          <w:szCs w:val="18"/>
          <w:lang w:val="en-IE"/>
        </w:rPr>
        <w:t xml:space="preserve">Brookes S.M., Parsons G., Johnson N., Mcelhinney L.M. &amp; Fooks A.R. </w:t>
      </w:r>
      <w:r w:rsidRPr="001A6CB2">
        <w:rPr>
          <w:rFonts w:ascii="Söhne" w:hAnsi="Söhne" w:cs="Arial"/>
          <w:sz w:val="18"/>
          <w:szCs w:val="18"/>
          <w:lang w:val="en-IE"/>
        </w:rPr>
        <w:t xml:space="preserve">(2005). </w:t>
      </w:r>
      <w:r w:rsidRPr="001A6CB2">
        <w:rPr>
          <w:rFonts w:ascii="Söhne" w:hAnsi="Söhne" w:cs="Arial"/>
          <w:sz w:val="18"/>
          <w:szCs w:val="18"/>
        </w:rPr>
        <w:t xml:space="preserve">Rabies human diploid cell vaccine elicits cross-neutralising and cross-protecting immune responses against European and Australian bat lyssaviruses. </w:t>
      </w:r>
      <w:r w:rsidRPr="001A6CB2">
        <w:rPr>
          <w:rFonts w:ascii="Söhne" w:hAnsi="Söhne" w:cs="Arial"/>
          <w:i/>
          <w:iCs/>
          <w:sz w:val="18"/>
          <w:szCs w:val="18"/>
        </w:rPr>
        <w:t>Vaccine</w:t>
      </w:r>
      <w:r w:rsidRPr="001A6CB2">
        <w:rPr>
          <w:rFonts w:ascii="Söhne" w:hAnsi="Söhne" w:cs="Arial"/>
          <w:sz w:val="18"/>
          <w:szCs w:val="18"/>
        </w:rPr>
        <w:t xml:space="preserve">, </w:t>
      </w:r>
      <w:r w:rsidRPr="001A6CB2">
        <w:rPr>
          <w:rFonts w:ascii="Söhne" w:hAnsi="Söhne" w:cs="Arial"/>
          <w:b/>
          <w:bCs/>
          <w:sz w:val="18"/>
          <w:szCs w:val="18"/>
        </w:rPr>
        <w:t>23</w:t>
      </w:r>
      <w:r w:rsidRPr="001A6CB2">
        <w:rPr>
          <w:rFonts w:ascii="Söhne" w:hAnsi="Söhne" w:cs="Arial"/>
          <w:sz w:val="18"/>
          <w:szCs w:val="18"/>
        </w:rPr>
        <w:t xml:space="preserve">, 4101–4109. </w:t>
      </w:r>
    </w:p>
    <w:p w14:paraId="353585C4" w14:textId="77777777" w:rsidR="005B0077" w:rsidRPr="001A6CB2" w:rsidRDefault="005B0077" w:rsidP="005B0077">
      <w:pPr>
        <w:pStyle w:val="StyleRefPetitesmajuscules"/>
        <w:rPr>
          <w:smallCaps w:val="0"/>
        </w:rPr>
      </w:pPr>
      <w:proofErr w:type="spellStart"/>
      <w:r w:rsidRPr="001A6CB2">
        <w:rPr>
          <w:lang w:val="en-US"/>
        </w:rPr>
        <w:t>Cliquet</w:t>
      </w:r>
      <w:proofErr w:type="spellEnd"/>
      <w:r w:rsidRPr="001A6CB2">
        <w:rPr>
          <w:lang w:val="en-US"/>
        </w:rPr>
        <w:t xml:space="preserve"> F., Aubert M. &amp; Sagne L. (1998). </w:t>
      </w:r>
      <w:r w:rsidRPr="001A6CB2">
        <w:rPr>
          <w:smallCaps w:val="0"/>
        </w:rPr>
        <w:t xml:space="preserve">Development of a fluorescent antibody virus neutralisation test (FAVN test) for the quantitation of rabies-neutralising antibody. </w:t>
      </w:r>
      <w:r w:rsidRPr="001A6CB2">
        <w:rPr>
          <w:i/>
          <w:smallCaps w:val="0"/>
        </w:rPr>
        <w:t>J. Immunol. Methods</w:t>
      </w:r>
      <w:r w:rsidRPr="001A6CB2">
        <w:rPr>
          <w:smallCaps w:val="0"/>
        </w:rPr>
        <w:t xml:space="preserve">, </w:t>
      </w:r>
      <w:r w:rsidRPr="001A6CB2">
        <w:rPr>
          <w:b/>
          <w:smallCaps w:val="0"/>
        </w:rPr>
        <w:t>212</w:t>
      </w:r>
      <w:r w:rsidRPr="001A6CB2">
        <w:rPr>
          <w:smallCaps w:val="0"/>
        </w:rPr>
        <w:t>, 79–87.</w:t>
      </w:r>
    </w:p>
    <w:p w14:paraId="087FD7DB" w14:textId="5433FF85" w:rsidR="00634CD2" w:rsidRPr="009E470F" w:rsidRDefault="00634CD2" w:rsidP="00634CD2">
      <w:pPr>
        <w:pStyle w:val="StyleRefPetitesmajuscules"/>
        <w:rPr>
          <w:smallCaps w:val="0"/>
          <w:u w:val="double"/>
        </w:rPr>
      </w:pPr>
      <w:proofErr w:type="spellStart"/>
      <w:r w:rsidRPr="009F104D">
        <w:rPr>
          <w:u w:val="double"/>
        </w:rPr>
        <w:t>Cliquet</w:t>
      </w:r>
      <w:proofErr w:type="spellEnd"/>
      <w:r w:rsidRPr="009F104D">
        <w:rPr>
          <w:u w:val="double"/>
        </w:rPr>
        <w:t xml:space="preserve"> F., Guiot A.L., Aubert M., </w:t>
      </w:r>
      <w:proofErr w:type="spellStart"/>
      <w:r w:rsidRPr="009F104D">
        <w:rPr>
          <w:u w:val="double"/>
        </w:rPr>
        <w:t>Robardet</w:t>
      </w:r>
      <w:proofErr w:type="spellEnd"/>
      <w:r w:rsidRPr="009F104D">
        <w:rPr>
          <w:u w:val="double"/>
        </w:rPr>
        <w:t xml:space="preserve"> E., Rupprecht C.E. &amp; Meslin F.X. (2018). </w:t>
      </w:r>
      <w:r w:rsidRPr="00634CD2">
        <w:rPr>
          <w:smallCaps w:val="0"/>
          <w:u w:val="double"/>
        </w:rPr>
        <w:t xml:space="preserve">Oral vaccination of dogs: a well-studied and undervalued tool for achieving human and dog rabies elimination. </w:t>
      </w:r>
      <w:r w:rsidRPr="00634CD2">
        <w:rPr>
          <w:i/>
          <w:iCs/>
          <w:smallCaps w:val="0"/>
          <w:u w:val="double"/>
        </w:rPr>
        <w:t>Vet. Res</w:t>
      </w:r>
      <w:r w:rsidRPr="00634CD2">
        <w:rPr>
          <w:smallCaps w:val="0"/>
          <w:u w:val="double"/>
        </w:rPr>
        <w:t>.</w:t>
      </w:r>
      <w:r>
        <w:rPr>
          <w:smallCaps w:val="0"/>
          <w:u w:val="double"/>
        </w:rPr>
        <w:t>,</w:t>
      </w:r>
      <w:r w:rsidRPr="00634CD2">
        <w:rPr>
          <w:smallCaps w:val="0"/>
          <w:u w:val="double"/>
        </w:rPr>
        <w:t xml:space="preserve"> </w:t>
      </w:r>
      <w:r w:rsidRPr="00634CD2">
        <w:rPr>
          <w:b/>
          <w:bCs/>
          <w:smallCaps w:val="0"/>
          <w:u w:val="double"/>
        </w:rPr>
        <w:t>49</w:t>
      </w:r>
      <w:r>
        <w:rPr>
          <w:smallCaps w:val="0"/>
          <w:u w:val="double"/>
        </w:rPr>
        <w:t xml:space="preserve">, </w:t>
      </w:r>
      <w:r w:rsidRPr="00634CD2">
        <w:rPr>
          <w:smallCaps w:val="0"/>
          <w:u w:val="double"/>
        </w:rPr>
        <w:t>61</w:t>
      </w:r>
      <w:r w:rsidRPr="00634CD2">
        <w:rPr>
          <w:u w:val="double"/>
        </w:rPr>
        <w:t>.</w:t>
      </w:r>
    </w:p>
    <w:p w14:paraId="615992A8" w14:textId="77777777" w:rsidR="005B0077" w:rsidRPr="001A6CB2" w:rsidRDefault="005B0077" w:rsidP="005B0077">
      <w:pPr>
        <w:pStyle w:val="StyleRefPetitesmajuscules"/>
        <w:rPr>
          <w:smallCaps w:val="0"/>
          <w:lang w:val="en-IE"/>
        </w:rPr>
      </w:pPr>
      <w:proofErr w:type="spellStart"/>
      <w:r w:rsidRPr="001A6CB2">
        <w:t>Cliquet</w:t>
      </w:r>
      <w:proofErr w:type="spellEnd"/>
      <w:r w:rsidRPr="001A6CB2">
        <w:t xml:space="preserve"> F., </w:t>
      </w:r>
      <w:proofErr w:type="spellStart"/>
      <w:r w:rsidRPr="001A6CB2">
        <w:t>Robardet</w:t>
      </w:r>
      <w:proofErr w:type="spellEnd"/>
      <w:r w:rsidRPr="001A6CB2">
        <w:t xml:space="preserve"> E., Must K., Laine M., Peik K., Picard-Meyer E., Guiot A.L. &amp; Niin E. (2012). </w:t>
      </w:r>
      <w:r w:rsidRPr="001A6CB2">
        <w:rPr>
          <w:smallCaps w:val="0"/>
        </w:rPr>
        <w:t xml:space="preserve">Eliminating rabies in Estonia. </w:t>
      </w:r>
      <w:proofErr w:type="spellStart"/>
      <w:r w:rsidRPr="001A6CB2">
        <w:rPr>
          <w:i/>
          <w:smallCaps w:val="0"/>
          <w:lang w:val="en-IE"/>
        </w:rPr>
        <w:t>PLoS</w:t>
      </w:r>
      <w:proofErr w:type="spellEnd"/>
      <w:r w:rsidRPr="001A6CB2">
        <w:rPr>
          <w:i/>
          <w:smallCaps w:val="0"/>
          <w:lang w:val="en-IE"/>
        </w:rPr>
        <w:t xml:space="preserve"> </w:t>
      </w:r>
      <w:proofErr w:type="spellStart"/>
      <w:r w:rsidRPr="001A6CB2">
        <w:rPr>
          <w:i/>
          <w:smallCaps w:val="0"/>
          <w:lang w:val="en-IE"/>
        </w:rPr>
        <w:t>Negl</w:t>
      </w:r>
      <w:proofErr w:type="spellEnd"/>
      <w:r w:rsidRPr="001A6CB2">
        <w:rPr>
          <w:i/>
          <w:smallCaps w:val="0"/>
          <w:lang w:val="en-IE"/>
        </w:rPr>
        <w:t>. Trop. Dis</w:t>
      </w:r>
      <w:r w:rsidRPr="001A6CB2">
        <w:rPr>
          <w:smallCaps w:val="0"/>
          <w:lang w:val="en-IE"/>
        </w:rPr>
        <w:t xml:space="preserve">., </w:t>
      </w:r>
      <w:r w:rsidRPr="001A6CB2">
        <w:rPr>
          <w:b/>
          <w:smallCaps w:val="0"/>
          <w:lang w:val="en-IE"/>
        </w:rPr>
        <w:t>6</w:t>
      </w:r>
      <w:r w:rsidRPr="001A6CB2">
        <w:rPr>
          <w:smallCaps w:val="0"/>
          <w:lang w:val="en-IE"/>
        </w:rPr>
        <w:t xml:space="preserve"> (2):e1535. </w:t>
      </w:r>
      <w:proofErr w:type="spellStart"/>
      <w:r w:rsidRPr="001A6CB2">
        <w:rPr>
          <w:smallCaps w:val="0"/>
          <w:lang w:val="en-IE"/>
        </w:rPr>
        <w:t>doi</w:t>
      </w:r>
      <w:proofErr w:type="spellEnd"/>
      <w:r w:rsidRPr="001A6CB2">
        <w:rPr>
          <w:smallCaps w:val="0"/>
          <w:lang w:val="en-IE"/>
        </w:rPr>
        <w:t xml:space="preserve">: 10.1371/journal.pntd.0001535. </w:t>
      </w:r>
      <w:proofErr w:type="spellStart"/>
      <w:r w:rsidRPr="001A6CB2">
        <w:rPr>
          <w:smallCaps w:val="0"/>
          <w:lang w:val="en-IE"/>
        </w:rPr>
        <w:t>Epub</w:t>
      </w:r>
      <w:proofErr w:type="spellEnd"/>
      <w:r w:rsidRPr="001A6CB2">
        <w:rPr>
          <w:smallCaps w:val="0"/>
          <w:lang w:val="en-IE"/>
        </w:rPr>
        <w:t xml:space="preserve"> 2012 Feb 28.</w:t>
      </w:r>
    </w:p>
    <w:p w14:paraId="445C2ACC" w14:textId="77777777" w:rsidR="005B0077" w:rsidRPr="001A6CB2" w:rsidRDefault="005B0077" w:rsidP="005B0077">
      <w:pPr>
        <w:pStyle w:val="StyleRefPetitesmajuscules"/>
        <w:rPr>
          <w:smallCaps w:val="0"/>
        </w:rPr>
      </w:pPr>
      <w:r w:rsidRPr="001A6CB2">
        <w:t xml:space="preserve">Code of Federal Regulations (of the United States of America) (9CFR) (2010). </w:t>
      </w:r>
      <w:r w:rsidRPr="001A6CB2">
        <w:rPr>
          <w:smallCaps w:val="0"/>
        </w:rPr>
        <w:t xml:space="preserve">Rabies Vaccine, Killed Virus, 9 CFR 113.209. </w:t>
      </w:r>
    </w:p>
    <w:p w14:paraId="1EE29FF0" w14:textId="77777777" w:rsidR="005B0077" w:rsidRPr="001A6CB2" w:rsidRDefault="005B0077" w:rsidP="005B0077">
      <w:pPr>
        <w:spacing w:after="240" w:line="240" w:lineRule="auto"/>
        <w:rPr>
          <w:rFonts w:ascii="Söhne" w:hAnsi="Söhne" w:cs="Arial"/>
          <w:sz w:val="18"/>
          <w:szCs w:val="18"/>
          <w:lang w:val="en-IE"/>
        </w:rPr>
      </w:pPr>
      <w:r w:rsidRPr="001A6CB2">
        <w:rPr>
          <w:rFonts w:ascii="Söhne" w:hAnsi="Söhne" w:cs="Arial"/>
          <w:smallCaps/>
          <w:sz w:val="18"/>
          <w:szCs w:val="18"/>
        </w:rPr>
        <w:t xml:space="preserve">Coetzer A., </w:t>
      </w:r>
      <w:proofErr w:type="spellStart"/>
      <w:r w:rsidRPr="001A6CB2">
        <w:rPr>
          <w:rFonts w:ascii="Söhne" w:hAnsi="Söhne" w:cs="Arial"/>
          <w:smallCaps/>
          <w:sz w:val="18"/>
          <w:szCs w:val="18"/>
        </w:rPr>
        <w:t>Sabeta</w:t>
      </w:r>
      <w:proofErr w:type="spellEnd"/>
      <w:r w:rsidRPr="001A6CB2">
        <w:rPr>
          <w:rFonts w:ascii="Söhne" w:hAnsi="Söhne" w:cs="Arial"/>
          <w:smallCaps/>
          <w:sz w:val="18"/>
          <w:szCs w:val="18"/>
        </w:rPr>
        <w:t xml:space="preserve"> C.T., </w:t>
      </w:r>
      <w:proofErr w:type="spellStart"/>
      <w:r w:rsidRPr="001A6CB2">
        <w:rPr>
          <w:rFonts w:ascii="Söhne" w:hAnsi="Söhne" w:cs="Arial"/>
          <w:smallCaps/>
          <w:sz w:val="18"/>
          <w:szCs w:val="18"/>
        </w:rPr>
        <w:t>Markotter</w:t>
      </w:r>
      <w:proofErr w:type="spellEnd"/>
      <w:r w:rsidRPr="001A6CB2">
        <w:rPr>
          <w:rFonts w:ascii="Söhne" w:hAnsi="Söhne" w:cs="Arial"/>
          <w:smallCaps/>
          <w:sz w:val="18"/>
          <w:szCs w:val="18"/>
        </w:rPr>
        <w:t xml:space="preserve"> W., Rupprecht C.E. &amp; Nel L.H.</w:t>
      </w:r>
      <w:r w:rsidRPr="001A6CB2">
        <w:rPr>
          <w:rFonts w:ascii="Söhne" w:hAnsi="Söhne" w:cs="Arial"/>
          <w:sz w:val="18"/>
          <w:szCs w:val="18"/>
        </w:rPr>
        <w:t xml:space="preserve"> (2014). </w:t>
      </w:r>
      <w:r w:rsidRPr="001A6CB2">
        <w:rPr>
          <w:rFonts w:ascii="Söhne" w:hAnsi="Söhne" w:cs="Arial"/>
          <w:sz w:val="18"/>
          <w:szCs w:val="18"/>
          <w:lang w:val="en-IE"/>
        </w:rPr>
        <w:t xml:space="preserve">Comparison of biotinylated monoclonal and polyclonal antibodies in an evaluation of a direct rapid immunohistochemical test for the routine diagnosis of rabies in southern Africa. </w:t>
      </w:r>
      <w:proofErr w:type="spellStart"/>
      <w:r w:rsidRPr="001A6CB2">
        <w:rPr>
          <w:rFonts w:ascii="Söhne" w:hAnsi="Söhne" w:cs="Arial"/>
          <w:i/>
          <w:sz w:val="18"/>
          <w:szCs w:val="18"/>
          <w:lang w:val="en-IE"/>
        </w:rPr>
        <w:t>PLoS</w:t>
      </w:r>
      <w:proofErr w:type="spellEnd"/>
      <w:r w:rsidRPr="001A6CB2">
        <w:rPr>
          <w:rFonts w:ascii="Söhne" w:hAnsi="Söhne" w:cs="Arial"/>
          <w:i/>
          <w:sz w:val="18"/>
          <w:szCs w:val="18"/>
          <w:lang w:val="en-IE"/>
        </w:rPr>
        <w:t xml:space="preserve"> </w:t>
      </w:r>
      <w:proofErr w:type="spellStart"/>
      <w:r w:rsidRPr="001A6CB2">
        <w:rPr>
          <w:rFonts w:ascii="Söhne" w:hAnsi="Söhne" w:cs="Arial"/>
          <w:i/>
          <w:sz w:val="18"/>
          <w:szCs w:val="18"/>
          <w:lang w:val="en-IE"/>
        </w:rPr>
        <w:t>Negl</w:t>
      </w:r>
      <w:proofErr w:type="spellEnd"/>
      <w:r w:rsidRPr="001A6CB2">
        <w:rPr>
          <w:rFonts w:ascii="Söhne" w:hAnsi="Söhne" w:cs="Arial"/>
          <w:i/>
          <w:sz w:val="18"/>
          <w:szCs w:val="18"/>
          <w:lang w:val="en-IE"/>
        </w:rPr>
        <w:t>. Trop. Dis</w:t>
      </w:r>
      <w:r w:rsidRPr="001A6CB2">
        <w:rPr>
          <w:rFonts w:ascii="Söhne" w:hAnsi="Söhne" w:cs="Arial"/>
          <w:sz w:val="18"/>
          <w:szCs w:val="18"/>
          <w:lang w:val="en-IE"/>
        </w:rPr>
        <w:t xml:space="preserve">., </w:t>
      </w:r>
      <w:r w:rsidRPr="001A6CB2">
        <w:rPr>
          <w:rFonts w:ascii="Söhne" w:hAnsi="Söhne" w:cs="Arial"/>
          <w:b/>
          <w:sz w:val="18"/>
          <w:szCs w:val="18"/>
          <w:lang w:val="en-IE"/>
        </w:rPr>
        <w:t>8</w:t>
      </w:r>
      <w:r w:rsidRPr="001A6CB2">
        <w:rPr>
          <w:rFonts w:ascii="Söhne" w:hAnsi="Söhne" w:cs="Arial"/>
          <w:sz w:val="18"/>
          <w:szCs w:val="18"/>
          <w:lang w:val="en-IE"/>
        </w:rPr>
        <w:t xml:space="preserve">, e3189. </w:t>
      </w:r>
    </w:p>
    <w:p w14:paraId="2AF86D02" w14:textId="3EBB74DA" w:rsidR="009E5135" w:rsidRPr="009E5135" w:rsidRDefault="009E5135" w:rsidP="009E5135">
      <w:pPr>
        <w:pStyle w:val="Ref"/>
        <w:rPr>
          <w:u w:val="double"/>
        </w:rPr>
      </w:pPr>
      <w:proofErr w:type="spellStart"/>
      <w:r w:rsidRPr="009E5135">
        <w:rPr>
          <w:smallCaps/>
          <w:u w:val="double"/>
          <w:lang w:val="en-IE"/>
        </w:rPr>
        <w:t>Eggerbauer</w:t>
      </w:r>
      <w:proofErr w:type="spellEnd"/>
      <w:r w:rsidRPr="009E5135">
        <w:rPr>
          <w:smallCaps/>
          <w:u w:val="double"/>
          <w:lang w:val="en-IE"/>
        </w:rPr>
        <w:t xml:space="preserve"> E., de Benedictis P., Hoffmann B., </w:t>
      </w:r>
      <w:proofErr w:type="spellStart"/>
      <w:r w:rsidRPr="009E5135">
        <w:rPr>
          <w:smallCaps/>
          <w:u w:val="double"/>
          <w:lang w:val="en-IE"/>
        </w:rPr>
        <w:t>Mettenleiter</w:t>
      </w:r>
      <w:proofErr w:type="spellEnd"/>
      <w:r w:rsidRPr="009E5135">
        <w:rPr>
          <w:smallCaps/>
          <w:u w:val="double"/>
          <w:lang w:val="en-IE"/>
        </w:rPr>
        <w:t xml:space="preserve"> T.C., </w:t>
      </w:r>
      <w:proofErr w:type="spellStart"/>
      <w:r w:rsidRPr="009E5135">
        <w:rPr>
          <w:smallCaps/>
          <w:u w:val="double"/>
          <w:lang w:val="en-IE"/>
        </w:rPr>
        <w:t>Schlottau</w:t>
      </w:r>
      <w:proofErr w:type="spellEnd"/>
      <w:r w:rsidRPr="009E5135">
        <w:rPr>
          <w:smallCaps/>
          <w:u w:val="double"/>
          <w:lang w:val="en-IE"/>
        </w:rPr>
        <w:t xml:space="preserve"> K., Ngoepe E., Sabeta C., Freuling C.M. &amp; Müller T.</w:t>
      </w:r>
      <w:r w:rsidRPr="009E5135">
        <w:rPr>
          <w:u w:val="double"/>
          <w:lang w:val="en-IE"/>
        </w:rPr>
        <w:t xml:space="preserve"> (2016). Evaluation of Six Commercially Available Rapid Immunochromatographic Tests for the Diagnosis of Rabies in Brain Material. </w:t>
      </w:r>
      <w:proofErr w:type="spellStart"/>
      <w:r w:rsidRPr="009E5135">
        <w:rPr>
          <w:i/>
          <w:u w:val="double"/>
          <w:lang w:val="en-IE"/>
        </w:rPr>
        <w:t>PLoS</w:t>
      </w:r>
      <w:proofErr w:type="spellEnd"/>
      <w:r w:rsidRPr="009E5135">
        <w:rPr>
          <w:i/>
          <w:u w:val="double"/>
          <w:lang w:val="en-IE"/>
        </w:rPr>
        <w:t xml:space="preserve"> </w:t>
      </w:r>
      <w:proofErr w:type="spellStart"/>
      <w:r w:rsidRPr="009E5135">
        <w:rPr>
          <w:i/>
          <w:u w:val="double"/>
          <w:lang w:val="en-IE"/>
        </w:rPr>
        <w:t>Negl</w:t>
      </w:r>
      <w:proofErr w:type="spellEnd"/>
      <w:r w:rsidRPr="009E5135">
        <w:rPr>
          <w:i/>
          <w:u w:val="double"/>
          <w:lang w:val="en-IE"/>
        </w:rPr>
        <w:t>. Trop. Dis.</w:t>
      </w:r>
      <w:r w:rsidRPr="009E5135">
        <w:rPr>
          <w:u w:val="double"/>
          <w:lang w:val="en-IE"/>
        </w:rPr>
        <w:t xml:space="preserve">, </w:t>
      </w:r>
      <w:r w:rsidRPr="009E5135">
        <w:rPr>
          <w:b/>
          <w:u w:val="double"/>
          <w:lang w:val="en-IE"/>
        </w:rPr>
        <w:t>10</w:t>
      </w:r>
      <w:r w:rsidRPr="009E5135">
        <w:rPr>
          <w:u w:val="double"/>
          <w:lang w:val="en-IE"/>
        </w:rPr>
        <w:t>, e0004776.</w:t>
      </w:r>
    </w:p>
    <w:p w14:paraId="771E8D21" w14:textId="19CEBB69" w:rsidR="005B0077" w:rsidRPr="001A6CB2" w:rsidRDefault="005B0077" w:rsidP="005B0077">
      <w:pPr>
        <w:pStyle w:val="StyleRefPetitesmajuscules1"/>
        <w:rPr>
          <w:smallCaps w:val="0"/>
          <w:lang w:eastAsia="en-GB"/>
        </w:rPr>
      </w:pPr>
      <w:r w:rsidRPr="001A6CB2">
        <w:t xml:space="preserve">Esh J.B., Cunningham J.G. &amp; Wiktor T.J. (1982). </w:t>
      </w:r>
      <w:r w:rsidRPr="001A6CB2">
        <w:rPr>
          <w:smallCaps w:val="0"/>
        </w:rPr>
        <w:t xml:space="preserve">Vaccine-induced rabies in four cats. </w:t>
      </w:r>
      <w:r w:rsidRPr="001A6CB2">
        <w:rPr>
          <w:i/>
          <w:smallCaps w:val="0"/>
        </w:rPr>
        <w:t>J. Am. Vet. Med. Assoc</w:t>
      </w:r>
      <w:r w:rsidRPr="001A6CB2">
        <w:rPr>
          <w:smallCaps w:val="0"/>
        </w:rPr>
        <w:t xml:space="preserve">., </w:t>
      </w:r>
      <w:r w:rsidRPr="001A6CB2">
        <w:rPr>
          <w:b/>
          <w:smallCaps w:val="0"/>
        </w:rPr>
        <w:t>180</w:t>
      </w:r>
      <w:r w:rsidRPr="001A6CB2">
        <w:rPr>
          <w:smallCaps w:val="0"/>
        </w:rPr>
        <w:t>, 1336–1339.</w:t>
      </w:r>
    </w:p>
    <w:p w14:paraId="6A192E1C" w14:textId="77777777" w:rsidR="00D6289F" w:rsidRPr="001A6CB2" w:rsidRDefault="005C2640" w:rsidP="00D6289F">
      <w:pPr>
        <w:pStyle w:val="StyleRefPetitesmajuscules1"/>
        <w:rPr>
          <w:smallCaps w:val="0"/>
          <w:lang w:val="en-US"/>
        </w:rPr>
      </w:pPr>
      <w:r w:rsidRPr="001A6CB2">
        <w:t>European Commission</w:t>
      </w:r>
      <w:r w:rsidR="00D6289F" w:rsidRPr="001A6CB2">
        <w:rPr>
          <w:smallCaps w:val="0"/>
        </w:rPr>
        <w:t xml:space="preserve"> (2010). Directive 2010/63/EU of the European Parliament and of the </w:t>
      </w:r>
      <w:r w:rsidRPr="001A6CB2">
        <w:rPr>
          <w:smallCaps w:val="0"/>
        </w:rPr>
        <w:t xml:space="preserve">Council </w:t>
      </w:r>
      <w:r w:rsidR="00D6289F" w:rsidRPr="001A6CB2">
        <w:rPr>
          <w:smallCaps w:val="0"/>
        </w:rPr>
        <w:t>of 22</w:t>
      </w:r>
      <w:r w:rsidRPr="001A6CB2">
        <w:rPr>
          <w:smallCaps w:val="0"/>
        </w:rPr>
        <w:t> </w:t>
      </w:r>
      <w:r w:rsidR="00D6289F" w:rsidRPr="001A6CB2">
        <w:rPr>
          <w:smallCaps w:val="0"/>
        </w:rPr>
        <w:t xml:space="preserve">September 2010 on the protection of animals used for scientific purposes. </w:t>
      </w:r>
      <w:r w:rsidR="00D6289F" w:rsidRPr="001A6CB2">
        <w:rPr>
          <w:smallCaps w:val="0"/>
          <w:lang w:val="en-US"/>
        </w:rPr>
        <w:t xml:space="preserve">Available at: </w:t>
      </w:r>
      <w:hyperlink r:id="rId22" w:history="1">
        <w:r w:rsidRPr="001A6CB2">
          <w:rPr>
            <w:rStyle w:val="Hyperlink"/>
            <w:smallCaps w:val="0"/>
            <w:lang w:val="en-US"/>
          </w:rPr>
          <w:t>https://eur-lex.europa.eu/LexUriServ/LexUriServ.do?uri=OJ:L:2010:276:0033:0079:en:PDF</w:t>
        </w:r>
      </w:hyperlink>
      <w:r w:rsidRPr="001A6CB2">
        <w:rPr>
          <w:smallCaps w:val="0"/>
          <w:lang w:val="en-US"/>
        </w:rPr>
        <w:t xml:space="preserve"> </w:t>
      </w:r>
    </w:p>
    <w:p w14:paraId="630AE394" w14:textId="4062AA81" w:rsidR="00C70E27" w:rsidRPr="001A6CB2" w:rsidRDefault="00C70E27" w:rsidP="00C70E27">
      <w:pPr>
        <w:pStyle w:val="StyleRefPetitesmajuscules1"/>
        <w:rPr>
          <w:smallCaps w:val="0"/>
        </w:rPr>
      </w:pPr>
      <w:r w:rsidRPr="001A6CB2">
        <w:t>European Pharmacopoeia</w:t>
      </w:r>
      <w:r w:rsidR="00757128">
        <w:t xml:space="preserve"> </w:t>
      </w:r>
      <w:r w:rsidR="00757128" w:rsidRPr="00757128">
        <w:rPr>
          <w:strike/>
          <w:highlight w:val="yellow"/>
        </w:rPr>
        <w:t>7.0</w:t>
      </w:r>
      <w:r w:rsidRPr="00757128">
        <w:rPr>
          <w:strike/>
          <w:highlight w:val="yellow"/>
        </w:rPr>
        <w:t xml:space="preserve"> </w:t>
      </w:r>
      <w:r w:rsidR="00757128" w:rsidRPr="00757128">
        <w:rPr>
          <w:highlight w:val="yellow"/>
          <w:u w:val="double"/>
        </w:rPr>
        <w:t>10.4</w:t>
      </w:r>
      <w:r w:rsidRPr="00757128">
        <w:rPr>
          <w:highlight w:val="yellow"/>
        </w:rPr>
        <w:t>.</w:t>
      </w:r>
      <w:r w:rsidRPr="001A6CB2">
        <w:t xml:space="preserve"> (</w:t>
      </w:r>
      <w:r w:rsidR="00757128" w:rsidRPr="00757128">
        <w:rPr>
          <w:strike/>
          <w:highlight w:val="yellow"/>
        </w:rPr>
        <w:t xml:space="preserve">2013a </w:t>
      </w:r>
      <w:r w:rsidR="00757128" w:rsidRPr="00757128">
        <w:rPr>
          <w:highlight w:val="yellow"/>
          <w:u w:val="double"/>
        </w:rPr>
        <w:t>2021</w:t>
      </w:r>
      <w:r w:rsidRPr="001A6CB2">
        <w:t xml:space="preserve">). </w:t>
      </w:r>
      <w:r w:rsidRPr="001A6CB2">
        <w:rPr>
          <w:smallCaps w:val="0"/>
        </w:rPr>
        <w:t>Monograph 0451: Rabies vaccine (inactivated) for veterinary use. European Directorate for the Quality of Medicines and HealthCare (EDQM), Council of Europe, Strasbourg, France.</w:t>
      </w:r>
    </w:p>
    <w:p w14:paraId="33C984D3" w14:textId="6D1D4ECA" w:rsidR="005B0077" w:rsidRDefault="005B0077" w:rsidP="005B0077">
      <w:pPr>
        <w:pStyle w:val="StyleRefPetitesmajuscules1"/>
        <w:rPr>
          <w:smallCaps w:val="0"/>
        </w:rPr>
      </w:pPr>
      <w:r w:rsidRPr="001A6CB2">
        <w:t xml:space="preserve">European Pharmacopoeia </w:t>
      </w:r>
      <w:r w:rsidR="00757128" w:rsidRPr="00757128">
        <w:rPr>
          <w:strike/>
          <w:highlight w:val="yellow"/>
        </w:rPr>
        <w:t xml:space="preserve">7.0 </w:t>
      </w:r>
      <w:r w:rsidR="00757128" w:rsidRPr="00757128">
        <w:rPr>
          <w:highlight w:val="yellow"/>
          <w:u w:val="double"/>
        </w:rPr>
        <w:t>10.</w:t>
      </w:r>
      <w:r w:rsidR="00757128">
        <w:rPr>
          <w:highlight w:val="yellow"/>
          <w:u w:val="double"/>
        </w:rPr>
        <w:t>2</w:t>
      </w:r>
      <w:r w:rsidR="00757128" w:rsidRPr="00757128">
        <w:rPr>
          <w:highlight w:val="yellow"/>
        </w:rPr>
        <w:t>.</w:t>
      </w:r>
      <w:r w:rsidR="00757128" w:rsidRPr="001A6CB2">
        <w:t xml:space="preserve"> (</w:t>
      </w:r>
      <w:r w:rsidR="00757128" w:rsidRPr="00757128">
        <w:rPr>
          <w:strike/>
          <w:highlight w:val="yellow"/>
        </w:rPr>
        <w:t>2013</w:t>
      </w:r>
      <w:r w:rsidR="00757128">
        <w:rPr>
          <w:strike/>
          <w:highlight w:val="yellow"/>
        </w:rPr>
        <w:t>b</w:t>
      </w:r>
      <w:r w:rsidR="00757128" w:rsidRPr="00757128">
        <w:rPr>
          <w:strike/>
          <w:highlight w:val="yellow"/>
        </w:rPr>
        <w:t xml:space="preserve"> </w:t>
      </w:r>
      <w:r w:rsidR="00757128" w:rsidRPr="00757128">
        <w:rPr>
          <w:highlight w:val="yellow"/>
          <w:u w:val="double"/>
        </w:rPr>
        <w:t>202</w:t>
      </w:r>
      <w:r w:rsidR="00757128">
        <w:rPr>
          <w:highlight w:val="yellow"/>
          <w:u w:val="double"/>
        </w:rPr>
        <w:t>0</w:t>
      </w:r>
      <w:r w:rsidR="00757128" w:rsidRPr="001A6CB2">
        <w:t xml:space="preserve">). </w:t>
      </w:r>
      <w:r w:rsidRPr="001A6CB2">
        <w:rPr>
          <w:smallCaps w:val="0"/>
        </w:rPr>
        <w:t>Monograph 0</w:t>
      </w:r>
      <w:r w:rsidR="008542DB" w:rsidRPr="001A6CB2">
        <w:rPr>
          <w:smallCaps w:val="0"/>
        </w:rPr>
        <w:t>7</w:t>
      </w:r>
      <w:r w:rsidRPr="001A6CB2">
        <w:rPr>
          <w:smallCaps w:val="0"/>
        </w:rPr>
        <w:t>4</w:t>
      </w:r>
      <w:r w:rsidR="008542DB" w:rsidRPr="001A6CB2">
        <w:rPr>
          <w:smallCaps w:val="0"/>
        </w:rPr>
        <w:t>6</w:t>
      </w:r>
      <w:r w:rsidRPr="001A6CB2">
        <w:rPr>
          <w:smallCaps w:val="0"/>
        </w:rPr>
        <w:t>: Rabies vaccine (live, oral) for foxes</w:t>
      </w:r>
      <w:r w:rsidR="00757128">
        <w:rPr>
          <w:smallCaps w:val="0"/>
        </w:rPr>
        <w:t xml:space="preserve"> </w:t>
      </w:r>
      <w:r w:rsidR="00757128" w:rsidRPr="00757128">
        <w:rPr>
          <w:smallCaps w:val="0"/>
          <w:highlight w:val="yellow"/>
          <w:u w:val="double"/>
        </w:rPr>
        <w:t>and raccoon dogs</w:t>
      </w:r>
      <w:r w:rsidRPr="001A6CB2">
        <w:rPr>
          <w:smallCaps w:val="0"/>
        </w:rPr>
        <w:t>. European Directorate for the Quality of Medicines and HealthCare (EDQM), Council of Europe, Strasbourg, France.</w:t>
      </w:r>
    </w:p>
    <w:p w14:paraId="54F9673F" w14:textId="77777777" w:rsidR="005B0077" w:rsidRPr="001A6CB2" w:rsidRDefault="005B0077" w:rsidP="005B0077">
      <w:pPr>
        <w:pStyle w:val="desc"/>
        <w:spacing w:before="0" w:beforeAutospacing="0" w:after="240" w:afterAutospacing="0"/>
        <w:jc w:val="both"/>
        <w:rPr>
          <w:rFonts w:ascii="Söhne" w:hAnsi="Söhne" w:cs="Arial"/>
          <w:sz w:val="18"/>
          <w:szCs w:val="18"/>
        </w:rPr>
      </w:pPr>
      <w:r w:rsidRPr="001A6CB2">
        <w:rPr>
          <w:rFonts w:ascii="Söhne" w:hAnsi="Söhne" w:cs="Arial"/>
          <w:bCs/>
          <w:smallCaps/>
          <w:sz w:val="18"/>
          <w:szCs w:val="18"/>
          <w:lang w:val="de-DE"/>
        </w:rPr>
        <w:t>Fehlner-Gardiner</w:t>
      </w:r>
      <w:r w:rsidRPr="001A6CB2">
        <w:rPr>
          <w:rFonts w:ascii="Söhne" w:hAnsi="Söhne" w:cs="Arial"/>
          <w:smallCaps/>
          <w:sz w:val="18"/>
          <w:szCs w:val="18"/>
          <w:lang w:val="de-DE"/>
        </w:rPr>
        <w:t xml:space="preserve"> C., Nadin-Davis S., Armstrong J., Muldoon F., Bachmann P. &amp; Wandeler A</w:t>
      </w:r>
      <w:r w:rsidRPr="001A6CB2">
        <w:rPr>
          <w:rFonts w:ascii="Söhne" w:hAnsi="Söhne" w:cs="Arial"/>
          <w:sz w:val="18"/>
          <w:szCs w:val="18"/>
          <w:lang w:val="de-DE"/>
        </w:rPr>
        <w:t xml:space="preserve">. (2008). </w:t>
      </w:r>
      <w:r w:rsidRPr="001A6CB2">
        <w:rPr>
          <w:rFonts w:ascii="Söhne" w:hAnsi="Söhne" w:cs="Arial"/>
          <w:sz w:val="18"/>
          <w:szCs w:val="18"/>
        </w:rPr>
        <w:t xml:space="preserve">Era vaccine-derived cases of rabies in wildlife and domestic animals in Ontario, Canada, 1989–2004. </w:t>
      </w:r>
      <w:r w:rsidRPr="001A6CB2">
        <w:rPr>
          <w:rStyle w:val="jrnl"/>
          <w:rFonts w:ascii="Söhne" w:hAnsi="Söhne" w:cs="Arial"/>
          <w:sz w:val="18"/>
          <w:szCs w:val="18"/>
        </w:rPr>
        <w:t>J</w:t>
      </w:r>
      <w:r w:rsidRPr="001A6CB2">
        <w:rPr>
          <w:rStyle w:val="jrnl"/>
          <w:rFonts w:ascii="Söhne" w:hAnsi="Söhne" w:cs="Arial"/>
          <w:i/>
          <w:sz w:val="18"/>
          <w:szCs w:val="18"/>
        </w:rPr>
        <w:t xml:space="preserve">. </w:t>
      </w:r>
      <w:proofErr w:type="spellStart"/>
      <w:r w:rsidRPr="001A6CB2">
        <w:rPr>
          <w:rStyle w:val="jrnl"/>
          <w:rFonts w:ascii="Söhne" w:hAnsi="Söhne" w:cs="Arial"/>
          <w:i/>
          <w:sz w:val="18"/>
          <w:szCs w:val="18"/>
        </w:rPr>
        <w:t>Wildl</w:t>
      </w:r>
      <w:proofErr w:type="spellEnd"/>
      <w:r w:rsidRPr="001A6CB2">
        <w:rPr>
          <w:rStyle w:val="jrnl"/>
          <w:rFonts w:ascii="Söhne" w:hAnsi="Söhne" w:cs="Arial"/>
          <w:i/>
          <w:sz w:val="18"/>
          <w:szCs w:val="18"/>
        </w:rPr>
        <w:t>. Dis</w:t>
      </w:r>
      <w:r w:rsidRPr="001A6CB2">
        <w:rPr>
          <w:rFonts w:ascii="Söhne" w:hAnsi="Söhne" w:cs="Arial"/>
          <w:sz w:val="18"/>
          <w:szCs w:val="18"/>
        </w:rPr>
        <w:t xml:space="preserve">., </w:t>
      </w:r>
      <w:r w:rsidRPr="001A6CB2">
        <w:rPr>
          <w:rFonts w:ascii="Söhne" w:hAnsi="Söhne" w:cs="Arial"/>
          <w:b/>
          <w:sz w:val="18"/>
          <w:szCs w:val="18"/>
        </w:rPr>
        <w:t>44</w:t>
      </w:r>
      <w:r w:rsidRPr="001A6CB2">
        <w:rPr>
          <w:rFonts w:ascii="Söhne" w:hAnsi="Söhne" w:cs="Arial"/>
          <w:sz w:val="18"/>
          <w:szCs w:val="18"/>
        </w:rPr>
        <w:t>, 71–85.</w:t>
      </w:r>
    </w:p>
    <w:p w14:paraId="7EFAB87F" w14:textId="77777777" w:rsidR="005B0077" w:rsidRPr="001A6CB2" w:rsidRDefault="005B0077" w:rsidP="005B0077">
      <w:pPr>
        <w:pStyle w:val="Ref"/>
      </w:pPr>
      <w:r w:rsidRPr="001A6CB2">
        <w:rPr>
          <w:smallCaps/>
        </w:rPr>
        <w:t xml:space="preserve">Fischer M., Wernike K., Freuling C.M., Müller T., Aylan O., </w:t>
      </w:r>
      <w:proofErr w:type="spellStart"/>
      <w:r w:rsidRPr="001A6CB2">
        <w:rPr>
          <w:smallCaps/>
        </w:rPr>
        <w:t>Brochier</w:t>
      </w:r>
      <w:proofErr w:type="spellEnd"/>
      <w:r w:rsidRPr="001A6CB2">
        <w:rPr>
          <w:smallCaps/>
        </w:rPr>
        <w:t xml:space="preserve"> B., </w:t>
      </w:r>
      <w:proofErr w:type="spellStart"/>
      <w:r w:rsidRPr="001A6CB2">
        <w:rPr>
          <w:smallCaps/>
        </w:rPr>
        <w:t>Cliquet</w:t>
      </w:r>
      <w:proofErr w:type="spellEnd"/>
      <w:r w:rsidRPr="001A6CB2">
        <w:rPr>
          <w:smallCaps/>
        </w:rPr>
        <w:t xml:space="preserve"> F., Vázquez-</w:t>
      </w:r>
      <w:proofErr w:type="spellStart"/>
      <w:r w:rsidRPr="001A6CB2">
        <w:rPr>
          <w:smallCaps/>
        </w:rPr>
        <w:t>Morón</w:t>
      </w:r>
      <w:proofErr w:type="spellEnd"/>
      <w:r w:rsidRPr="001A6CB2">
        <w:rPr>
          <w:smallCaps/>
        </w:rPr>
        <w:t xml:space="preserve"> S., Hostnik P., </w:t>
      </w:r>
      <w:proofErr w:type="spellStart"/>
      <w:r w:rsidRPr="001A6CB2">
        <w:rPr>
          <w:smallCaps/>
        </w:rPr>
        <w:t>Huovilainen</w:t>
      </w:r>
      <w:proofErr w:type="spellEnd"/>
      <w:r w:rsidRPr="001A6CB2">
        <w:rPr>
          <w:smallCaps/>
        </w:rPr>
        <w:t xml:space="preserve"> A., Isaksson M., Kooi E</w:t>
      </w:r>
      <w:r w:rsidR="00BD62A2" w:rsidRPr="001A6CB2">
        <w:rPr>
          <w:smallCaps/>
        </w:rPr>
        <w:t>.A</w:t>
      </w:r>
      <w:r w:rsidRPr="001A6CB2">
        <w:rPr>
          <w:smallCaps/>
        </w:rPr>
        <w:t xml:space="preserve">., Mooney J., </w:t>
      </w:r>
      <w:proofErr w:type="spellStart"/>
      <w:r w:rsidRPr="001A6CB2">
        <w:rPr>
          <w:smallCaps/>
        </w:rPr>
        <w:t>Turcitu</w:t>
      </w:r>
      <w:proofErr w:type="spellEnd"/>
      <w:r w:rsidRPr="001A6CB2">
        <w:rPr>
          <w:smallCaps/>
        </w:rPr>
        <w:t xml:space="preserve"> M., Rasmussen T.B., Revilla-Fernández S., </w:t>
      </w:r>
      <w:proofErr w:type="spellStart"/>
      <w:r w:rsidRPr="001A6CB2">
        <w:rPr>
          <w:smallCaps/>
        </w:rPr>
        <w:t>Smreczak</w:t>
      </w:r>
      <w:proofErr w:type="spellEnd"/>
      <w:r w:rsidRPr="001A6CB2">
        <w:rPr>
          <w:smallCaps/>
        </w:rPr>
        <w:t xml:space="preserve"> M., Fooks A.R., Marston D.A., Beer M. &amp;</w:t>
      </w:r>
      <w:r w:rsidR="00BD62A2" w:rsidRPr="001A6CB2">
        <w:rPr>
          <w:smallCaps/>
        </w:rPr>
        <w:t xml:space="preserve"> </w:t>
      </w:r>
      <w:r w:rsidRPr="001A6CB2">
        <w:rPr>
          <w:smallCaps/>
        </w:rPr>
        <w:t>Hoffmann B.</w:t>
      </w:r>
      <w:r w:rsidRPr="001A6CB2">
        <w:t xml:space="preserve"> </w:t>
      </w:r>
      <w:r w:rsidRPr="001A6CB2">
        <w:rPr>
          <w:caps/>
        </w:rPr>
        <w:t>(2013).</w:t>
      </w:r>
      <w:r w:rsidRPr="001A6CB2">
        <w:t xml:space="preserve"> A step forward in molecular diagnostics of lyssaviruses</w:t>
      </w:r>
      <w:r w:rsidR="00BD62A2" w:rsidRPr="001A6CB2">
        <w:t xml:space="preserve"> – </w:t>
      </w:r>
      <w:r w:rsidRPr="001A6CB2">
        <w:t>results of a</w:t>
      </w:r>
      <w:r w:rsidRPr="001A6CB2">
        <w:rPr>
          <w:caps/>
        </w:rPr>
        <w:t xml:space="preserve"> </w:t>
      </w:r>
      <w:r w:rsidRPr="001A6CB2">
        <w:t xml:space="preserve">ring trial among European laboratories. </w:t>
      </w:r>
      <w:proofErr w:type="spellStart"/>
      <w:r w:rsidRPr="001A6CB2">
        <w:rPr>
          <w:i/>
        </w:rPr>
        <w:t>PLoS</w:t>
      </w:r>
      <w:proofErr w:type="spellEnd"/>
      <w:r w:rsidRPr="001A6CB2">
        <w:rPr>
          <w:i/>
        </w:rPr>
        <w:t xml:space="preserve"> One</w:t>
      </w:r>
      <w:r w:rsidR="00BD62A2" w:rsidRPr="001A6CB2">
        <w:t>,</w:t>
      </w:r>
      <w:r w:rsidRPr="001A6CB2">
        <w:t xml:space="preserve"> </w:t>
      </w:r>
      <w:r w:rsidRPr="001A6CB2">
        <w:rPr>
          <w:b/>
        </w:rPr>
        <w:t>8</w:t>
      </w:r>
      <w:r w:rsidRPr="001A6CB2">
        <w:t>, e58372.</w:t>
      </w:r>
    </w:p>
    <w:p w14:paraId="7384CD74" w14:textId="77777777" w:rsidR="00CE0B46" w:rsidRPr="001A6CB2" w:rsidRDefault="00CE0B46" w:rsidP="00CE0B46">
      <w:pPr>
        <w:pStyle w:val="Ref"/>
        <w:rPr>
          <w:smallCaps/>
        </w:rPr>
      </w:pPr>
      <w:r w:rsidRPr="001A6CB2">
        <w:rPr>
          <w:smallCaps/>
        </w:rPr>
        <w:t>Freuling C.</w:t>
      </w:r>
      <w:r w:rsidR="0077332F" w:rsidRPr="001A6CB2">
        <w:rPr>
          <w:smallCaps/>
        </w:rPr>
        <w:t>M.</w:t>
      </w:r>
      <w:r w:rsidRPr="001A6CB2">
        <w:rPr>
          <w:smallCaps/>
        </w:rPr>
        <w:t xml:space="preserve">, Hampson K., Selhorst T., Schröder R., Meslin F.X., Mettenleiter T.C. &amp; Müller T. (2013). </w:t>
      </w:r>
      <w:r w:rsidRPr="001A6CB2">
        <w:t xml:space="preserve">The elimination of fox rabies from Europe: determinants of success and lessons for the future. </w:t>
      </w:r>
      <w:r w:rsidRPr="001A6CB2">
        <w:rPr>
          <w:i/>
        </w:rPr>
        <w:t>Philos. Trans. R. Soc. Lond. B Biol. Sci</w:t>
      </w:r>
      <w:r w:rsidRPr="001A6CB2">
        <w:t xml:space="preserve">., </w:t>
      </w:r>
      <w:r w:rsidRPr="001A6CB2">
        <w:rPr>
          <w:b/>
          <w:smallCaps/>
        </w:rPr>
        <w:t>368</w:t>
      </w:r>
      <w:r w:rsidRPr="001A6CB2">
        <w:rPr>
          <w:smallCaps/>
        </w:rPr>
        <w:t>, 1623.</w:t>
      </w:r>
    </w:p>
    <w:p w14:paraId="48CADBF1" w14:textId="77777777" w:rsidR="007B10DC" w:rsidRPr="001A6CB2" w:rsidRDefault="007B10DC" w:rsidP="005B0077">
      <w:pPr>
        <w:pStyle w:val="Ref"/>
        <w:rPr>
          <w:caps/>
        </w:rPr>
      </w:pPr>
      <w:r w:rsidRPr="001A6CB2">
        <w:rPr>
          <w:smallCaps/>
        </w:rPr>
        <w:t>Freuling C.M., Hoffmann B., Fischer M., McElhinney L.M., Marston D.A., Fooks A.R. &amp; Müller T.F</w:t>
      </w:r>
      <w:r w:rsidRPr="001A6CB2">
        <w:t xml:space="preserve">. (2014). Real-Time Quantitative Polymerase Chain Reaction for the Demonstration of Lyssavirus Nucleic Acid. </w:t>
      </w:r>
      <w:r w:rsidRPr="001A6CB2">
        <w:rPr>
          <w:i/>
        </w:rPr>
        <w:t>In:</w:t>
      </w:r>
      <w:r w:rsidRPr="001A6CB2">
        <w:t xml:space="preserve"> Current Laboratory Techniques in Rabies Diagnosis, Research, and Prevention, Volume 1, Rupprecht C. 1 Nagarajan T., eds. Academic Press, Elsevier, San Diego, USA.</w:t>
      </w:r>
    </w:p>
    <w:p w14:paraId="29648FAF" w14:textId="77777777" w:rsidR="005B0077" w:rsidRPr="001A6CB2" w:rsidRDefault="005B0077" w:rsidP="005B0077">
      <w:pPr>
        <w:spacing w:after="240" w:line="240" w:lineRule="auto"/>
        <w:rPr>
          <w:rFonts w:ascii="Söhne" w:hAnsi="Söhne" w:cs="Arial"/>
          <w:sz w:val="18"/>
          <w:szCs w:val="18"/>
        </w:rPr>
      </w:pPr>
      <w:r w:rsidRPr="001A6CB2">
        <w:rPr>
          <w:rFonts w:ascii="Söhne" w:hAnsi="Söhne" w:cs="Arial"/>
          <w:smallCaps/>
          <w:sz w:val="18"/>
          <w:szCs w:val="18"/>
        </w:rPr>
        <w:t>Hanlon C.A., Kuzmin I.V., Blanton J.D., Weldon W.C., Manangan J.S. &amp; Rupprecht C.E.</w:t>
      </w:r>
      <w:r w:rsidRPr="001A6CB2">
        <w:rPr>
          <w:rFonts w:ascii="Söhne" w:hAnsi="Söhne" w:cs="Arial"/>
          <w:sz w:val="18"/>
          <w:szCs w:val="18"/>
        </w:rPr>
        <w:t xml:space="preserve"> (2005). Efficacy of rabies biologics against new lyssaviruses from Eurasia. </w:t>
      </w:r>
      <w:r w:rsidRPr="001A6CB2">
        <w:rPr>
          <w:rFonts w:ascii="Söhne" w:hAnsi="Söhne" w:cs="Arial"/>
          <w:i/>
          <w:iCs/>
          <w:sz w:val="18"/>
          <w:szCs w:val="18"/>
        </w:rPr>
        <w:t xml:space="preserve">Virus Res., </w:t>
      </w:r>
      <w:r w:rsidRPr="001A6CB2">
        <w:rPr>
          <w:rFonts w:ascii="Söhne" w:hAnsi="Söhne" w:cs="Arial"/>
          <w:b/>
          <w:bCs/>
          <w:sz w:val="18"/>
          <w:szCs w:val="18"/>
        </w:rPr>
        <w:t>111</w:t>
      </w:r>
      <w:r w:rsidRPr="001A6CB2">
        <w:rPr>
          <w:rFonts w:ascii="Söhne" w:hAnsi="Söhne" w:cs="Arial"/>
          <w:sz w:val="18"/>
          <w:szCs w:val="18"/>
        </w:rPr>
        <w:t>, 44–54.</w:t>
      </w:r>
    </w:p>
    <w:p w14:paraId="11E8EBF7" w14:textId="77777777" w:rsidR="005B0077" w:rsidRPr="001A6CB2" w:rsidRDefault="005B0077" w:rsidP="005B0077">
      <w:pPr>
        <w:pStyle w:val="Ref"/>
        <w:rPr>
          <w:caps/>
        </w:rPr>
      </w:pPr>
      <w:r w:rsidRPr="001A6CB2">
        <w:rPr>
          <w:smallCaps/>
        </w:rPr>
        <w:t xml:space="preserve">Hayman D.T., </w:t>
      </w:r>
      <w:proofErr w:type="spellStart"/>
      <w:r w:rsidRPr="001A6CB2">
        <w:rPr>
          <w:smallCaps/>
        </w:rPr>
        <w:t>Banyard</w:t>
      </w:r>
      <w:proofErr w:type="spellEnd"/>
      <w:r w:rsidRPr="001A6CB2">
        <w:rPr>
          <w:smallCaps/>
        </w:rPr>
        <w:t xml:space="preserve"> A.C., </w:t>
      </w:r>
      <w:proofErr w:type="spellStart"/>
      <w:r w:rsidRPr="001A6CB2">
        <w:rPr>
          <w:smallCaps/>
        </w:rPr>
        <w:t>Wakeley</w:t>
      </w:r>
      <w:proofErr w:type="spellEnd"/>
      <w:r w:rsidRPr="001A6CB2">
        <w:rPr>
          <w:smallCaps/>
        </w:rPr>
        <w:t xml:space="preserve"> P.R., </w:t>
      </w:r>
      <w:proofErr w:type="spellStart"/>
      <w:r w:rsidRPr="001A6CB2">
        <w:rPr>
          <w:smallCaps/>
        </w:rPr>
        <w:t>Harkess</w:t>
      </w:r>
      <w:proofErr w:type="spellEnd"/>
      <w:r w:rsidRPr="001A6CB2">
        <w:rPr>
          <w:smallCaps/>
        </w:rPr>
        <w:t xml:space="preserve"> G., Marston D., Wood J.L., Cunningham A.A. &amp; Fooks A.R.</w:t>
      </w:r>
      <w:r w:rsidRPr="001A6CB2">
        <w:t xml:space="preserve"> (2011). A universal real-time assay for the detection of Lyssaviruses. </w:t>
      </w:r>
      <w:r w:rsidRPr="001A6CB2">
        <w:rPr>
          <w:i/>
        </w:rPr>
        <w:t>J. Virol. Methods</w:t>
      </w:r>
      <w:r w:rsidRPr="001A6CB2">
        <w:t xml:space="preserve">, </w:t>
      </w:r>
      <w:r w:rsidRPr="001A6CB2">
        <w:rPr>
          <w:b/>
        </w:rPr>
        <w:t>177</w:t>
      </w:r>
      <w:r w:rsidRPr="001A6CB2">
        <w:t xml:space="preserve">, 87–93. </w:t>
      </w:r>
    </w:p>
    <w:p w14:paraId="2FB12FD5" w14:textId="77777777" w:rsidR="005B0077" w:rsidRPr="001A6CB2" w:rsidRDefault="005B0077" w:rsidP="005B0077">
      <w:pPr>
        <w:pStyle w:val="Ref"/>
      </w:pPr>
      <w:r w:rsidRPr="001A6CB2">
        <w:rPr>
          <w:smallCaps/>
        </w:rPr>
        <w:t xml:space="preserve">Heaton P.R., Johnstone P., McElhinney L.M., Cowley R., O’Sullivan E. </w:t>
      </w:r>
      <w:r w:rsidR="00FF045B" w:rsidRPr="001A6CB2">
        <w:rPr>
          <w:smallCaps/>
        </w:rPr>
        <w:t>&amp;</w:t>
      </w:r>
      <w:r w:rsidRPr="001A6CB2">
        <w:rPr>
          <w:smallCaps/>
        </w:rPr>
        <w:t xml:space="preserve"> Whitby J.E</w:t>
      </w:r>
      <w:r w:rsidRPr="001A6CB2">
        <w:t xml:space="preserve">. (1997). Heminested PCR assay for detection of six genotypes of rabies and rabies-related viruses. </w:t>
      </w:r>
      <w:r w:rsidRPr="001A6CB2">
        <w:rPr>
          <w:i/>
        </w:rPr>
        <w:t xml:space="preserve">J. Clin. </w:t>
      </w:r>
      <w:proofErr w:type="spellStart"/>
      <w:r w:rsidRPr="001A6CB2">
        <w:rPr>
          <w:i/>
        </w:rPr>
        <w:t>Microbiol</w:t>
      </w:r>
      <w:proofErr w:type="spellEnd"/>
      <w:r w:rsidRPr="001A6CB2">
        <w:t xml:space="preserve">., </w:t>
      </w:r>
      <w:r w:rsidRPr="001A6CB2">
        <w:rPr>
          <w:b/>
        </w:rPr>
        <w:t>35</w:t>
      </w:r>
      <w:r w:rsidRPr="001A6CB2">
        <w:t xml:space="preserve">, 2762–2766. </w:t>
      </w:r>
    </w:p>
    <w:p w14:paraId="3B84D4B2" w14:textId="77777777" w:rsidR="00D70EFE" w:rsidRPr="001A6CB2" w:rsidRDefault="00D70EFE" w:rsidP="005B0077">
      <w:pPr>
        <w:pStyle w:val="StyleRefPetitesmajuscules"/>
      </w:pPr>
      <w:r w:rsidRPr="001A6CB2">
        <w:t xml:space="preserve">Hostnik P., Picard-Meyer E., </w:t>
      </w:r>
      <w:proofErr w:type="spellStart"/>
      <w:r w:rsidRPr="001A6CB2">
        <w:t>Rihtaric</w:t>
      </w:r>
      <w:proofErr w:type="spellEnd"/>
      <w:r w:rsidRPr="001A6CB2">
        <w:t xml:space="preserve"> D., Toplak I. &amp; </w:t>
      </w:r>
      <w:proofErr w:type="spellStart"/>
      <w:r w:rsidRPr="001A6CB2">
        <w:t>Cliquet</w:t>
      </w:r>
      <w:proofErr w:type="spellEnd"/>
      <w:r w:rsidRPr="001A6CB2">
        <w:t xml:space="preserve"> F. (2014). </w:t>
      </w:r>
      <w:r w:rsidRPr="001A6CB2">
        <w:rPr>
          <w:smallCaps w:val="0"/>
        </w:rPr>
        <w:t>Vaccine-induced Rabies in a Red Fox (</w:t>
      </w:r>
      <w:r w:rsidRPr="001A6CB2">
        <w:rPr>
          <w:i/>
          <w:smallCaps w:val="0"/>
        </w:rPr>
        <w:t>Vulpes vulpes</w:t>
      </w:r>
      <w:r w:rsidRPr="001A6CB2">
        <w:rPr>
          <w:smallCaps w:val="0"/>
        </w:rPr>
        <w:t xml:space="preserve">): Isolation of Vaccine Virus in Brain Tissue and Salivary Glands. </w:t>
      </w:r>
      <w:r w:rsidRPr="001A6CB2">
        <w:rPr>
          <w:i/>
          <w:smallCaps w:val="0"/>
        </w:rPr>
        <w:t>J</w:t>
      </w:r>
      <w:r w:rsidR="00FC7EA3" w:rsidRPr="001A6CB2">
        <w:rPr>
          <w:i/>
          <w:smallCaps w:val="0"/>
        </w:rPr>
        <w:t>.</w:t>
      </w:r>
      <w:r w:rsidRPr="001A6CB2">
        <w:rPr>
          <w:i/>
          <w:smallCaps w:val="0"/>
        </w:rPr>
        <w:t xml:space="preserve"> </w:t>
      </w:r>
      <w:proofErr w:type="spellStart"/>
      <w:r w:rsidRPr="001A6CB2">
        <w:rPr>
          <w:i/>
          <w:smallCaps w:val="0"/>
        </w:rPr>
        <w:t>Wildl</w:t>
      </w:r>
      <w:proofErr w:type="spellEnd"/>
      <w:r w:rsidRPr="001A6CB2">
        <w:rPr>
          <w:i/>
          <w:smallCaps w:val="0"/>
        </w:rPr>
        <w:t xml:space="preserve"> Dis., </w:t>
      </w:r>
      <w:r w:rsidRPr="001A6CB2">
        <w:rPr>
          <w:b/>
          <w:smallCaps w:val="0"/>
        </w:rPr>
        <w:t>50</w:t>
      </w:r>
      <w:r w:rsidRPr="001A6CB2">
        <w:rPr>
          <w:smallCaps w:val="0"/>
        </w:rPr>
        <w:t>,</w:t>
      </w:r>
      <w:r w:rsidR="00FF045B" w:rsidRPr="001A6CB2">
        <w:rPr>
          <w:smallCaps w:val="0"/>
        </w:rPr>
        <w:t xml:space="preserve"> </w:t>
      </w:r>
      <w:r w:rsidRPr="001A6CB2">
        <w:rPr>
          <w:smallCaps w:val="0"/>
        </w:rPr>
        <w:t>397-401.</w:t>
      </w:r>
    </w:p>
    <w:p w14:paraId="71E09417" w14:textId="0D47FD0C" w:rsidR="005B0077" w:rsidRDefault="005B0077" w:rsidP="005B0077">
      <w:pPr>
        <w:pStyle w:val="StyleRefPetitesmajuscules"/>
        <w:rPr>
          <w:smallCaps w:val="0"/>
          <w:lang w:eastAsia="en-GB"/>
        </w:rPr>
      </w:pPr>
      <w:r w:rsidRPr="001A6CB2">
        <w:t xml:space="preserve">ICTV (International Committee on Taxonomy of </w:t>
      </w:r>
      <w:r w:rsidR="005B6183" w:rsidRPr="001A6CB2">
        <w:t>Viruses</w:t>
      </w:r>
      <w:r w:rsidRPr="001A6CB2">
        <w:t>)</w:t>
      </w:r>
      <w:r w:rsidR="00380BBD" w:rsidRPr="001A6CB2">
        <w:t xml:space="preserve"> (2017)</w:t>
      </w:r>
      <w:r w:rsidR="003A167C" w:rsidRPr="001A6CB2">
        <w:t>.</w:t>
      </w:r>
      <w:r w:rsidR="005810F9" w:rsidRPr="001A6CB2">
        <w:t xml:space="preserve"> </w:t>
      </w:r>
      <w:r w:rsidR="005810F9" w:rsidRPr="001A6CB2">
        <w:rPr>
          <w:smallCaps w:val="0"/>
          <w:lang w:eastAsia="en-GB"/>
        </w:rPr>
        <w:t>Virus Taxonomy: The Classification and Nomenclature of Viruses: The</w:t>
      </w:r>
      <w:r w:rsidR="00BE70B0" w:rsidRPr="001A6CB2">
        <w:rPr>
          <w:smallCaps w:val="0"/>
          <w:lang w:eastAsia="en-GB"/>
        </w:rPr>
        <w:t xml:space="preserve"> </w:t>
      </w:r>
      <w:r w:rsidR="005810F9" w:rsidRPr="001A6CB2">
        <w:rPr>
          <w:smallCaps w:val="0"/>
          <w:lang w:eastAsia="en-GB"/>
        </w:rPr>
        <w:t>Online (10th) Report of the ICTV</w:t>
      </w:r>
      <w:r w:rsidR="00380BBD" w:rsidRPr="001A6CB2">
        <w:rPr>
          <w:smallCaps w:val="0"/>
          <w:lang w:eastAsia="en-GB"/>
        </w:rPr>
        <w:t>.</w:t>
      </w:r>
      <w:r w:rsidR="005B6183" w:rsidRPr="001A6CB2">
        <w:rPr>
          <w:smallCaps w:val="0"/>
          <w:lang w:eastAsia="en-GB"/>
        </w:rPr>
        <w:t xml:space="preserve"> </w:t>
      </w:r>
    </w:p>
    <w:p w14:paraId="1DC36B4F" w14:textId="6BC85753" w:rsidR="00112124" w:rsidRPr="00112124" w:rsidRDefault="00112124" w:rsidP="005B0077">
      <w:pPr>
        <w:pStyle w:val="StyleRefPetitesmajuscules"/>
        <w:rPr>
          <w:smallCaps w:val="0"/>
          <w:u w:val="double"/>
          <w:lang w:eastAsia="en-GB"/>
        </w:rPr>
      </w:pPr>
      <w:r w:rsidRPr="00112124">
        <w:rPr>
          <w:u w:val="double"/>
          <w:lang w:eastAsia="en-GB"/>
        </w:rPr>
        <w:t>Kansas State Veterinary Diagnostic Laboratory</w:t>
      </w:r>
      <w:r>
        <w:rPr>
          <w:u w:val="double"/>
          <w:lang w:eastAsia="en-GB"/>
        </w:rPr>
        <w:t>.</w:t>
      </w:r>
      <w:r w:rsidRPr="00112124">
        <w:rPr>
          <w:smallCaps w:val="0"/>
          <w:u w:val="double"/>
          <w:lang w:eastAsia="en-GB"/>
        </w:rPr>
        <w:t xml:space="preserve"> Video on tissue sampling for rabies through the foramen magnum </w:t>
      </w:r>
      <w:hyperlink r:id="rId23" w:history="1">
        <w:r w:rsidRPr="00112124">
          <w:rPr>
            <w:rStyle w:val="Hyperlink"/>
            <w:smallCaps w:val="0"/>
            <w:u w:val="double"/>
            <w:lang w:eastAsia="en-GB"/>
          </w:rPr>
          <w:t>https://www.youtube.com/watch?v=aSEyLw79imA</w:t>
        </w:r>
      </w:hyperlink>
      <w:r w:rsidRPr="00112124">
        <w:rPr>
          <w:smallCaps w:val="0"/>
          <w:u w:val="double"/>
          <w:lang w:eastAsia="en-GB"/>
        </w:rPr>
        <w:t xml:space="preserve"> </w:t>
      </w:r>
    </w:p>
    <w:p w14:paraId="04EE5B35" w14:textId="76B2D7F1" w:rsidR="003F4B0C" w:rsidRPr="003F4B0C" w:rsidRDefault="003F4B0C" w:rsidP="003F4B0C">
      <w:pPr>
        <w:pStyle w:val="Ref"/>
        <w:rPr>
          <w:rFonts w:eastAsia="MS Mincho"/>
          <w:u w:val="double"/>
          <w:lang w:val="en-IE" w:eastAsia="ja-JP"/>
        </w:rPr>
      </w:pPr>
      <w:r w:rsidRPr="003F4B0C">
        <w:rPr>
          <w:smallCaps/>
          <w:u w:val="double"/>
          <w:lang w:val="en-IE" w:eastAsia="en-GB"/>
        </w:rPr>
        <w:t xml:space="preserve">Klein A., Fahrion A., Finke S., </w:t>
      </w:r>
      <w:proofErr w:type="spellStart"/>
      <w:r w:rsidRPr="003F4B0C">
        <w:rPr>
          <w:smallCaps/>
          <w:u w:val="double"/>
          <w:lang w:val="en-IE" w:eastAsia="en-GB"/>
        </w:rPr>
        <w:t>Eyngor</w:t>
      </w:r>
      <w:proofErr w:type="spellEnd"/>
      <w:r w:rsidRPr="003F4B0C">
        <w:rPr>
          <w:smallCaps/>
          <w:u w:val="double"/>
          <w:lang w:val="en-IE" w:eastAsia="en-GB"/>
        </w:rPr>
        <w:t xml:space="preserve"> M., Novak S., Yakobson B., Ngoepe E., Phahladira B., Sabeta C., de Benedictis P., </w:t>
      </w:r>
      <w:proofErr w:type="spellStart"/>
      <w:r w:rsidRPr="003F4B0C">
        <w:rPr>
          <w:smallCaps/>
          <w:u w:val="double"/>
          <w:lang w:val="en-IE" w:eastAsia="en-GB"/>
        </w:rPr>
        <w:t>Gourlaouen</w:t>
      </w:r>
      <w:proofErr w:type="spellEnd"/>
      <w:r w:rsidRPr="003F4B0C">
        <w:rPr>
          <w:smallCaps/>
          <w:u w:val="double"/>
          <w:lang w:val="en-IE" w:eastAsia="en-GB"/>
        </w:rPr>
        <w:t xml:space="preserve"> M., </w:t>
      </w:r>
      <w:proofErr w:type="spellStart"/>
      <w:r w:rsidRPr="003F4B0C">
        <w:rPr>
          <w:smallCaps/>
          <w:u w:val="double"/>
          <w:lang w:val="en-IE" w:eastAsia="en-GB"/>
        </w:rPr>
        <w:t>Orciari</w:t>
      </w:r>
      <w:proofErr w:type="spellEnd"/>
      <w:r w:rsidRPr="003F4B0C">
        <w:rPr>
          <w:smallCaps/>
          <w:u w:val="double"/>
          <w:lang w:val="en-IE" w:eastAsia="en-GB"/>
        </w:rPr>
        <w:t xml:space="preserve"> L.A., </w:t>
      </w:r>
      <w:proofErr w:type="spellStart"/>
      <w:r w:rsidRPr="003F4B0C">
        <w:rPr>
          <w:smallCaps/>
          <w:u w:val="double"/>
          <w:lang w:val="en-IE" w:eastAsia="en-GB"/>
        </w:rPr>
        <w:t>Yager</w:t>
      </w:r>
      <w:proofErr w:type="spellEnd"/>
      <w:r w:rsidRPr="003F4B0C">
        <w:rPr>
          <w:smallCaps/>
          <w:u w:val="double"/>
          <w:lang w:val="en-IE" w:eastAsia="en-GB"/>
        </w:rPr>
        <w:t xml:space="preserve"> P.A., Gigante C.M., Knowles M.K., Fehlner-Gardiner C., Servat A., </w:t>
      </w:r>
      <w:proofErr w:type="spellStart"/>
      <w:r w:rsidRPr="003F4B0C">
        <w:rPr>
          <w:smallCaps/>
          <w:u w:val="double"/>
          <w:lang w:val="en-IE" w:eastAsia="en-GB"/>
        </w:rPr>
        <w:t>Cliquet</w:t>
      </w:r>
      <w:proofErr w:type="spellEnd"/>
      <w:r w:rsidRPr="003F4B0C">
        <w:rPr>
          <w:smallCaps/>
          <w:u w:val="double"/>
          <w:lang w:val="en-IE" w:eastAsia="en-GB"/>
        </w:rPr>
        <w:t xml:space="preserve"> F., Marston D., McElhinney L.M., Johnson T., Fooks A.R., Müller T. &amp; Freuling C.M. </w:t>
      </w:r>
      <w:r w:rsidRPr="003F4B0C">
        <w:rPr>
          <w:u w:val="double"/>
          <w:lang w:val="en-IE" w:eastAsia="en-GB"/>
        </w:rPr>
        <w:t xml:space="preserve">(2020). </w:t>
      </w:r>
      <w:r w:rsidRPr="003F4B0C">
        <w:rPr>
          <w:u w:val="double"/>
        </w:rPr>
        <w:t xml:space="preserve">Further Evidence of Inadequate Quality in Lateral Flow Devices Commercially Offered for the Diagnosis of Rabies. </w:t>
      </w:r>
      <w:r w:rsidRPr="003F4B0C">
        <w:rPr>
          <w:i/>
          <w:u w:val="double"/>
          <w:lang w:val="en-IE"/>
        </w:rPr>
        <w:t>Trop</w:t>
      </w:r>
      <w:r>
        <w:rPr>
          <w:i/>
          <w:u w:val="double"/>
          <w:lang w:val="en-IE"/>
        </w:rPr>
        <w:t>.</w:t>
      </w:r>
      <w:r w:rsidRPr="003F4B0C">
        <w:rPr>
          <w:i/>
          <w:u w:val="double"/>
          <w:lang w:val="en-IE"/>
        </w:rPr>
        <w:t xml:space="preserve"> Med</w:t>
      </w:r>
      <w:r>
        <w:rPr>
          <w:i/>
          <w:u w:val="double"/>
          <w:lang w:val="en-IE"/>
        </w:rPr>
        <w:t>.</w:t>
      </w:r>
      <w:r w:rsidRPr="003F4B0C">
        <w:rPr>
          <w:i/>
          <w:u w:val="double"/>
          <w:lang w:val="en-IE"/>
        </w:rPr>
        <w:t xml:space="preserve"> Infect</w:t>
      </w:r>
      <w:r>
        <w:rPr>
          <w:i/>
          <w:u w:val="double"/>
          <w:lang w:val="en-IE"/>
        </w:rPr>
        <w:t>.</w:t>
      </w:r>
      <w:r w:rsidRPr="003F4B0C">
        <w:rPr>
          <w:i/>
          <w:u w:val="double"/>
          <w:lang w:val="en-IE"/>
        </w:rPr>
        <w:t xml:space="preserve"> Dis.</w:t>
      </w:r>
      <w:r w:rsidRPr="003F4B0C">
        <w:rPr>
          <w:u w:val="double"/>
          <w:lang w:val="en-IE"/>
        </w:rPr>
        <w:t xml:space="preserve">, </w:t>
      </w:r>
      <w:r w:rsidRPr="003F4B0C">
        <w:rPr>
          <w:b/>
          <w:u w:val="double"/>
          <w:lang w:val="en-IE"/>
        </w:rPr>
        <w:t xml:space="preserve">5 </w:t>
      </w:r>
      <w:r w:rsidRPr="003F4B0C">
        <w:rPr>
          <w:u w:val="double"/>
          <w:lang w:val="en-IE"/>
        </w:rPr>
        <w:t>(1).</w:t>
      </w:r>
    </w:p>
    <w:p w14:paraId="4F9E37FB" w14:textId="66E294F1" w:rsidR="005B0077" w:rsidRDefault="005B0077" w:rsidP="005B0077">
      <w:pPr>
        <w:pStyle w:val="Ref"/>
      </w:pPr>
      <w:r w:rsidRPr="006C0BE2">
        <w:rPr>
          <w:smallCaps/>
          <w:lang w:val="en-IE"/>
        </w:rPr>
        <w:t xml:space="preserve">Krämer B., Bruckner L., </w:t>
      </w:r>
      <w:proofErr w:type="spellStart"/>
      <w:r w:rsidRPr="006C0BE2">
        <w:rPr>
          <w:smallCaps/>
          <w:lang w:val="en-IE"/>
        </w:rPr>
        <w:t>Daas</w:t>
      </w:r>
      <w:proofErr w:type="spellEnd"/>
      <w:r w:rsidRPr="006C0BE2">
        <w:rPr>
          <w:smallCaps/>
          <w:lang w:val="en-IE"/>
        </w:rPr>
        <w:t xml:space="preserve"> A. &amp; Milne C.</w:t>
      </w:r>
      <w:r w:rsidRPr="006C0BE2">
        <w:rPr>
          <w:lang w:val="en-IE"/>
        </w:rPr>
        <w:t xml:space="preserve"> (2010). </w:t>
      </w:r>
      <w:r w:rsidRPr="001A6CB2">
        <w:t xml:space="preserve">Collaborative study for validation of a serological potency assay for rabies vaccine (inactivated) for veterinary use. </w:t>
      </w:r>
      <w:proofErr w:type="spellStart"/>
      <w:r w:rsidRPr="001A6CB2">
        <w:rPr>
          <w:i/>
        </w:rPr>
        <w:t>Pharmeur</w:t>
      </w:r>
      <w:proofErr w:type="spellEnd"/>
      <w:r w:rsidRPr="001A6CB2">
        <w:rPr>
          <w:i/>
        </w:rPr>
        <w:t>. Bio. Sci. Notes</w:t>
      </w:r>
      <w:r w:rsidRPr="001A6CB2">
        <w:t xml:space="preserve">, </w:t>
      </w:r>
      <w:r w:rsidRPr="001A6CB2">
        <w:rPr>
          <w:b/>
        </w:rPr>
        <w:t>2</w:t>
      </w:r>
      <w:r w:rsidRPr="001A6CB2">
        <w:t>, 37–55.</w:t>
      </w:r>
    </w:p>
    <w:p w14:paraId="2CB679C8" w14:textId="7035B0C7" w:rsidR="003F4B0C" w:rsidRPr="003F4B0C" w:rsidRDefault="003F4B0C" w:rsidP="003F4B0C">
      <w:pPr>
        <w:pStyle w:val="Ref"/>
        <w:rPr>
          <w:u w:val="double"/>
        </w:rPr>
      </w:pPr>
      <w:r w:rsidRPr="003F4B0C">
        <w:rPr>
          <w:smallCaps/>
          <w:u w:val="double"/>
        </w:rPr>
        <w:t xml:space="preserve">Kuhn </w:t>
      </w:r>
      <w:proofErr w:type="spellStart"/>
      <w:r w:rsidRPr="003F4B0C">
        <w:rPr>
          <w:smallCaps/>
          <w:u w:val="double"/>
        </w:rPr>
        <w:t>J.H.,Adkins</w:t>
      </w:r>
      <w:proofErr w:type="spellEnd"/>
      <w:r w:rsidRPr="003F4B0C">
        <w:rPr>
          <w:smallCaps/>
          <w:u w:val="double"/>
        </w:rPr>
        <w:t xml:space="preserve"> S., </w:t>
      </w:r>
      <w:proofErr w:type="spellStart"/>
      <w:r w:rsidRPr="003F4B0C">
        <w:rPr>
          <w:smallCaps/>
          <w:u w:val="double"/>
        </w:rPr>
        <w:t>Agwanda</w:t>
      </w:r>
      <w:proofErr w:type="spellEnd"/>
      <w:r w:rsidRPr="003F4B0C">
        <w:rPr>
          <w:smallCaps/>
          <w:u w:val="double"/>
        </w:rPr>
        <w:t xml:space="preserve"> B.R., Al K., Rim A., Sergey V., </w:t>
      </w:r>
      <w:proofErr w:type="spellStart"/>
      <w:r w:rsidRPr="003F4B0C">
        <w:rPr>
          <w:smallCaps/>
          <w:u w:val="double"/>
        </w:rPr>
        <w:t>Amarasinghe</w:t>
      </w:r>
      <w:proofErr w:type="spellEnd"/>
      <w:r w:rsidRPr="003F4B0C">
        <w:rPr>
          <w:smallCaps/>
          <w:u w:val="double"/>
        </w:rPr>
        <w:t xml:space="preserve"> G.K., </w:t>
      </w:r>
      <w:proofErr w:type="spellStart"/>
      <w:r w:rsidRPr="003F4B0C">
        <w:rPr>
          <w:smallCaps/>
          <w:u w:val="double"/>
        </w:rPr>
        <w:t>Avšič-Županc</w:t>
      </w:r>
      <w:proofErr w:type="spellEnd"/>
      <w:r w:rsidRPr="003F4B0C">
        <w:rPr>
          <w:smallCaps/>
          <w:u w:val="double"/>
        </w:rPr>
        <w:t xml:space="preserve"> T., Ayllón M.A., Bahl J., Balkema-Buschmann A., Ballinger M.J., Basler C.F., Bavari S., Beer M., </w:t>
      </w:r>
      <w:proofErr w:type="spellStart"/>
      <w:r w:rsidRPr="003F4B0C">
        <w:rPr>
          <w:smallCaps/>
          <w:u w:val="double"/>
        </w:rPr>
        <w:t>Bejerman</w:t>
      </w:r>
      <w:proofErr w:type="spellEnd"/>
      <w:r w:rsidRPr="003F4B0C">
        <w:rPr>
          <w:smallCaps/>
          <w:u w:val="double"/>
        </w:rPr>
        <w:t xml:space="preserve"> N., Bennett A.J., Bente D.A., Bergeron É., Bird B.H., Blair C.D., Blasdell K.R., Blystad D., Bojko J., Borth W.B., Bradfute S., </w:t>
      </w:r>
      <w:proofErr w:type="spellStart"/>
      <w:r w:rsidRPr="003F4B0C">
        <w:rPr>
          <w:smallCaps/>
          <w:u w:val="double"/>
        </w:rPr>
        <w:t>Breyta</w:t>
      </w:r>
      <w:proofErr w:type="spellEnd"/>
      <w:r w:rsidRPr="003F4B0C">
        <w:rPr>
          <w:smallCaps/>
          <w:u w:val="double"/>
        </w:rPr>
        <w:t xml:space="preserve"> R., Briese T., Brown P.A., Brown J.K., Buchholz U.J., </w:t>
      </w:r>
      <w:proofErr w:type="spellStart"/>
      <w:r w:rsidRPr="003F4B0C">
        <w:rPr>
          <w:smallCaps/>
          <w:u w:val="double"/>
        </w:rPr>
        <w:t>Buchmeier</w:t>
      </w:r>
      <w:proofErr w:type="spellEnd"/>
      <w:r w:rsidRPr="003F4B0C">
        <w:rPr>
          <w:smallCaps/>
          <w:u w:val="double"/>
        </w:rPr>
        <w:t xml:space="preserve"> M.J., </w:t>
      </w:r>
      <w:proofErr w:type="spellStart"/>
      <w:r w:rsidRPr="003F4B0C">
        <w:rPr>
          <w:smallCaps/>
          <w:u w:val="double"/>
        </w:rPr>
        <w:t>Bukreyev</w:t>
      </w:r>
      <w:proofErr w:type="spellEnd"/>
      <w:r w:rsidRPr="003F4B0C">
        <w:rPr>
          <w:smallCaps/>
          <w:u w:val="double"/>
        </w:rPr>
        <w:t xml:space="preserve"> A., Burt F., Büttner C., Calisher C.H., Cao M., Casas I., Chandran K., Charrel R.N., Cheng Q., Chiaki Y., </w:t>
      </w:r>
      <w:proofErr w:type="spellStart"/>
      <w:r w:rsidRPr="003F4B0C">
        <w:rPr>
          <w:smallCaps/>
          <w:u w:val="double"/>
        </w:rPr>
        <w:t>Chiapello</w:t>
      </w:r>
      <w:proofErr w:type="spellEnd"/>
      <w:r w:rsidRPr="003F4B0C">
        <w:rPr>
          <w:smallCaps/>
          <w:u w:val="double"/>
        </w:rPr>
        <w:t xml:space="preserve"> M., Choi I., Ciuffo M., Clegg J., Christopher S., Crozier I., Dal </w:t>
      </w:r>
      <w:proofErr w:type="spellStart"/>
      <w:r w:rsidRPr="003F4B0C">
        <w:rPr>
          <w:smallCaps/>
          <w:u w:val="double"/>
        </w:rPr>
        <w:t>Bó</w:t>
      </w:r>
      <w:proofErr w:type="spellEnd"/>
      <w:r w:rsidRPr="003F4B0C">
        <w:rPr>
          <w:smallCaps/>
          <w:u w:val="double"/>
        </w:rPr>
        <w:t xml:space="preserve"> E., La Torre J.C., </w:t>
      </w:r>
      <w:proofErr w:type="spellStart"/>
      <w:r w:rsidRPr="003F4B0C">
        <w:rPr>
          <w:smallCaps/>
          <w:u w:val="double"/>
        </w:rPr>
        <w:t>Lamballerie</w:t>
      </w:r>
      <w:proofErr w:type="spellEnd"/>
      <w:r w:rsidRPr="003F4B0C">
        <w:rPr>
          <w:smallCaps/>
          <w:u w:val="double"/>
        </w:rPr>
        <w:t xml:space="preserve"> X. de, Swart R.L. de, </w:t>
      </w:r>
      <w:proofErr w:type="spellStart"/>
      <w:r w:rsidRPr="003F4B0C">
        <w:rPr>
          <w:smallCaps/>
          <w:u w:val="double"/>
        </w:rPr>
        <w:t>Debat</w:t>
      </w:r>
      <w:proofErr w:type="spellEnd"/>
      <w:r w:rsidRPr="003F4B0C">
        <w:rPr>
          <w:smallCaps/>
          <w:u w:val="double"/>
        </w:rPr>
        <w:t xml:space="preserve"> H., </w:t>
      </w:r>
      <w:proofErr w:type="spellStart"/>
      <w:r w:rsidRPr="003F4B0C">
        <w:rPr>
          <w:smallCaps/>
          <w:u w:val="double"/>
        </w:rPr>
        <w:t>Dheilly</w:t>
      </w:r>
      <w:proofErr w:type="spellEnd"/>
      <w:r w:rsidRPr="003F4B0C">
        <w:rPr>
          <w:smallCaps/>
          <w:u w:val="double"/>
        </w:rPr>
        <w:t xml:space="preserve"> N.M., Di </w:t>
      </w:r>
      <w:proofErr w:type="spellStart"/>
      <w:r w:rsidRPr="003F4B0C">
        <w:rPr>
          <w:smallCaps/>
          <w:u w:val="double"/>
        </w:rPr>
        <w:t>Cicco</w:t>
      </w:r>
      <w:proofErr w:type="spellEnd"/>
      <w:r w:rsidRPr="003F4B0C">
        <w:rPr>
          <w:smallCaps/>
          <w:u w:val="double"/>
        </w:rPr>
        <w:t xml:space="preserve"> E., Di Paola N., Di Serio F., </w:t>
      </w:r>
      <w:proofErr w:type="spellStart"/>
      <w:r w:rsidRPr="003F4B0C">
        <w:rPr>
          <w:smallCaps/>
          <w:u w:val="double"/>
        </w:rPr>
        <w:t>Dietzgen</w:t>
      </w:r>
      <w:proofErr w:type="spellEnd"/>
      <w:r w:rsidRPr="003F4B0C">
        <w:rPr>
          <w:smallCaps/>
          <w:u w:val="double"/>
        </w:rPr>
        <w:t xml:space="preserve"> R.G., </w:t>
      </w:r>
      <w:proofErr w:type="spellStart"/>
      <w:r w:rsidRPr="003F4B0C">
        <w:rPr>
          <w:smallCaps/>
          <w:u w:val="double"/>
        </w:rPr>
        <w:t>Digiaro</w:t>
      </w:r>
      <w:proofErr w:type="spellEnd"/>
      <w:r w:rsidRPr="003F4B0C">
        <w:rPr>
          <w:smallCaps/>
          <w:u w:val="double"/>
        </w:rPr>
        <w:t xml:space="preserve"> M., Dolnik O., </w:t>
      </w:r>
      <w:proofErr w:type="spellStart"/>
      <w:r w:rsidRPr="003F4B0C">
        <w:rPr>
          <w:smallCaps/>
          <w:u w:val="double"/>
        </w:rPr>
        <w:t>Drebot</w:t>
      </w:r>
      <w:proofErr w:type="spellEnd"/>
      <w:r w:rsidRPr="003F4B0C">
        <w:rPr>
          <w:smallCaps/>
          <w:u w:val="double"/>
        </w:rPr>
        <w:t xml:space="preserve"> M.A., Drexler J. F., </w:t>
      </w:r>
      <w:proofErr w:type="spellStart"/>
      <w:r w:rsidRPr="003F4B0C">
        <w:rPr>
          <w:smallCaps/>
          <w:u w:val="double"/>
        </w:rPr>
        <w:t>Dundon</w:t>
      </w:r>
      <w:proofErr w:type="spellEnd"/>
      <w:r w:rsidRPr="003F4B0C">
        <w:rPr>
          <w:smallCaps/>
          <w:u w:val="double"/>
        </w:rPr>
        <w:t xml:space="preserve"> W.G., </w:t>
      </w:r>
      <w:proofErr w:type="spellStart"/>
      <w:r w:rsidRPr="003F4B0C">
        <w:rPr>
          <w:smallCaps/>
          <w:u w:val="double"/>
        </w:rPr>
        <w:t>Duprex</w:t>
      </w:r>
      <w:proofErr w:type="spellEnd"/>
      <w:r w:rsidRPr="003F4B0C">
        <w:rPr>
          <w:smallCaps/>
          <w:u w:val="double"/>
        </w:rPr>
        <w:t xml:space="preserve"> W.P., </w:t>
      </w:r>
      <w:proofErr w:type="spellStart"/>
      <w:r w:rsidRPr="003F4B0C">
        <w:rPr>
          <w:smallCaps/>
          <w:u w:val="double"/>
        </w:rPr>
        <w:t>Dürrwald</w:t>
      </w:r>
      <w:proofErr w:type="spellEnd"/>
      <w:r w:rsidRPr="003F4B0C">
        <w:rPr>
          <w:smallCaps/>
          <w:u w:val="double"/>
        </w:rPr>
        <w:t xml:space="preserve"> R., Dye J.M., Easton A,J., Ebihara H., </w:t>
      </w:r>
      <w:proofErr w:type="spellStart"/>
      <w:r w:rsidRPr="003F4B0C">
        <w:rPr>
          <w:smallCaps/>
          <w:u w:val="double"/>
        </w:rPr>
        <w:t>Elbeaino</w:t>
      </w:r>
      <w:proofErr w:type="spellEnd"/>
      <w:r w:rsidRPr="003F4B0C">
        <w:rPr>
          <w:smallCaps/>
          <w:u w:val="double"/>
        </w:rPr>
        <w:t xml:space="preserve"> T., </w:t>
      </w:r>
      <w:proofErr w:type="spellStart"/>
      <w:r w:rsidRPr="003F4B0C">
        <w:rPr>
          <w:smallCaps/>
          <w:u w:val="double"/>
        </w:rPr>
        <w:t>Ergünay</w:t>
      </w:r>
      <w:proofErr w:type="spellEnd"/>
      <w:r w:rsidRPr="003F4B0C">
        <w:rPr>
          <w:smallCaps/>
          <w:u w:val="double"/>
        </w:rPr>
        <w:t xml:space="preserve"> K., Ferguson H.W., Fooks A.R., Forgia M., </w:t>
      </w:r>
      <w:proofErr w:type="spellStart"/>
      <w:r w:rsidRPr="003F4B0C">
        <w:rPr>
          <w:smallCaps/>
          <w:u w:val="double"/>
        </w:rPr>
        <w:t>Formenty</w:t>
      </w:r>
      <w:proofErr w:type="spellEnd"/>
      <w:r w:rsidRPr="003F4B0C">
        <w:rPr>
          <w:smallCaps/>
          <w:u w:val="double"/>
        </w:rPr>
        <w:t xml:space="preserve"> P.B.H., </w:t>
      </w:r>
      <w:proofErr w:type="spellStart"/>
      <w:r w:rsidRPr="003F4B0C">
        <w:rPr>
          <w:smallCaps/>
          <w:u w:val="double"/>
        </w:rPr>
        <w:t>Fránová</w:t>
      </w:r>
      <w:proofErr w:type="spellEnd"/>
      <w:r w:rsidRPr="003F4B0C">
        <w:rPr>
          <w:smallCaps/>
          <w:u w:val="double"/>
        </w:rPr>
        <w:t xml:space="preserve"> </w:t>
      </w:r>
      <w:proofErr w:type="spellStart"/>
      <w:r w:rsidRPr="003F4B0C">
        <w:rPr>
          <w:smallCaps/>
          <w:u w:val="double"/>
        </w:rPr>
        <w:t>J.m</w:t>
      </w:r>
      <w:proofErr w:type="spellEnd"/>
      <w:r w:rsidRPr="003F4B0C">
        <w:rPr>
          <w:smallCaps/>
          <w:u w:val="double"/>
        </w:rPr>
        <w:t xml:space="preserve"> Freitas-</w:t>
      </w:r>
      <w:proofErr w:type="spellStart"/>
      <w:r w:rsidRPr="003F4B0C">
        <w:rPr>
          <w:smallCaps/>
          <w:u w:val="double"/>
        </w:rPr>
        <w:t>Astúa</w:t>
      </w:r>
      <w:proofErr w:type="spellEnd"/>
      <w:r w:rsidRPr="003F4B0C">
        <w:rPr>
          <w:smallCaps/>
          <w:u w:val="double"/>
        </w:rPr>
        <w:t xml:space="preserve"> J., Fu J., </w:t>
      </w:r>
      <w:proofErr w:type="spellStart"/>
      <w:r w:rsidRPr="003F4B0C">
        <w:rPr>
          <w:smallCaps/>
          <w:u w:val="double"/>
        </w:rPr>
        <w:t>Fürl</w:t>
      </w:r>
      <w:proofErr w:type="spellEnd"/>
      <w:r w:rsidRPr="003F4B0C">
        <w:rPr>
          <w:smallCaps/>
          <w:u w:val="double"/>
        </w:rPr>
        <w:t xml:space="preserve"> S., Gago-</w:t>
      </w:r>
      <w:proofErr w:type="spellStart"/>
      <w:r w:rsidRPr="003F4B0C">
        <w:rPr>
          <w:smallCaps/>
          <w:u w:val="double"/>
        </w:rPr>
        <w:t>Zachert</w:t>
      </w:r>
      <w:proofErr w:type="spellEnd"/>
      <w:r w:rsidRPr="003F4B0C">
        <w:rPr>
          <w:smallCaps/>
          <w:u w:val="double"/>
        </w:rPr>
        <w:t xml:space="preserve"> S., Gāo G.F., García ML., García-Sastre A., Garrison A.R., Gaskin T., Gonzalez J.-P.J., Griffiths A., Goldberg T.L., </w:t>
      </w:r>
      <w:proofErr w:type="spellStart"/>
      <w:r w:rsidRPr="003F4B0C">
        <w:rPr>
          <w:smallCaps/>
          <w:u w:val="double"/>
        </w:rPr>
        <w:t>Groschup</w:t>
      </w:r>
      <w:proofErr w:type="spellEnd"/>
      <w:r w:rsidRPr="003F4B0C">
        <w:rPr>
          <w:smallCaps/>
          <w:u w:val="double"/>
        </w:rPr>
        <w:t xml:space="preserve"> M.H., Günther S., Hall R.A., Hammond J., Han T., </w:t>
      </w:r>
      <w:proofErr w:type="spellStart"/>
      <w:r w:rsidRPr="003F4B0C">
        <w:rPr>
          <w:smallCaps/>
          <w:u w:val="double"/>
        </w:rPr>
        <w:t>Hepojoki</w:t>
      </w:r>
      <w:proofErr w:type="spellEnd"/>
      <w:r w:rsidRPr="003F4B0C">
        <w:rPr>
          <w:smallCaps/>
          <w:u w:val="double"/>
        </w:rPr>
        <w:t xml:space="preserve"> J., Hewson R., Hong J., Hong N., Hongo S., Horie M., Hu J.S., Hu T., Hughes H.R., Hüttner F., Hyndman T.H., Ilyas M., Jalkanen R., Jiāng D., Jonson G.B., </w:t>
      </w:r>
      <w:proofErr w:type="spellStart"/>
      <w:r w:rsidRPr="003F4B0C">
        <w:rPr>
          <w:smallCaps/>
          <w:u w:val="double"/>
        </w:rPr>
        <w:t>Junglen</w:t>
      </w:r>
      <w:proofErr w:type="spellEnd"/>
      <w:r w:rsidRPr="003F4B0C">
        <w:rPr>
          <w:smallCaps/>
          <w:u w:val="double"/>
        </w:rPr>
        <w:t xml:space="preserve"> S., </w:t>
      </w:r>
      <w:proofErr w:type="spellStart"/>
      <w:r w:rsidRPr="003F4B0C">
        <w:rPr>
          <w:smallCaps/>
          <w:u w:val="double"/>
        </w:rPr>
        <w:t>Kadono</w:t>
      </w:r>
      <w:proofErr w:type="spellEnd"/>
      <w:r w:rsidRPr="003F4B0C">
        <w:rPr>
          <w:smallCaps/>
          <w:u w:val="double"/>
        </w:rPr>
        <w:t xml:space="preserve"> F., </w:t>
      </w:r>
      <w:proofErr w:type="spellStart"/>
      <w:r w:rsidRPr="003F4B0C">
        <w:rPr>
          <w:smallCaps/>
          <w:u w:val="double"/>
        </w:rPr>
        <w:t>Kaukinen</w:t>
      </w:r>
      <w:proofErr w:type="spellEnd"/>
      <w:r w:rsidRPr="003F4B0C">
        <w:rPr>
          <w:smallCaps/>
          <w:u w:val="double"/>
        </w:rPr>
        <w:t xml:space="preserve"> K.H., Kawate M., Klempa B., </w:t>
      </w:r>
      <w:proofErr w:type="spellStart"/>
      <w:r w:rsidRPr="003F4B0C">
        <w:rPr>
          <w:smallCaps/>
          <w:u w:val="double"/>
        </w:rPr>
        <w:t>Klingström</w:t>
      </w:r>
      <w:proofErr w:type="spellEnd"/>
      <w:r w:rsidRPr="003F4B0C">
        <w:rPr>
          <w:smallCaps/>
          <w:u w:val="double"/>
        </w:rPr>
        <w:t xml:space="preserve"> J., </w:t>
      </w:r>
      <w:proofErr w:type="spellStart"/>
      <w:r w:rsidRPr="003F4B0C">
        <w:rPr>
          <w:smallCaps/>
          <w:u w:val="double"/>
        </w:rPr>
        <w:t>Kobinger</w:t>
      </w:r>
      <w:proofErr w:type="spellEnd"/>
      <w:r w:rsidRPr="003F4B0C">
        <w:rPr>
          <w:smallCaps/>
          <w:u w:val="double"/>
        </w:rPr>
        <w:t xml:space="preserve"> G., </w:t>
      </w:r>
      <w:proofErr w:type="spellStart"/>
      <w:r w:rsidRPr="003F4B0C">
        <w:rPr>
          <w:smallCaps/>
          <w:u w:val="double"/>
        </w:rPr>
        <w:t>Koloniuk</w:t>
      </w:r>
      <w:proofErr w:type="spellEnd"/>
      <w:r w:rsidRPr="003F4B0C">
        <w:rPr>
          <w:smallCaps/>
          <w:u w:val="double"/>
        </w:rPr>
        <w:t xml:space="preserve"> I., Kondō H., </w:t>
      </w:r>
      <w:proofErr w:type="spellStart"/>
      <w:r w:rsidRPr="003F4B0C">
        <w:rPr>
          <w:smallCaps/>
          <w:u w:val="double"/>
        </w:rPr>
        <w:t>Koonin</w:t>
      </w:r>
      <w:proofErr w:type="spellEnd"/>
      <w:r w:rsidRPr="003F4B0C">
        <w:rPr>
          <w:smallCaps/>
          <w:u w:val="double"/>
        </w:rPr>
        <w:t xml:space="preserve"> E.V., </w:t>
      </w:r>
      <w:proofErr w:type="spellStart"/>
      <w:r w:rsidRPr="003F4B0C">
        <w:rPr>
          <w:smallCaps/>
          <w:u w:val="double"/>
        </w:rPr>
        <w:t>Krupovic</w:t>
      </w:r>
      <w:proofErr w:type="spellEnd"/>
      <w:r w:rsidRPr="003F4B0C">
        <w:rPr>
          <w:smallCaps/>
          <w:u w:val="double"/>
        </w:rPr>
        <w:t xml:space="preserve"> M., Kubota K., Kurath G., </w:t>
      </w:r>
      <w:proofErr w:type="spellStart"/>
      <w:r w:rsidRPr="003F4B0C">
        <w:rPr>
          <w:smallCaps/>
          <w:u w:val="double"/>
        </w:rPr>
        <w:t>Laenen</w:t>
      </w:r>
      <w:proofErr w:type="spellEnd"/>
      <w:r w:rsidRPr="003F4B0C">
        <w:rPr>
          <w:smallCaps/>
          <w:u w:val="double"/>
        </w:rPr>
        <w:t xml:space="preserve"> L., Lambert A.J., Langevin S.L., Lee B., Lefkowitz E.J., Leroy E.M., Li S., Li L., </w:t>
      </w:r>
      <w:proofErr w:type="spellStart"/>
      <w:r w:rsidRPr="003F4B0C">
        <w:rPr>
          <w:smallCaps/>
          <w:u w:val="double"/>
        </w:rPr>
        <w:t>L</w:t>
      </w:r>
      <w:r w:rsidRPr="003F4B0C">
        <w:rPr>
          <w:rFonts w:ascii="Calibri" w:hAnsi="Calibri" w:cs="Calibri"/>
          <w:smallCaps/>
          <w:u w:val="double"/>
        </w:rPr>
        <w:t>ǐ</w:t>
      </w:r>
      <w:proofErr w:type="spellEnd"/>
      <w:r w:rsidRPr="003F4B0C">
        <w:rPr>
          <w:smallCaps/>
          <w:u w:val="double"/>
        </w:rPr>
        <w:t xml:space="preserve"> J., Liu H., Lukashevich I.S., Maes P., Souza W.M. de., </w:t>
      </w:r>
      <w:proofErr w:type="spellStart"/>
      <w:r w:rsidRPr="003F4B0C">
        <w:rPr>
          <w:smallCaps/>
          <w:u w:val="double"/>
        </w:rPr>
        <w:t>Marklewitz</w:t>
      </w:r>
      <w:proofErr w:type="spellEnd"/>
      <w:r w:rsidRPr="003F4B0C">
        <w:rPr>
          <w:smallCaps/>
          <w:u w:val="double"/>
        </w:rPr>
        <w:t xml:space="preserve"> M., Marshall S.H., Marzano S.-Y.L., </w:t>
      </w:r>
      <w:proofErr w:type="spellStart"/>
      <w:r w:rsidRPr="003F4B0C">
        <w:rPr>
          <w:smallCaps/>
          <w:u w:val="double"/>
        </w:rPr>
        <w:t>Massart</w:t>
      </w:r>
      <w:proofErr w:type="spellEnd"/>
      <w:r w:rsidRPr="003F4B0C">
        <w:rPr>
          <w:smallCaps/>
          <w:u w:val="double"/>
        </w:rPr>
        <w:t xml:space="preserve"> S., McCauley J.W., Melzer M, Mielke-Ehret N., Miller K. M., Ming T.J., </w:t>
      </w:r>
      <w:proofErr w:type="spellStart"/>
      <w:r w:rsidRPr="003F4B0C">
        <w:rPr>
          <w:smallCaps/>
          <w:u w:val="double"/>
        </w:rPr>
        <w:t>Mirazimi</w:t>
      </w:r>
      <w:proofErr w:type="spellEnd"/>
      <w:r w:rsidRPr="003F4B0C">
        <w:rPr>
          <w:smallCaps/>
          <w:u w:val="double"/>
        </w:rPr>
        <w:t xml:space="preserve"> A., Mordecai G.J., Mühlbach H.-P., Mühlberger E., Naidu R., </w:t>
      </w:r>
      <w:proofErr w:type="spellStart"/>
      <w:r w:rsidRPr="003F4B0C">
        <w:rPr>
          <w:smallCaps/>
          <w:u w:val="double"/>
        </w:rPr>
        <w:t>Natsuaki</w:t>
      </w:r>
      <w:proofErr w:type="spellEnd"/>
      <w:r w:rsidRPr="003F4B0C">
        <w:rPr>
          <w:smallCaps/>
          <w:u w:val="double"/>
        </w:rPr>
        <w:t xml:space="preserve"> T., Navarro J.A., </w:t>
      </w:r>
      <w:proofErr w:type="spellStart"/>
      <w:r w:rsidRPr="003F4B0C">
        <w:rPr>
          <w:smallCaps/>
          <w:u w:val="double"/>
        </w:rPr>
        <w:t>Netesov</w:t>
      </w:r>
      <w:proofErr w:type="spellEnd"/>
      <w:r w:rsidRPr="003F4B0C">
        <w:rPr>
          <w:smallCaps/>
          <w:u w:val="double"/>
        </w:rPr>
        <w:t xml:space="preserve"> S. V., Neumann G., Nowotny N., Nunes M.R.T., Olmedo-Velarde A., Palacios G., </w:t>
      </w:r>
      <w:proofErr w:type="spellStart"/>
      <w:r w:rsidRPr="003F4B0C">
        <w:rPr>
          <w:smallCaps/>
          <w:u w:val="double"/>
        </w:rPr>
        <w:t>Pallás</w:t>
      </w:r>
      <w:proofErr w:type="spellEnd"/>
      <w:r w:rsidRPr="003F4B0C">
        <w:rPr>
          <w:smallCaps/>
          <w:u w:val="double"/>
        </w:rPr>
        <w:t xml:space="preserve"> V., Pályi B., Papa A., Paraskevopoulou S., Park A.C., Parrish C.R., Patterson D.A., </w:t>
      </w:r>
      <w:proofErr w:type="spellStart"/>
      <w:r w:rsidRPr="003F4B0C">
        <w:rPr>
          <w:smallCaps/>
          <w:u w:val="double"/>
        </w:rPr>
        <w:t>Pauvolid-Corrêa</w:t>
      </w:r>
      <w:proofErr w:type="spellEnd"/>
      <w:r w:rsidRPr="003F4B0C">
        <w:rPr>
          <w:smallCaps/>
          <w:u w:val="double"/>
        </w:rPr>
        <w:t xml:space="preserve"> A., </w:t>
      </w:r>
      <w:proofErr w:type="spellStart"/>
      <w:r w:rsidRPr="003F4B0C">
        <w:rPr>
          <w:smallCaps/>
          <w:u w:val="double"/>
        </w:rPr>
        <w:t>Pawęska</w:t>
      </w:r>
      <w:proofErr w:type="spellEnd"/>
      <w:r w:rsidRPr="003F4B0C">
        <w:rPr>
          <w:smallCaps/>
          <w:u w:val="double"/>
        </w:rPr>
        <w:t xml:space="preserve"> J.T., Payne S., Peracchio C., Pérez D.R., Postler T.S., Qi, L., </w:t>
      </w:r>
      <w:proofErr w:type="spellStart"/>
      <w:r w:rsidRPr="003F4B0C">
        <w:rPr>
          <w:smallCaps/>
          <w:u w:val="double"/>
        </w:rPr>
        <w:t>Radoshitzky</w:t>
      </w:r>
      <w:proofErr w:type="spellEnd"/>
      <w:r w:rsidRPr="003F4B0C">
        <w:rPr>
          <w:smallCaps/>
          <w:u w:val="double"/>
        </w:rPr>
        <w:t xml:space="preserve"> S.R., </w:t>
      </w:r>
      <w:proofErr w:type="spellStart"/>
      <w:r w:rsidRPr="003F4B0C">
        <w:rPr>
          <w:smallCaps/>
          <w:u w:val="double"/>
        </w:rPr>
        <w:t>Resende</w:t>
      </w:r>
      <w:proofErr w:type="spellEnd"/>
      <w:r w:rsidRPr="003F4B0C">
        <w:rPr>
          <w:smallCaps/>
          <w:u w:val="double"/>
        </w:rPr>
        <w:t xml:space="preserve"> R.O., Reyes C.A., Rima B.K., Luna G.R., Romanowski V., Rota P., </w:t>
      </w:r>
      <w:proofErr w:type="spellStart"/>
      <w:r w:rsidRPr="003F4B0C">
        <w:rPr>
          <w:smallCaps/>
          <w:u w:val="double"/>
        </w:rPr>
        <w:t>Rubbenstroth</w:t>
      </w:r>
      <w:proofErr w:type="spellEnd"/>
      <w:r w:rsidRPr="003F4B0C">
        <w:rPr>
          <w:smallCaps/>
          <w:u w:val="double"/>
        </w:rPr>
        <w:t xml:space="preserve"> D., Rubino L., </w:t>
      </w:r>
      <w:proofErr w:type="spellStart"/>
      <w:r w:rsidRPr="003F4B0C">
        <w:rPr>
          <w:smallCaps/>
          <w:u w:val="double"/>
        </w:rPr>
        <w:t>Runstadler</w:t>
      </w:r>
      <w:proofErr w:type="spellEnd"/>
      <w:r w:rsidRPr="003F4B0C">
        <w:rPr>
          <w:smallCaps/>
          <w:u w:val="double"/>
        </w:rPr>
        <w:t xml:space="preserve"> J.A., </w:t>
      </w:r>
      <w:proofErr w:type="spellStart"/>
      <w:r w:rsidRPr="003F4B0C">
        <w:rPr>
          <w:smallCaps/>
          <w:u w:val="double"/>
        </w:rPr>
        <w:t>Sabanadzovic</w:t>
      </w:r>
      <w:proofErr w:type="spellEnd"/>
      <w:r w:rsidRPr="003F4B0C">
        <w:rPr>
          <w:smallCaps/>
          <w:u w:val="double"/>
        </w:rPr>
        <w:t xml:space="preserve"> S., Sall A. A., Salvato M.S., Sang R., </w:t>
      </w:r>
      <w:proofErr w:type="spellStart"/>
      <w:r w:rsidRPr="003F4B0C">
        <w:rPr>
          <w:smallCaps/>
          <w:u w:val="double"/>
        </w:rPr>
        <w:t>Sasaya</w:t>
      </w:r>
      <w:proofErr w:type="spellEnd"/>
      <w:r w:rsidRPr="003F4B0C">
        <w:rPr>
          <w:smallCaps/>
          <w:u w:val="double"/>
        </w:rPr>
        <w:t xml:space="preserve"> T., Schulze A.D., </w:t>
      </w:r>
      <w:proofErr w:type="spellStart"/>
      <w:r w:rsidRPr="003F4B0C">
        <w:rPr>
          <w:smallCaps/>
          <w:u w:val="double"/>
        </w:rPr>
        <w:t>Schwemmle</w:t>
      </w:r>
      <w:proofErr w:type="spellEnd"/>
      <w:r w:rsidRPr="003F4B0C">
        <w:rPr>
          <w:smallCaps/>
          <w:u w:val="double"/>
        </w:rPr>
        <w:t xml:space="preserve"> M., Shi M., Shí X., Shí Z., </w:t>
      </w:r>
      <w:proofErr w:type="spellStart"/>
      <w:r w:rsidRPr="003F4B0C">
        <w:rPr>
          <w:smallCaps/>
          <w:u w:val="double"/>
        </w:rPr>
        <w:t>Shimomoto</w:t>
      </w:r>
      <w:proofErr w:type="spellEnd"/>
      <w:r w:rsidRPr="003F4B0C">
        <w:rPr>
          <w:smallCaps/>
          <w:u w:val="double"/>
        </w:rPr>
        <w:t xml:space="preserve"> Y., Shirako Y., Siddell S.G., Simmonds P., Sironi M., </w:t>
      </w:r>
      <w:proofErr w:type="spellStart"/>
      <w:r w:rsidRPr="003F4B0C">
        <w:rPr>
          <w:smallCaps/>
          <w:u w:val="double"/>
        </w:rPr>
        <w:t>Smagghe</w:t>
      </w:r>
      <w:proofErr w:type="spellEnd"/>
      <w:r w:rsidRPr="003F4B0C">
        <w:rPr>
          <w:smallCaps/>
          <w:u w:val="double"/>
        </w:rPr>
        <w:t xml:space="preserve"> G., Smither S., Song J.-W., Spann K., Spengler J.R., Stenglein M.D., Stone D.M., Sugano J., Suttle C.A., Tabata A., Takada A., Takeuchi, S., </w:t>
      </w:r>
      <w:proofErr w:type="spellStart"/>
      <w:r w:rsidRPr="003F4B0C">
        <w:rPr>
          <w:smallCaps/>
          <w:u w:val="double"/>
        </w:rPr>
        <w:t>Tchouassi</w:t>
      </w:r>
      <w:proofErr w:type="spellEnd"/>
      <w:r w:rsidRPr="003F4B0C">
        <w:rPr>
          <w:smallCaps/>
          <w:u w:val="double"/>
        </w:rPr>
        <w:t xml:space="preserve">, D.P., </w:t>
      </w:r>
      <w:proofErr w:type="spellStart"/>
      <w:r w:rsidRPr="003F4B0C">
        <w:rPr>
          <w:smallCaps/>
          <w:u w:val="double"/>
        </w:rPr>
        <w:t>Teffer</w:t>
      </w:r>
      <w:proofErr w:type="spellEnd"/>
      <w:r w:rsidRPr="003F4B0C">
        <w:rPr>
          <w:smallCaps/>
          <w:u w:val="double"/>
        </w:rPr>
        <w:t xml:space="preserve">, A., Tesh R.B., Thornburg N.J., </w:t>
      </w:r>
      <w:proofErr w:type="spellStart"/>
      <w:r w:rsidRPr="003F4B0C">
        <w:rPr>
          <w:smallCaps/>
          <w:u w:val="double"/>
        </w:rPr>
        <w:t>Tomitaka</w:t>
      </w:r>
      <w:proofErr w:type="spellEnd"/>
      <w:r w:rsidRPr="003F4B0C">
        <w:rPr>
          <w:smallCaps/>
          <w:u w:val="double"/>
        </w:rPr>
        <w:t xml:space="preserve"> Y., Tomonaga K., </w:t>
      </w:r>
      <w:proofErr w:type="spellStart"/>
      <w:r w:rsidRPr="003F4B0C">
        <w:rPr>
          <w:smallCaps/>
          <w:u w:val="double"/>
        </w:rPr>
        <w:t>Tordo</w:t>
      </w:r>
      <w:proofErr w:type="spellEnd"/>
      <w:r w:rsidRPr="003F4B0C">
        <w:rPr>
          <w:smallCaps/>
          <w:u w:val="double"/>
        </w:rPr>
        <w:t xml:space="preserve"> N., Torto B., Towner J.S., Tsuda S., Tu C., Turina M., </w:t>
      </w:r>
      <w:proofErr w:type="spellStart"/>
      <w:r w:rsidRPr="003F4B0C">
        <w:rPr>
          <w:smallCaps/>
          <w:u w:val="double"/>
        </w:rPr>
        <w:t>Tzanetakis</w:t>
      </w:r>
      <w:proofErr w:type="spellEnd"/>
      <w:r w:rsidRPr="003F4B0C">
        <w:rPr>
          <w:smallCaps/>
          <w:u w:val="double"/>
        </w:rPr>
        <w:t xml:space="preserve"> I.E., Uchida J., </w:t>
      </w:r>
      <w:proofErr w:type="spellStart"/>
      <w:r w:rsidRPr="003F4B0C">
        <w:rPr>
          <w:smallCaps/>
          <w:u w:val="double"/>
        </w:rPr>
        <w:t>Usugi</w:t>
      </w:r>
      <w:proofErr w:type="spellEnd"/>
      <w:r w:rsidRPr="003F4B0C">
        <w:rPr>
          <w:smallCaps/>
          <w:u w:val="double"/>
        </w:rPr>
        <w:t xml:space="preserve"> T., Vaira A.M., </w:t>
      </w:r>
      <w:proofErr w:type="spellStart"/>
      <w:r w:rsidRPr="003F4B0C">
        <w:rPr>
          <w:smallCaps/>
          <w:u w:val="double"/>
        </w:rPr>
        <w:t>Vallino</w:t>
      </w:r>
      <w:proofErr w:type="spellEnd"/>
      <w:r w:rsidRPr="003F4B0C">
        <w:rPr>
          <w:smallCaps/>
          <w:u w:val="double"/>
        </w:rPr>
        <w:t xml:space="preserve"> M., van den Hoogen, B., </w:t>
      </w:r>
      <w:proofErr w:type="spellStart"/>
      <w:r w:rsidRPr="003F4B0C">
        <w:rPr>
          <w:smallCaps/>
          <w:u w:val="double"/>
        </w:rPr>
        <w:t>Varsani</w:t>
      </w:r>
      <w:proofErr w:type="spellEnd"/>
      <w:r w:rsidRPr="003F4B0C">
        <w:rPr>
          <w:smallCaps/>
          <w:u w:val="double"/>
        </w:rPr>
        <w:t xml:space="preserve"> A., Vasilakis N., Verbeek M., Bargen S. von, Wada J., Wahl V., Walker P.J., Wang L.-F. W.G., Wang Y., Wang Y., Waqas M., Wèi T., Wen S., Whitfield A. E., Williams J.V., Wolf Y.I., Wu J., Xu L., Yanagisawa H., Yang C., Yang Z., Zerbini F. M., Zhai L., Zhang Y.-Z., Zhang S., Zhang J., Zhang Z.</w:t>
      </w:r>
      <w:r>
        <w:rPr>
          <w:smallCaps/>
          <w:u w:val="double"/>
        </w:rPr>
        <w:t xml:space="preserve"> &amp;</w:t>
      </w:r>
      <w:r w:rsidRPr="003F4B0C">
        <w:rPr>
          <w:smallCaps/>
          <w:u w:val="double"/>
        </w:rPr>
        <w:t xml:space="preserve"> Zhou X. (2021). </w:t>
      </w:r>
      <w:r w:rsidRPr="003F4B0C">
        <w:rPr>
          <w:u w:val="double"/>
        </w:rPr>
        <w:t xml:space="preserve">2021 Taxonomic update of phylum </w:t>
      </w:r>
      <w:proofErr w:type="spellStart"/>
      <w:r w:rsidRPr="003F4B0C">
        <w:rPr>
          <w:u w:val="double"/>
        </w:rPr>
        <w:t>Negarnaviricota</w:t>
      </w:r>
      <w:proofErr w:type="spellEnd"/>
      <w:r w:rsidRPr="003F4B0C">
        <w:rPr>
          <w:u w:val="double"/>
        </w:rPr>
        <w:t xml:space="preserve"> (</w:t>
      </w:r>
      <w:proofErr w:type="spellStart"/>
      <w:r w:rsidRPr="003F4B0C">
        <w:rPr>
          <w:u w:val="double"/>
        </w:rPr>
        <w:t>Riboviria</w:t>
      </w:r>
      <w:proofErr w:type="spellEnd"/>
      <w:r w:rsidRPr="003F4B0C">
        <w:rPr>
          <w:u w:val="double"/>
        </w:rPr>
        <w:t xml:space="preserve">: </w:t>
      </w:r>
      <w:proofErr w:type="spellStart"/>
      <w:r w:rsidRPr="003F4B0C">
        <w:rPr>
          <w:u w:val="double"/>
        </w:rPr>
        <w:t>Orthornavirae</w:t>
      </w:r>
      <w:proofErr w:type="spellEnd"/>
      <w:r w:rsidRPr="003F4B0C">
        <w:rPr>
          <w:u w:val="double"/>
        </w:rPr>
        <w:t xml:space="preserve">), including the large orders </w:t>
      </w:r>
      <w:proofErr w:type="spellStart"/>
      <w:r w:rsidRPr="003F4B0C">
        <w:rPr>
          <w:u w:val="double"/>
        </w:rPr>
        <w:t>Bunyavirales</w:t>
      </w:r>
      <w:proofErr w:type="spellEnd"/>
      <w:r w:rsidRPr="003F4B0C">
        <w:rPr>
          <w:u w:val="double"/>
        </w:rPr>
        <w:t xml:space="preserve"> and </w:t>
      </w:r>
      <w:proofErr w:type="spellStart"/>
      <w:r w:rsidRPr="003F4B0C">
        <w:rPr>
          <w:u w:val="double"/>
        </w:rPr>
        <w:t>Mononegavirales</w:t>
      </w:r>
      <w:proofErr w:type="spellEnd"/>
      <w:r w:rsidRPr="003F4B0C">
        <w:rPr>
          <w:u w:val="double"/>
        </w:rPr>
        <w:t xml:space="preserve">. </w:t>
      </w:r>
      <w:r w:rsidRPr="003F4B0C">
        <w:rPr>
          <w:i/>
          <w:iCs/>
          <w:u w:val="double"/>
        </w:rPr>
        <w:t>Arch. Virol</w:t>
      </w:r>
      <w:r>
        <w:rPr>
          <w:u w:val="double"/>
        </w:rPr>
        <w:t>.,</w:t>
      </w:r>
      <w:r w:rsidRPr="003F4B0C">
        <w:rPr>
          <w:u w:val="double"/>
        </w:rPr>
        <w:t xml:space="preserve"> </w:t>
      </w:r>
      <w:r w:rsidRPr="003F4B0C">
        <w:rPr>
          <w:b/>
          <w:bCs/>
          <w:u w:val="double"/>
        </w:rPr>
        <w:t>166</w:t>
      </w:r>
      <w:r w:rsidRPr="003F4B0C">
        <w:rPr>
          <w:u w:val="double"/>
        </w:rPr>
        <w:t>, 3513–3566. https://doi.org/10.1007/s00705-021-05143-6.</w:t>
      </w:r>
    </w:p>
    <w:p w14:paraId="03D67B51" w14:textId="37189C2C" w:rsidR="005B0077" w:rsidRDefault="005B0077" w:rsidP="005B0077">
      <w:pPr>
        <w:pStyle w:val="StyleRefPetitesmajuscules"/>
        <w:rPr>
          <w:rFonts w:eastAsia="MS Mincho"/>
          <w:smallCaps w:val="0"/>
          <w:lang w:val="en-US" w:eastAsia="ja-JP"/>
        </w:rPr>
      </w:pPr>
      <w:r w:rsidRPr="001A6CB2">
        <w:rPr>
          <w:rFonts w:eastAsia="MS Mincho"/>
          <w:lang w:val="en-US" w:eastAsia="ja-JP"/>
        </w:rPr>
        <w:t>Kuzmin I.V.,</w:t>
      </w:r>
      <w:r w:rsidRPr="001A6CB2">
        <w:rPr>
          <w:rFonts w:eastAsia="MS Mincho"/>
        </w:rPr>
        <w:t xml:space="preserve"> Mayer </w:t>
      </w:r>
      <w:r w:rsidRPr="001A6CB2">
        <w:rPr>
          <w:rFonts w:eastAsia="MS Mincho"/>
          <w:lang w:val="en-US" w:eastAsia="ja-JP"/>
        </w:rPr>
        <w:t>A.E.</w:t>
      </w:r>
      <w:r w:rsidRPr="001A6CB2">
        <w:rPr>
          <w:rFonts w:eastAsia="MS Mincho"/>
          <w:lang w:eastAsia="ja-JP"/>
        </w:rPr>
        <w:t>,</w:t>
      </w:r>
      <w:r w:rsidRPr="001A6CB2">
        <w:rPr>
          <w:rFonts w:eastAsia="MS Mincho"/>
        </w:rPr>
        <w:t xml:space="preserve"> Niezgoda </w:t>
      </w:r>
      <w:r w:rsidRPr="001A6CB2">
        <w:rPr>
          <w:rFonts w:eastAsia="MS Mincho"/>
          <w:lang w:val="en-US" w:eastAsia="ja-JP"/>
        </w:rPr>
        <w:t>M</w:t>
      </w:r>
      <w:r w:rsidRPr="001A6CB2">
        <w:rPr>
          <w:rFonts w:eastAsia="MS Mincho"/>
          <w:lang w:eastAsia="ja-JP"/>
        </w:rPr>
        <w:t>,</w:t>
      </w:r>
      <w:r w:rsidRPr="001A6CB2">
        <w:rPr>
          <w:rFonts w:eastAsia="MS Mincho"/>
        </w:rPr>
        <w:t xml:space="preserve"> </w:t>
      </w:r>
      <w:proofErr w:type="spellStart"/>
      <w:r w:rsidRPr="001A6CB2">
        <w:rPr>
          <w:rFonts w:eastAsia="MS Mincho"/>
        </w:rPr>
        <w:t>Markotter</w:t>
      </w:r>
      <w:proofErr w:type="spellEnd"/>
      <w:r w:rsidRPr="001A6CB2">
        <w:rPr>
          <w:rFonts w:eastAsia="MS Mincho"/>
        </w:rPr>
        <w:t xml:space="preserve"> W</w:t>
      </w:r>
      <w:r w:rsidRPr="001A6CB2">
        <w:rPr>
          <w:rFonts w:eastAsia="MS Mincho"/>
          <w:lang w:eastAsia="ja-JP"/>
        </w:rPr>
        <w:t>.,</w:t>
      </w:r>
      <w:r w:rsidRPr="001A6CB2">
        <w:rPr>
          <w:rFonts w:eastAsia="MS Mincho"/>
        </w:rPr>
        <w:t xml:space="preserve"> </w:t>
      </w:r>
      <w:proofErr w:type="spellStart"/>
      <w:r w:rsidRPr="001A6CB2">
        <w:rPr>
          <w:rFonts w:eastAsia="MS Mincho"/>
        </w:rPr>
        <w:t>Agwanda</w:t>
      </w:r>
      <w:proofErr w:type="spellEnd"/>
      <w:r w:rsidRPr="001A6CB2">
        <w:rPr>
          <w:rFonts w:eastAsia="MS Mincho"/>
        </w:rPr>
        <w:t xml:space="preserve"> B</w:t>
      </w:r>
      <w:r w:rsidRPr="001A6CB2">
        <w:rPr>
          <w:rFonts w:eastAsia="MS Mincho"/>
          <w:lang w:eastAsia="ja-JP"/>
        </w:rPr>
        <w:t>.,</w:t>
      </w:r>
      <w:r w:rsidRPr="001A6CB2">
        <w:rPr>
          <w:rFonts w:eastAsia="MS Mincho"/>
        </w:rPr>
        <w:t xml:space="preserve"> </w:t>
      </w:r>
      <w:proofErr w:type="spellStart"/>
      <w:r w:rsidRPr="001A6CB2">
        <w:rPr>
          <w:rFonts w:eastAsia="MS Mincho"/>
        </w:rPr>
        <w:t>Breiman</w:t>
      </w:r>
      <w:proofErr w:type="spellEnd"/>
      <w:r w:rsidRPr="001A6CB2">
        <w:rPr>
          <w:rFonts w:eastAsia="MS Mincho"/>
        </w:rPr>
        <w:t xml:space="preserve"> </w:t>
      </w:r>
      <w:r w:rsidRPr="001A6CB2">
        <w:rPr>
          <w:rFonts w:eastAsia="MS Mincho"/>
          <w:lang w:eastAsia="ja-JP"/>
        </w:rPr>
        <w:t xml:space="preserve">R.F. </w:t>
      </w:r>
      <w:r w:rsidRPr="001A6CB2">
        <w:t>&amp;</w:t>
      </w:r>
      <w:r w:rsidRPr="001A6CB2">
        <w:rPr>
          <w:rFonts w:eastAsia="MS Mincho"/>
        </w:rPr>
        <w:t xml:space="preserve"> </w:t>
      </w:r>
      <w:proofErr w:type="spellStart"/>
      <w:r w:rsidRPr="001A6CB2">
        <w:rPr>
          <w:rFonts w:eastAsia="MS Mincho"/>
        </w:rPr>
        <w:t>Rupprecht</w:t>
      </w:r>
      <w:proofErr w:type="spellEnd"/>
      <w:r w:rsidRPr="001A6CB2">
        <w:rPr>
          <w:rFonts w:eastAsia="MS Mincho"/>
        </w:rPr>
        <w:t xml:space="preserve"> </w:t>
      </w:r>
      <w:r w:rsidRPr="001A6CB2">
        <w:rPr>
          <w:rFonts w:eastAsia="MS Mincho"/>
          <w:lang w:eastAsia="ja-JP"/>
        </w:rPr>
        <w:t>C.E</w:t>
      </w:r>
      <w:r w:rsidRPr="001A6CB2">
        <w:rPr>
          <w:rFonts w:eastAsia="MS Mincho"/>
        </w:rPr>
        <w:t>. (2010).</w:t>
      </w:r>
      <w:r w:rsidRPr="001A6CB2">
        <w:rPr>
          <w:rFonts w:eastAsia="MS Mincho"/>
          <w:lang w:val="en-US"/>
        </w:rPr>
        <w:t xml:space="preserve"> </w:t>
      </w:r>
      <w:proofErr w:type="spellStart"/>
      <w:r w:rsidRPr="001A6CB2">
        <w:rPr>
          <w:rFonts w:eastAsia="MS Mincho"/>
          <w:smallCaps w:val="0"/>
        </w:rPr>
        <w:t>Shimoni</w:t>
      </w:r>
      <w:proofErr w:type="spellEnd"/>
      <w:r w:rsidRPr="001A6CB2">
        <w:rPr>
          <w:rFonts w:eastAsia="MS Mincho"/>
          <w:smallCaps w:val="0"/>
        </w:rPr>
        <w:t xml:space="preserve"> bat virus, a new representative of the Lyssavirus genus.</w:t>
      </w:r>
      <w:r w:rsidRPr="001A6CB2">
        <w:rPr>
          <w:rFonts w:eastAsia="MS Mincho"/>
          <w:smallCaps w:val="0"/>
          <w:lang w:val="en-US"/>
        </w:rPr>
        <w:t xml:space="preserve"> </w:t>
      </w:r>
      <w:r w:rsidRPr="001A6CB2">
        <w:rPr>
          <w:rFonts w:eastAsia="MS Mincho"/>
          <w:i/>
          <w:smallCaps w:val="0"/>
          <w:lang w:val="en-US"/>
        </w:rPr>
        <w:t xml:space="preserve">Virus </w:t>
      </w:r>
      <w:r w:rsidRPr="001A6CB2">
        <w:rPr>
          <w:rFonts w:eastAsia="MS Mincho"/>
          <w:i/>
          <w:smallCaps w:val="0"/>
          <w:lang w:val="en-US" w:eastAsia="ja-JP"/>
        </w:rPr>
        <w:t>Res</w:t>
      </w:r>
      <w:r w:rsidRPr="001A6CB2">
        <w:rPr>
          <w:rFonts w:eastAsia="MS Mincho"/>
          <w:smallCaps w:val="0"/>
          <w:lang w:val="en-US" w:eastAsia="ja-JP"/>
        </w:rPr>
        <w:t xml:space="preserve">., </w:t>
      </w:r>
      <w:r w:rsidRPr="001A6CB2">
        <w:rPr>
          <w:rFonts w:eastAsia="MS Mincho"/>
          <w:b/>
          <w:smallCaps w:val="0"/>
          <w:lang w:val="en-US" w:eastAsia="ja-JP"/>
        </w:rPr>
        <w:t>149</w:t>
      </w:r>
      <w:r w:rsidRPr="001A6CB2">
        <w:rPr>
          <w:rFonts w:eastAsia="MS Mincho"/>
          <w:smallCaps w:val="0"/>
          <w:lang w:val="en-US" w:eastAsia="ja-JP"/>
        </w:rPr>
        <w:t>,</w:t>
      </w:r>
      <w:r w:rsidRPr="001A6CB2">
        <w:rPr>
          <w:rFonts w:eastAsia="MS Mincho"/>
          <w:i/>
          <w:smallCaps w:val="0"/>
          <w:lang w:val="en-US" w:eastAsia="ja-JP"/>
        </w:rPr>
        <w:t xml:space="preserve"> </w:t>
      </w:r>
      <w:r w:rsidRPr="001A6CB2">
        <w:rPr>
          <w:rFonts w:eastAsia="MS Mincho"/>
          <w:smallCaps w:val="0"/>
          <w:lang w:val="en-US" w:eastAsia="ja-JP"/>
        </w:rPr>
        <w:t>197–210.</w:t>
      </w:r>
    </w:p>
    <w:p w14:paraId="462C185B" w14:textId="36792D93" w:rsidR="003F4B0C" w:rsidRPr="00426923" w:rsidRDefault="003F4B0C" w:rsidP="005B0077">
      <w:pPr>
        <w:pStyle w:val="StyleRefPetitesmajuscules"/>
        <w:rPr>
          <w:rFonts w:eastAsia="MS Mincho"/>
          <w:smallCaps w:val="0"/>
        </w:rPr>
      </w:pPr>
      <w:proofErr w:type="spellStart"/>
      <w:r w:rsidRPr="003F4B0C">
        <w:rPr>
          <w:u w:val="double"/>
          <w:lang w:val="en-US"/>
        </w:rPr>
        <w:t>Lechenne</w:t>
      </w:r>
      <w:proofErr w:type="spellEnd"/>
      <w:r w:rsidRPr="003F4B0C">
        <w:rPr>
          <w:u w:val="double"/>
          <w:lang w:val="en-US"/>
        </w:rPr>
        <w:t xml:space="preserve"> M., </w:t>
      </w:r>
      <w:proofErr w:type="spellStart"/>
      <w:r w:rsidRPr="003F4B0C">
        <w:rPr>
          <w:u w:val="double"/>
          <w:lang w:val="en-US"/>
        </w:rPr>
        <w:t>Naïssengar</w:t>
      </w:r>
      <w:proofErr w:type="spellEnd"/>
      <w:r w:rsidRPr="003F4B0C">
        <w:rPr>
          <w:u w:val="double"/>
          <w:lang w:val="en-US"/>
        </w:rPr>
        <w:t xml:space="preserve"> K., </w:t>
      </w:r>
      <w:proofErr w:type="spellStart"/>
      <w:r w:rsidRPr="003F4B0C">
        <w:rPr>
          <w:u w:val="double"/>
          <w:lang w:val="en-US"/>
        </w:rPr>
        <w:t>Lepelletier</w:t>
      </w:r>
      <w:proofErr w:type="spellEnd"/>
      <w:r w:rsidRPr="003F4B0C">
        <w:rPr>
          <w:u w:val="double"/>
          <w:lang w:val="en-US"/>
        </w:rPr>
        <w:t xml:space="preserve"> A., </w:t>
      </w:r>
      <w:proofErr w:type="spellStart"/>
      <w:r w:rsidRPr="003F4B0C">
        <w:rPr>
          <w:u w:val="double"/>
          <w:lang w:val="en-US"/>
        </w:rPr>
        <w:t>Alfaroukh</w:t>
      </w:r>
      <w:proofErr w:type="spellEnd"/>
      <w:r w:rsidRPr="003F4B0C">
        <w:rPr>
          <w:u w:val="double"/>
          <w:lang w:val="en-US"/>
        </w:rPr>
        <w:t xml:space="preserve"> I.O., </w:t>
      </w:r>
      <w:proofErr w:type="spellStart"/>
      <w:r w:rsidRPr="003F4B0C">
        <w:rPr>
          <w:u w:val="double"/>
          <w:lang w:val="en-US"/>
        </w:rPr>
        <w:t>Bourhy</w:t>
      </w:r>
      <w:proofErr w:type="spellEnd"/>
      <w:r w:rsidRPr="003F4B0C">
        <w:rPr>
          <w:u w:val="double"/>
          <w:lang w:val="en-US"/>
        </w:rPr>
        <w:t xml:space="preserve"> H., </w:t>
      </w:r>
      <w:proofErr w:type="spellStart"/>
      <w:r w:rsidRPr="003F4B0C">
        <w:rPr>
          <w:u w:val="double"/>
          <w:lang w:val="en-US"/>
        </w:rPr>
        <w:t>Zinsstag</w:t>
      </w:r>
      <w:proofErr w:type="spellEnd"/>
      <w:r w:rsidRPr="003F4B0C">
        <w:rPr>
          <w:u w:val="double"/>
          <w:lang w:val="en-US"/>
        </w:rPr>
        <w:t xml:space="preserve"> J. &amp; </w:t>
      </w:r>
      <w:proofErr w:type="spellStart"/>
      <w:r w:rsidRPr="003F4B0C">
        <w:rPr>
          <w:u w:val="double"/>
          <w:lang w:val="en-US"/>
        </w:rPr>
        <w:t>Dacheux</w:t>
      </w:r>
      <w:proofErr w:type="spellEnd"/>
      <w:r w:rsidRPr="003F4B0C">
        <w:rPr>
          <w:u w:val="double"/>
          <w:lang w:val="en-US"/>
        </w:rPr>
        <w:t xml:space="preserve"> L., (2016). </w:t>
      </w:r>
      <w:r w:rsidRPr="003F4B0C">
        <w:rPr>
          <w:rFonts w:eastAsia="MS Mincho"/>
          <w:smallCaps w:val="0"/>
          <w:u w:val="double"/>
        </w:rPr>
        <w:t xml:space="preserve">Validation of a Rapid Rabies Diagnostic Tool for Field Surveillance in Developing Countries. </w:t>
      </w:r>
      <w:proofErr w:type="spellStart"/>
      <w:r w:rsidRPr="00426923">
        <w:rPr>
          <w:rFonts w:eastAsia="MS Mincho"/>
          <w:i/>
          <w:smallCaps w:val="0"/>
          <w:u w:val="double"/>
        </w:rPr>
        <w:t>PLoS</w:t>
      </w:r>
      <w:proofErr w:type="spellEnd"/>
      <w:r w:rsidRPr="00426923">
        <w:rPr>
          <w:rFonts w:eastAsia="MS Mincho"/>
          <w:i/>
          <w:smallCaps w:val="0"/>
          <w:u w:val="double"/>
        </w:rPr>
        <w:t xml:space="preserve"> </w:t>
      </w:r>
      <w:proofErr w:type="spellStart"/>
      <w:r w:rsidRPr="00426923">
        <w:rPr>
          <w:rFonts w:eastAsia="MS Mincho"/>
          <w:i/>
          <w:smallCaps w:val="0"/>
          <w:u w:val="double"/>
        </w:rPr>
        <w:t>Negl</w:t>
      </w:r>
      <w:proofErr w:type="spellEnd"/>
      <w:r w:rsidRPr="00426923">
        <w:rPr>
          <w:rFonts w:eastAsia="MS Mincho"/>
          <w:i/>
          <w:smallCaps w:val="0"/>
          <w:u w:val="double"/>
        </w:rPr>
        <w:t xml:space="preserve">. Trop. Dis., </w:t>
      </w:r>
      <w:r w:rsidRPr="00426923">
        <w:rPr>
          <w:rFonts w:eastAsia="MS Mincho"/>
          <w:b/>
          <w:smallCaps w:val="0"/>
          <w:u w:val="double"/>
        </w:rPr>
        <w:t>10</w:t>
      </w:r>
      <w:r w:rsidRPr="00426923">
        <w:rPr>
          <w:rFonts w:eastAsia="MS Mincho"/>
          <w:smallCaps w:val="0"/>
          <w:u w:val="double"/>
        </w:rPr>
        <w:t xml:space="preserve"> (10), e0005010.</w:t>
      </w:r>
    </w:p>
    <w:p w14:paraId="564591D0" w14:textId="77777777" w:rsidR="005B0077" w:rsidRPr="003F4B0C" w:rsidRDefault="005B0077" w:rsidP="005B0077">
      <w:pPr>
        <w:pStyle w:val="StyleRefPetitesmajuscules"/>
        <w:rPr>
          <w:lang w:val="en-US"/>
        </w:rPr>
      </w:pPr>
      <w:r w:rsidRPr="00426923">
        <w:t xml:space="preserve">Lembo T., Niezgoda M., Velasco-Villa A., Cleaveland S., Ernest E. &amp; Rupprecht C.E. (2006). </w:t>
      </w:r>
      <w:r w:rsidRPr="003F4B0C">
        <w:rPr>
          <w:smallCaps w:val="0"/>
          <w:lang w:val="en-US"/>
        </w:rPr>
        <w:t>Evaluation of a direct, rapid immunohistochemical test for rabies diagnosis</w:t>
      </w:r>
      <w:r w:rsidRPr="003F4B0C">
        <w:rPr>
          <w:smallCaps w:val="0"/>
        </w:rPr>
        <w:t xml:space="preserve">. </w:t>
      </w:r>
      <w:r w:rsidRPr="003F4B0C">
        <w:rPr>
          <w:i/>
          <w:smallCaps w:val="0"/>
          <w:lang w:val="en-US"/>
        </w:rPr>
        <w:t>Emerg. Infect. Dis.,</w:t>
      </w:r>
      <w:r w:rsidRPr="003F4B0C">
        <w:rPr>
          <w:smallCaps w:val="0"/>
          <w:lang w:val="en-US"/>
        </w:rPr>
        <w:t xml:space="preserve"> </w:t>
      </w:r>
      <w:r w:rsidRPr="003F4B0C">
        <w:rPr>
          <w:b/>
          <w:smallCaps w:val="0"/>
          <w:lang w:val="en-US"/>
        </w:rPr>
        <w:t>12</w:t>
      </w:r>
      <w:r w:rsidRPr="003F4B0C">
        <w:rPr>
          <w:smallCaps w:val="0"/>
          <w:lang w:val="en-US"/>
        </w:rPr>
        <w:t>, 310–313.</w:t>
      </w:r>
    </w:p>
    <w:p w14:paraId="69AA013B" w14:textId="7D1AB76D" w:rsidR="003F4B0C" w:rsidRPr="003F4B0C" w:rsidRDefault="003F4B0C" w:rsidP="003F4B0C">
      <w:pPr>
        <w:spacing w:after="240" w:line="240" w:lineRule="auto"/>
        <w:rPr>
          <w:rFonts w:ascii="Söhne" w:hAnsi="Söhne" w:cs="Arial"/>
          <w:smallCaps/>
          <w:sz w:val="18"/>
          <w:szCs w:val="18"/>
          <w:u w:val="double"/>
          <w:lang w:val="en-IE"/>
        </w:rPr>
      </w:pPr>
      <w:proofErr w:type="spellStart"/>
      <w:r w:rsidRPr="003F4B0C">
        <w:rPr>
          <w:rFonts w:ascii="Söhne" w:hAnsi="Söhne" w:cs="Arial"/>
          <w:smallCaps/>
          <w:sz w:val="18"/>
          <w:szCs w:val="18"/>
          <w:u w:val="double"/>
          <w:lang w:val="en-US" w:eastAsia="en-GB"/>
        </w:rPr>
        <w:t>Markotter</w:t>
      </w:r>
      <w:proofErr w:type="spellEnd"/>
      <w:r w:rsidRPr="003F4B0C">
        <w:rPr>
          <w:rFonts w:ascii="Söhne" w:hAnsi="Söhne" w:cs="Arial"/>
          <w:smallCaps/>
          <w:sz w:val="18"/>
          <w:szCs w:val="18"/>
          <w:u w:val="double"/>
          <w:lang w:val="en-US" w:eastAsia="en-GB"/>
        </w:rPr>
        <w:t xml:space="preserve"> W., York D., Sabeta C.T., Shumba W., Zulu G., Roux Le K.</w:t>
      </w:r>
      <w:r>
        <w:rPr>
          <w:rFonts w:ascii="Söhne" w:hAnsi="Söhne" w:cs="Arial"/>
          <w:smallCaps/>
          <w:sz w:val="18"/>
          <w:szCs w:val="18"/>
          <w:u w:val="double"/>
          <w:lang w:val="en-US" w:eastAsia="en-GB"/>
        </w:rPr>
        <w:t xml:space="preserve"> &amp;</w:t>
      </w:r>
      <w:r w:rsidRPr="003F4B0C">
        <w:rPr>
          <w:rFonts w:ascii="Söhne" w:hAnsi="Söhne" w:cs="Arial"/>
          <w:smallCaps/>
          <w:sz w:val="18"/>
          <w:szCs w:val="18"/>
          <w:u w:val="double"/>
          <w:lang w:val="en-US" w:eastAsia="en-GB"/>
        </w:rPr>
        <w:t xml:space="preserve"> Nel L. H. </w:t>
      </w:r>
      <w:r w:rsidRPr="003F4B0C">
        <w:rPr>
          <w:rFonts w:ascii="Söhne" w:hAnsi="Söhne" w:cs="Arial"/>
          <w:sz w:val="18"/>
          <w:szCs w:val="18"/>
          <w:u w:val="double"/>
          <w:lang w:val="en-US" w:eastAsia="en-GB"/>
        </w:rPr>
        <w:t xml:space="preserve">(2009). Evaluation of a rapid immunodiagnostic test kit for detection of African lyssaviruses from brain material. </w:t>
      </w:r>
      <w:proofErr w:type="spellStart"/>
      <w:r w:rsidRPr="003F4B0C">
        <w:rPr>
          <w:rFonts w:ascii="Söhne" w:hAnsi="Söhne" w:cs="Arial"/>
          <w:i/>
          <w:iCs/>
          <w:sz w:val="18"/>
          <w:szCs w:val="18"/>
          <w:u w:val="double"/>
          <w:lang w:val="en-IE" w:eastAsia="en-GB"/>
        </w:rPr>
        <w:t>Onderstepoort</w:t>
      </w:r>
      <w:proofErr w:type="spellEnd"/>
      <w:r w:rsidRPr="003F4B0C">
        <w:rPr>
          <w:rFonts w:ascii="Söhne" w:hAnsi="Söhne" w:cs="Arial"/>
          <w:i/>
          <w:iCs/>
          <w:sz w:val="18"/>
          <w:szCs w:val="18"/>
          <w:u w:val="double"/>
          <w:lang w:val="en-IE" w:eastAsia="en-GB"/>
        </w:rPr>
        <w:t xml:space="preserve"> J. Vet. Res</w:t>
      </w:r>
      <w:r>
        <w:rPr>
          <w:rFonts w:ascii="Söhne" w:hAnsi="Söhne" w:cs="Arial"/>
          <w:sz w:val="18"/>
          <w:szCs w:val="18"/>
          <w:u w:val="double"/>
          <w:lang w:val="en-IE" w:eastAsia="en-GB"/>
        </w:rPr>
        <w:t>.,</w:t>
      </w:r>
      <w:r w:rsidRPr="003F4B0C">
        <w:rPr>
          <w:rFonts w:ascii="Söhne" w:hAnsi="Söhne" w:cs="Arial"/>
          <w:sz w:val="18"/>
          <w:szCs w:val="18"/>
          <w:u w:val="double"/>
          <w:lang w:val="en-IE" w:eastAsia="en-GB"/>
        </w:rPr>
        <w:t xml:space="preserve"> </w:t>
      </w:r>
      <w:r w:rsidRPr="003F4B0C">
        <w:rPr>
          <w:rFonts w:ascii="Söhne" w:hAnsi="Söhne" w:cs="Arial"/>
          <w:b/>
          <w:bCs/>
          <w:sz w:val="18"/>
          <w:szCs w:val="18"/>
          <w:u w:val="double"/>
          <w:lang w:val="en-IE" w:eastAsia="en-GB"/>
        </w:rPr>
        <w:t>76</w:t>
      </w:r>
      <w:r w:rsidRPr="003F4B0C">
        <w:rPr>
          <w:rFonts w:ascii="Söhne" w:hAnsi="Söhne" w:cs="Arial"/>
          <w:sz w:val="18"/>
          <w:szCs w:val="18"/>
          <w:u w:val="double"/>
          <w:lang w:val="en-IE" w:eastAsia="en-GB"/>
        </w:rPr>
        <w:t>, 257</w:t>
      </w:r>
      <w:r>
        <w:rPr>
          <w:rFonts w:ascii="Söhne" w:hAnsi="Söhne" w:cs="Arial"/>
          <w:sz w:val="18"/>
          <w:szCs w:val="18"/>
          <w:u w:val="double"/>
          <w:lang w:val="en-IE" w:eastAsia="en-GB"/>
        </w:rPr>
        <w:t>–</w:t>
      </w:r>
      <w:r w:rsidRPr="003F4B0C">
        <w:rPr>
          <w:rFonts w:ascii="Söhne" w:hAnsi="Söhne" w:cs="Arial"/>
          <w:sz w:val="18"/>
          <w:szCs w:val="18"/>
          <w:u w:val="double"/>
          <w:lang w:val="en-IE" w:eastAsia="en-GB"/>
        </w:rPr>
        <w:t>262.</w:t>
      </w:r>
    </w:p>
    <w:p w14:paraId="45F7CC07" w14:textId="77777777" w:rsidR="005B0077" w:rsidRPr="001A6CB2" w:rsidRDefault="005B0077" w:rsidP="005B0077">
      <w:pPr>
        <w:spacing w:after="240" w:line="240" w:lineRule="auto"/>
        <w:rPr>
          <w:rFonts w:ascii="Söhne" w:hAnsi="Söhne" w:cs="Arial"/>
          <w:sz w:val="18"/>
          <w:szCs w:val="18"/>
          <w:lang w:val="en-IE"/>
        </w:rPr>
      </w:pPr>
      <w:r w:rsidRPr="001A6CB2">
        <w:rPr>
          <w:rFonts w:ascii="Söhne" w:hAnsi="Söhne" w:cs="Arial"/>
          <w:smallCaps/>
          <w:sz w:val="18"/>
          <w:szCs w:val="18"/>
          <w:lang w:val="en-IE"/>
        </w:rPr>
        <w:t xml:space="preserve">Madhusudana S.N., Subha S., </w:t>
      </w:r>
      <w:proofErr w:type="spellStart"/>
      <w:r w:rsidRPr="001A6CB2">
        <w:rPr>
          <w:rFonts w:ascii="Söhne" w:hAnsi="Söhne" w:cs="Arial"/>
          <w:smallCaps/>
          <w:sz w:val="18"/>
          <w:szCs w:val="18"/>
          <w:lang w:val="en-IE"/>
        </w:rPr>
        <w:t>Thankappan</w:t>
      </w:r>
      <w:proofErr w:type="spellEnd"/>
      <w:r w:rsidRPr="001A6CB2">
        <w:rPr>
          <w:rFonts w:ascii="Söhne" w:hAnsi="Söhne" w:cs="Arial"/>
          <w:smallCaps/>
          <w:sz w:val="18"/>
          <w:szCs w:val="18"/>
          <w:lang w:val="en-IE"/>
        </w:rPr>
        <w:t xml:space="preserve"> U. &amp; Ashwin Y.B.</w:t>
      </w:r>
      <w:r w:rsidRPr="001A6CB2">
        <w:rPr>
          <w:rFonts w:ascii="Söhne" w:hAnsi="Söhne" w:cs="Arial"/>
          <w:sz w:val="18"/>
          <w:szCs w:val="18"/>
          <w:lang w:val="en-IE"/>
        </w:rPr>
        <w:t xml:space="preserve"> (2012). Evaluation of a direct rapid immunohistochemical test (</w:t>
      </w:r>
      <w:proofErr w:type="spellStart"/>
      <w:r w:rsidRPr="001A6CB2">
        <w:rPr>
          <w:rFonts w:ascii="Söhne" w:hAnsi="Söhne" w:cs="Arial"/>
          <w:sz w:val="18"/>
          <w:szCs w:val="18"/>
          <w:lang w:val="en-IE"/>
        </w:rPr>
        <w:t>dRIT</w:t>
      </w:r>
      <w:proofErr w:type="spellEnd"/>
      <w:r w:rsidRPr="001A6CB2">
        <w:rPr>
          <w:rFonts w:ascii="Söhne" w:hAnsi="Söhne" w:cs="Arial"/>
          <w:sz w:val="18"/>
          <w:szCs w:val="18"/>
          <w:lang w:val="en-IE"/>
        </w:rPr>
        <w:t xml:space="preserve">) for rapid diagnosis of rabies in animals and humans. </w:t>
      </w:r>
      <w:r w:rsidRPr="001A6CB2">
        <w:rPr>
          <w:rFonts w:ascii="Söhne" w:hAnsi="Söhne" w:cs="Arial"/>
          <w:i/>
          <w:sz w:val="18"/>
          <w:szCs w:val="18"/>
          <w:lang w:val="en-IE"/>
        </w:rPr>
        <w:t>Virol. Sin</w:t>
      </w:r>
      <w:r w:rsidRPr="001A6CB2">
        <w:rPr>
          <w:rFonts w:ascii="Söhne" w:hAnsi="Söhne" w:cs="Arial"/>
          <w:sz w:val="18"/>
          <w:szCs w:val="18"/>
          <w:lang w:val="en-IE"/>
        </w:rPr>
        <w:t xml:space="preserve">., </w:t>
      </w:r>
      <w:r w:rsidRPr="001A6CB2">
        <w:rPr>
          <w:rFonts w:ascii="Söhne" w:hAnsi="Söhne" w:cs="Arial"/>
          <w:b/>
          <w:sz w:val="18"/>
          <w:szCs w:val="18"/>
          <w:lang w:val="en-IE"/>
        </w:rPr>
        <w:t>27</w:t>
      </w:r>
      <w:r w:rsidRPr="001A6CB2">
        <w:rPr>
          <w:rFonts w:ascii="Söhne" w:hAnsi="Söhne" w:cs="Arial"/>
          <w:sz w:val="18"/>
          <w:szCs w:val="18"/>
          <w:lang w:val="en-IE"/>
        </w:rPr>
        <w:t xml:space="preserve">, 299–302. </w:t>
      </w:r>
    </w:p>
    <w:p w14:paraId="4E5AFEDC" w14:textId="77777777" w:rsidR="005B0077" w:rsidRPr="001A6CB2" w:rsidRDefault="005B0077" w:rsidP="005B0077">
      <w:pPr>
        <w:pStyle w:val="Ref"/>
      </w:pPr>
      <w:r w:rsidRPr="001A6CB2">
        <w:rPr>
          <w:smallCaps/>
        </w:rPr>
        <w:t>McElhinney L.M., Marston D.A., Brookes S.M. &amp; Fooks A.R</w:t>
      </w:r>
      <w:r w:rsidRPr="001A6CB2">
        <w:t xml:space="preserve">. (2014). Effects of carcase decomposition on rabies virus infectivity and detection. </w:t>
      </w:r>
      <w:r w:rsidRPr="001A6CB2">
        <w:rPr>
          <w:i/>
        </w:rPr>
        <w:t>J. Virol. Methods</w:t>
      </w:r>
      <w:r w:rsidRPr="001A6CB2">
        <w:t xml:space="preserve">, </w:t>
      </w:r>
      <w:r w:rsidRPr="001A6CB2">
        <w:rPr>
          <w:b/>
        </w:rPr>
        <w:t>207</w:t>
      </w:r>
      <w:r w:rsidRPr="001A6CB2">
        <w:t>, 110–113.</w:t>
      </w:r>
    </w:p>
    <w:p w14:paraId="13F0215B" w14:textId="77777777" w:rsidR="005B0077" w:rsidRPr="001A6CB2" w:rsidRDefault="005B0077" w:rsidP="005B0077">
      <w:pPr>
        <w:pStyle w:val="StyleRefPetitesmajuscules"/>
        <w:rPr>
          <w:smallCaps w:val="0"/>
          <w:lang w:val="de-DE"/>
        </w:rPr>
      </w:pPr>
      <w:r w:rsidRPr="001A6CB2">
        <w:t xml:space="preserve">Montano Hirose J.A., </w:t>
      </w:r>
      <w:proofErr w:type="spellStart"/>
      <w:r w:rsidRPr="001A6CB2">
        <w:t>Bourhy</w:t>
      </w:r>
      <w:proofErr w:type="spellEnd"/>
      <w:r w:rsidRPr="001A6CB2">
        <w:t xml:space="preserve"> H. &amp; </w:t>
      </w:r>
      <w:proofErr w:type="spellStart"/>
      <w:r w:rsidRPr="001A6CB2">
        <w:t>Sureau</w:t>
      </w:r>
      <w:proofErr w:type="spellEnd"/>
      <w:r w:rsidRPr="001A6CB2">
        <w:t xml:space="preserve"> P. (1991). </w:t>
      </w:r>
      <w:r w:rsidRPr="001A6CB2">
        <w:rPr>
          <w:smallCaps w:val="0"/>
        </w:rPr>
        <w:t xml:space="preserve">Retro-orbital route for brain specimen collection for rabies diagnosis. </w:t>
      </w:r>
      <w:r w:rsidRPr="001A6CB2">
        <w:rPr>
          <w:i/>
          <w:smallCaps w:val="0"/>
          <w:lang w:val="de-DE"/>
        </w:rPr>
        <w:t>Vet. Rec</w:t>
      </w:r>
      <w:r w:rsidRPr="001A6CB2">
        <w:rPr>
          <w:smallCaps w:val="0"/>
          <w:lang w:val="de-DE"/>
        </w:rPr>
        <w:t xml:space="preserve">., </w:t>
      </w:r>
      <w:r w:rsidRPr="001A6CB2">
        <w:rPr>
          <w:b/>
          <w:smallCaps w:val="0"/>
          <w:lang w:val="de-DE"/>
        </w:rPr>
        <w:t>129</w:t>
      </w:r>
      <w:r w:rsidRPr="001A6CB2">
        <w:rPr>
          <w:smallCaps w:val="0"/>
          <w:lang w:val="de-DE"/>
        </w:rPr>
        <w:t>, 291–292.</w:t>
      </w:r>
    </w:p>
    <w:p w14:paraId="7E3C54F4" w14:textId="77777777" w:rsidR="008C5443" w:rsidRPr="001A6CB2" w:rsidRDefault="008C5443" w:rsidP="00D70EFE">
      <w:pPr>
        <w:pStyle w:val="StyleRefPetitesmajuscules"/>
        <w:rPr>
          <w:lang w:val="en-US"/>
        </w:rPr>
      </w:pPr>
      <w:r w:rsidRPr="001A6CB2">
        <w:rPr>
          <w:lang w:val="de-DE"/>
        </w:rPr>
        <w:t>Moore S., Gilbert A., Vos A., Freuling C.M., Ellis C., Kliemt J.</w:t>
      </w:r>
      <w:r w:rsidR="001E1348" w:rsidRPr="001A6CB2">
        <w:rPr>
          <w:lang w:val="de-DE"/>
        </w:rPr>
        <w:t xml:space="preserve"> &amp;</w:t>
      </w:r>
      <w:r w:rsidRPr="001A6CB2">
        <w:rPr>
          <w:lang w:val="de-DE"/>
        </w:rPr>
        <w:t xml:space="preserve"> Müller T. (2017). </w:t>
      </w:r>
      <w:r w:rsidRPr="001A6CB2">
        <w:rPr>
          <w:smallCaps w:val="0"/>
          <w:lang w:val="en-US"/>
        </w:rPr>
        <w:t xml:space="preserve">Review of rabies virus antibodies from oral vaccination as a correlate of protection against lethal infection in animals. </w:t>
      </w:r>
      <w:r w:rsidRPr="001A6CB2">
        <w:rPr>
          <w:i/>
          <w:smallCaps w:val="0"/>
          <w:lang w:val="en-US"/>
        </w:rPr>
        <w:t>Trop. Med. Infect. Dis</w:t>
      </w:r>
      <w:r w:rsidRPr="001A6CB2">
        <w:rPr>
          <w:smallCaps w:val="0"/>
          <w:lang w:val="en-US"/>
        </w:rPr>
        <w:t xml:space="preserve">., </w:t>
      </w:r>
      <w:r w:rsidRPr="001A6CB2">
        <w:rPr>
          <w:b/>
          <w:smallCaps w:val="0"/>
          <w:lang w:val="en-US"/>
        </w:rPr>
        <w:t>2</w:t>
      </w:r>
      <w:r w:rsidRPr="001A6CB2">
        <w:rPr>
          <w:smallCaps w:val="0"/>
          <w:lang w:val="en-US"/>
        </w:rPr>
        <w:t>, 31.</w:t>
      </w:r>
    </w:p>
    <w:p w14:paraId="6B941DFB" w14:textId="3B450302" w:rsidR="00D70EFE" w:rsidRDefault="00D70EFE" w:rsidP="00D70EFE">
      <w:pPr>
        <w:pStyle w:val="StyleRefPetitesmajuscules"/>
        <w:rPr>
          <w:smallCaps w:val="0"/>
        </w:rPr>
      </w:pPr>
      <w:r w:rsidRPr="001A6CB2">
        <w:rPr>
          <w:lang w:val="en-US"/>
        </w:rPr>
        <w:t xml:space="preserve">Müller T., </w:t>
      </w:r>
      <w:proofErr w:type="spellStart"/>
      <w:r w:rsidRPr="001A6CB2">
        <w:rPr>
          <w:lang w:val="en-US"/>
        </w:rPr>
        <w:t>Bätza</w:t>
      </w:r>
      <w:proofErr w:type="spellEnd"/>
      <w:r w:rsidRPr="001A6CB2">
        <w:rPr>
          <w:lang w:val="en-US"/>
        </w:rPr>
        <w:t xml:space="preserve"> H.J., </w:t>
      </w:r>
      <w:proofErr w:type="spellStart"/>
      <w:r w:rsidRPr="001A6CB2">
        <w:rPr>
          <w:lang w:val="en-US"/>
        </w:rPr>
        <w:t>Beckert</w:t>
      </w:r>
      <w:proofErr w:type="spellEnd"/>
      <w:r w:rsidRPr="001A6CB2">
        <w:rPr>
          <w:lang w:val="en-US"/>
        </w:rPr>
        <w:t xml:space="preserve"> A., </w:t>
      </w:r>
      <w:proofErr w:type="spellStart"/>
      <w:r w:rsidRPr="001A6CB2">
        <w:rPr>
          <w:lang w:val="en-US"/>
        </w:rPr>
        <w:t>Bunzenthal</w:t>
      </w:r>
      <w:proofErr w:type="spellEnd"/>
      <w:r w:rsidRPr="001A6CB2">
        <w:rPr>
          <w:lang w:val="en-US"/>
        </w:rPr>
        <w:t xml:space="preserve"> C., Cox J., Freuling C., Fooks A., Frost J., Geue L., </w:t>
      </w:r>
      <w:proofErr w:type="spellStart"/>
      <w:r w:rsidRPr="001A6CB2">
        <w:rPr>
          <w:lang w:val="en-US"/>
        </w:rPr>
        <w:t>Hoeflechner</w:t>
      </w:r>
      <w:proofErr w:type="spellEnd"/>
      <w:r w:rsidRPr="001A6CB2">
        <w:rPr>
          <w:lang w:val="en-US"/>
        </w:rPr>
        <w:t xml:space="preserve"> A., Marston D., Neubert A., Neubert L., Revilla-Fernandez S., Vanek E., Vos A., </w:t>
      </w:r>
      <w:proofErr w:type="spellStart"/>
      <w:r w:rsidRPr="001A6CB2">
        <w:rPr>
          <w:lang w:val="en-US"/>
        </w:rPr>
        <w:t>Wodak</w:t>
      </w:r>
      <w:proofErr w:type="spellEnd"/>
      <w:r w:rsidRPr="001A6CB2">
        <w:rPr>
          <w:lang w:val="en-US"/>
        </w:rPr>
        <w:t xml:space="preserve"> E., Zimmer K. &amp; Mettenleiter T.</w:t>
      </w:r>
      <w:r w:rsidRPr="001A6CB2">
        <w:rPr>
          <w:smallCaps w:val="0"/>
          <w:lang w:val="en-US"/>
        </w:rPr>
        <w:t xml:space="preserve"> (2009). </w:t>
      </w:r>
      <w:r w:rsidRPr="001A6CB2">
        <w:rPr>
          <w:smallCaps w:val="0"/>
        </w:rPr>
        <w:t>Analysis of vaccine-virus-associated rabies cases in red foxes (</w:t>
      </w:r>
      <w:r w:rsidRPr="001A6CB2">
        <w:rPr>
          <w:i/>
          <w:smallCaps w:val="0"/>
        </w:rPr>
        <w:t>Vulpes vulpes</w:t>
      </w:r>
      <w:r w:rsidRPr="001A6CB2">
        <w:rPr>
          <w:smallCaps w:val="0"/>
        </w:rPr>
        <w:t xml:space="preserve">) after oral rabies vaccination campaigns in Germany and Austria. </w:t>
      </w:r>
      <w:r w:rsidRPr="001A6CB2">
        <w:rPr>
          <w:i/>
          <w:smallCaps w:val="0"/>
        </w:rPr>
        <w:t>Arch</w:t>
      </w:r>
      <w:r w:rsidR="005C2640" w:rsidRPr="001A6CB2">
        <w:rPr>
          <w:i/>
          <w:smallCaps w:val="0"/>
        </w:rPr>
        <w:t>.</w:t>
      </w:r>
      <w:r w:rsidRPr="001A6CB2">
        <w:rPr>
          <w:i/>
          <w:smallCaps w:val="0"/>
        </w:rPr>
        <w:t xml:space="preserve"> Virol., </w:t>
      </w:r>
      <w:r w:rsidRPr="001A6CB2">
        <w:rPr>
          <w:b/>
          <w:smallCaps w:val="0"/>
        </w:rPr>
        <w:t>154</w:t>
      </w:r>
      <w:r w:rsidRPr="001A6CB2">
        <w:rPr>
          <w:smallCaps w:val="0"/>
        </w:rPr>
        <w:t>,</w:t>
      </w:r>
      <w:r w:rsidR="005C2640" w:rsidRPr="001A6CB2">
        <w:rPr>
          <w:smallCaps w:val="0"/>
        </w:rPr>
        <w:t xml:space="preserve"> </w:t>
      </w:r>
      <w:r w:rsidRPr="001A6CB2">
        <w:rPr>
          <w:smallCaps w:val="0"/>
        </w:rPr>
        <w:t>1081</w:t>
      </w:r>
      <w:r w:rsidR="00AE08C3" w:rsidRPr="001A6CB2">
        <w:rPr>
          <w:smallCaps w:val="0"/>
        </w:rPr>
        <w:t>–10</w:t>
      </w:r>
      <w:r w:rsidRPr="001A6CB2">
        <w:rPr>
          <w:smallCaps w:val="0"/>
        </w:rPr>
        <w:t>91.</w:t>
      </w:r>
    </w:p>
    <w:p w14:paraId="76448069" w14:textId="2488E12D" w:rsidR="00634CD2" w:rsidRPr="009E470F" w:rsidRDefault="00634CD2" w:rsidP="00634CD2">
      <w:pPr>
        <w:pStyle w:val="Ref"/>
        <w:rPr>
          <w:u w:val="double"/>
        </w:rPr>
      </w:pPr>
      <w:r w:rsidRPr="009F104D">
        <w:rPr>
          <w:smallCaps/>
          <w:u w:val="double"/>
          <w:lang w:val="en-IE"/>
        </w:rPr>
        <w:t>Müller T. &amp; Freuling C.M</w:t>
      </w:r>
      <w:r w:rsidRPr="009F104D">
        <w:rPr>
          <w:u w:val="double"/>
          <w:lang w:val="en-IE"/>
        </w:rPr>
        <w:t xml:space="preserve">. (2020). </w:t>
      </w:r>
      <w:r w:rsidRPr="00634CD2">
        <w:rPr>
          <w:u w:val="double"/>
        </w:rPr>
        <w:t xml:space="preserve">Rabies Vaccines for Wildlife. </w:t>
      </w:r>
      <w:r w:rsidRPr="00634CD2">
        <w:rPr>
          <w:i/>
          <w:iCs/>
          <w:u w:val="double"/>
          <w:lang w:val="en-IE"/>
        </w:rPr>
        <w:t>In:</w:t>
      </w:r>
      <w:r w:rsidRPr="00634CD2">
        <w:rPr>
          <w:u w:val="double"/>
          <w:lang w:val="en-IE"/>
        </w:rPr>
        <w:t xml:space="preserve"> </w:t>
      </w:r>
      <w:r w:rsidRPr="00634CD2">
        <w:rPr>
          <w:u w:val="double"/>
        </w:rPr>
        <w:t>Rabies and Rabies Vaccines</w:t>
      </w:r>
      <w:r>
        <w:rPr>
          <w:u w:val="double"/>
        </w:rPr>
        <w:t xml:space="preserve">, </w:t>
      </w:r>
      <w:r w:rsidRPr="00634CD2">
        <w:rPr>
          <w:u w:val="double"/>
          <w:lang w:val="en-IE"/>
        </w:rPr>
        <w:t>Hildegund C.J. Ertl, ed</w:t>
      </w:r>
      <w:r w:rsidRPr="00634CD2">
        <w:rPr>
          <w:u w:val="double"/>
        </w:rPr>
        <w:t>. Springer Nature Switzerland AG, Cham, Switzerland, 45–70.</w:t>
      </w:r>
    </w:p>
    <w:p w14:paraId="6191255D" w14:textId="182F2594" w:rsidR="00804357" w:rsidRDefault="00804357" w:rsidP="00D70EFE">
      <w:pPr>
        <w:pStyle w:val="StyleRefPetitesmajuscules"/>
        <w:rPr>
          <w:smallCaps w:val="0"/>
          <w:u w:val="double"/>
          <w:lang w:val="en-US"/>
        </w:rPr>
      </w:pPr>
      <w:r w:rsidRPr="00804357">
        <w:rPr>
          <w:u w:val="double"/>
        </w:rPr>
        <w:t xml:space="preserve">Nishizono A., </w:t>
      </w:r>
      <w:proofErr w:type="spellStart"/>
      <w:r w:rsidRPr="00804357">
        <w:rPr>
          <w:u w:val="double"/>
        </w:rPr>
        <w:t>Khawplod</w:t>
      </w:r>
      <w:proofErr w:type="spellEnd"/>
      <w:r w:rsidRPr="00804357">
        <w:rPr>
          <w:u w:val="double"/>
        </w:rPr>
        <w:t xml:space="preserve"> P., Ahmed K., </w:t>
      </w:r>
      <w:proofErr w:type="spellStart"/>
      <w:r w:rsidRPr="00804357">
        <w:rPr>
          <w:u w:val="double"/>
        </w:rPr>
        <w:t>Goto</w:t>
      </w:r>
      <w:proofErr w:type="spellEnd"/>
      <w:r w:rsidRPr="00804357">
        <w:rPr>
          <w:u w:val="double"/>
        </w:rPr>
        <w:t xml:space="preserve"> K., Shiota S., Mifune K., Yasui</w:t>
      </w:r>
      <w:r>
        <w:rPr>
          <w:u w:val="double"/>
        </w:rPr>
        <w:t xml:space="preserve"> </w:t>
      </w:r>
      <w:r w:rsidRPr="00804357">
        <w:rPr>
          <w:u w:val="double"/>
        </w:rPr>
        <w:t xml:space="preserve">T., Takayama K., Kobayashi Y., Mannen K., </w:t>
      </w:r>
      <w:proofErr w:type="spellStart"/>
      <w:r w:rsidRPr="00804357">
        <w:rPr>
          <w:u w:val="double"/>
        </w:rPr>
        <w:t>Tepsumethanon</w:t>
      </w:r>
      <w:proofErr w:type="spellEnd"/>
      <w:r>
        <w:rPr>
          <w:u w:val="double"/>
        </w:rPr>
        <w:t xml:space="preserve"> </w:t>
      </w:r>
      <w:r w:rsidRPr="00804357">
        <w:rPr>
          <w:u w:val="double"/>
        </w:rPr>
        <w:t xml:space="preserve">V., </w:t>
      </w:r>
      <w:proofErr w:type="spellStart"/>
      <w:r w:rsidRPr="00804357">
        <w:rPr>
          <w:u w:val="double"/>
        </w:rPr>
        <w:t>Mitmoonpitak</w:t>
      </w:r>
      <w:proofErr w:type="spellEnd"/>
      <w:r w:rsidRPr="00804357">
        <w:rPr>
          <w:u w:val="double"/>
        </w:rPr>
        <w:t xml:space="preserve"> C., Inoue S. &amp; Morimoto K. (2008). </w:t>
      </w:r>
      <w:r w:rsidRPr="00804357">
        <w:rPr>
          <w:smallCaps w:val="0"/>
          <w:u w:val="double"/>
          <w:lang w:val="en-US"/>
        </w:rPr>
        <w:t xml:space="preserve">A simple and rapid immunochromatographic test kit for rabies diagnosis. </w:t>
      </w:r>
      <w:proofErr w:type="spellStart"/>
      <w:r w:rsidRPr="00804357">
        <w:rPr>
          <w:i/>
          <w:smallCaps w:val="0"/>
          <w:u w:val="double"/>
          <w:lang w:val="en-US"/>
        </w:rPr>
        <w:t>Microbiol</w:t>
      </w:r>
      <w:proofErr w:type="spellEnd"/>
      <w:r w:rsidRPr="00804357">
        <w:rPr>
          <w:i/>
          <w:smallCaps w:val="0"/>
          <w:u w:val="double"/>
          <w:lang w:val="en-US"/>
        </w:rPr>
        <w:t>. Immun.</w:t>
      </w:r>
      <w:r w:rsidR="00CE7CDA">
        <w:rPr>
          <w:i/>
          <w:smallCaps w:val="0"/>
          <w:u w:val="double"/>
          <w:lang w:val="en-US"/>
        </w:rPr>
        <w:t>,</w:t>
      </w:r>
      <w:r w:rsidRPr="00804357">
        <w:rPr>
          <w:smallCaps w:val="0"/>
          <w:u w:val="double"/>
          <w:lang w:val="en-US"/>
        </w:rPr>
        <w:t xml:space="preserve"> </w:t>
      </w:r>
      <w:r w:rsidRPr="00804357">
        <w:rPr>
          <w:b/>
          <w:smallCaps w:val="0"/>
          <w:u w:val="double"/>
          <w:lang w:val="en-US"/>
        </w:rPr>
        <w:t>52</w:t>
      </w:r>
      <w:r w:rsidRPr="00804357">
        <w:rPr>
          <w:smallCaps w:val="0"/>
          <w:u w:val="double"/>
          <w:lang w:val="en-US"/>
        </w:rPr>
        <w:t>, 243–249.</w:t>
      </w:r>
    </w:p>
    <w:p w14:paraId="70EEFB43" w14:textId="50C3BD03" w:rsidR="001B3C29" w:rsidRPr="001B3C29" w:rsidRDefault="001B3C29" w:rsidP="001B3C29">
      <w:pPr>
        <w:pStyle w:val="Ref"/>
        <w:rPr>
          <w:u w:val="double"/>
          <w:shd w:val="clear" w:color="auto" w:fill="FFFFFF"/>
          <w:lang w:val="en-US" w:eastAsia="en-IE"/>
        </w:rPr>
      </w:pPr>
      <w:r w:rsidRPr="001B3C29">
        <w:rPr>
          <w:smallCaps/>
          <w:u w:val="double"/>
          <w:shd w:val="clear" w:color="auto" w:fill="FFFFFF"/>
          <w:lang w:val="en-US"/>
        </w:rPr>
        <w:t>Patrick E.M., Bjorklund B.M., Kirby J.D., Nelson K.M., Chipman R.B. &amp; Rupprecht C.E.</w:t>
      </w:r>
      <w:r w:rsidRPr="001B3C29">
        <w:rPr>
          <w:u w:val="double"/>
          <w:shd w:val="clear" w:color="auto" w:fill="FFFFFF"/>
          <w:lang w:val="en-US"/>
        </w:rPr>
        <w:t xml:space="preserve"> </w:t>
      </w:r>
      <w:r>
        <w:rPr>
          <w:u w:val="double"/>
          <w:shd w:val="clear" w:color="auto" w:fill="FFFFFF"/>
          <w:lang w:val="en-US"/>
        </w:rPr>
        <w:t xml:space="preserve">(2019). </w:t>
      </w:r>
      <w:r w:rsidRPr="001B3C29">
        <w:rPr>
          <w:u w:val="double"/>
          <w:shd w:val="clear" w:color="auto" w:fill="FFFFFF"/>
          <w:lang w:val="en-US"/>
        </w:rPr>
        <w:t xml:space="preserve">Enhanced Rabies Surveillance Using a Direct Rapid Immunohistochemical Test. </w:t>
      </w:r>
      <w:r w:rsidRPr="001B3C29">
        <w:rPr>
          <w:i/>
          <w:iCs/>
          <w:u w:val="double"/>
          <w:shd w:val="clear" w:color="auto" w:fill="FFFFFF"/>
          <w:lang w:val="en-US"/>
        </w:rPr>
        <w:t>J. Vis. Exp</w:t>
      </w:r>
      <w:r w:rsidRPr="001B3C29">
        <w:rPr>
          <w:u w:val="double"/>
          <w:shd w:val="clear" w:color="auto" w:fill="FFFFFF"/>
          <w:lang w:val="en-US"/>
        </w:rPr>
        <w:t>.</w:t>
      </w:r>
      <w:r>
        <w:rPr>
          <w:u w:val="double"/>
          <w:shd w:val="clear" w:color="auto" w:fill="FFFFFF"/>
          <w:lang w:val="en-US"/>
        </w:rPr>
        <w:t>,</w:t>
      </w:r>
      <w:r w:rsidRPr="001B3C29">
        <w:rPr>
          <w:u w:val="double"/>
          <w:shd w:val="clear" w:color="auto" w:fill="FFFFFF"/>
          <w:lang w:val="en-US"/>
        </w:rPr>
        <w:t xml:space="preserve"> 146. </w:t>
      </w:r>
      <w:proofErr w:type="spellStart"/>
      <w:r w:rsidRPr="001B3C29">
        <w:rPr>
          <w:u w:val="double"/>
          <w:shd w:val="clear" w:color="auto" w:fill="FFFFFF"/>
          <w:lang w:val="en-US"/>
        </w:rPr>
        <w:t>doi</w:t>
      </w:r>
      <w:proofErr w:type="spellEnd"/>
      <w:r w:rsidRPr="001B3C29">
        <w:rPr>
          <w:u w:val="double"/>
          <w:shd w:val="clear" w:color="auto" w:fill="FFFFFF"/>
          <w:lang w:val="en-US"/>
        </w:rPr>
        <w:t>: 10.3791/59416. PMID: 31107436.</w:t>
      </w:r>
    </w:p>
    <w:p w14:paraId="2C4F2470" w14:textId="77777777" w:rsidR="00DB4D50" w:rsidRPr="001A6CB2" w:rsidRDefault="00DB4D50" w:rsidP="005B0077">
      <w:pPr>
        <w:pStyle w:val="StyleRefPetitesmajuscules"/>
      </w:pPr>
      <w:r w:rsidRPr="001A6CB2">
        <w:t xml:space="preserve">Pfaff F., Müller T., Freuling C.M., Fehlner-Gardiner C., Nadin-Davis S., </w:t>
      </w:r>
      <w:proofErr w:type="spellStart"/>
      <w:r w:rsidRPr="001A6CB2">
        <w:t>Robardet</w:t>
      </w:r>
      <w:proofErr w:type="spellEnd"/>
      <w:r w:rsidRPr="001A6CB2">
        <w:t xml:space="preserve"> E., </w:t>
      </w:r>
      <w:proofErr w:type="spellStart"/>
      <w:r w:rsidRPr="001A6CB2">
        <w:t>Cliquet</w:t>
      </w:r>
      <w:proofErr w:type="spellEnd"/>
      <w:r w:rsidRPr="001A6CB2">
        <w:t xml:space="preserve"> F., Vuta V., Hostnik P., Mett</w:t>
      </w:r>
      <w:r w:rsidR="00AC5165" w:rsidRPr="001A6CB2">
        <w:t xml:space="preserve">enleiter T.C., Beer M. &amp; </w:t>
      </w:r>
      <w:proofErr w:type="spellStart"/>
      <w:r w:rsidR="00AC5165" w:rsidRPr="001A6CB2">
        <w:t>Höper</w:t>
      </w:r>
      <w:proofErr w:type="spellEnd"/>
      <w:r w:rsidRPr="001A6CB2">
        <w:t xml:space="preserve"> D</w:t>
      </w:r>
      <w:r w:rsidR="00AC5165" w:rsidRPr="001A6CB2">
        <w:t>.</w:t>
      </w:r>
      <w:r w:rsidRPr="001A6CB2">
        <w:t xml:space="preserve"> </w:t>
      </w:r>
      <w:r w:rsidR="00AC5165" w:rsidRPr="001A6CB2">
        <w:t>(</w:t>
      </w:r>
      <w:r w:rsidRPr="001A6CB2">
        <w:t>2018</w:t>
      </w:r>
      <w:r w:rsidR="00AC5165" w:rsidRPr="001A6CB2">
        <w:t>)</w:t>
      </w:r>
      <w:r w:rsidRPr="001A6CB2">
        <w:t xml:space="preserve">. </w:t>
      </w:r>
      <w:r w:rsidRPr="001A6CB2">
        <w:rPr>
          <w:smallCaps w:val="0"/>
        </w:rPr>
        <w:t xml:space="preserve">In-depth genome analyses of viruses from vaccine-derived rabies cases and corresponding live-attenuated oral rabies vaccines. </w:t>
      </w:r>
      <w:r w:rsidRPr="001A6CB2">
        <w:rPr>
          <w:i/>
          <w:smallCaps w:val="0"/>
        </w:rPr>
        <w:t>Vaccine</w:t>
      </w:r>
      <w:r w:rsidRPr="001A6CB2">
        <w:rPr>
          <w:smallCaps w:val="0"/>
        </w:rPr>
        <w:t xml:space="preserve">, </w:t>
      </w:r>
      <w:proofErr w:type="spellStart"/>
      <w:r w:rsidRPr="001A6CB2">
        <w:rPr>
          <w:b/>
          <w:smallCaps w:val="0"/>
        </w:rPr>
        <w:t>pii</w:t>
      </w:r>
      <w:proofErr w:type="spellEnd"/>
      <w:r w:rsidR="00AC5165" w:rsidRPr="001A6CB2">
        <w:rPr>
          <w:smallCaps w:val="0"/>
        </w:rPr>
        <w:t>,</w:t>
      </w:r>
      <w:r w:rsidRPr="001A6CB2">
        <w:rPr>
          <w:smallCaps w:val="0"/>
        </w:rPr>
        <w:t xml:space="preserve"> S0264-410X(18)30156-7. </w:t>
      </w:r>
      <w:proofErr w:type="spellStart"/>
      <w:r w:rsidRPr="001A6CB2">
        <w:rPr>
          <w:smallCaps w:val="0"/>
        </w:rPr>
        <w:t>doi</w:t>
      </w:r>
      <w:proofErr w:type="spellEnd"/>
      <w:r w:rsidRPr="001A6CB2">
        <w:rPr>
          <w:smallCaps w:val="0"/>
        </w:rPr>
        <w:t>: 10.1016/j.vaccine.2018.01.083.</w:t>
      </w:r>
    </w:p>
    <w:p w14:paraId="7335B912" w14:textId="77777777" w:rsidR="005B0077" w:rsidRPr="001A6CB2" w:rsidRDefault="005B0077" w:rsidP="005B0077">
      <w:pPr>
        <w:pStyle w:val="StyleRefPetitesmajuscules"/>
        <w:rPr>
          <w:lang w:eastAsia="en-GB"/>
        </w:rPr>
      </w:pPr>
      <w:r w:rsidRPr="001A6CB2">
        <w:t xml:space="preserve">Picard-Meyer E., Barrat J. &amp; </w:t>
      </w:r>
      <w:proofErr w:type="spellStart"/>
      <w:r w:rsidRPr="001A6CB2">
        <w:t>Cliquet</w:t>
      </w:r>
      <w:proofErr w:type="spellEnd"/>
      <w:r w:rsidRPr="001A6CB2">
        <w:t xml:space="preserve"> F. (2007).</w:t>
      </w:r>
      <w:r w:rsidRPr="001A6CB2">
        <w:rPr>
          <w:lang w:eastAsia="en-GB"/>
        </w:rPr>
        <w:t xml:space="preserve"> </w:t>
      </w:r>
      <w:r w:rsidRPr="001A6CB2">
        <w:rPr>
          <w:smallCaps w:val="0"/>
          <w:lang w:eastAsia="en-GB"/>
        </w:rPr>
        <w:t xml:space="preserve">Use of filter paper (FTA) technology for sampling, recovery and molecular characterisation of rabies viruses. </w:t>
      </w:r>
      <w:r w:rsidRPr="001A6CB2">
        <w:rPr>
          <w:i/>
          <w:smallCaps w:val="0"/>
          <w:lang w:eastAsia="en-GB"/>
        </w:rPr>
        <w:t>J. Virol. Methods</w:t>
      </w:r>
      <w:r w:rsidRPr="001A6CB2">
        <w:rPr>
          <w:smallCaps w:val="0"/>
          <w:lang w:eastAsia="en-GB"/>
        </w:rPr>
        <w:t xml:space="preserve">, </w:t>
      </w:r>
      <w:r w:rsidRPr="001A6CB2">
        <w:rPr>
          <w:b/>
          <w:bCs/>
          <w:smallCaps w:val="0"/>
          <w:lang w:eastAsia="en-GB"/>
        </w:rPr>
        <w:t>140</w:t>
      </w:r>
      <w:r w:rsidRPr="001A6CB2">
        <w:rPr>
          <w:smallCaps w:val="0"/>
          <w:lang w:eastAsia="en-GB"/>
        </w:rPr>
        <w:t>, 174–182</w:t>
      </w:r>
      <w:r w:rsidRPr="001A6CB2">
        <w:rPr>
          <w:lang w:eastAsia="en-GB"/>
        </w:rPr>
        <w:t>.</w:t>
      </w:r>
    </w:p>
    <w:p w14:paraId="6F09E651" w14:textId="77777777" w:rsidR="00A11CAC" w:rsidRPr="001A6CB2" w:rsidRDefault="00A11CAC" w:rsidP="00A11CAC">
      <w:pPr>
        <w:pStyle w:val="Ref"/>
      </w:pPr>
      <w:proofErr w:type="spellStart"/>
      <w:r w:rsidRPr="001A6CB2">
        <w:rPr>
          <w:smallCaps/>
          <w:lang w:val="en-IE"/>
        </w:rPr>
        <w:t>Robardet</w:t>
      </w:r>
      <w:proofErr w:type="spellEnd"/>
      <w:r w:rsidRPr="001A6CB2">
        <w:rPr>
          <w:smallCaps/>
          <w:lang w:val="en-IE"/>
        </w:rPr>
        <w:t xml:space="preserve"> E., Picard-Meyer E., Andrieu S., Servat A. &amp; </w:t>
      </w:r>
      <w:proofErr w:type="spellStart"/>
      <w:r w:rsidRPr="001A6CB2">
        <w:rPr>
          <w:smallCaps/>
          <w:lang w:val="en-IE"/>
        </w:rPr>
        <w:t>Cliquet</w:t>
      </w:r>
      <w:proofErr w:type="spellEnd"/>
      <w:r w:rsidRPr="001A6CB2">
        <w:rPr>
          <w:smallCaps/>
          <w:lang w:val="en-IE"/>
        </w:rPr>
        <w:t xml:space="preserve"> F.</w:t>
      </w:r>
      <w:r w:rsidRPr="001A6CB2">
        <w:rPr>
          <w:lang w:val="en-IE"/>
        </w:rPr>
        <w:t xml:space="preserve"> (2011). </w:t>
      </w:r>
      <w:r w:rsidRPr="001A6CB2">
        <w:t xml:space="preserve">International interlaboratory trials on rabies diagnosis: an overview of results and variation in reference diagnosis techniques (fluorescent antibody test, rabies tissue culture infection test, mouse inoculation test) and molecular biology techniques. </w:t>
      </w:r>
      <w:r w:rsidRPr="001A6CB2">
        <w:rPr>
          <w:i/>
        </w:rPr>
        <w:t>J. Virol. Methods</w:t>
      </w:r>
      <w:r w:rsidRPr="001A6CB2">
        <w:t xml:space="preserve">, </w:t>
      </w:r>
      <w:r w:rsidRPr="001A6CB2">
        <w:rPr>
          <w:b/>
        </w:rPr>
        <w:t>177</w:t>
      </w:r>
      <w:r w:rsidRPr="001A6CB2">
        <w:t xml:space="preserve">, 15–25. </w:t>
      </w:r>
    </w:p>
    <w:p w14:paraId="69D59826" w14:textId="77777777" w:rsidR="005B0077" w:rsidRPr="001A6CB2" w:rsidRDefault="005B0077" w:rsidP="005B0077">
      <w:pPr>
        <w:pStyle w:val="Ref"/>
        <w:rPr>
          <w:lang w:eastAsia="en-GB"/>
        </w:rPr>
      </w:pPr>
      <w:r w:rsidRPr="001A6CB2">
        <w:rPr>
          <w:smallCaps/>
          <w:lang w:eastAsia="en-GB"/>
        </w:rPr>
        <w:t>Roess A.A., Rea N., Lederman E., Dato V., Chipman R., Slate D., Reynolds M.G., Damon I.K. &amp; Rupprecht C.E.</w:t>
      </w:r>
      <w:r w:rsidRPr="001A6CB2">
        <w:rPr>
          <w:lang w:eastAsia="en-GB"/>
        </w:rPr>
        <w:t xml:space="preserve"> (2012). National surveillance for human and pet contact with oral rabies vaccine baits, 2001–2009. </w:t>
      </w:r>
      <w:r w:rsidRPr="001A6CB2">
        <w:rPr>
          <w:i/>
          <w:lang w:eastAsia="en-GB"/>
        </w:rPr>
        <w:t>J. Am. Vet. Med. Assoc.</w:t>
      </w:r>
      <w:r w:rsidRPr="001A6CB2">
        <w:rPr>
          <w:lang w:eastAsia="en-GB"/>
        </w:rPr>
        <w:t xml:space="preserve">, </w:t>
      </w:r>
      <w:r w:rsidRPr="001A6CB2">
        <w:rPr>
          <w:b/>
          <w:lang w:eastAsia="en-GB"/>
        </w:rPr>
        <w:t>240</w:t>
      </w:r>
      <w:r w:rsidRPr="001A6CB2">
        <w:rPr>
          <w:lang w:eastAsia="en-GB"/>
        </w:rPr>
        <w:t>, 163–168.</w:t>
      </w:r>
    </w:p>
    <w:p w14:paraId="423AEB35" w14:textId="77777777" w:rsidR="005B0077" w:rsidRPr="001A6CB2" w:rsidRDefault="005B0077" w:rsidP="005B0077">
      <w:pPr>
        <w:pStyle w:val="StyleRefPetitesmajuscules"/>
      </w:pPr>
      <w:r w:rsidRPr="001A6CB2">
        <w:t xml:space="preserve">Rudd R.J. &amp; </w:t>
      </w:r>
      <w:proofErr w:type="spellStart"/>
      <w:r w:rsidRPr="001A6CB2">
        <w:t>Trimachi</w:t>
      </w:r>
      <w:proofErr w:type="spellEnd"/>
      <w:r w:rsidRPr="001A6CB2">
        <w:t xml:space="preserve"> C.V. (1989). </w:t>
      </w:r>
      <w:r w:rsidRPr="001A6CB2">
        <w:rPr>
          <w:smallCaps w:val="0"/>
          <w:noProof/>
        </w:rPr>
        <w:t xml:space="preserve">Development and evaluation of an </w:t>
      </w:r>
      <w:r w:rsidRPr="001A6CB2">
        <w:rPr>
          <w:i/>
          <w:smallCaps w:val="0"/>
          <w:noProof/>
        </w:rPr>
        <w:t>in vitro</w:t>
      </w:r>
      <w:r w:rsidRPr="001A6CB2">
        <w:rPr>
          <w:smallCaps w:val="0"/>
          <w:noProof/>
        </w:rPr>
        <w:t xml:space="preserve"> virus isolation procedure as a replacement for the mouse inoculation test in rabies diagnosis</w:t>
      </w:r>
      <w:r w:rsidRPr="001A6CB2">
        <w:rPr>
          <w:smallCaps w:val="0"/>
        </w:rPr>
        <w:t xml:space="preserve">. </w:t>
      </w:r>
      <w:r w:rsidRPr="001A6CB2">
        <w:rPr>
          <w:i/>
          <w:smallCaps w:val="0"/>
        </w:rPr>
        <w:t xml:space="preserve">J. Clin. </w:t>
      </w:r>
      <w:proofErr w:type="spellStart"/>
      <w:r w:rsidRPr="001A6CB2">
        <w:rPr>
          <w:i/>
          <w:smallCaps w:val="0"/>
        </w:rPr>
        <w:t>Microbiol</w:t>
      </w:r>
      <w:proofErr w:type="spellEnd"/>
      <w:r w:rsidRPr="001A6CB2">
        <w:rPr>
          <w:smallCaps w:val="0"/>
        </w:rPr>
        <w:t xml:space="preserve">., </w:t>
      </w:r>
      <w:r w:rsidRPr="001A6CB2">
        <w:rPr>
          <w:b/>
          <w:smallCaps w:val="0"/>
        </w:rPr>
        <w:t>27</w:t>
      </w:r>
      <w:r w:rsidRPr="001A6CB2">
        <w:rPr>
          <w:smallCaps w:val="0"/>
        </w:rPr>
        <w:t>, 2522–2528</w:t>
      </w:r>
      <w:r w:rsidRPr="001A6CB2">
        <w:t>.</w:t>
      </w:r>
    </w:p>
    <w:p w14:paraId="695E1E54" w14:textId="77777777" w:rsidR="005B0077" w:rsidRPr="001A6CB2" w:rsidRDefault="005B0077" w:rsidP="005B0077">
      <w:pPr>
        <w:spacing w:after="240" w:line="240" w:lineRule="auto"/>
        <w:rPr>
          <w:rFonts w:ascii="Söhne" w:hAnsi="Söhne" w:cs="Arial"/>
          <w:sz w:val="18"/>
          <w:szCs w:val="18"/>
          <w:lang w:val="en-IE"/>
        </w:rPr>
      </w:pPr>
      <w:proofErr w:type="spellStart"/>
      <w:r w:rsidRPr="001A6CB2">
        <w:rPr>
          <w:rFonts w:ascii="Söhne" w:hAnsi="Söhne" w:cs="Arial"/>
          <w:smallCaps/>
          <w:sz w:val="18"/>
          <w:szCs w:val="18"/>
          <w:lang w:val="en-IE"/>
        </w:rPr>
        <w:t>Rupprecht</w:t>
      </w:r>
      <w:proofErr w:type="spellEnd"/>
      <w:r w:rsidRPr="001A6CB2">
        <w:rPr>
          <w:rFonts w:ascii="Söhne" w:hAnsi="Söhne" w:cs="Arial"/>
          <w:smallCaps/>
          <w:sz w:val="18"/>
          <w:szCs w:val="18"/>
          <w:lang w:val="en-IE"/>
        </w:rPr>
        <w:t xml:space="preserve"> C.E., </w:t>
      </w:r>
      <w:proofErr w:type="spellStart"/>
      <w:r w:rsidRPr="001A6CB2">
        <w:rPr>
          <w:rFonts w:ascii="Söhne" w:hAnsi="Söhne" w:cs="Arial"/>
          <w:smallCaps/>
          <w:sz w:val="18"/>
          <w:szCs w:val="18"/>
          <w:lang w:val="en-IE"/>
        </w:rPr>
        <w:t>Cliquet</w:t>
      </w:r>
      <w:proofErr w:type="spellEnd"/>
      <w:r w:rsidRPr="001A6CB2">
        <w:rPr>
          <w:rFonts w:ascii="Söhne" w:hAnsi="Söhne" w:cs="Arial"/>
          <w:smallCaps/>
          <w:sz w:val="18"/>
          <w:szCs w:val="18"/>
          <w:lang w:val="en-IE"/>
        </w:rPr>
        <w:t xml:space="preserve"> F., Fehlner-Gardiner C., Fooks A.R., Mueller T., Sabeta C. &amp; Slate D.</w:t>
      </w:r>
      <w:r w:rsidRPr="001A6CB2">
        <w:rPr>
          <w:rFonts w:ascii="Söhne" w:hAnsi="Söhne" w:cs="Arial"/>
          <w:sz w:val="18"/>
          <w:szCs w:val="18"/>
          <w:lang w:val="en-IE"/>
        </w:rPr>
        <w:t xml:space="preserve"> (2014). Progress in the development of a direct rapid immunohistochemical test for diagnosing rabies. </w:t>
      </w:r>
      <w:r w:rsidRPr="001A6CB2">
        <w:rPr>
          <w:rFonts w:ascii="Söhne" w:hAnsi="Söhne" w:cs="Arial"/>
          <w:i/>
          <w:sz w:val="18"/>
          <w:szCs w:val="18"/>
          <w:lang w:val="en-IE"/>
        </w:rPr>
        <w:t>OIE Bulletin</w:t>
      </w:r>
      <w:r w:rsidR="005C2640" w:rsidRPr="001A6CB2">
        <w:rPr>
          <w:rFonts w:ascii="Söhne" w:hAnsi="Söhne" w:cs="Arial"/>
          <w:sz w:val="18"/>
          <w:szCs w:val="18"/>
          <w:lang w:val="en-IE"/>
        </w:rPr>
        <w:t>, No.</w:t>
      </w:r>
      <w:r w:rsidRPr="001A6CB2">
        <w:rPr>
          <w:rFonts w:ascii="Söhne" w:hAnsi="Söhne" w:cs="Arial"/>
          <w:sz w:val="18"/>
          <w:szCs w:val="18"/>
          <w:lang w:val="en-IE"/>
        </w:rPr>
        <w:t xml:space="preserve"> 3</w:t>
      </w:r>
      <w:r w:rsidR="005C2640" w:rsidRPr="001A6CB2">
        <w:rPr>
          <w:rFonts w:ascii="Söhne" w:hAnsi="Söhne" w:cs="Arial"/>
          <w:sz w:val="18"/>
          <w:szCs w:val="18"/>
          <w:lang w:val="en-IE"/>
        </w:rPr>
        <w:t>,</w:t>
      </w:r>
      <w:r w:rsidRPr="001A6CB2">
        <w:rPr>
          <w:rFonts w:ascii="Söhne" w:hAnsi="Söhne" w:cs="Arial"/>
          <w:sz w:val="18"/>
          <w:szCs w:val="18"/>
          <w:lang w:val="en-IE"/>
        </w:rPr>
        <w:t xml:space="preserve"> 87–95. </w:t>
      </w:r>
    </w:p>
    <w:p w14:paraId="11E85618" w14:textId="56D815E7" w:rsidR="00CE7CDA" w:rsidRPr="008824DB" w:rsidRDefault="00CE7CDA" w:rsidP="00CE7CDA">
      <w:pPr>
        <w:pStyle w:val="StyleRefPetitesmajuscules"/>
        <w:rPr>
          <w:u w:val="double"/>
        </w:rPr>
      </w:pPr>
      <w:r w:rsidRPr="00CE7CDA">
        <w:rPr>
          <w:u w:val="double"/>
        </w:rPr>
        <w:t xml:space="preserve">Servat A., Picard-Meyer E., </w:t>
      </w:r>
      <w:proofErr w:type="spellStart"/>
      <w:r w:rsidRPr="00CE7CDA">
        <w:rPr>
          <w:u w:val="double"/>
        </w:rPr>
        <w:t>Robardet</w:t>
      </w:r>
      <w:proofErr w:type="spellEnd"/>
      <w:r w:rsidRPr="00CE7CDA">
        <w:rPr>
          <w:u w:val="double"/>
        </w:rPr>
        <w:t xml:space="preserve"> E., </w:t>
      </w:r>
      <w:proofErr w:type="spellStart"/>
      <w:r w:rsidRPr="00CE7CDA">
        <w:rPr>
          <w:u w:val="double"/>
        </w:rPr>
        <w:t>Muzniece</w:t>
      </w:r>
      <w:proofErr w:type="spellEnd"/>
      <w:r w:rsidRPr="00CE7CDA">
        <w:rPr>
          <w:u w:val="double"/>
        </w:rPr>
        <w:t xml:space="preserve"> Z., Must K.</w:t>
      </w:r>
      <w:r>
        <w:rPr>
          <w:u w:val="double"/>
        </w:rPr>
        <w:t xml:space="preserve"> &amp;</w:t>
      </w:r>
      <w:r w:rsidRPr="00CE7CDA">
        <w:rPr>
          <w:u w:val="double"/>
        </w:rPr>
        <w:t xml:space="preserve"> </w:t>
      </w:r>
      <w:proofErr w:type="spellStart"/>
      <w:r w:rsidRPr="00CE7CDA">
        <w:rPr>
          <w:u w:val="double"/>
        </w:rPr>
        <w:t>Cliquet</w:t>
      </w:r>
      <w:proofErr w:type="spellEnd"/>
      <w:r w:rsidRPr="00CE7CDA">
        <w:rPr>
          <w:u w:val="double"/>
        </w:rPr>
        <w:t xml:space="preserve"> F. (2012). </w:t>
      </w:r>
      <w:r w:rsidRPr="00CE7CDA">
        <w:rPr>
          <w:smallCaps w:val="0"/>
          <w:u w:val="double"/>
        </w:rPr>
        <w:t xml:space="preserve">Evaluation of a rapid immunochromatographic diagnostic test for the detection of rabies from brain material of European mammals. </w:t>
      </w:r>
      <w:r w:rsidRPr="00CE7CDA">
        <w:rPr>
          <w:i/>
          <w:iCs/>
          <w:smallCaps w:val="0"/>
          <w:u w:val="double"/>
        </w:rPr>
        <w:t>Biologicals</w:t>
      </w:r>
      <w:r>
        <w:rPr>
          <w:smallCaps w:val="0"/>
          <w:u w:val="double"/>
        </w:rPr>
        <w:t>,</w:t>
      </w:r>
      <w:r w:rsidRPr="00CE7CDA">
        <w:rPr>
          <w:smallCaps w:val="0"/>
          <w:u w:val="double"/>
        </w:rPr>
        <w:t xml:space="preserve"> </w:t>
      </w:r>
      <w:r w:rsidRPr="00CE7CDA">
        <w:rPr>
          <w:b/>
          <w:bCs/>
          <w:smallCaps w:val="0"/>
          <w:u w:val="double"/>
        </w:rPr>
        <w:t>40</w:t>
      </w:r>
      <w:r w:rsidRPr="00CE7CDA">
        <w:rPr>
          <w:smallCaps w:val="0"/>
          <w:u w:val="double"/>
        </w:rPr>
        <w:t>, 61</w:t>
      </w:r>
      <w:r>
        <w:rPr>
          <w:smallCaps w:val="0"/>
          <w:u w:val="double"/>
        </w:rPr>
        <w:t>–</w:t>
      </w:r>
      <w:r w:rsidRPr="00CE7CDA">
        <w:rPr>
          <w:smallCaps w:val="0"/>
          <w:u w:val="double"/>
        </w:rPr>
        <w:t>66.</w:t>
      </w:r>
    </w:p>
    <w:p w14:paraId="5ABE60B2" w14:textId="7726A725" w:rsidR="005B0077" w:rsidRPr="001A6CB2" w:rsidRDefault="005B0077" w:rsidP="005B0077">
      <w:pPr>
        <w:pStyle w:val="StyleRefPetitesmajuscules"/>
        <w:rPr>
          <w:smallCaps w:val="0"/>
        </w:rPr>
      </w:pPr>
      <w:r w:rsidRPr="001A6CB2">
        <w:t xml:space="preserve">Smith J.S., Yager P.A. &amp; Baer G.C. (1973). </w:t>
      </w:r>
      <w:r w:rsidRPr="001A6CB2">
        <w:rPr>
          <w:smallCaps w:val="0"/>
        </w:rPr>
        <w:t xml:space="preserve">A rapid reproducible test for determining rabies neutralizing antibody. </w:t>
      </w:r>
      <w:r w:rsidRPr="001A6CB2">
        <w:rPr>
          <w:i/>
          <w:smallCaps w:val="0"/>
        </w:rPr>
        <w:t>Bull. WHO</w:t>
      </w:r>
      <w:r w:rsidRPr="001A6CB2">
        <w:rPr>
          <w:smallCaps w:val="0"/>
        </w:rPr>
        <w:t xml:space="preserve">, </w:t>
      </w:r>
      <w:r w:rsidRPr="001A6CB2">
        <w:rPr>
          <w:b/>
          <w:smallCaps w:val="0"/>
        </w:rPr>
        <w:t>48</w:t>
      </w:r>
      <w:r w:rsidRPr="001A6CB2">
        <w:rPr>
          <w:smallCaps w:val="0"/>
        </w:rPr>
        <w:t>, 535–541.</w:t>
      </w:r>
    </w:p>
    <w:p w14:paraId="549060E2" w14:textId="77777777" w:rsidR="005B0077" w:rsidRPr="00426923" w:rsidRDefault="005B0077" w:rsidP="005B0077">
      <w:pPr>
        <w:pStyle w:val="Ref"/>
        <w:rPr>
          <w:rFonts w:cs="Calibri"/>
          <w:lang w:val="fr-FR"/>
        </w:rPr>
      </w:pPr>
      <w:r w:rsidRPr="001A6CB2">
        <w:rPr>
          <w:rFonts w:cs="Calibri"/>
          <w:smallCaps/>
          <w:lang w:val="en-US"/>
        </w:rPr>
        <w:t xml:space="preserve">Stokes W., </w:t>
      </w:r>
      <w:r w:rsidRPr="001A6CB2">
        <w:rPr>
          <w:smallCaps/>
        </w:rPr>
        <w:t xml:space="preserve">McFarland R., Kulpa-Eddy J., Gatewood D., Levis R., Halder M., Pulle G., Kojima H., Casey W., </w:t>
      </w:r>
      <w:proofErr w:type="spellStart"/>
      <w:r w:rsidRPr="001A6CB2">
        <w:rPr>
          <w:smallCaps/>
        </w:rPr>
        <w:t>Gaydamaka</w:t>
      </w:r>
      <w:proofErr w:type="spellEnd"/>
      <w:r w:rsidRPr="001A6CB2">
        <w:rPr>
          <w:smallCaps/>
        </w:rPr>
        <w:t xml:space="preserve"> A., Miller T., Brown K., Lewis C., </w:t>
      </w:r>
      <w:proofErr w:type="spellStart"/>
      <w:r w:rsidRPr="001A6CB2">
        <w:rPr>
          <w:smallCaps/>
        </w:rPr>
        <w:t>Chapsal</w:t>
      </w:r>
      <w:proofErr w:type="spellEnd"/>
      <w:r w:rsidRPr="001A6CB2">
        <w:rPr>
          <w:smallCaps/>
        </w:rPr>
        <w:t xml:space="preserve"> J.M., Bruckner L., Gairola S., Kamphuis E., </w:t>
      </w:r>
      <w:proofErr w:type="spellStart"/>
      <w:r w:rsidRPr="001A6CB2">
        <w:rPr>
          <w:smallCaps/>
        </w:rPr>
        <w:t>Rupprecht</w:t>
      </w:r>
      <w:proofErr w:type="spellEnd"/>
      <w:r w:rsidRPr="001A6CB2">
        <w:rPr>
          <w:smallCaps/>
        </w:rPr>
        <w:t xml:space="preserve"> C.E., </w:t>
      </w:r>
      <w:proofErr w:type="spellStart"/>
      <w:r w:rsidRPr="001A6CB2">
        <w:rPr>
          <w:smallCaps/>
        </w:rPr>
        <w:t>Wunderli</w:t>
      </w:r>
      <w:proofErr w:type="spellEnd"/>
      <w:r w:rsidRPr="001A6CB2">
        <w:rPr>
          <w:smallCaps/>
        </w:rPr>
        <w:t xml:space="preserve"> P., McElhinney L., De Mattia F., </w:t>
      </w:r>
      <w:proofErr w:type="spellStart"/>
      <w:r w:rsidRPr="001A6CB2">
        <w:rPr>
          <w:smallCaps/>
        </w:rPr>
        <w:t>Gamoh</w:t>
      </w:r>
      <w:proofErr w:type="spellEnd"/>
      <w:r w:rsidRPr="001A6CB2">
        <w:rPr>
          <w:smallCaps/>
        </w:rPr>
        <w:t xml:space="preserve"> K., Hill R., Reed D., Doelling V., Johnson N., Allen D., </w:t>
      </w:r>
      <w:proofErr w:type="spellStart"/>
      <w:r w:rsidRPr="001A6CB2">
        <w:rPr>
          <w:smallCaps/>
        </w:rPr>
        <w:t>Rinckel</w:t>
      </w:r>
      <w:proofErr w:type="spellEnd"/>
      <w:r w:rsidRPr="001A6CB2">
        <w:rPr>
          <w:smallCaps/>
        </w:rPr>
        <w:t xml:space="preserve"> L. &amp; Jones B.</w:t>
      </w:r>
      <w:r w:rsidRPr="001A6CB2">
        <w:rPr>
          <w:rFonts w:cs="Calibri"/>
        </w:rPr>
        <w:t xml:space="preserve"> (2012). </w:t>
      </w:r>
      <w:r w:rsidRPr="001A6CB2">
        <w:rPr>
          <w:rFonts w:cs="Calibri"/>
          <w:lang w:val="en-US"/>
        </w:rPr>
        <w:t xml:space="preserve">Report on the international workshop on alternative methods for human and veterinary rabies vaccine testing: State of the science and planning the way forward. </w:t>
      </w:r>
      <w:proofErr w:type="spellStart"/>
      <w:r w:rsidRPr="00426923">
        <w:rPr>
          <w:rFonts w:cs="Calibri"/>
          <w:i/>
          <w:lang w:val="fr-FR"/>
        </w:rPr>
        <w:t>Biologicals</w:t>
      </w:r>
      <w:proofErr w:type="spellEnd"/>
      <w:r w:rsidRPr="00426923">
        <w:rPr>
          <w:rFonts w:cs="Calibri"/>
          <w:lang w:val="fr-FR"/>
        </w:rPr>
        <w:t xml:space="preserve">, </w:t>
      </w:r>
      <w:r w:rsidRPr="00426923">
        <w:rPr>
          <w:rFonts w:cs="Calibri"/>
          <w:b/>
          <w:lang w:val="fr-FR"/>
        </w:rPr>
        <w:t>40</w:t>
      </w:r>
      <w:r w:rsidRPr="00426923">
        <w:rPr>
          <w:rFonts w:cs="Calibri"/>
          <w:lang w:val="fr-FR"/>
        </w:rPr>
        <w:t>, 369–381.</w:t>
      </w:r>
    </w:p>
    <w:p w14:paraId="41E19E3C" w14:textId="77777777" w:rsidR="005B0077" w:rsidRPr="001A6CB2" w:rsidRDefault="005B0077" w:rsidP="005B0077">
      <w:pPr>
        <w:pStyle w:val="Ref"/>
        <w:rPr>
          <w:smallCaps/>
        </w:rPr>
      </w:pPr>
      <w:r w:rsidRPr="00426923">
        <w:rPr>
          <w:smallCaps/>
          <w:lang w:val="fr-FR"/>
        </w:rPr>
        <w:t xml:space="preserve">Suin V., </w:t>
      </w:r>
      <w:proofErr w:type="spellStart"/>
      <w:r w:rsidRPr="00426923">
        <w:rPr>
          <w:smallCaps/>
          <w:lang w:val="fr-FR"/>
        </w:rPr>
        <w:t>Nazé</w:t>
      </w:r>
      <w:proofErr w:type="spellEnd"/>
      <w:r w:rsidRPr="00426923">
        <w:rPr>
          <w:smallCaps/>
          <w:lang w:val="fr-FR"/>
        </w:rPr>
        <w:t xml:space="preserve"> F., </w:t>
      </w:r>
      <w:proofErr w:type="spellStart"/>
      <w:r w:rsidRPr="00426923">
        <w:rPr>
          <w:smallCaps/>
          <w:lang w:val="fr-FR"/>
        </w:rPr>
        <w:t>Francart</w:t>
      </w:r>
      <w:proofErr w:type="spellEnd"/>
      <w:r w:rsidRPr="00426923">
        <w:rPr>
          <w:smallCaps/>
          <w:lang w:val="fr-FR"/>
        </w:rPr>
        <w:t xml:space="preserve"> A., </w:t>
      </w:r>
      <w:proofErr w:type="spellStart"/>
      <w:r w:rsidRPr="00426923">
        <w:rPr>
          <w:smallCaps/>
          <w:lang w:val="fr-FR"/>
        </w:rPr>
        <w:t>Lamoral</w:t>
      </w:r>
      <w:proofErr w:type="spellEnd"/>
      <w:r w:rsidRPr="00426923">
        <w:rPr>
          <w:smallCaps/>
          <w:lang w:val="fr-FR"/>
        </w:rPr>
        <w:t xml:space="preserve"> S., De </w:t>
      </w:r>
      <w:proofErr w:type="spellStart"/>
      <w:r w:rsidRPr="00426923">
        <w:rPr>
          <w:smallCaps/>
          <w:lang w:val="fr-FR"/>
        </w:rPr>
        <w:t>Craeye</w:t>
      </w:r>
      <w:proofErr w:type="spellEnd"/>
      <w:r w:rsidRPr="00426923">
        <w:rPr>
          <w:smallCaps/>
          <w:lang w:val="fr-FR"/>
        </w:rPr>
        <w:t xml:space="preserve"> S., </w:t>
      </w:r>
      <w:proofErr w:type="spellStart"/>
      <w:r w:rsidRPr="00426923">
        <w:rPr>
          <w:smallCaps/>
          <w:lang w:val="fr-FR"/>
        </w:rPr>
        <w:t>Kalai</w:t>
      </w:r>
      <w:proofErr w:type="spellEnd"/>
      <w:r w:rsidRPr="00426923">
        <w:rPr>
          <w:smallCaps/>
          <w:lang w:val="fr-FR"/>
        </w:rPr>
        <w:t xml:space="preserve"> M. &amp; Van </w:t>
      </w:r>
      <w:proofErr w:type="spellStart"/>
      <w:r w:rsidRPr="00426923">
        <w:rPr>
          <w:smallCaps/>
          <w:lang w:val="fr-FR"/>
        </w:rPr>
        <w:t>Gucht</w:t>
      </w:r>
      <w:proofErr w:type="spellEnd"/>
      <w:r w:rsidRPr="00426923">
        <w:rPr>
          <w:smallCaps/>
          <w:lang w:val="fr-FR"/>
        </w:rPr>
        <w:t xml:space="preserve"> S</w:t>
      </w:r>
      <w:r w:rsidRPr="00426923">
        <w:rPr>
          <w:lang w:val="fr-FR"/>
        </w:rPr>
        <w:t xml:space="preserve">. (2014). </w:t>
      </w:r>
      <w:r w:rsidRPr="001A6CB2">
        <w:t xml:space="preserve">A two-step lyssavirus real-time polymerase chain reaction using degenerate primers with superior sensitivity to the fluorescent antigen test. </w:t>
      </w:r>
      <w:r w:rsidRPr="001A6CB2">
        <w:rPr>
          <w:i/>
        </w:rPr>
        <w:t>Biomed. Res. Int</w:t>
      </w:r>
      <w:r w:rsidRPr="001A6CB2">
        <w:t xml:space="preserve">., </w:t>
      </w:r>
      <w:r w:rsidRPr="001A6CB2">
        <w:rPr>
          <w:b/>
        </w:rPr>
        <w:t>2014</w:t>
      </w:r>
      <w:r w:rsidRPr="001A6CB2">
        <w:t>, 256175.</w:t>
      </w:r>
    </w:p>
    <w:p w14:paraId="07803F5D" w14:textId="77777777" w:rsidR="005B0077" w:rsidRPr="00426923" w:rsidRDefault="005B0077" w:rsidP="005B0077">
      <w:pPr>
        <w:pStyle w:val="Ref"/>
      </w:pPr>
      <w:r w:rsidRPr="001A6CB2">
        <w:rPr>
          <w:smallCaps/>
        </w:rPr>
        <w:t>Tao L., Ge J., Wang X., Zhai H., Hua T., Zhao B., Kong D., Yang C., Chen H. &amp; Bu Z.</w:t>
      </w:r>
      <w:r w:rsidRPr="001A6CB2">
        <w:t xml:space="preserve"> (2010). Molecular basis of neurovirulence of </w:t>
      </w:r>
      <w:proofErr w:type="spellStart"/>
      <w:r w:rsidRPr="001A6CB2">
        <w:t>flury</w:t>
      </w:r>
      <w:proofErr w:type="spellEnd"/>
      <w:r w:rsidRPr="001A6CB2">
        <w:t xml:space="preserve"> rabies virus vaccine strains: importance of the polymerase and the glycoprotein R333Q mutation. </w:t>
      </w:r>
      <w:r w:rsidRPr="00426923">
        <w:rPr>
          <w:i/>
        </w:rPr>
        <w:t>J. Virol</w:t>
      </w:r>
      <w:r w:rsidRPr="00426923">
        <w:t xml:space="preserve">., </w:t>
      </w:r>
      <w:r w:rsidRPr="00426923">
        <w:rPr>
          <w:b/>
        </w:rPr>
        <w:t>84</w:t>
      </w:r>
      <w:r w:rsidRPr="00426923">
        <w:t>, 8926–8936.</w:t>
      </w:r>
    </w:p>
    <w:p w14:paraId="5E0B84E9" w14:textId="77777777" w:rsidR="005B0077" w:rsidRPr="001A6CB2" w:rsidRDefault="005B0077" w:rsidP="005B0077">
      <w:pPr>
        <w:pStyle w:val="Ref"/>
        <w:rPr>
          <w:lang w:val="en-IE"/>
        </w:rPr>
      </w:pPr>
      <w:r w:rsidRPr="00426923">
        <w:rPr>
          <w:smallCaps/>
        </w:rPr>
        <w:t xml:space="preserve">Taylor J., Trimarchi C., Weinberg R., Languet B., Guillemin F., </w:t>
      </w:r>
      <w:proofErr w:type="spellStart"/>
      <w:r w:rsidRPr="00426923">
        <w:rPr>
          <w:smallCaps/>
        </w:rPr>
        <w:t>Desmettre</w:t>
      </w:r>
      <w:proofErr w:type="spellEnd"/>
      <w:r w:rsidRPr="00426923">
        <w:rPr>
          <w:smallCaps/>
        </w:rPr>
        <w:t xml:space="preserve"> P. &amp; Paoletti E.</w:t>
      </w:r>
      <w:r w:rsidRPr="00426923">
        <w:t xml:space="preserve"> (1991). </w:t>
      </w:r>
      <w:r w:rsidRPr="001A6CB2">
        <w:rPr>
          <w:lang w:val="en-IE"/>
        </w:rPr>
        <w:t xml:space="preserve">Efficacy studies on a canarypox-rabies recombinant virus. </w:t>
      </w:r>
      <w:r w:rsidRPr="001A6CB2">
        <w:rPr>
          <w:i/>
          <w:lang w:val="en-IE"/>
        </w:rPr>
        <w:t>Vaccine</w:t>
      </w:r>
      <w:r w:rsidRPr="001A6CB2">
        <w:rPr>
          <w:lang w:val="en-IE"/>
        </w:rPr>
        <w:t xml:space="preserve">, </w:t>
      </w:r>
      <w:r w:rsidRPr="001A6CB2">
        <w:rPr>
          <w:b/>
          <w:lang w:val="en-IE"/>
        </w:rPr>
        <w:t>9</w:t>
      </w:r>
      <w:r w:rsidRPr="001A6CB2">
        <w:rPr>
          <w:lang w:val="en-IE"/>
        </w:rPr>
        <w:t>, 190–193.</w:t>
      </w:r>
    </w:p>
    <w:p w14:paraId="7AF6CC56" w14:textId="77777777" w:rsidR="005B0077" w:rsidRPr="001A6CB2" w:rsidRDefault="00AE08C3" w:rsidP="005B0077">
      <w:pPr>
        <w:pStyle w:val="Ref"/>
      </w:pPr>
      <w:proofErr w:type="spellStart"/>
      <w:r w:rsidRPr="001A6CB2">
        <w:rPr>
          <w:smallCaps/>
          <w:lang w:val="en-US"/>
        </w:rPr>
        <w:t>Wachend</w:t>
      </w:r>
      <w:proofErr w:type="spellEnd"/>
      <w:r w:rsidRPr="001A6CB2">
        <w:rPr>
          <w:smallCaps/>
        </w:rPr>
        <w:t>ö</w:t>
      </w:r>
      <w:proofErr w:type="spellStart"/>
      <w:r w:rsidRPr="001A6CB2">
        <w:rPr>
          <w:smallCaps/>
          <w:lang w:val="en-US"/>
        </w:rPr>
        <w:t>rfer</w:t>
      </w:r>
      <w:proofErr w:type="spellEnd"/>
      <w:r w:rsidRPr="001A6CB2">
        <w:rPr>
          <w:smallCaps/>
          <w:lang w:val="en-US"/>
        </w:rPr>
        <w:t xml:space="preserve"> </w:t>
      </w:r>
      <w:r w:rsidR="005B0077" w:rsidRPr="001A6CB2">
        <w:rPr>
          <w:smallCaps/>
          <w:lang w:val="en-US"/>
        </w:rPr>
        <w:t xml:space="preserve">G., Kiefert C. &amp; Frost J.W. </w:t>
      </w:r>
      <w:r w:rsidR="005B0077" w:rsidRPr="001A6CB2">
        <w:rPr>
          <w:lang w:val="en-US"/>
        </w:rPr>
        <w:t xml:space="preserve">(1982). </w:t>
      </w:r>
      <w:r w:rsidR="005B0077" w:rsidRPr="001A6CB2">
        <w:t xml:space="preserve">Safety tests with Flury HEP strain 675 in wild-living European mammals. </w:t>
      </w:r>
      <w:r w:rsidR="005B0077" w:rsidRPr="001A6CB2">
        <w:rPr>
          <w:i/>
        </w:rPr>
        <w:t xml:space="preserve">Comp. Immunol. </w:t>
      </w:r>
      <w:proofErr w:type="spellStart"/>
      <w:r w:rsidR="005B0077" w:rsidRPr="001A6CB2">
        <w:rPr>
          <w:i/>
        </w:rPr>
        <w:t>Microbiol</w:t>
      </w:r>
      <w:proofErr w:type="spellEnd"/>
      <w:r w:rsidR="005B0077" w:rsidRPr="001A6CB2">
        <w:rPr>
          <w:i/>
        </w:rPr>
        <w:t>. Infect. Dis</w:t>
      </w:r>
      <w:r w:rsidR="005B0077" w:rsidRPr="001A6CB2">
        <w:t xml:space="preserve">., </w:t>
      </w:r>
      <w:r w:rsidR="005B0077" w:rsidRPr="001A6CB2">
        <w:rPr>
          <w:b/>
        </w:rPr>
        <w:t>5</w:t>
      </w:r>
      <w:r w:rsidR="005B0077" w:rsidRPr="001A6CB2">
        <w:t>, 177–180.</w:t>
      </w:r>
    </w:p>
    <w:p w14:paraId="6909FC72" w14:textId="77777777" w:rsidR="005B0077" w:rsidRPr="001A6CB2" w:rsidRDefault="005B0077" w:rsidP="005B0077">
      <w:pPr>
        <w:pStyle w:val="Ref"/>
        <w:rPr>
          <w:lang w:val="en-US"/>
        </w:rPr>
      </w:pPr>
      <w:r w:rsidRPr="001A6CB2">
        <w:rPr>
          <w:smallCaps/>
        </w:rPr>
        <w:t xml:space="preserve">Wadhwa A., Wilkins K., Gao J., </w:t>
      </w:r>
      <w:proofErr w:type="spellStart"/>
      <w:r w:rsidRPr="001A6CB2">
        <w:rPr>
          <w:smallCaps/>
        </w:rPr>
        <w:t>Condori</w:t>
      </w:r>
      <w:proofErr w:type="spellEnd"/>
      <w:r w:rsidRPr="001A6CB2">
        <w:rPr>
          <w:smallCaps/>
        </w:rPr>
        <w:t xml:space="preserve"> </w:t>
      </w:r>
      <w:proofErr w:type="spellStart"/>
      <w:r w:rsidRPr="001A6CB2">
        <w:rPr>
          <w:smallCaps/>
        </w:rPr>
        <w:t>Condori</w:t>
      </w:r>
      <w:proofErr w:type="spellEnd"/>
      <w:r w:rsidRPr="001A6CB2">
        <w:rPr>
          <w:smallCaps/>
        </w:rPr>
        <w:t xml:space="preserve"> R.E., </w:t>
      </w:r>
      <w:proofErr w:type="spellStart"/>
      <w:r w:rsidRPr="001A6CB2">
        <w:rPr>
          <w:smallCaps/>
        </w:rPr>
        <w:t>Gigante</w:t>
      </w:r>
      <w:proofErr w:type="spellEnd"/>
      <w:r w:rsidRPr="001A6CB2">
        <w:rPr>
          <w:smallCaps/>
        </w:rPr>
        <w:t xml:space="preserve"> C.M., Zhao H., Ma X., Ellison J.A., Greenberg L., Velasco-Villa A., </w:t>
      </w:r>
      <w:proofErr w:type="spellStart"/>
      <w:r w:rsidRPr="001A6CB2">
        <w:rPr>
          <w:smallCaps/>
        </w:rPr>
        <w:t>Orciari</w:t>
      </w:r>
      <w:proofErr w:type="spellEnd"/>
      <w:r w:rsidRPr="001A6CB2">
        <w:rPr>
          <w:smallCaps/>
        </w:rPr>
        <w:t xml:space="preserve"> L. &amp; Li Y.</w:t>
      </w:r>
      <w:r w:rsidRPr="001A6CB2">
        <w:t xml:space="preserve"> (2017). A Pan-Lyssavirus </w:t>
      </w:r>
      <w:proofErr w:type="spellStart"/>
      <w:r w:rsidRPr="001A6CB2">
        <w:t>Taqman</w:t>
      </w:r>
      <w:proofErr w:type="spellEnd"/>
      <w:r w:rsidRPr="001A6CB2">
        <w:t xml:space="preserve"> Real-Time RT-PCR Assay for the Detection of Highly Variable Rabies virus and Other Lyssaviruses. </w:t>
      </w:r>
      <w:proofErr w:type="spellStart"/>
      <w:r w:rsidRPr="001A6CB2">
        <w:rPr>
          <w:i/>
          <w:lang w:val="en-US"/>
        </w:rPr>
        <w:t>PLoS</w:t>
      </w:r>
      <w:proofErr w:type="spellEnd"/>
      <w:r w:rsidRPr="001A6CB2">
        <w:rPr>
          <w:i/>
          <w:lang w:val="en-US"/>
        </w:rPr>
        <w:t xml:space="preserve"> </w:t>
      </w:r>
      <w:proofErr w:type="spellStart"/>
      <w:r w:rsidRPr="001A6CB2">
        <w:rPr>
          <w:i/>
          <w:lang w:val="en-US"/>
        </w:rPr>
        <w:t>Negl</w:t>
      </w:r>
      <w:proofErr w:type="spellEnd"/>
      <w:r w:rsidR="008E399C" w:rsidRPr="001A6CB2">
        <w:rPr>
          <w:i/>
          <w:lang w:val="en-US"/>
        </w:rPr>
        <w:t>.</w:t>
      </w:r>
      <w:r w:rsidRPr="001A6CB2">
        <w:rPr>
          <w:i/>
          <w:lang w:val="en-US"/>
        </w:rPr>
        <w:t xml:space="preserve"> Trop</w:t>
      </w:r>
      <w:r w:rsidR="008E399C" w:rsidRPr="001A6CB2">
        <w:rPr>
          <w:i/>
          <w:lang w:val="en-US"/>
        </w:rPr>
        <w:t>.</w:t>
      </w:r>
      <w:r w:rsidRPr="001A6CB2">
        <w:rPr>
          <w:i/>
          <w:lang w:val="en-US"/>
        </w:rPr>
        <w:t xml:space="preserve"> Dis</w:t>
      </w:r>
      <w:r w:rsidRPr="001A6CB2">
        <w:rPr>
          <w:lang w:val="en-US"/>
        </w:rPr>
        <w:t xml:space="preserve">., </w:t>
      </w:r>
      <w:r w:rsidRPr="001A6CB2">
        <w:rPr>
          <w:b/>
          <w:lang w:val="en-US"/>
        </w:rPr>
        <w:t>11</w:t>
      </w:r>
      <w:r w:rsidRPr="001A6CB2">
        <w:rPr>
          <w:lang w:val="en-US"/>
        </w:rPr>
        <w:t xml:space="preserve">, e0005258. </w:t>
      </w:r>
    </w:p>
    <w:p w14:paraId="3F268F56" w14:textId="77777777" w:rsidR="005B0077" w:rsidRPr="001A6CB2" w:rsidRDefault="005B0077" w:rsidP="005B0077">
      <w:pPr>
        <w:pStyle w:val="Ref"/>
        <w:rPr>
          <w:smallCaps/>
        </w:rPr>
      </w:pPr>
      <w:proofErr w:type="spellStart"/>
      <w:r w:rsidRPr="001A6CB2">
        <w:rPr>
          <w:smallCaps/>
          <w:lang w:eastAsia="en-GB"/>
        </w:rPr>
        <w:t>Wakeley</w:t>
      </w:r>
      <w:proofErr w:type="spellEnd"/>
      <w:r w:rsidRPr="001A6CB2">
        <w:rPr>
          <w:smallCaps/>
          <w:lang w:eastAsia="en-GB"/>
        </w:rPr>
        <w:t xml:space="preserve"> P.R., Johnson N., McElhinney L.M., Marston D., Sawyer J. &amp; Fooks A.R.</w:t>
      </w:r>
      <w:r w:rsidRPr="001A6CB2">
        <w:rPr>
          <w:lang w:eastAsia="en-GB"/>
        </w:rPr>
        <w:t xml:space="preserve"> (2005). Development of a real-time, TaqMan reverse transcription-PCR assay for detection and differentiation of lyssavirus genotypes 1, 5, and 6. </w:t>
      </w:r>
      <w:r w:rsidRPr="001A6CB2">
        <w:rPr>
          <w:i/>
          <w:lang w:eastAsia="en-GB"/>
        </w:rPr>
        <w:t xml:space="preserve">J. Clin. </w:t>
      </w:r>
      <w:proofErr w:type="spellStart"/>
      <w:r w:rsidRPr="001A6CB2">
        <w:rPr>
          <w:i/>
          <w:lang w:eastAsia="en-GB"/>
        </w:rPr>
        <w:t>Microbiol</w:t>
      </w:r>
      <w:proofErr w:type="spellEnd"/>
      <w:r w:rsidRPr="001A6CB2">
        <w:rPr>
          <w:lang w:eastAsia="en-GB"/>
        </w:rPr>
        <w:t xml:space="preserve">., </w:t>
      </w:r>
      <w:r w:rsidRPr="001A6CB2">
        <w:rPr>
          <w:b/>
          <w:lang w:eastAsia="en-GB"/>
        </w:rPr>
        <w:t>43</w:t>
      </w:r>
      <w:r w:rsidRPr="001A6CB2">
        <w:rPr>
          <w:lang w:eastAsia="en-GB"/>
        </w:rPr>
        <w:t>, 2786–2792</w:t>
      </w:r>
    </w:p>
    <w:p w14:paraId="011082E3" w14:textId="03FD5A76" w:rsidR="00D27D2E" w:rsidRPr="009869D4" w:rsidRDefault="00D27D2E" w:rsidP="00D27D2E">
      <w:pPr>
        <w:pStyle w:val="Ref"/>
        <w:rPr>
          <w:smallCaps/>
          <w:u w:val="double"/>
          <w:lang w:val="en-US"/>
        </w:rPr>
      </w:pPr>
      <w:r w:rsidRPr="00D27D2E">
        <w:rPr>
          <w:smallCaps/>
          <w:u w:val="double"/>
          <w:lang w:val="en-US"/>
        </w:rPr>
        <w:t>Walker P.J., Freitas-</w:t>
      </w:r>
      <w:proofErr w:type="spellStart"/>
      <w:r w:rsidRPr="00D27D2E">
        <w:rPr>
          <w:smallCaps/>
          <w:u w:val="double"/>
          <w:lang w:val="en-US"/>
        </w:rPr>
        <w:t>Astúa</w:t>
      </w:r>
      <w:proofErr w:type="spellEnd"/>
      <w:r w:rsidRPr="00D27D2E">
        <w:rPr>
          <w:smallCaps/>
          <w:u w:val="double"/>
          <w:lang w:val="en-US"/>
        </w:rPr>
        <w:t xml:space="preserve"> J., </w:t>
      </w:r>
      <w:proofErr w:type="spellStart"/>
      <w:r w:rsidRPr="00D27D2E">
        <w:rPr>
          <w:smallCaps/>
          <w:u w:val="double"/>
          <w:lang w:val="en-US"/>
        </w:rPr>
        <w:t>Bejerman</w:t>
      </w:r>
      <w:proofErr w:type="spellEnd"/>
      <w:r w:rsidRPr="00D27D2E">
        <w:rPr>
          <w:smallCaps/>
          <w:u w:val="double"/>
          <w:lang w:val="en-US"/>
        </w:rPr>
        <w:t xml:space="preserve"> N., Blasdell K.R., </w:t>
      </w:r>
      <w:proofErr w:type="spellStart"/>
      <w:r w:rsidRPr="00D27D2E">
        <w:rPr>
          <w:smallCaps/>
          <w:u w:val="double"/>
          <w:lang w:val="en-US"/>
        </w:rPr>
        <w:t>Breyta</w:t>
      </w:r>
      <w:proofErr w:type="spellEnd"/>
      <w:r w:rsidRPr="00D27D2E">
        <w:rPr>
          <w:smallCaps/>
          <w:u w:val="double"/>
          <w:lang w:val="en-US"/>
        </w:rPr>
        <w:t xml:space="preserve"> R., Dietzgen R.G., Fooks A.R., Kondo H., Kurath G., Kuzmin I.V., Ramos-González P.L., Shi M., Stone D.M., </w:t>
      </w:r>
      <w:proofErr w:type="spellStart"/>
      <w:r w:rsidRPr="00D27D2E">
        <w:rPr>
          <w:smallCaps/>
          <w:u w:val="double"/>
          <w:lang w:val="en-US"/>
        </w:rPr>
        <w:t>Tesh</w:t>
      </w:r>
      <w:proofErr w:type="spellEnd"/>
      <w:r w:rsidRPr="00D27D2E">
        <w:rPr>
          <w:smallCaps/>
          <w:u w:val="double"/>
          <w:lang w:val="en-US"/>
        </w:rPr>
        <w:t xml:space="preserve"> R.B., </w:t>
      </w:r>
      <w:proofErr w:type="spellStart"/>
      <w:r w:rsidRPr="00D27D2E">
        <w:rPr>
          <w:smallCaps/>
          <w:u w:val="double"/>
          <w:lang w:val="en-US"/>
        </w:rPr>
        <w:t>Tordo</w:t>
      </w:r>
      <w:proofErr w:type="spellEnd"/>
      <w:r w:rsidRPr="00D27D2E">
        <w:rPr>
          <w:smallCaps/>
          <w:u w:val="double"/>
          <w:lang w:val="en-US"/>
        </w:rPr>
        <w:t xml:space="preserve"> N., Vasilakis N., Whitfield A.E. </w:t>
      </w:r>
      <w:r>
        <w:rPr>
          <w:smallCaps/>
          <w:u w:val="double"/>
          <w:lang w:val="en-US"/>
        </w:rPr>
        <w:t xml:space="preserve">&amp; </w:t>
      </w:r>
      <w:r w:rsidRPr="00D27D2E">
        <w:rPr>
          <w:u w:val="double"/>
          <w:lang w:val="en-US"/>
        </w:rPr>
        <w:t xml:space="preserve">ICTV Report, Consortium (2022). ICTV Virus Taxonomy Profile: </w:t>
      </w:r>
      <w:proofErr w:type="spellStart"/>
      <w:r w:rsidRPr="00D27D2E">
        <w:rPr>
          <w:u w:val="double"/>
          <w:lang w:val="en-US"/>
        </w:rPr>
        <w:t>Rhabdoviridae</w:t>
      </w:r>
      <w:proofErr w:type="spellEnd"/>
      <w:r w:rsidRPr="00D27D2E">
        <w:rPr>
          <w:u w:val="double"/>
          <w:lang w:val="en-US"/>
        </w:rPr>
        <w:t xml:space="preserve"> 2022. </w:t>
      </w:r>
      <w:r w:rsidRPr="00D27D2E">
        <w:rPr>
          <w:i/>
          <w:iCs/>
          <w:u w:val="double"/>
          <w:lang w:val="en-US"/>
        </w:rPr>
        <w:t>J. Gen. Virol</w:t>
      </w:r>
      <w:r>
        <w:rPr>
          <w:u w:val="double"/>
          <w:lang w:val="en-US"/>
        </w:rPr>
        <w:t>.,</w:t>
      </w:r>
      <w:r w:rsidRPr="00D27D2E">
        <w:rPr>
          <w:u w:val="double"/>
          <w:lang w:val="en-US"/>
        </w:rPr>
        <w:t xml:space="preserve"> </w:t>
      </w:r>
      <w:r w:rsidRPr="00D27D2E">
        <w:rPr>
          <w:b/>
          <w:bCs/>
          <w:u w:val="double"/>
          <w:lang w:val="en-US"/>
        </w:rPr>
        <w:t>103</w:t>
      </w:r>
      <w:r w:rsidRPr="00D27D2E">
        <w:rPr>
          <w:u w:val="double"/>
          <w:lang w:val="en-US"/>
        </w:rPr>
        <w:t>. https://doi.org/10.1099/jgv.0.001689.</w:t>
      </w:r>
    </w:p>
    <w:p w14:paraId="21386424" w14:textId="140589E8" w:rsidR="00172FF3" w:rsidRPr="009E470F" w:rsidRDefault="00172FF3" w:rsidP="00172FF3">
      <w:pPr>
        <w:pStyle w:val="Ref"/>
        <w:rPr>
          <w:smallCaps/>
          <w:u w:val="double"/>
        </w:rPr>
      </w:pPr>
      <w:r w:rsidRPr="00172FF3">
        <w:rPr>
          <w:smallCaps/>
          <w:u w:val="double"/>
        </w:rPr>
        <w:t xml:space="preserve">Wallace R.M., </w:t>
      </w:r>
      <w:proofErr w:type="spellStart"/>
      <w:r w:rsidRPr="00172FF3">
        <w:rPr>
          <w:smallCaps/>
          <w:u w:val="double"/>
        </w:rPr>
        <w:t>Cliquet</w:t>
      </w:r>
      <w:proofErr w:type="spellEnd"/>
      <w:r w:rsidRPr="00172FF3">
        <w:rPr>
          <w:smallCaps/>
          <w:u w:val="double"/>
        </w:rPr>
        <w:t xml:space="preserve"> F., Fehlner-Gardiner C., Fooks A.R., Sabeta C.T., Setién A.A., Tu C., Vuta V., Yakobson B., Yang D.-K., Brückner G., Freuling C.M., Knopf L., </w:t>
      </w:r>
      <w:proofErr w:type="spellStart"/>
      <w:r w:rsidRPr="00172FF3">
        <w:rPr>
          <w:smallCaps/>
          <w:u w:val="double"/>
        </w:rPr>
        <w:t>Metlin</w:t>
      </w:r>
      <w:proofErr w:type="spellEnd"/>
      <w:r w:rsidRPr="00172FF3">
        <w:rPr>
          <w:smallCaps/>
          <w:u w:val="double"/>
        </w:rPr>
        <w:t xml:space="preserve"> A., Pozzetti P., </w:t>
      </w:r>
      <w:proofErr w:type="spellStart"/>
      <w:r w:rsidRPr="00172FF3">
        <w:rPr>
          <w:smallCaps/>
          <w:u w:val="double"/>
        </w:rPr>
        <w:t>Suseno</w:t>
      </w:r>
      <w:proofErr w:type="spellEnd"/>
      <w:r w:rsidRPr="00172FF3">
        <w:rPr>
          <w:smallCaps/>
          <w:u w:val="double"/>
        </w:rPr>
        <w:t xml:space="preserve"> P.P., Shadomy S.V., Torres G., </w:t>
      </w:r>
      <w:proofErr w:type="spellStart"/>
      <w:r w:rsidRPr="00172FF3">
        <w:rPr>
          <w:smallCaps/>
          <w:u w:val="double"/>
        </w:rPr>
        <w:t>Vigilato</w:t>
      </w:r>
      <w:proofErr w:type="spellEnd"/>
      <w:r w:rsidRPr="00172FF3">
        <w:rPr>
          <w:smallCaps/>
          <w:u w:val="double"/>
        </w:rPr>
        <w:t xml:space="preserve"> M.A.N., Abela-Ridder B.</w:t>
      </w:r>
      <w:r>
        <w:rPr>
          <w:smallCaps/>
          <w:u w:val="double"/>
        </w:rPr>
        <w:t xml:space="preserve"> &amp;</w:t>
      </w:r>
      <w:r w:rsidRPr="00172FF3">
        <w:rPr>
          <w:smallCaps/>
          <w:u w:val="double"/>
        </w:rPr>
        <w:t xml:space="preserve"> Müller T. </w:t>
      </w:r>
      <w:r>
        <w:rPr>
          <w:smallCaps/>
          <w:u w:val="double"/>
        </w:rPr>
        <w:t>(</w:t>
      </w:r>
      <w:r w:rsidRPr="00172FF3">
        <w:rPr>
          <w:smallCaps/>
          <w:u w:val="double"/>
        </w:rPr>
        <w:t>2020</w:t>
      </w:r>
      <w:r>
        <w:rPr>
          <w:smallCaps/>
          <w:u w:val="double"/>
        </w:rPr>
        <w:t>)</w:t>
      </w:r>
      <w:r w:rsidRPr="00172FF3">
        <w:rPr>
          <w:smallCaps/>
          <w:u w:val="double"/>
        </w:rPr>
        <w:t xml:space="preserve">. </w:t>
      </w:r>
      <w:r w:rsidRPr="00172FF3">
        <w:rPr>
          <w:u w:val="double"/>
        </w:rPr>
        <w:t xml:space="preserve">Role of Oral Rabies Vaccines in the Elimination of Dog-Mediated Human Rabies Deaths. </w:t>
      </w:r>
      <w:r w:rsidRPr="00172FF3">
        <w:rPr>
          <w:i/>
          <w:iCs/>
          <w:u w:val="double"/>
        </w:rPr>
        <w:t>Emerg. Infect. Dis</w:t>
      </w:r>
      <w:r>
        <w:rPr>
          <w:u w:val="double"/>
        </w:rPr>
        <w:t>.,</w:t>
      </w:r>
      <w:r w:rsidRPr="00172FF3">
        <w:rPr>
          <w:u w:val="double"/>
        </w:rPr>
        <w:t xml:space="preserve"> </w:t>
      </w:r>
      <w:r w:rsidRPr="00172FF3">
        <w:rPr>
          <w:b/>
          <w:bCs/>
          <w:u w:val="double"/>
        </w:rPr>
        <w:t>26</w:t>
      </w:r>
      <w:r w:rsidRPr="00172FF3">
        <w:rPr>
          <w:u w:val="double"/>
        </w:rPr>
        <w:t>, e1</w:t>
      </w:r>
      <w:r>
        <w:rPr>
          <w:u w:val="double"/>
        </w:rPr>
        <w:t>–</w:t>
      </w:r>
      <w:r w:rsidRPr="00172FF3">
        <w:rPr>
          <w:u w:val="double"/>
        </w:rPr>
        <w:t>e9.</w:t>
      </w:r>
    </w:p>
    <w:p w14:paraId="45559BA0" w14:textId="77777777" w:rsidR="005B0077" w:rsidRPr="001A6CB2" w:rsidRDefault="005B0077" w:rsidP="005B0077">
      <w:pPr>
        <w:pStyle w:val="StyleRefPetitesmajuscules"/>
        <w:rPr>
          <w:smallCaps w:val="0"/>
        </w:rPr>
      </w:pPr>
      <w:r w:rsidRPr="001A6CB2">
        <w:t xml:space="preserve">Warner C.K., Whitfield S.G., Fekadu M. &amp; Ho H. (1997). </w:t>
      </w:r>
      <w:r w:rsidRPr="001A6CB2">
        <w:rPr>
          <w:smallCaps w:val="0"/>
        </w:rPr>
        <w:t xml:space="preserve">Procedures for reproducible detection of rabies virus antigen mRNA and genome </w:t>
      </w:r>
      <w:r w:rsidRPr="001A6CB2">
        <w:rPr>
          <w:i/>
          <w:smallCaps w:val="0"/>
        </w:rPr>
        <w:t>in situ</w:t>
      </w:r>
      <w:r w:rsidRPr="001A6CB2">
        <w:rPr>
          <w:smallCaps w:val="0"/>
        </w:rPr>
        <w:t xml:space="preserve"> in formalin-fixed tissues. </w:t>
      </w:r>
      <w:r w:rsidRPr="001A6CB2">
        <w:rPr>
          <w:i/>
          <w:smallCaps w:val="0"/>
        </w:rPr>
        <w:t>J. Virol. Methods</w:t>
      </w:r>
      <w:r w:rsidRPr="001A6CB2">
        <w:rPr>
          <w:smallCaps w:val="0"/>
        </w:rPr>
        <w:t xml:space="preserve">, </w:t>
      </w:r>
      <w:r w:rsidRPr="001A6CB2">
        <w:rPr>
          <w:b/>
          <w:smallCaps w:val="0"/>
        </w:rPr>
        <w:t>67</w:t>
      </w:r>
      <w:r w:rsidRPr="001A6CB2">
        <w:rPr>
          <w:smallCaps w:val="0"/>
        </w:rPr>
        <w:t>, 5–12.</w:t>
      </w:r>
    </w:p>
    <w:p w14:paraId="00402A9C" w14:textId="77777777" w:rsidR="00DB4D50" w:rsidRPr="001A6CB2" w:rsidRDefault="00DB4D50" w:rsidP="005B0077">
      <w:pPr>
        <w:pStyle w:val="Ref"/>
        <w:rPr>
          <w:smallCaps/>
        </w:rPr>
      </w:pPr>
      <w:r w:rsidRPr="001A6CB2">
        <w:rPr>
          <w:smallCaps/>
        </w:rPr>
        <w:t xml:space="preserve">Wasniewski M., Labbe A., Tribout L., Rieder J., Labadie A., </w:t>
      </w:r>
      <w:proofErr w:type="spellStart"/>
      <w:r w:rsidRPr="001A6CB2">
        <w:rPr>
          <w:smallCaps/>
        </w:rPr>
        <w:t>Schereffer</w:t>
      </w:r>
      <w:proofErr w:type="spellEnd"/>
      <w:r w:rsidRPr="001A6CB2">
        <w:rPr>
          <w:smallCaps/>
        </w:rPr>
        <w:t xml:space="preserve"> J.L.</w:t>
      </w:r>
      <w:r w:rsidR="00AC5165" w:rsidRPr="001A6CB2">
        <w:rPr>
          <w:smallCaps/>
        </w:rPr>
        <w:t xml:space="preserve"> &amp; </w:t>
      </w:r>
      <w:proofErr w:type="spellStart"/>
      <w:r w:rsidRPr="001A6CB2">
        <w:rPr>
          <w:smallCaps/>
        </w:rPr>
        <w:t>Cliquet</w:t>
      </w:r>
      <w:proofErr w:type="spellEnd"/>
      <w:r w:rsidRPr="001A6CB2">
        <w:rPr>
          <w:smallCaps/>
        </w:rPr>
        <w:t xml:space="preserve"> F. (2014</w:t>
      </w:r>
      <w:r w:rsidRPr="001A6CB2">
        <w:t xml:space="preserve">). Evaluation of a rabies ELISA as an alternative method to </w:t>
      </w:r>
      <w:proofErr w:type="spellStart"/>
      <w:r w:rsidRPr="001A6CB2">
        <w:t>seroneutralisation</w:t>
      </w:r>
      <w:proofErr w:type="spellEnd"/>
      <w:r w:rsidRPr="001A6CB2">
        <w:t xml:space="preserve"> tests in the context of international trade of domestic carnivores. </w:t>
      </w:r>
      <w:r w:rsidRPr="001A6CB2">
        <w:rPr>
          <w:i/>
        </w:rPr>
        <w:t>J. Virol. Methods,</w:t>
      </w:r>
      <w:r w:rsidRPr="001A6CB2">
        <w:rPr>
          <w:smallCaps/>
        </w:rPr>
        <w:t xml:space="preserve"> </w:t>
      </w:r>
      <w:r w:rsidRPr="001A6CB2">
        <w:rPr>
          <w:b/>
          <w:smallCaps/>
        </w:rPr>
        <w:t>195</w:t>
      </w:r>
      <w:r w:rsidRPr="001A6CB2">
        <w:rPr>
          <w:smallCaps/>
        </w:rPr>
        <w:t>, 211</w:t>
      </w:r>
      <w:r w:rsidR="00AC5165" w:rsidRPr="001A6CB2">
        <w:rPr>
          <w:smallCaps/>
        </w:rPr>
        <w:t>–</w:t>
      </w:r>
      <w:r w:rsidRPr="001A6CB2">
        <w:rPr>
          <w:smallCaps/>
        </w:rPr>
        <w:t>220.</w:t>
      </w:r>
    </w:p>
    <w:p w14:paraId="38AF6236" w14:textId="77777777" w:rsidR="00DB4D50" w:rsidRPr="001A6CB2" w:rsidRDefault="00DB4D50" w:rsidP="005B0077">
      <w:pPr>
        <w:pStyle w:val="Ref"/>
        <w:rPr>
          <w:smallCaps/>
        </w:rPr>
      </w:pPr>
      <w:r w:rsidRPr="001A6CB2">
        <w:rPr>
          <w:smallCaps/>
        </w:rPr>
        <w:t xml:space="preserve">Wasniewski M., Almeida I., Baur A., </w:t>
      </w:r>
      <w:proofErr w:type="spellStart"/>
      <w:r w:rsidRPr="001A6CB2">
        <w:rPr>
          <w:smallCaps/>
        </w:rPr>
        <w:t>Bedekovic</w:t>
      </w:r>
      <w:proofErr w:type="spellEnd"/>
      <w:r w:rsidRPr="001A6CB2">
        <w:rPr>
          <w:smallCaps/>
        </w:rPr>
        <w:t xml:space="preserve"> T., </w:t>
      </w:r>
      <w:proofErr w:type="spellStart"/>
      <w:r w:rsidRPr="001A6CB2">
        <w:rPr>
          <w:smallCaps/>
        </w:rPr>
        <w:t>Boncea</w:t>
      </w:r>
      <w:proofErr w:type="spellEnd"/>
      <w:r w:rsidRPr="001A6CB2">
        <w:rPr>
          <w:smallCaps/>
        </w:rPr>
        <w:t xml:space="preserve"> D., </w:t>
      </w:r>
      <w:proofErr w:type="spellStart"/>
      <w:r w:rsidRPr="001A6CB2">
        <w:rPr>
          <w:smallCaps/>
        </w:rPr>
        <w:t>Chaves</w:t>
      </w:r>
      <w:proofErr w:type="spellEnd"/>
      <w:r w:rsidRPr="001A6CB2">
        <w:rPr>
          <w:smallCaps/>
        </w:rPr>
        <w:t xml:space="preserve"> L.B., David D., De Benedictis P., </w:t>
      </w:r>
      <w:proofErr w:type="spellStart"/>
      <w:r w:rsidRPr="001A6CB2">
        <w:rPr>
          <w:smallCaps/>
        </w:rPr>
        <w:t>Dobrostana</w:t>
      </w:r>
      <w:proofErr w:type="spellEnd"/>
      <w:r w:rsidRPr="001A6CB2">
        <w:rPr>
          <w:smallCaps/>
        </w:rPr>
        <w:t xml:space="preserve"> M., Giraud P., Hostnik P., </w:t>
      </w:r>
      <w:proofErr w:type="spellStart"/>
      <w:r w:rsidRPr="001A6CB2">
        <w:rPr>
          <w:smallCaps/>
        </w:rPr>
        <w:t>Jaceviciene</w:t>
      </w:r>
      <w:proofErr w:type="spellEnd"/>
      <w:r w:rsidRPr="001A6CB2">
        <w:rPr>
          <w:smallCaps/>
        </w:rPr>
        <w:t xml:space="preserve"> I., </w:t>
      </w:r>
      <w:proofErr w:type="spellStart"/>
      <w:r w:rsidRPr="001A6CB2">
        <w:rPr>
          <w:smallCaps/>
        </w:rPr>
        <w:t>Kenklies</w:t>
      </w:r>
      <w:proofErr w:type="spellEnd"/>
      <w:r w:rsidRPr="001A6CB2">
        <w:rPr>
          <w:smallCaps/>
        </w:rPr>
        <w:t xml:space="preserve"> S., Konig M., Mahar K., </w:t>
      </w:r>
      <w:proofErr w:type="spellStart"/>
      <w:r w:rsidRPr="001A6CB2">
        <w:rPr>
          <w:smallCaps/>
        </w:rPr>
        <w:t>Mojzis</w:t>
      </w:r>
      <w:proofErr w:type="spellEnd"/>
      <w:r w:rsidRPr="001A6CB2">
        <w:rPr>
          <w:smallCaps/>
        </w:rPr>
        <w:t xml:space="preserve"> M., Moore S., </w:t>
      </w:r>
      <w:proofErr w:type="spellStart"/>
      <w:r w:rsidRPr="001A6CB2">
        <w:rPr>
          <w:smallCaps/>
        </w:rPr>
        <w:t>Mrenoski</w:t>
      </w:r>
      <w:proofErr w:type="spellEnd"/>
      <w:r w:rsidRPr="001A6CB2">
        <w:rPr>
          <w:smallCaps/>
        </w:rPr>
        <w:t xml:space="preserve"> S., Müller T., Ngoepe E., Nishimura M., </w:t>
      </w:r>
      <w:proofErr w:type="spellStart"/>
      <w:r w:rsidRPr="001A6CB2">
        <w:rPr>
          <w:smallCaps/>
        </w:rPr>
        <w:t>Nokireki</w:t>
      </w:r>
      <w:proofErr w:type="spellEnd"/>
      <w:r w:rsidRPr="001A6CB2">
        <w:rPr>
          <w:smallCaps/>
        </w:rPr>
        <w:t xml:space="preserve"> T., </w:t>
      </w:r>
      <w:proofErr w:type="spellStart"/>
      <w:r w:rsidRPr="001A6CB2">
        <w:rPr>
          <w:smallCaps/>
        </w:rPr>
        <w:t>Pejovic</w:t>
      </w:r>
      <w:proofErr w:type="spellEnd"/>
      <w:r w:rsidRPr="001A6CB2">
        <w:rPr>
          <w:smallCaps/>
        </w:rPr>
        <w:t xml:space="preserve"> N., </w:t>
      </w:r>
      <w:proofErr w:type="spellStart"/>
      <w:r w:rsidRPr="001A6CB2">
        <w:rPr>
          <w:smallCaps/>
        </w:rPr>
        <w:t>Smreczak</w:t>
      </w:r>
      <w:proofErr w:type="spellEnd"/>
      <w:r w:rsidRPr="001A6CB2">
        <w:rPr>
          <w:smallCaps/>
        </w:rPr>
        <w:t xml:space="preserve"> M., Strandbygaard B., </w:t>
      </w:r>
      <w:proofErr w:type="spellStart"/>
      <w:r w:rsidRPr="001A6CB2">
        <w:rPr>
          <w:smallCaps/>
        </w:rPr>
        <w:t>Wodak</w:t>
      </w:r>
      <w:proofErr w:type="spellEnd"/>
      <w:r w:rsidRPr="001A6CB2">
        <w:rPr>
          <w:smallCaps/>
        </w:rPr>
        <w:t xml:space="preserve"> E., </w:t>
      </w:r>
      <w:proofErr w:type="spellStart"/>
      <w:r w:rsidRPr="001A6CB2">
        <w:rPr>
          <w:smallCaps/>
        </w:rPr>
        <w:t>Cliquet</w:t>
      </w:r>
      <w:proofErr w:type="spellEnd"/>
      <w:r w:rsidRPr="001A6CB2">
        <w:rPr>
          <w:smallCaps/>
        </w:rPr>
        <w:t xml:space="preserve"> F. (2016). </w:t>
      </w:r>
      <w:r w:rsidRPr="001A6CB2">
        <w:t xml:space="preserve">First international collaborative study to evaluate rabies antibody detection method for use in monitoring the effectiveness of oral vaccination programmes in fox and raccoon dog in Europe. </w:t>
      </w:r>
      <w:r w:rsidRPr="001A6CB2">
        <w:rPr>
          <w:i/>
        </w:rPr>
        <w:t>J. Virol. Methods,</w:t>
      </w:r>
      <w:r w:rsidRPr="001A6CB2">
        <w:t xml:space="preserve"> </w:t>
      </w:r>
      <w:r w:rsidRPr="001A6CB2">
        <w:rPr>
          <w:b/>
        </w:rPr>
        <w:t>238</w:t>
      </w:r>
      <w:r w:rsidRPr="001A6CB2">
        <w:t>, 77-85.</w:t>
      </w:r>
    </w:p>
    <w:p w14:paraId="3B578CA8" w14:textId="77777777" w:rsidR="005B0077" w:rsidRPr="009F104D" w:rsidRDefault="005B0077" w:rsidP="005B0077">
      <w:pPr>
        <w:pStyle w:val="Ref"/>
        <w:rPr>
          <w:strike/>
        </w:rPr>
      </w:pPr>
      <w:r w:rsidRPr="009F104D">
        <w:rPr>
          <w:smallCaps/>
          <w:strike/>
        </w:rPr>
        <w:t>World Health Organi</w:t>
      </w:r>
      <w:r w:rsidR="00321849" w:rsidRPr="009F104D">
        <w:rPr>
          <w:smallCaps/>
          <w:strike/>
        </w:rPr>
        <w:t>z</w:t>
      </w:r>
      <w:r w:rsidRPr="009F104D">
        <w:rPr>
          <w:smallCaps/>
          <w:strike/>
        </w:rPr>
        <w:t>ation</w:t>
      </w:r>
      <w:r w:rsidRPr="009F104D">
        <w:rPr>
          <w:strike/>
        </w:rPr>
        <w:t xml:space="preserve"> (1996). Laboratory Techniques in Rabies, Fourth Edition, Meslin F.-X., Kaplan M.M. &amp; Koprowski H., eds. WHO, Geneva, Switzerland.</w:t>
      </w:r>
    </w:p>
    <w:p w14:paraId="28BBE57F" w14:textId="77777777" w:rsidR="005B0077" w:rsidRPr="001A6CB2" w:rsidRDefault="005B0077" w:rsidP="005B0077">
      <w:pPr>
        <w:pStyle w:val="Ref"/>
      </w:pPr>
      <w:r w:rsidRPr="001A6CB2">
        <w:rPr>
          <w:rFonts w:eastAsia="MS Mincho"/>
          <w:smallCaps/>
          <w:color w:val="000000"/>
        </w:rPr>
        <w:t xml:space="preserve">World Health Organization </w:t>
      </w:r>
      <w:r w:rsidRPr="001A6CB2">
        <w:t>(2005). World Health Organi</w:t>
      </w:r>
      <w:r w:rsidR="00321849" w:rsidRPr="001A6CB2">
        <w:t>z</w:t>
      </w:r>
      <w:r w:rsidRPr="001A6CB2">
        <w:t>ation</w:t>
      </w:r>
      <w:r w:rsidRPr="001A6CB2">
        <w:rPr>
          <w:rFonts w:eastAsia="MS Mincho"/>
          <w:color w:val="000000"/>
        </w:rPr>
        <w:t xml:space="preserve"> Expert Committee on Rabies, </w:t>
      </w:r>
      <w:r w:rsidRPr="001A6CB2">
        <w:t xml:space="preserve">First </w:t>
      </w:r>
      <w:r w:rsidRPr="001A6CB2">
        <w:rPr>
          <w:rFonts w:eastAsia="MS Mincho"/>
          <w:color w:val="000000"/>
        </w:rPr>
        <w:t>Report</w:t>
      </w:r>
      <w:r w:rsidRPr="001A6CB2">
        <w:t xml:space="preserve">; WHO Technical Report Series, </w:t>
      </w:r>
      <w:r w:rsidRPr="001A6CB2">
        <w:rPr>
          <w:b/>
          <w:bCs/>
        </w:rPr>
        <w:t>931</w:t>
      </w:r>
      <w:r w:rsidRPr="001A6CB2">
        <w:t xml:space="preserve">. WHO, Geneva, Switzerland, 1–87. </w:t>
      </w:r>
    </w:p>
    <w:p w14:paraId="4B5FF228" w14:textId="77777777" w:rsidR="005B0077" w:rsidRPr="001A6CB2" w:rsidRDefault="005B0077" w:rsidP="005B0077">
      <w:pPr>
        <w:pStyle w:val="Default"/>
        <w:spacing w:after="240"/>
        <w:jc w:val="both"/>
        <w:rPr>
          <w:rFonts w:ascii="Söhne" w:hAnsi="Söhne" w:cs="Arial"/>
          <w:color w:val="auto"/>
          <w:sz w:val="18"/>
          <w:szCs w:val="18"/>
          <w:lang w:val="en-GB"/>
        </w:rPr>
      </w:pPr>
      <w:r w:rsidRPr="001A6CB2">
        <w:rPr>
          <w:rFonts w:ascii="Söhne" w:hAnsi="Söhne" w:cs="Arial"/>
          <w:smallCaps/>
          <w:sz w:val="18"/>
          <w:szCs w:val="18"/>
          <w:lang w:val="en-GB"/>
        </w:rPr>
        <w:t>World Health Organization</w:t>
      </w:r>
      <w:r w:rsidRPr="001A6CB2">
        <w:rPr>
          <w:rFonts w:ascii="Söhne" w:hAnsi="Söhne" w:cs="Arial"/>
          <w:color w:val="auto"/>
          <w:sz w:val="18"/>
          <w:szCs w:val="18"/>
          <w:lang w:val="en-GB"/>
        </w:rPr>
        <w:t xml:space="preserve"> (2007). Oral Vaccination of Dogs against Rabies. </w:t>
      </w:r>
      <w:r w:rsidR="00505985" w:rsidRPr="001A6CB2">
        <w:rPr>
          <w:rFonts w:ascii="Söhne" w:hAnsi="Söhne" w:cs="Arial"/>
          <w:color w:val="auto"/>
          <w:sz w:val="18"/>
          <w:szCs w:val="18"/>
          <w:lang w:val="en-GB"/>
        </w:rPr>
        <w:t>Guidance for research on oral rabies vaccines and field application of oral vaccination of dogs against rabies.</w:t>
      </w:r>
      <w:r w:rsidR="005C2640" w:rsidRPr="001A6CB2">
        <w:rPr>
          <w:rFonts w:ascii="Söhne" w:hAnsi="Söhne" w:cs="Arial"/>
          <w:color w:val="auto"/>
          <w:sz w:val="18"/>
          <w:szCs w:val="18"/>
          <w:lang w:val="en-GB"/>
        </w:rPr>
        <w:t xml:space="preserve"> </w:t>
      </w:r>
      <w:r w:rsidRPr="001A6CB2">
        <w:rPr>
          <w:rFonts w:ascii="Söhne" w:hAnsi="Söhne" w:cs="Arial"/>
          <w:color w:val="auto"/>
          <w:sz w:val="18"/>
          <w:szCs w:val="18"/>
          <w:lang w:val="en-GB"/>
        </w:rPr>
        <w:t xml:space="preserve">WHO, Geneva, Switzerland. </w:t>
      </w:r>
    </w:p>
    <w:p w14:paraId="3AD9CB23" w14:textId="77777777" w:rsidR="005B0077" w:rsidRPr="001A6CB2" w:rsidRDefault="005B0077" w:rsidP="005B0077">
      <w:pPr>
        <w:pStyle w:val="Default"/>
        <w:spacing w:after="240"/>
        <w:jc w:val="both"/>
        <w:rPr>
          <w:rFonts w:ascii="Söhne" w:hAnsi="Söhne" w:cs="Arial"/>
          <w:color w:val="auto"/>
          <w:sz w:val="18"/>
          <w:szCs w:val="18"/>
          <w:lang w:val="en-GB"/>
        </w:rPr>
      </w:pPr>
      <w:r w:rsidRPr="001A6CB2">
        <w:rPr>
          <w:rFonts w:ascii="Söhne" w:hAnsi="Söhne" w:cs="Arial"/>
          <w:smallCaps/>
          <w:sz w:val="18"/>
          <w:szCs w:val="18"/>
          <w:lang w:val="en-GB"/>
        </w:rPr>
        <w:t>World Health Organization</w:t>
      </w:r>
      <w:r w:rsidRPr="001A6CB2">
        <w:rPr>
          <w:rFonts w:ascii="Söhne" w:hAnsi="Söhne" w:cs="Arial"/>
          <w:color w:val="auto"/>
          <w:sz w:val="18"/>
          <w:szCs w:val="18"/>
          <w:lang w:val="en-GB"/>
        </w:rPr>
        <w:t xml:space="preserve"> </w:t>
      </w:r>
      <w:r w:rsidRPr="001A6CB2">
        <w:rPr>
          <w:rFonts w:ascii="Söhne" w:hAnsi="Söhne" w:cs="Arial"/>
          <w:sz w:val="18"/>
          <w:szCs w:val="18"/>
          <w:lang w:val="en-US"/>
        </w:rPr>
        <w:t xml:space="preserve">(2013). Expert Consultation on Rabies, Second Report. WHO Technical Report Series, </w:t>
      </w:r>
      <w:r w:rsidRPr="001A6CB2">
        <w:rPr>
          <w:rFonts w:ascii="Söhne" w:hAnsi="Söhne" w:cs="Arial"/>
          <w:b/>
          <w:sz w:val="18"/>
          <w:szCs w:val="18"/>
          <w:lang w:val="en-US"/>
        </w:rPr>
        <w:t>982</w:t>
      </w:r>
      <w:r w:rsidRPr="001A6CB2">
        <w:rPr>
          <w:rFonts w:ascii="Söhne" w:hAnsi="Söhne" w:cs="Arial"/>
          <w:sz w:val="18"/>
          <w:szCs w:val="18"/>
          <w:lang w:val="en-US"/>
        </w:rPr>
        <w:t>. WHO, Geneva, Switzerland, 1–150.</w:t>
      </w:r>
    </w:p>
    <w:p w14:paraId="16315560" w14:textId="6AC8BC20" w:rsidR="00111383" w:rsidRPr="002F03DA" w:rsidRDefault="00111383" w:rsidP="00111383">
      <w:pPr>
        <w:pStyle w:val="Ref"/>
        <w:rPr>
          <w:u w:val="double"/>
        </w:rPr>
      </w:pPr>
      <w:r w:rsidRPr="002F03DA">
        <w:rPr>
          <w:smallCaps/>
          <w:u w:val="double"/>
        </w:rPr>
        <w:t xml:space="preserve">World Health Organization </w:t>
      </w:r>
      <w:r w:rsidRPr="002F03DA">
        <w:rPr>
          <w:u w:val="double"/>
        </w:rPr>
        <w:t xml:space="preserve">(‎2018)‎. Laboratory </w:t>
      </w:r>
      <w:r w:rsidR="002F03DA" w:rsidRPr="002F03DA">
        <w:rPr>
          <w:u w:val="double"/>
        </w:rPr>
        <w:t xml:space="preserve">Techniques </w:t>
      </w:r>
      <w:r w:rsidRPr="002F03DA">
        <w:rPr>
          <w:u w:val="double"/>
        </w:rPr>
        <w:t xml:space="preserve">in </w:t>
      </w:r>
      <w:r w:rsidR="002F03DA" w:rsidRPr="002F03DA">
        <w:rPr>
          <w:u w:val="double"/>
        </w:rPr>
        <w:t>Rabies</w:t>
      </w:r>
      <w:r w:rsidRPr="002F03DA">
        <w:rPr>
          <w:u w:val="double"/>
        </w:rPr>
        <w:t xml:space="preserve">, </w:t>
      </w:r>
      <w:r w:rsidR="002F03DA" w:rsidRPr="002F03DA">
        <w:rPr>
          <w:u w:val="double"/>
        </w:rPr>
        <w:t>Fif</w:t>
      </w:r>
      <w:r w:rsidRPr="002F03DA">
        <w:rPr>
          <w:u w:val="double"/>
        </w:rPr>
        <w:t xml:space="preserve">th </w:t>
      </w:r>
      <w:r w:rsidR="002F03DA" w:rsidRPr="002F03DA">
        <w:rPr>
          <w:u w:val="double"/>
        </w:rPr>
        <w:t>Edition, Volumes 1 and 2</w:t>
      </w:r>
      <w:r w:rsidR="002F03DA">
        <w:rPr>
          <w:u w:val="double"/>
        </w:rPr>
        <w:t>,</w:t>
      </w:r>
      <w:r w:rsidR="002F03DA" w:rsidRPr="002F03DA">
        <w:rPr>
          <w:smallCaps/>
          <w:u w:val="double"/>
        </w:rPr>
        <w:t xml:space="preserve"> </w:t>
      </w:r>
      <w:r w:rsidR="002F03DA" w:rsidRPr="002F03DA">
        <w:rPr>
          <w:u w:val="double"/>
        </w:rPr>
        <w:t>Rupprecht C.E, Fooks A.R. &amp; Abela-Ridder B.</w:t>
      </w:r>
      <w:r w:rsidR="002F03DA">
        <w:rPr>
          <w:u w:val="double"/>
        </w:rPr>
        <w:t>, eds.</w:t>
      </w:r>
      <w:r w:rsidRPr="002F03DA">
        <w:rPr>
          <w:u w:val="double"/>
        </w:rPr>
        <w:t xml:space="preserve"> </w:t>
      </w:r>
      <w:r w:rsidR="002F03DA" w:rsidRPr="002F03DA">
        <w:rPr>
          <w:u w:val="double"/>
          <w:lang w:val="en-US"/>
        </w:rPr>
        <w:t>WHO, Geneva, Switzerland</w:t>
      </w:r>
      <w:r w:rsidRPr="002F03DA">
        <w:rPr>
          <w:u w:val="double"/>
        </w:rPr>
        <w:t>.</w:t>
      </w:r>
    </w:p>
    <w:p w14:paraId="5052D90D" w14:textId="77777777" w:rsidR="005B0077" w:rsidRPr="001A6CB2" w:rsidRDefault="005B0077" w:rsidP="005B0077">
      <w:pPr>
        <w:pStyle w:val="Ref"/>
      </w:pPr>
      <w:r w:rsidRPr="001A6CB2">
        <w:rPr>
          <w:smallCaps/>
          <w:lang w:val="en-US"/>
        </w:rPr>
        <w:t>Wu X., Smith T.G. &amp; Rupprecht C.E</w:t>
      </w:r>
      <w:r w:rsidRPr="001A6CB2">
        <w:rPr>
          <w:lang w:val="en-US"/>
        </w:rPr>
        <w:t xml:space="preserve">. (2011). </w:t>
      </w:r>
      <w:r w:rsidRPr="001A6CB2">
        <w:t xml:space="preserve">From brain passage to cell adaptation: the road of human rabies vaccine development. </w:t>
      </w:r>
      <w:r w:rsidRPr="001A6CB2">
        <w:rPr>
          <w:i/>
        </w:rPr>
        <w:t>Exp. Rev. Vaccines</w:t>
      </w:r>
      <w:r w:rsidRPr="001A6CB2">
        <w:t xml:space="preserve">, </w:t>
      </w:r>
      <w:r w:rsidRPr="001A6CB2">
        <w:rPr>
          <w:b/>
        </w:rPr>
        <w:t>10</w:t>
      </w:r>
      <w:r w:rsidRPr="001A6CB2">
        <w:t>, 1597–1608.</w:t>
      </w:r>
    </w:p>
    <w:p w14:paraId="155DB1AD" w14:textId="77777777" w:rsidR="005B0077" w:rsidRPr="00D27D2E" w:rsidRDefault="005B0077" w:rsidP="005B0077">
      <w:pPr>
        <w:pStyle w:val="Ref"/>
        <w:rPr>
          <w:strike/>
        </w:rPr>
      </w:pPr>
      <w:r w:rsidRPr="00D27D2E">
        <w:rPr>
          <w:smallCaps/>
          <w:strike/>
        </w:rPr>
        <w:t xml:space="preserve">Xu G., Weber P., Hu Q., Xue H., </w:t>
      </w:r>
      <w:proofErr w:type="spellStart"/>
      <w:r w:rsidRPr="00D27D2E">
        <w:rPr>
          <w:smallCaps/>
          <w:strike/>
        </w:rPr>
        <w:t>Audry</w:t>
      </w:r>
      <w:proofErr w:type="spellEnd"/>
      <w:r w:rsidRPr="00D27D2E">
        <w:rPr>
          <w:smallCaps/>
          <w:strike/>
        </w:rPr>
        <w:t xml:space="preserve"> L., Li C., Wu J. &amp; </w:t>
      </w:r>
      <w:proofErr w:type="spellStart"/>
      <w:r w:rsidRPr="00D27D2E">
        <w:rPr>
          <w:smallCaps/>
          <w:strike/>
        </w:rPr>
        <w:t>Bourhy</w:t>
      </w:r>
      <w:proofErr w:type="spellEnd"/>
      <w:r w:rsidRPr="00D27D2E">
        <w:rPr>
          <w:smallCaps/>
          <w:strike/>
        </w:rPr>
        <w:t xml:space="preserve"> H. </w:t>
      </w:r>
      <w:r w:rsidRPr="00D27D2E">
        <w:rPr>
          <w:strike/>
        </w:rPr>
        <w:t xml:space="preserve">(2007). A simple sandwich ELISA (WELYSSA) for the detection of lyssavirus nucleocapsid in rabies suspected specimens using mouse monoclonal antibodies. </w:t>
      </w:r>
      <w:r w:rsidRPr="00D27D2E">
        <w:rPr>
          <w:i/>
          <w:iCs/>
          <w:strike/>
        </w:rPr>
        <w:t>Biologicals</w:t>
      </w:r>
      <w:r w:rsidRPr="00D27D2E">
        <w:rPr>
          <w:strike/>
        </w:rPr>
        <w:t xml:space="preserve">, </w:t>
      </w:r>
      <w:r w:rsidRPr="00D27D2E">
        <w:rPr>
          <w:b/>
          <w:bCs/>
          <w:strike/>
        </w:rPr>
        <w:t>35</w:t>
      </w:r>
      <w:r w:rsidRPr="00D27D2E">
        <w:rPr>
          <w:strike/>
        </w:rPr>
        <w:t xml:space="preserve">, 297–302. </w:t>
      </w:r>
    </w:p>
    <w:p w14:paraId="4675E72E" w14:textId="77777777" w:rsidR="005B0077" w:rsidRPr="000A7B67" w:rsidRDefault="005B0077" w:rsidP="005B0077">
      <w:pPr>
        <w:pStyle w:val="rtoiles"/>
        <w:rPr>
          <w:lang w:val="en-GB"/>
        </w:rPr>
      </w:pPr>
      <w:r w:rsidRPr="000A7B67">
        <w:rPr>
          <w:lang w:val="en-GB"/>
        </w:rPr>
        <w:t>*</w:t>
      </w:r>
      <w:r w:rsidRPr="000A7B67">
        <w:rPr>
          <w:lang w:val="en-GB"/>
        </w:rPr>
        <w:br/>
        <w:t>*   *</w:t>
      </w:r>
    </w:p>
    <w:p w14:paraId="3432A56E" w14:textId="6684F381" w:rsidR="005B0077" w:rsidRPr="00347529" w:rsidRDefault="005B0077" w:rsidP="005B0077">
      <w:pPr>
        <w:pStyle w:val="StyleReflabnoteGras"/>
        <w:spacing w:after="240"/>
        <w:rPr>
          <w:rFonts w:ascii="Söhne" w:hAnsi="Söhne"/>
          <w:b w:val="0"/>
          <w:iCs/>
        </w:rPr>
      </w:pPr>
      <w:r w:rsidRPr="00347529">
        <w:rPr>
          <w:rStyle w:val="ReflabnoteCar"/>
          <w:rFonts w:ascii="Söhne" w:hAnsi="Söhne"/>
        </w:rPr>
        <w:t>NB:</w:t>
      </w:r>
      <w:r w:rsidRPr="00347529">
        <w:rPr>
          <w:rStyle w:val="ReflabnoteCar"/>
          <w:rFonts w:ascii="Söhne" w:hAnsi="Söhne"/>
          <w:b w:val="0"/>
        </w:rPr>
        <w:t xml:space="preserve"> There are </w:t>
      </w:r>
      <w:r w:rsidR="00A064B8">
        <w:rPr>
          <w:rStyle w:val="ReflabnoteCar"/>
          <w:rFonts w:ascii="Söhne" w:hAnsi="Söhne"/>
          <w:b w:val="0"/>
        </w:rPr>
        <w:t>WOAH</w:t>
      </w:r>
      <w:r w:rsidRPr="00347529">
        <w:rPr>
          <w:rStyle w:val="ReflabnoteCar"/>
          <w:rFonts w:ascii="Söhne" w:hAnsi="Söhne"/>
          <w:b w:val="0"/>
        </w:rPr>
        <w:t xml:space="preserve"> Reference Laboratories for </w:t>
      </w:r>
      <w:r w:rsidR="00B420CA" w:rsidRPr="00347529">
        <w:rPr>
          <w:rFonts w:ascii="Söhne" w:hAnsi="Söhne"/>
          <w:b w:val="0"/>
          <w:iCs/>
        </w:rPr>
        <w:t xml:space="preserve">rabies </w:t>
      </w:r>
      <w:r w:rsidRPr="00347529">
        <w:rPr>
          <w:rStyle w:val="ReflabnoteCar"/>
          <w:rFonts w:ascii="Söhne" w:hAnsi="Söhne"/>
          <w:b w:val="0"/>
        </w:rPr>
        <w:t>(</w:t>
      </w:r>
      <w:bookmarkStart w:id="4" w:name="_Hlk87022483"/>
      <w:r w:rsidR="00B420CA" w:rsidRPr="00347529">
        <w:rPr>
          <w:rStyle w:val="ReflabnoteCar"/>
          <w:rFonts w:ascii="Söhne" w:hAnsi="Söhne"/>
          <w:b w:val="0"/>
          <w:bCs w:val="0"/>
        </w:rPr>
        <w:t xml:space="preserve">please consult the </w:t>
      </w:r>
      <w:r w:rsidR="00A064B8">
        <w:rPr>
          <w:rStyle w:val="ReflabnoteCar"/>
          <w:rFonts w:ascii="Söhne" w:hAnsi="Söhne"/>
          <w:b w:val="0"/>
          <w:bCs w:val="0"/>
        </w:rPr>
        <w:t>WOAH</w:t>
      </w:r>
      <w:r w:rsidR="00B420CA" w:rsidRPr="00347529">
        <w:rPr>
          <w:rStyle w:val="ReflabnoteCar"/>
          <w:rFonts w:ascii="Söhne" w:hAnsi="Söhne"/>
          <w:b w:val="0"/>
          <w:bCs w:val="0"/>
        </w:rPr>
        <w:t xml:space="preserve"> Web site: </w:t>
      </w:r>
      <w:r w:rsidR="00B420CA" w:rsidRPr="00347529">
        <w:rPr>
          <w:rStyle w:val="ReflabnoteCar"/>
          <w:rFonts w:ascii="Söhne" w:hAnsi="Söhne"/>
          <w:b w:val="0"/>
          <w:bCs w:val="0"/>
        </w:rPr>
        <w:br/>
      </w:r>
      <w:bookmarkEnd w:id="4"/>
      <w:r w:rsidR="00347529" w:rsidRPr="00347529">
        <w:fldChar w:fldCharType="begin"/>
      </w:r>
      <w:r w:rsidR="00347529" w:rsidRPr="00347529">
        <w:rPr>
          <w:rFonts w:ascii="Söhne" w:hAnsi="Söhne"/>
          <w:b w:val="0"/>
          <w:bCs w:val="0"/>
          <w:u w:val="single"/>
        </w:rPr>
        <w:instrText xml:space="preserve"> HYPERLINK "https://www.woah.org/en/what-we-offer/expertise-network/reference-laboratories/" \l "ui-id-3" </w:instrText>
      </w:r>
      <w:r w:rsidR="00347529" w:rsidRPr="00347529">
        <w:fldChar w:fldCharType="separate"/>
      </w:r>
      <w:r w:rsidR="00347529" w:rsidRPr="00347529">
        <w:rPr>
          <w:rStyle w:val="Hyperlink"/>
          <w:rFonts w:ascii="Söhne" w:hAnsi="Söhne"/>
          <w:b w:val="0"/>
          <w:bCs w:val="0"/>
        </w:rPr>
        <w:t>https://www.woah.org/en/what-we-offer/expertise-network/reference-laboratories/#ui-id-3</w:t>
      </w:r>
      <w:r w:rsidR="00347529" w:rsidRPr="00347529">
        <w:rPr>
          <w:rStyle w:val="Hyperlink"/>
          <w:rFonts w:ascii="Söhne" w:hAnsi="Söhne"/>
          <w:b w:val="0"/>
          <w:bCs w:val="0"/>
        </w:rPr>
        <w:fldChar w:fldCharType="end"/>
      </w:r>
      <w:r w:rsidR="00347529" w:rsidRPr="00347529">
        <w:rPr>
          <w:rStyle w:val="ReflabnoteCar"/>
          <w:rFonts w:ascii="Söhne" w:eastAsia="Calibri" w:hAnsi="Söhne"/>
        </w:rPr>
        <w:t>).</w:t>
      </w:r>
      <w:r w:rsidRPr="00347529">
        <w:rPr>
          <w:rStyle w:val="ReflabnoteCar"/>
          <w:rFonts w:ascii="Söhne" w:hAnsi="Söhne"/>
          <w:b w:val="0"/>
        </w:rPr>
        <w:br/>
      </w:r>
      <w:r w:rsidRPr="00347529">
        <w:rPr>
          <w:rFonts w:ascii="Söhne" w:hAnsi="Söhne"/>
          <w:b w:val="0"/>
        </w:rPr>
        <w:t xml:space="preserve">Please contact the </w:t>
      </w:r>
      <w:r w:rsidR="00A064B8">
        <w:rPr>
          <w:rFonts w:ascii="Söhne" w:hAnsi="Söhne"/>
          <w:b w:val="0"/>
        </w:rPr>
        <w:t>WOAH</w:t>
      </w:r>
      <w:r w:rsidRPr="00347529">
        <w:rPr>
          <w:rFonts w:ascii="Söhne" w:hAnsi="Söhne"/>
          <w:b w:val="0"/>
        </w:rPr>
        <w:t xml:space="preserve"> Reference Laboratories for any further information on </w:t>
      </w:r>
      <w:r w:rsidRPr="00347529">
        <w:rPr>
          <w:rFonts w:ascii="Söhne" w:hAnsi="Söhne"/>
          <w:b w:val="0"/>
        </w:rPr>
        <w:br/>
        <w:t xml:space="preserve">diagnostic tests, reagents and vaccines for </w:t>
      </w:r>
      <w:r w:rsidRPr="00347529">
        <w:rPr>
          <w:rFonts w:ascii="Söhne" w:hAnsi="Söhne"/>
          <w:b w:val="0"/>
          <w:iCs/>
        </w:rPr>
        <w:t>rabies</w:t>
      </w:r>
    </w:p>
    <w:p w14:paraId="16013F03" w14:textId="77777777" w:rsidR="005B0077" w:rsidRPr="00347529" w:rsidRDefault="005B0077" w:rsidP="005B0077">
      <w:pPr>
        <w:pStyle w:val="StyleReflabnoteGras"/>
        <w:rPr>
          <w:rFonts w:ascii="Söhne" w:hAnsi="Söhne"/>
          <w:b w:val="0"/>
          <w:lang w:val="en-IE"/>
        </w:rPr>
      </w:pPr>
      <w:r w:rsidRPr="00347529">
        <w:rPr>
          <w:rFonts w:ascii="Söhne" w:hAnsi="Söhne"/>
          <w:smallCaps/>
        </w:rPr>
        <w:t>NB:</w:t>
      </w:r>
      <w:r w:rsidRPr="00347529">
        <w:rPr>
          <w:rFonts w:ascii="Söhne" w:hAnsi="Söhne"/>
          <w:b w:val="0"/>
          <w:smallCaps/>
        </w:rPr>
        <w:t xml:space="preserve"> First adopted in 1989</w:t>
      </w:r>
      <w:r w:rsidR="005C2640" w:rsidRPr="00347529">
        <w:rPr>
          <w:rFonts w:ascii="Söhne" w:hAnsi="Söhne"/>
          <w:b w:val="0"/>
          <w:smallCaps/>
        </w:rPr>
        <w:t xml:space="preserve">. </w:t>
      </w:r>
      <w:r w:rsidRPr="00347529">
        <w:rPr>
          <w:rFonts w:ascii="Söhne" w:hAnsi="Söhne"/>
          <w:b w:val="0"/>
          <w:smallCaps/>
        </w:rPr>
        <w:t xml:space="preserve">Most recent updates adopted in </w:t>
      </w:r>
      <w:r w:rsidR="000A7B67" w:rsidRPr="00347529">
        <w:rPr>
          <w:rFonts w:ascii="Söhne" w:hAnsi="Söhne"/>
          <w:b w:val="0"/>
          <w:smallCaps/>
        </w:rPr>
        <w:t>2018.</w:t>
      </w:r>
    </w:p>
    <w:sectPr w:rsidR="005B0077" w:rsidRPr="00347529" w:rsidSect="00E37290">
      <w:headerReference w:type="even" r:id="rId24"/>
      <w:headerReference w:type="default" r:id="rId25"/>
      <w:footerReference w:type="even" r:id="rId26"/>
      <w:footerReference w:type="default" r:id="rId27"/>
      <w:headerReference w:type="first" r:id="rId28"/>
      <w:footerReference w:type="first" r:id="rId29"/>
      <w:pgSz w:w="11907" w:h="16840" w:code="9"/>
      <w:pgMar w:top="-1418" w:right="1418" w:bottom="1418" w:left="1418" w:header="567" w:footer="567" w:gutter="0"/>
      <w:paperSrc w:first="7" w:other="7"/>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B9B2" w14:textId="77777777" w:rsidR="00194A5C" w:rsidRDefault="00194A5C">
      <w:r>
        <w:separator/>
      </w:r>
    </w:p>
  </w:endnote>
  <w:endnote w:type="continuationSeparator" w:id="0">
    <w:p w14:paraId="69C76541" w14:textId="77777777" w:rsidR="00194A5C" w:rsidRDefault="00194A5C">
      <w:r>
        <w:continuationSeparator/>
      </w:r>
    </w:p>
  </w:endnote>
  <w:endnote w:type="continuationNotice" w:id="1">
    <w:p w14:paraId="6E77124C" w14:textId="77777777" w:rsidR="00194A5C" w:rsidRDefault="00194A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ttawa">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SegoeUI">
    <w:altName w:val="Calibri"/>
    <w:panose1 w:val="00000000000000000000"/>
    <w:charset w:val="00"/>
    <w:family w:val="swiss"/>
    <w:notTrueType/>
    <w:pitch w:val="default"/>
    <w:sig w:usb0="00000003" w:usb1="00000000" w:usb2="00000000" w:usb3="00000000" w:csb0="00000001" w:csb1="00000000"/>
  </w:font>
  <w:font w:name="GreekMathSymbols">
    <w:altName w:val="Symbol"/>
    <w:charset w:val="02"/>
    <w:family w:val="swiss"/>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03BE" w14:textId="2E261871" w:rsidR="005C2640" w:rsidRPr="00BA50FE" w:rsidRDefault="006C4189" w:rsidP="00347529">
    <w:pPr>
      <w:pStyle w:val="Footer"/>
    </w:pPr>
    <w:r>
      <w:fldChar w:fldCharType="begin"/>
    </w:r>
    <w:r>
      <w:instrText>PAGE</w:instrText>
    </w:r>
    <w:r>
      <w:fldChar w:fldCharType="separate"/>
    </w:r>
    <w:r>
      <w:t>570</w:t>
    </w:r>
    <w:r>
      <w:fldChar w:fldCharType="end"/>
    </w:r>
    <w:r w:rsidR="005C2640">
      <w:rPr>
        <w:sz w:val="18"/>
      </w:rPr>
      <w:tab/>
    </w:r>
    <w:r w:rsidR="00A064B8">
      <w:t>WOAH</w:t>
    </w:r>
    <w:r>
      <w:t xml:space="preserve"> </w:t>
    </w:r>
    <w:r>
      <w:rPr>
        <w:i/>
        <w:iCs/>
      </w:rPr>
      <w:t>Terrestrial</w:t>
    </w:r>
    <w:r>
      <w:t xml:space="preserve"> </w:t>
    </w:r>
    <w:r>
      <w:rPr>
        <w:i/>
      </w:rPr>
      <w:t>Manual</w:t>
    </w:r>
    <w:r>
      <w:t xml:space="preserve"> 20</w:t>
    </w:r>
    <w:r w:rsidR="00E37290">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D4E3" w14:textId="20FEA2C8" w:rsidR="005C2640" w:rsidRPr="00BA50FE" w:rsidRDefault="00A064B8" w:rsidP="00347529">
    <w:pPr>
      <w:pStyle w:val="Footer"/>
    </w:pPr>
    <w:r>
      <w:t>WOAH</w:t>
    </w:r>
    <w:r w:rsidR="005C2640">
      <w:t xml:space="preserve"> </w:t>
    </w:r>
    <w:r w:rsidR="005C2640">
      <w:rPr>
        <w:i/>
        <w:iCs/>
      </w:rPr>
      <w:t>Terrestrial</w:t>
    </w:r>
    <w:r w:rsidR="005C2640">
      <w:t xml:space="preserve"> </w:t>
    </w:r>
    <w:r w:rsidR="005C2640">
      <w:rPr>
        <w:i/>
      </w:rPr>
      <w:t>Manual</w:t>
    </w:r>
    <w:r w:rsidR="005C2640">
      <w:t xml:space="preserve"> 20</w:t>
    </w:r>
    <w:r w:rsidR="00E37290">
      <w:t>23</w:t>
    </w:r>
    <w:r w:rsidR="005C2640">
      <w:rPr>
        <w:sz w:val="18"/>
      </w:rPr>
      <w:tab/>
    </w:r>
    <w:r w:rsidR="005C2640">
      <w:fldChar w:fldCharType="begin"/>
    </w:r>
    <w:r w:rsidR="005C2640">
      <w:instrText>PAGE</w:instrText>
    </w:r>
    <w:r w:rsidR="005C2640">
      <w:fldChar w:fldCharType="separate"/>
    </w:r>
    <w:r w:rsidR="008D00EE">
      <w:rPr>
        <w:noProof/>
      </w:rPr>
      <w:t>21</w:t>
    </w:r>
    <w:r w:rsidR="005C264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0BC6" w14:textId="1725240A" w:rsidR="005C2640" w:rsidRDefault="00A064B8" w:rsidP="00347529">
    <w:pPr>
      <w:pStyle w:val="Footer"/>
    </w:pPr>
    <w:r>
      <w:t>WOAH</w:t>
    </w:r>
    <w:r w:rsidR="00E37290">
      <w:t xml:space="preserve"> </w:t>
    </w:r>
    <w:r w:rsidR="00E37290">
      <w:rPr>
        <w:i/>
        <w:iCs/>
      </w:rPr>
      <w:t>Terrestrial</w:t>
    </w:r>
    <w:r w:rsidR="00E37290">
      <w:t xml:space="preserve"> </w:t>
    </w:r>
    <w:r w:rsidR="00E37290">
      <w:rPr>
        <w:i/>
      </w:rPr>
      <w:t>Manual</w:t>
    </w:r>
    <w:r w:rsidR="00E37290">
      <w:t xml:space="preserve"> 2023</w:t>
    </w:r>
    <w:r w:rsidR="00E37290">
      <w:tab/>
    </w:r>
    <w:r w:rsidR="006C4189">
      <w:fldChar w:fldCharType="begin"/>
    </w:r>
    <w:r w:rsidR="006C4189">
      <w:instrText>PAGE</w:instrText>
    </w:r>
    <w:r w:rsidR="006C4189">
      <w:fldChar w:fldCharType="separate"/>
    </w:r>
    <w:r w:rsidR="006C4189">
      <w:t>568</w:t>
    </w:r>
    <w:r w:rsidR="006C41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E7F8" w14:textId="77777777" w:rsidR="00194A5C" w:rsidRDefault="00194A5C">
      <w:r>
        <w:separator/>
      </w:r>
    </w:p>
  </w:footnote>
  <w:footnote w:type="continuationSeparator" w:id="0">
    <w:p w14:paraId="18D0F8A2" w14:textId="77777777" w:rsidR="00194A5C" w:rsidRDefault="00194A5C">
      <w:r>
        <w:continuationSeparator/>
      </w:r>
    </w:p>
  </w:footnote>
  <w:footnote w:type="continuationNotice" w:id="1">
    <w:p w14:paraId="40D4866B" w14:textId="77777777" w:rsidR="00194A5C" w:rsidRDefault="00194A5C">
      <w:pPr>
        <w:spacing w:line="240" w:lineRule="auto"/>
      </w:pPr>
    </w:p>
  </w:footnote>
  <w:footnote w:id="2">
    <w:p w14:paraId="652B9034" w14:textId="1709533C" w:rsidR="005C2640" w:rsidRPr="00D74745" w:rsidRDefault="005C2640" w:rsidP="002C2529">
      <w:pPr>
        <w:pStyle w:val="FootnoteText"/>
        <w:spacing w:line="240" w:lineRule="auto"/>
        <w:ind w:left="425" w:hanging="425"/>
        <w:rPr>
          <w:rFonts w:ascii="Söhne" w:hAnsi="Söhne" w:cs="Arial"/>
          <w:sz w:val="16"/>
          <w:szCs w:val="16"/>
        </w:rPr>
      </w:pPr>
      <w:r w:rsidRPr="00D74745">
        <w:rPr>
          <w:rStyle w:val="FootnoteReference"/>
          <w:rFonts w:ascii="Söhne" w:hAnsi="Söhne" w:cs="Arial"/>
          <w:sz w:val="16"/>
          <w:szCs w:val="16"/>
          <w:vertAlign w:val="baseline"/>
        </w:rPr>
        <w:footnoteRef/>
      </w:r>
      <w:r w:rsidRPr="00D74745">
        <w:rPr>
          <w:rFonts w:ascii="Söhne" w:hAnsi="Söhne" w:cs="Arial"/>
          <w:sz w:val="16"/>
          <w:szCs w:val="16"/>
        </w:rPr>
        <w:t xml:space="preserve"> </w:t>
      </w:r>
      <w:r w:rsidRPr="00D74745">
        <w:rPr>
          <w:rFonts w:ascii="Söhne" w:hAnsi="Söhne" w:cs="Arial"/>
          <w:sz w:val="16"/>
          <w:szCs w:val="16"/>
        </w:rPr>
        <w:tab/>
      </w:r>
      <w:hyperlink r:id="rId1" w:history="1">
        <w:r w:rsidR="00D74745" w:rsidRPr="00D74745">
          <w:rPr>
            <w:rStyle w:val="Hyperlink"/>
            <w:rFonts w:ascii="Söhne" w:hAnsi="Söhne"/>
            <w:sz w:val="16"/>
            <w:szCs w:val="16"/>
          </w:rPr>
          <w:t>https://ictv.global/report/chapter/rhabdoviridae/rhabdoviridae/lyssavirus</w:t>
        </w:r>
      </w:hyperlink>
    </w:p>
  </w:footnote>
  <w:footnote w:id="3">
    <w:p w14:paraId="37482057" w14:textId="35B2140D" w:rsidR="00A85DD5" w:rsidRPr="00A85DD5" w:rsidRDefault="00A85DD5" w:rsidP="00A85DD5">
      <w:pPr>
        <w:pStyle w:val="FootnoteText"/>
        <w:ind w:left="426" w:hanging="426"/>
        <w:rPr>
          <w:rFonts w:ascii="Söhne" w:hAnsi="Söhne"/>
          <w:sz w:val="16"/>
          <w:szCs w:val="16"/>
        </w:rPr>
      </w:pPr>
      <w:r w:rsidRPr="00A85DD5">
        <w:rPr>
          <w:rStyle w:val="FootnoteReference"/>
          <w:rFonts w:ascii="Söhne" w:hAnsi="Söhne"/>
          <w:sz w:val="16"/>
          <w:szCs w:val="16"/>
          <w:vertAlign w:val="baseline"/>
        </w:rPr>
        <w:footnoteRef/>
      </w:r>
      <w:r w:rsidRPr="00A85DD5">
        <w:rPr>
          <w:rFonts w:ascii="Söhne" w:hAnsi="Söhne"/>
          <w:sz w:val="16"/>
          <w:szCs w:val="16"/>
        </w:rPr>
        <w:t xml:space="preserve"> </w:t>
      </w:r>
      <w:r w:rsidRPr="00A85DD5">
        <w:rPr>
          <w:rFonts w:ascii="Söhne" w:hAnsi="Söhne"/>
          <w:sz w:val="16"/>
          <w:szCs w:val="16"/>
        </w:rPr>
        <w:tab/>
      </w:r>
      <w:hyperlink r:id="rId2" w:history="1">
        <w:r w:rsidRPr="00A85DD5">
          <w:rPr>
            <w:rStyle w:val="Hyperlink"/>
            <w:rFonts w:ascii="Söhne" w:hAnsi="Söhne"/>
            <w:sz w:val="16"/>
            <w:szCs w:val="16"/>
          </w:rPr>
          <w:t>https://www.woah.org/en/what-we-offer/veterinary-products/diagnostic-kits/the-register-of-diagnostic-kits/</w:t>
        </w:r>
      </w:hyperlink>
      <w:r w:rsidRPr="00A85DD5">
        <w:rPr>
          <w:rFonts w:ascii="Söhne" w:hAnsi="Söhne"/>
          <w:sz w:val="16"/>
          <w:szCs w:val="16"/>
        </w:rPr>
        <w:t xml:space="preserve"> </w:t>
      </w:r>
    </w:p>
  </w:footnote>
  <w:footnote w:id="4">
    <w:p w14:paraId="53481865" w14:textId="77777777" w:rsidR="005C2640" w:rsidRPr="006E17A0" w:rsidRDefault="005C2640" w:rsidP="00584E61">
      <w:pPr>
        <w:pStyle w:val="FootnoteText"/>
        <w:spacing w:line="240" w:lineRule="auto"/>
        <w:ind w:left="426" w:hanging="426"/>
        <w:rPr>
          <w:rFonts w:ascii="Söhne" w:hAnsi="Söhne" w:cs="Arial"/>
          <w:sz w:val="16"/>
          <w:szCs w:val="16"/>
        </w:rPr>
      </w:pPr>
      <w:r w:rsidRPr="006E17A0">
        <w:rPr>
          <w:rStyle w:val="FootnoteReference"/>
          <w:rFonts w:ascii="Söhne" w:hAnsi="Söhne" w:cs="Arial"/>
          <w:sz w:val="16"/>
          <w:szCs w:val="16"/>
          <w:vertAlign w:val="baseline"/>
        </w:rPr>
        <w:footnoteRef/>
      </w:r>
      <w:r w:rsidRPr="006E17A0">
        <w:rPr>
          <w:rFonts w:ascii="Söhne" w:hAnsi="Söhne" w:cs="Arial"/>
          <w:sz w:val="16"/>
          <w:szCs w:val="16"/>
        </w:rPr>
        <w:t xml:space="preserve"> </w:t>
      </w:r>
      <w:r w:rsidRPr="006E17A0">
        <w:rPr>
          <w:rFonts w:ascii="Söhne" w:hAnsi="Söhne" w:cs="Arial"/>
          <w:sz w:val="16"/>
          <w:szCs w:val="16"/>
        </w:rPr>
        <w:tab/>
        <w:t>Available from: National Institute for Biological Standards and Control (NIBSC), Blanche Lane, South Mimms, Potters Bar, Hertfordshire EN6 3QG, United Kingdom (UK).</w:t>
      </w:r>
    </w:p>
  </w:footnote>
  <w:footnote w:id="5">
    <w:p w14:paraId="4491FA7B" w14:textId="7E42F2F6" w:rsidR="00B420CA" w:rsidRPr="006E17A0" w:rsidRDefault="00B420CA" w:rsidP="00B420CA">
      <w:pPr>
        <w:pStyle w:val="FootnoteText"/>
        <w:spacing w:line="240" w:lineRule="auto"/>
        <w:ind w:left="425" w:hanging="425"/>
        <w:jc w:val="left"/>
        <w:rPr>
          <w:rFonts w:ascii="Söhne" w:hAnsi="Söhne" w:cs="Arial"/>
          <w:sz w:val="16"/>
          <w:szCs w:val="16"/>
        </w:rPr>
      </w:pPr>
      <w:r w:rsidRPr="006E17A0">
        <w:rPr>
          <w:rStyle w:val="FootnoteReference"/>
          <w:rFonts w:ascii="Söhne" w:hAnsi="Söhne" w:cs="Arial"/>
          <w:sz w:val="16"/>
          <w:szCs w:val="16"/>
          <w:vertAlign w:val="baseline"/>
        </w:rPr>
        <w:footnoteRef/>
      </w:r>
      <w:r w:rsidRPr="006E17A0">
        <w:rPr>
          <w:rFonts w:ascii="Söhne" w:hAnsi="Söhne" w:cs="Arial"/>
          <w:sz w:val="16"/>
          <w:szCs w:val="16"/>
        </w:rPr>
        <w:t xml:space="preserve"> </w:t>
      </w:r>
      <w:r w:rsidRPr="006E17A0">
        <w:rPr>
          <w:rFonts w:ascii="Söhne" w:hAnsi="Söhne" w:cs="Arial"/>
          <w:sz w:val="16"/>
          <w:szCs w:val="16"/>
        </w:rPr>
        <w:tab/>
      </w:r>
      <w:r w:rsidRPr="006E17A0">
        <w:rPr>
          <w:rStyle w:val="ReflabnoteCar"/>
          <w:rFonts w:ascii="Söhne" w:hAnsi="Söhne"/>
          <w:sz w:val="16"/>
          <w:szCs w:val="16"/>
        </w:rPr>
        <w:t xml:space="preserve">Please consult the </w:t>
      </w:r>
      <w:r w:rsidR="00FC32AA">
        <w:rPr>
          <w:rStyle w:val="ReflabnoteCar"/>
          <w:rFonts w:ascii="Söhne" w:hAnsi="Söhne"/>
          <w:sz w:val="16"/>
          <w:szCs w:val="16"/>
        </w:rPr>
        <w:t>WOAH</w:t>
      </w:r>
      <w:r w:rsidRPr="006E17A0">
        <w:rPr>
          <w:rStyle w:val="ReflabnoteCar"/>
          <w:rFonts w:ascii="Söhne" w:hAnsi="Söhne"/>
          <w:sz w:val="16"/>
          <w:szCs w:val="16"/>
        </w:rPr>
        <w:t xml:space="preserve"> Web site: </w:t>
      </w:r>
      <w:r w:rsidRPr="006E17A0">
        <w:rPr>
          <w:rStyle w:val="ReflabnoteCar"/>
          <w:rFonts w:ascii="Söhne" w:hAnsi="Söhne"/>
          <w:sz w:val="16"/>
          <w:szCs w:val="16"/>
        </w:rPr>
        <w:br/>
      </w:r>
      <w:hyperlink r:id="rId3" w:anchor="ui-id-3" w:history="1">
        <w:r w:rsidR="001A6CB2" w:rsidRPr="00F72D97">
          <w:rPr>
            <w:rStyle w:val="Hyperlink"/>
            <w:rFonts w:ascii="Söhne" w:hAnsi="Söhne" w:cs="Arial"/>
            <w:sz w:val="16"/>
            <w:szCs w:val="16"/>
          </w:rPr>
          <w:t>https://www.woah.org/en/what-we-offer/expertise-network/reference-laboratories/#ui-id-3</w:t>
        </w:r>
      </w:hyperlink>
    </w:p>
  </w:footnote>
  <w:footnote w:id="6">
    <w:p w14:paraId="0FDCBE0D" w14:textId="61E7421A" w:rsidR="005C2640" w:rsidRPr="006E17A0" w:rsidRDefault="005C2640" w:rsidP="007C5B33">
      <w:pPr>
        <w:pStyle w:val="FootnoteText"/>
        <w:spacing w:line="240" w:lineRule="auto"/>
        <w:ind w:left="425" w:hanging="425"/>
        <w:rPr>
          <w:rFonts w:ascii="Söhne" w:hAnsi="Söhne" w:cs="Arial"/>
          <w:sz w:val="16"/>
          <w:szCs w:val="16"/>
        </w:rPr>
      </w:pPr>
      <w:r w:rsidRPr="006E17A0">
        <w:rPr>
          <w:rStyle w:val="FootnoteReference"/>
          <w:rFonts w:ascii="Söhne" w:hAnsi="Söhne" w:cs="Arial"/>
          <w:sz w:val="16"/>
          <w:szCs w:val="16"/>
          <w:vertAlign w:val="baseline"/>
        </w:rPr>
        <w:footnoteRef/>
      </w:r>
      <w:r w:rsidRPr="006E17A0">
        <w:rPr>
          <w:rFonts w:ascii="Söhne" w:hAnsi="Söhne" w:cs="Arial"/>
          <w:sz w:val="16"/>
          <w:szCs w:val="16"/>
        </w:rPr>
        <w:t xml:space="preserve"> </w:t>
      </w:r>
      <w:r w:rsidRPr="006E17A0">
        <w:rPr>
          <w:rFonts w:ascii="Söhne" w:hAnsi="Söhne" w:cs="Arial"/>
          <w:sz w:val="16"/>
          <w:szCs w:val="16"/>
        </w:rPr>
        <w:tab/>
      </w:r>
      <w:hyperlink r:id="rId4" w:history="1">
        <w:r w:rsidR="001A6CB2" w:rsidRPr="00F72D97">
          <w:rPr>
            <w:rStyle w:val="Hyperlink"/>
            <w:rFonts w:ascii="Söhne" w:hAnsi="Söhne" w:cs="Arial"/>
            <w:sz w:val="16"/>
            <w:szCs w:val="16"/>
          </w:rPr>
          <w:t>http://www.woah.org/en/our-scientific-expertise/veterinary-products/reference-reagents/</w:t>
        </w:r>
      </w:hyperlink>
      <w:r w:rsidR="00B420CA" w:rsidRPr="006E17A0">
        <w:rPr>
          <w:rFonts w:ascii="Söhne" w:hAnsi="Söhne"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0B99" w14:textId="44DD53F9" w:rsidR="005C2640" w:rsidRPr="00BA50FE" w:rsidRDefault="005C2640" w:rsidP="00347529">
    <w:pPr>
      <w:pStyle w:val="Header"/>
    </w:pPr>
    <w:r>
      <w:t>Chapter 3.1.1</w:t>
    </w:r>
    <w:r w:rsidR="00347529">
      <w:t>8</w:t>
    </w:r>
    <w:r>
      <w:t xml:space="preserve">. – Rabies </w:t>
    </w:r>
    <w:r w:rsidRPr="00805E5E">
      <w:rPr>
        <w:i w:val="0"/>
        <w:iCs/>
      </w:rPr>
      <w:t>(</w:t>
    </w:r>
    <w:r>
      <w:t xml:space="preserve">infection with rabies virus </w:t>
    </w:r>
    <w:r w:rsidRPr="000A7B67">
      <w:t>and other lyssaviruses</w:t>
    </w:r>
    <w:r w:rsidR="00B420CA" w:rsidRPr="00805E5E">
      <w:rP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929B" w14:textId="36841991" w:rsidR="005C2640" w:rsidRPr="00805E5E" w:rsidRDefault="005C2640" w:rsidP="00347529">
    <w:pPr>
      <w:pStyle w:val="Header"/>
      <w:rPr>
        <w:i w:val="0"/>
      </w:rPr>
    </w:pPr>
    <w:r>
      <w:t>Chapter 3.1.</w:t>
    </w:r>
    <w:r w:rsidR="00347529">
      <w:t>18</w:t>
    </w:r>
    <w:r>
      <w:t xml:space="preserve"> – Rabies</w:t>
    </w:r>
    <w:r w:rsidRPr="00805E5E">
      <w:rPr>
        <w:i w:val="0"/>
        <w:iCs/>
      </w:rPr>
      <w:t xml:space="preserve"> (</w:t>
    </w:r>
    <w:r>
      <w:t xml:space="preserve">infection with rabies virus </w:t>
    </w:r>
    <w:r w:rsidRPr="000A7B67">
      <w:t>and other lyssaviruses</w:t>
    </w:r>
    <w:r w:rsidR="00B420CA" w:rsidRPr="00805E5E">
      <w:rPr>
        <w:i w:val="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2AAE" w14:textId="77777777" w:rsidR="00535A16" w:rsidRDefault="00535A16" w:rsidP="00535A1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E45"/>
    <w:multiLevelType w:val="hybridMultilevel"/>
    <w:tmpl w:val="7C30E3A0"/>
    <w:lvl w:ilvl="0" w:tplc="B0F41704">
      <w:start w:val="1"/>
      <w:numFmt w:val="lowerLetter"/>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DD39D6"/>
    <w:multiLevelType w:val="hybridMultilevel"/>
    <w:tmpl w:val="836E7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C1420F"/>
    <w:multiLevelType w:val="hybridMultilevel"/>
    <w:tmpl w:val="FB5804CC"/>
    <w:lvl w:ilvl="0" w:tplc="035637EE">
      <w:start w:val="1"/>
      <w:numFmt w:val="lowerRoman"/>
      <w:lvlText w:val="%1)"/>
      <w:lvlJc w:val="left"/>
      <w:pPr>
        <w:ind w:left="2183" w:hanging="720"/>
      </w:pPr>
      <w:rPr>
        <w:rFonts w:hint="default"/>
      </w:rPr>
    </w:lvl>
    <w:lvl w:ilvl="1" w:tplc="08090019" w:tentative="1">
      <w:start w:val="1"/>
      <w:numFmt w:val="lowerLetter"/>
      <w:lvlText w:val="%2."/>
      <w:lvlJc w:val="left"/>
      <w:pPr>
        <w:ind w:left="2543" w:hanging="360"/>
      </w:pPr>
    </w:lvl>
    <w:lvl w:ilvl="2" w:tplc="0809001B" w:tentative="1">
      <w:start w:val="1"/>
      <w:numFmt w:val="lowerRoman"/>
      <w:lvlText w:val="%3."/>
      <w:lvlJc w:val="right"/>
      <w:pPr>
        <w:ind w:left="3263" w:hanging="180"/>
      </w:pPr>
    </w:lvl>
    <w:lvl w:ilvl="3" w:tplc="0809000F" w:tentative="1">
      <w:start w:val="1"/>
      <w:numFmt w:val="decimal"/>
      <w:lvlText w:val="%4."/>
      <w:lvlJc w:val="left"/>
      <w:pPr>
        <w:ind w:left="3983" w:hanging="360"/>
      </w:pPr>
    </w:lvl>
    <w:lvl w:ilvl="4" w:tplc="08090019" w:tentative="1">
      <w:start w:val="1"/>
      <w:numFmt w:val="lowerLetter"/>
      <w:lvlText w:val="%5."/>
      <w:lvlJc w:val="left"/>
      <w:pPr>
        <w:ind w:left="4703" w:hanging="360"/>
      </w:pPr>
    </w:lvl>
    <w:lvl w:ilvl="5" w:tplc="0809001B" w:tentative="1">
      <w:start w:val="1"/>
      <w:numFmt w:val="lowerRoman"/>
      <w:lvlText w:val="%6."/>
      <w:lvlJc w:val="right"/>
      <w:pPr>
        <w:ind w:left="5423" w:hanging="180"/>
      </w:pPr>
    </w:lvl>
    <w:lvl w:ilvl="6" w:tplc="0809000F" w:tentative="1">
      <w:start w:val="1"/>
      <w:numFmt w:val="decimal"/>
      <w:lvlText w:val="%7."/>
      <w:lvlJc w:val="left"/>
      <w:pPr>
        <w:ind w:left="6143" w:hanging="360"/>
      </w:pPr>
    </w:lvl>
    <w:lvl w:ilvl="7" w:tplc="08090019" w:tentative="1">
      <w:start w:val="1"/>
      <w:numFmt w:val="lowerLetter"/>
      <w:lvlText w:val="%8."/>
      <w:lvlJc w:val="left"/>
      <w:pPr>
        <w:ind w:left="6863" w:hanging="360"/>
      </w:pPr>
    </w:lvl>
    <w:lvl w:ilvl="8" w:tplc="0809001B" w:tentative="1">
      <w:start w:val="1"/>
      <w:numFmt w:val="lowerRoman"/>
      <w:lvlText w:val="%9."/>
      <w:lvlJc w:val="right"/>
      <w:pPr>
        <w:ind w:left="7583" w:hanging="180"/>
      </w:pPr>
    </w:lvl>
  </w:abstractNum>
  <w:abstractNum w:abstractNumId="3" w15:restartNumberingAfterBreak="0">
    <w:nsid w:val="54EF0E74"/>
    <w:multiLevelType w:val="hybridMultilevel"/>
    <w:tmpl w:val="6E38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A40F47"/>
    <w:multiLevelType w:val="hybridMultilevel"/>
    <w:tmpl w:val="6950B7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C51829"/>
    <w:multiLevelType w:val="hybridMultilevel"/>
    <w:tmpl w:val="6C16064A"/>
    <w:lvl w:ilvl="0" w:tplc="97EA56D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5BFD41B5"/>
    <w:multiLevelType w:val="hybridMultilevel"/>
    <w:tmpl w:val="263C227A"/>
    <w:lvl w:ilvl="0" w:tplc="85B60E9E">
      <w:start w:val="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161096C"/>
    <w:multiLevelType w:val="hybridMultilevel"/>
    <w:tmpl w:val="06C880FC"/>
    <w:lvl w:ilvl="0" w:tplc="222C5D84">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9"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16cid:durableId="1708555751">
    <w:abstractNumId w:val="8"/>
  </w:num>
  <w:num w:numId="2" w16cid:durableId="1224485066">
    <w:abstractNumId w:val="9"/>
  </w:num>
  <w:num w:numId="3" w16cid:durableId="667096306">
    <w:abstractNumId w:val="9"/>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870384750">
    <w:abstractNumId w:val="1"/>
  </w:num>
  <w:num w:numId="5" w16cid:durableId="1644197183">
    <w:abstractNumId w:val="4"/>
  </w:num>
  <w:num w:numId="6" w16cid:durableId="572353879">
    <w:abstractNumId w:val="0"/>
  </w:num>
  <w:num w:numId="7" w16cid:durableId="1797605147">
    <w:abstractNumId w:val="7"/>
  </w:num>
  <w:num w:numId="8" w16cid:durableId="647981530">
    <w:abstractNumId w:val="2"/>
  </w:num>
  <w:num w:numId="9" w16cid:durableId="634871165">
    <w:abstractNumId w:val="3"/>
  </w:num>
  <w:num w:numId="10" w16cid:durableId="1018432220">
    <w:abstractNumId w:val="5"/>
  </w:num>
  <w:num w:numId="11" w16cid:durableId="719979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DB"/>
    <w:rsid w:val="00000A33"/>
    <w:rsid w:val="0000275A"/>
    <w:rsid w:val="00003CC7"/>
    <w:rsid w:val="00005E38"/>
    <w:rsid w:val="00007841"/>
    <w:rsid w:val="00010B86"/>
    <w:rsid w:val="00012048"/>
    <w:rsid w:val="0001594B"/>
    <w:rsid w:val="00016423"/>
    <w:rsid w:val="00022730"/>
    <w:rsid w:val="00025270"/>
    <w:rsid w:val="000252AE"/>
    <w:rsid w:val="000264A8"/>
    <w:rsid w:val="00030575"/>
    <w:rsid w:val="00032675"/>
    <w:rsid w:val="00033485"/>
    <w:rsid w:val="0003490A"/>
    <w:rsid w:val="00035100"/>
    <w:rsid w:val="00035A7C"/>
    <w:rsid w:val="0003607E"/>
    <w:rsid w:val="00040078"/>
    <w:rsid w:val="0004019D"/>
    <w:rsid w:val="000412FA"/>
    <w:rsid w:val="000447A4"/>
    <w:rsid w:val="00045378"/>
    <w:rsid w:val="000548F1"/>
    <w:rsid w:val="0005678C"/>
    <w:rsid w:val="00062011"/>
    <w:rsid w:val="000623CB"/>
    <w:rsid w:val="00062490"/>
    <w:rsid w:val="00074751"/>
    <w:rsid w:val="00081711"/>
    <w:rsid w:val="000839B3"/>
    <w:rsid w:val="00085522"/>
    <w:rsid w:val="00087287"/>
    <w:rsid w:val="000910F1"/>
    <w:rsid w:val="000914A4"/>
    <w:rsid w:val="00094F0A"/>
    <w:rsid w:val="000A2B1B"/>
    <w:rsid w:val="000A59F8"/>
    <w:rsid w:val="000A7B67"/>
    <w:rsid w:val="000A7F89"/>
    <w:rsid w:val="000B0D27"/>
    <w:rsid w:val="000B4BCA"/>
    <w:rsid w:val="000B5528"/>
    <w:rsid w:val="000B5DE5"/>
    <w:rsid w:val="000B619A"/>
    <w:rsid w:val="000C2690"/>
    <w:rsid w:val="000C3F3C"/>
    <w:rsid w:val="000C5526"/>
    <w:rsid w:val="000D3C43"/>
    <w:rsid w:val="000D5A53"/>
    <w:rsid w:val="000D6C85"/>
    <w:rsid w:val="000D767A"/>
    <w:rsid w:val="000E286B"/>
    <w:rsid w:val="000E6320"/>
    <w:rsid w:val="000E7458"/>
    <w:rsid w:val="000F0B03"/>
    <w:rsid w:val="000F0CD0"/>
    <w:rsid w:val="000F1928"/>
    <w:rsid w:val="000F25E9"/>
    <w:rsid w:val="000F2E14"/>
    <w:rsid w:val="000F3A35"/>
    <w:rsid w:val="000F41C3"/>
    <w:rsid w:val="000F6FBA"/>
    <w:rsid w:val="000F7CD1"/>
    <w:rsid w:val="00102A73"/>
    <w:rsid w:val="0010512C"/>
    <w:rsid w:val="00107DD0"/>
    <w:rsid w:val="00111383"/>
    <w:rsid w:val="00112124"/>
    <w:rsid w:val="00113094"/>
    <w:rsid w:val="00114AA9"/>
    <w:rsid w:val="001160D0"/>
    <w:rsid w:val="001231B0"/>
    <w:rsid w:val="00125175"/>
    <w:rsid w:val="001308A6"/>
    <w:rsid w:val="00134801"/>
    <w:rsid w:val="00141F18"/>
    <w:rsid w:val="001502DA"/>
    <w:rsid w:val="00150957"/>
    <w:rsid w:val="001520C4"/>
    <w:rsid w:val="001563CC"/>
    <w:rsid w:val="001609AE"/>
    <w:rsid w:val="00160CA1"/>
    <w:rsid w:val="001645FE"/>
    <w:rsid w:val="001716CD"/>
    <w:rsid w:val="00172FF3"/>
    <w:rsid w:val="00173184"/>
    <w:rsid w:val="001770F2"/>
    <w:rsid w:val="00177C7A"/>
    <w:rsid w:val="00181890"/>
    <w:rsid w:val="001835EF"/>
    <w:rsid w:val="001857CA"/>
    <w:rsid w:val="00186B04"/>
    <w:rsid w:val="001879BE"/>
    <w:rsid w:val="00187AA5"/>
    <w:rsid w:val="00191F08"/>
    <w:rsid w:val="001931F2"/>
    <w:rsid w:val="00194A5C"/>
    <w:rsid w:val="001A10B9"/>
    <w:rsid w:val="001A1134"/>
    <w:rsid w:val="001A4AD7"/>
    <w:rsid w:val="001A551D"/>
    <w:rsid w:val="001A6CB2"/>
    <w:rsid w:val="001B0269"/>
    <w:rsid w:val="001B38BB"/>
    <w:rsid w:val="001B3C29"/>
    <w:rsid w:val="001B5619"/>
    <w:rsid w:val="001B5688"/>
    <w:rsid w:val="001B5E19"/>
    <w:rsid w:val="001C6BC4"/>
    <w:rsid w:val="001E1348"/>
    <w:rsid w:val="001E41E8"/>
    <w:rsid w:val="001E4B9C"/>
    <w:rsid w:val="001E4C98"/>
    <w:rsid w:val="001E5BB2"/>
    <w:rsid w:val="001E6889"/>
    <w:rsid w:val="001F0A3E"/>
    <w:rsid w:val="001F298F"/>
    <w:rsid w:val="001F59C2"/>
    <w:rsid w:val="001F6457"/>
    <w:rsid w:val="001F657E"/>
    <w:rsid w:val="00207B73"/>
    <w:rsid w:val="00211CD2"/>
    <w:rsid w:val="002149A9"/>
    <w:rsid w:val="00216EC3"/>
    <w:rsid w:val="00217D85"/>
    <w:rsid w:val="00222839"/>
    <w:rsid w:val="00222BEB"/>
    <w:rsid w:val="002232AB"/>
    <w:rsid w:val="00224D98"/>
    <w:rsid w:val="00226C34"/>
    <w:rsid w:val="00227079"/>
    <w:rsid w:val="00230732"/>
    <w:rsid w:val="00230BD5"/>
    <w:rsid w:val="00234685"/>
    <w:rsid w:val="00241390"/>
    <w:rsid w:val="00241F72"/>
    <w:rsid w:val="00243184"/>
    <w:rsid w:val="00243C3E"/>
    <w:rsid w:val="0024405F"/>
    <w:rsid w:val="00247B0E"/>
    <w:rsid w:val="002530CC"/>
    <w:rsid w:val="00253574"/>
    <w:rsid w:val="00253FBF"/>
    <w:rsid w:val="0025428F"/>
    <w:rsid w:val="00254F07"/>
    <w:rsid w:val="002550F4"/>
    <w:rsid w:val="00255823"/>
    <w:rsid w:val="0025686A"/>
    <w:rsid w:val="00257196"/>
    <w:rsid w:val="002579AA"/>
    <w:rsid w:val="00257AB4"/>
    <w:rsid w:val="00260666"/>
    <w:rsid w:val="00262521"/>
    <w:rsid w:val="0026573B"/>
    <w:rsid w:val="00270456"/>
    <w:rsid w:val="002712A5"/>
    <w:rsid w:val="0027162A"/>
    <w:rsid w:val="00271728"/>
    <w:rsid w:val="00277C02"/>
    <w:rsid w:val="002801BB"/>
    <w:rsid w:val="00280CEC"/>
    <w:rsid w:val="00285791"/>
    <w:rsid w:val="00285A78"/>
    <w:rsid w:val="00291641"/>
    <w:rsid w:val="002936A0"/>
    <w:rsid w:val="00293C7C"/>
    <w:rsid w:val="002958FF"/>
    <w:rsid w:val="002A0643"/>
    <w:rsid w:val="002A10C6"/>
    <w:rsid w:val="002A131F"/>
    <w:rsid w:val="002A2BE7"/>
    <w:rsid w:val="002A4324"/>
    <w:rsid w:val="002A61A8"/>
    <w:rsid w:val="002B147E"/>
    <w:rsid w:val="002B3831"/>
    <w:rsid w:val="002B63E5"/>
    <w:rsid w:val="002B6DC1"/>
    <w:rsid w:val="002B7F1A"/>
    <w:rsid w:val="002C1DDB"/>
    <w:rsid w:val="002C2529"/>
    <w:rsid w:val="002C4FBA"/>
    <w:rsid w:val="002D124C"/>
    <w:rsid w:val="002D1CD5"/>
    <w:rsid w:val="002D2551"/>
    <w:rsid w:val="002D317A"/>
    <w:rsid w:val="002D32A1"/>
    <w:rsid w:val="002E3EAD"/>
    <w:rsid w:val="002E4CD0"/>
    <w:rsid w:val="002E5A39"/>
    <w:rsid w:val="002F03DA"/>
    <w:rsid w:val="002F350F"/>
    <w:rsid w:val="002F7DE3"/>
    <w:rsid w:val="00300166"/>
    <w:rsid w:val="003001B6"/>
    <w:rsid w:val="00302743"/>
    <w:rsid w:val="00304B28"/>
    <w:rsid w:val="003055CF"/>
    <w:rsid w:val="00312935"/>
    <w:rsid w:val="003162B1"/>
    <w:rsid w:val="00317B67"/>
    <w:rsid w:val="00320D49"/>
    <w:rsid w:val="00321849"/>
    <w:rsid w:val="00324F99"/>
    <w:rsid w:val="00325D0F"/>
    <w:rsid w:val="0033247B"/>
    <w:rsid w:val="003336BD"/>
    <w:rsid w:val="00334F9A"/>
    <w:rsid w:val="00340E07"/>
    <w:rsid w:val="0034152D"/>
    <w:rsid w:val="0034161A"/>
    <w:rsid w:val="003426A1"/>
    <w:rsid w:val="0034321B"/>
    <w:rsid w:val="003459FF"/>
    <w:rsid w:val="00347529"/>
    <w:rsid w:val="00350507"/>
    <w:rsid w:val="00354CFC"/>
    <w:rsid w:val="00354DB3"/>
    <w:rsid w:val="00356548"/>
    <w:rsid w:val="003614F8"/>
    <w:rsid w:val="003626F9"/>
    <w:rsid w:val="00364105"/>
    <w:rsid w:val="00366191"/>
    <w:rsid w:val="003672A7"/>
    <w:rsid w:val="00370016"/>
    <w:rsid w:val="00371B70"/>
    <w:rsid w:val="0037390A"/>
    <w:rsid w:val="0037501A"/>
    <w:rsid w:val="0037667A"/>
    <w:rsid w:val="00376B89"/>
    <w:rsid w:val="00377F84"/>
    <w:rsid w:val="003806B2"/>
    <w:rsid w:val="00380BBD"/>
    <w:rsid w:val="00382970"/>
    <w:rsid w:val="00385F61"/>
    <w:rsid w:val="003920F0"/>
    <w:rsid w:val="00395043"/>
    <w:rsid w:val="0039724C"/>
    <w:rsid w:val="003A0C5A"/>
    <w:rsid w:val="003A167C"/>
    <w:rsid w:val="003A4E85"/>
    <w:rsid w:val="003A5023"/>
    <w:rsid w:val="003A75A5"/>
    <w:rsid w:val="003B00A2"/>
    <w:rsid w:val="003B0514"/>
    <w:rsid w:val="003B3D59"/>
    <w:rsid w:val="003C01EB"/>
    <w:rsid w:val="003C05FD"/>
    <w:rsid w:val="003C52D3"/>
    <w:rsid w:val="003C561D"/>
    <w:rsid w:val="003C760A"/>
    <w:rsid w:val="003C78BC"/>
    <w:rsid w:val="003D28BB"/>
    <w:rsid w:val="003D2BF1"/>
    <w:rsid w:val="003D3DBC"/>
    <w:rsid w:val="003D4150"/>
    <w:rsid w:val="003E162F"/>
    <w:rsid w:val="003E179F"/>
    <w:rsid w:val="003E2E64"/>
    <w:rsid w:val="003E3667"/>
    <w:rsid w:val="003E4355"/>
    <w:rsid w:val="003F07D2"/>
    <w:rsid w:val="003F4B0C"/>
    <w:rsid w:val="003F4EFC"/>
    <w:rsid w:val="003F6D84"/>
    <w:rsid w:val="004005FC"/>
    <w:rsid w:val="00400D5C"/>
    <w:rsid w:val="00401834"/>
    <w:rsid w:val="004027EE"/>
    <w:rsid w:val="00404FCD"/>
    <w:rsid w:val="0040509F"/>
    <w:rsid w:val="00411EB3"/>
    <w:rsid w:val="004130C7"/>
    <w:rsid w:val="00414277"/>
    <w:rsid w:val="004148B8"/>
    <w:rsid w:val="00414B95"/>
    <w:rsid w:val="00422561"/>
    <w:rsid w:val="00426923"/>
    <w:rsid w:val="00426D87"/>
    <w:rsid w:val="0043401A"/>
    <w:rsid w:val="004359BC"/>
    <w:rsid w:val="004464C8"/>
    <w:rsid w:val="00446906"/>
    <w:rsid w:val="00447170"/>
    <w:rsid w:val="004478BD"/>
    <w:rsid w:val="0045293B"/>
    <w:rsid w:val="00453FAB"/>
    <w:rsid w:val="00457043"/>
    <w:rsid w:val="00464030"/>
    <w:rsid w:val="00465DA6"/>
    <w:rsid w:val="004661FE"/>
    <w:rsid w:val="00467133"/>
    <w:rsid w:val="00471476"/>
    <w:rsid w:val="00474CE3"/>
    <w:rsid w:val="004754C5"/>
    <w:rsid w:val="00477F8A"/>
    <w:rsid w:val="00480176"/>
    <w:rsid w:val="004811A0"/>
    <w:rsid w:val="00482A77"/>
    <w:rsid w:val="00483339"/>
    <w:rsid w:val="00483C3B"/>
    <w:rsid w:val="00484249"/>
    <w:rsid w:val="00484E5E"/>
    <w:rsid w:val="00486AA3"/>
    <w:rsid w:val="00490F1C"/>
    <w:rsid w:val="00491907"/>
    <w:rsid w:val="004922D5"/>
    <w:rsid w:val="00492330"/>
    <w:rsid w:val="00496D75"/>
    <w:rsid w:val="00497160"/>
    <w:rsid w:val="00497D07"/>
    <w:rsid w:val="004A036B"/>
    <w:rsid w:val="004A17E2"/>
    <w:rsid w:val="004A19BF"/>
    <w:rsid w:val="004A2369"/>
    <w:rsid w:val="004A28C1"/>
    <w:rsid w:val="004A4C77"/>
    <w:rsid w:val="004A6167"/>
    <w:rsid w:val="004A711D"/>
    <w:rsid w:val="004A77AC"/>
    <w:rsid w:val="004B0131"/>
    <w:rsid w:val="004B4BD2"/>
    <w:rsid w:val="004B56B1"/>
    <w:rsid w:val="004B6F3D"/>
    <w:rsid w:val="004C063A"/>
    <w:rsid w:val="004C0E0A"/>
    <w:rsid w:val="004C2426"/>
    <w:rsid w:val="004C276D"/>
    <w:rsid w:val="004C61C7"/>
    <w:rsid w:val="004D0624"/>
    <w:rsid w:val="004D0951"/>
    <w:rsid w:val="004D2257"/>
    <w:rsid w:val="004D585F"/>
    <w:rsid w:val="004D5C69"/>
    <w:rsid w:val="004D62D5"/>
    <w:rsid w:val="004E04B3"/>
    <w:rsid w:val="004E2B26"/>
    <w:rsid w:val="004E32E8"/>
    <w:rsid w:val="004E4D57"/>
    <w:rsid w:val="004E7E42"/>
    <w:rsid w:val="004F400D"/>
    <w:rsid w:val="004F6DD2"/>
    <w:rsid w:val="005029A5"/>
    <w:rsid w:val="00502F30"/>
    <w:rsid w:val="00503060"/>
    <w:rsid w:val="00505985"/>
    <w:rsid w:val="00513F2B"/>
    <w:rsid w:val="00514A74"/>
    <w:rsid w:val="005201F3"/>
    <w:rsid w:val="00522E3D"/>
    <w:rsid w:val="0052321C"/>
    <w:rsid w:val="00524589"/>
    <w:rsid w:val="005246B8"/>
    <w:rsid w:val="00530E1A"/>
    <w:rsid w:val="00531221"/>
    <w:rsid w:val="00532295"/>
    <w:rsid w:val="00535A16"/>
    <w:rsid w:val="005410F0"/>
    <w:rsid w:val="005422AF"/>
    <w:rsid w:val="00545719"/>
    <w:rsid w:val="005479E3"/>
    <w:rsid w:val="00550E74"/>
    <w:rsid w:val="0055105C"/>
    <w:rsid w:val="00551826"/>
    <w:rsid w:val="00551E90"/>
    <w:rsid w:val="00551FBD"/>
    <w:rsid w:val="0055273A"/>
    <w:rsid w:val="005559DE"/>
    <w:rsid w:val="005563E3"/>
    <w:rsid w:val="0055772F"/>
    <w:rsid w:val="00557C6C"/>
    <w:rsid w:val="00563266"/>
    <w:rsid w:val="005636D6"/>
    <w:rsid w:val="00564796"/>
    <w:rsid w:val="00564BF6"/>
    <w:rsid w:val="0057193E"/>
    <w:rsid w:val="00571CB5"/>
    <w:rsid w:val="00573A72"/>
    <w:rsid w:val="005810B2"/>
    <w:rsid w:val="005810F9"/>
    <w:rsid w:val="0058284D"/>
    <w:rsid w:val="00582BF0"/>
    <w:rsid w:val="00583618"/>
    <w:rsid w:val="00584E61"/>
    <w:rsid w:val="005945DE"/>
    <w:rsid w:val="00595C34"/>
    <w:rsid w:val="00597CFC"/>
    <w:rsid w:val="005A34C3"/>
    <w:rsid w:val="005A4A9E"/>
    <w:rsid w:val="005A65A5"/>
    <w:rsid w:val="005B0077"/>
    <w:rsid w:val="005B0867"/>
    <w:rsid w:val="005B57AE"/>
    <w:rsid w:val="005B6183"/>
    <w:rsid w:val="005B7BA3"/>
    <w:rsid w:val="005C13B7"/>
    <w:rsid w:val="005C1607"/>
    <w:rsid w:val="005C2313"/>
    <w:rsid w:val="005C2640"/>
    <w:rsid w:val="005C30FF"/>
    <w:rsid w:val="005C59EC"/>
    <w:rsid w:val="005C6A9A"/>
    <w:rsid w:val="005D04D9"/>
    <w:rsid w:val="005D0842"/>
    <w:rsid w:val="005D0E5D"/>
    <w:rsid w:val="005D51DE"/>
    <w:rsid w:val="005D5C69"/>
    <w:rsid w:val="005D6A94"/>
    <w:rsid w:val="005D6AE3"/>
    <w:rsid w:val="005E10B2"/>
    <w:rsid w:val="005E30EC"/>
    <w:rsid w:val="005E4E88"/>
    <w:rsid w:val="005E6D30"/>
    <w:rsid w:val="005F17D7"/>
    <w:rsid w:val="005F2940"/>
    <w:rsid w:val="005F40A6"/>
    <w:rsid w:val="00602343"/>
    <w:rsid w:val="00603675"/>
    <w:rsid w:val="00604415"/>
    <w:rsid w:val="00606FF0"/>
    <w:rsid w:val="0061114D"/>
    <w:rsid w:val="0061416B"/>
    <w:rsid w:val="00614B57"/>
    <w:rsid w:val="006169EC"/>
    <w:rsid w:val="006171A8"/>
    <w:rsid w:val="006229A1"/>
    <w:rsid w:val="00623BC2"/>
    <w:rsid w:val="0062694A"/>
    <w:rsid w:val="00627AA6"/>
    <w:rsid w:val="00630595"/>
    <w:rsid w:val="00630F33"/>
    <w:rsid w:val="00634CD2"/>
    <w:rsid w:val="00635919"/>
    <w:rsid w:val="006400AF"/>
    <w:rsid w:val="00641B56"/>
    <w:rsid w:val="006433A5"/>
    <w:rsid w:val="006449A7"/>
    <w:rsid w:val="00644E41"/>
    <w:rsid w:val="00647698"/>
    <w:rsid w:val="00652D85"/>
    <w:rsid w:val="006534D1"/>
    <w:rsid w:val="00654235"/>
    <w:rsid w:val="00655B14"/>
    <w:rsid w:val="006571C1"/>
    <w:rsid w:val="00657D00"/>
    <w:rsid w:val="00665023"/>
    <w:rsid w:val="00670B3C"/>
    <w:rsid w:val="00675B2B"/>
    <w:rsid w:val="00680AC4"/>
    <w:rsid w:val="00681470"/>
    <w:rsid w:val="00681F71"/>
    <w:rsid w:val="00685D63"/>
    <w:rsid w:val="00686516"/>
    <w:rsid w:val="00694B23"/>
    <w:rsid w:val="00697141"/>
    <w:rsid w:val="00697917"/>
    <w:rsid w:val="006A07CA"/>
    <w:rsid w:val="006A10B5"/>
    <w:rsid w:val="006B025A"/>
    <w:rsid w:val="006B2B88"/>
    <w:rsid w:val="006C0BE2"/>
    <w:rsid w:val="006C1E98"/>
    <w:rsid w:val="006C2F26"/>
    <w:rsid w:val="006C4189"/>
    <w:rsid w:val="006C455A"/>
    <w:rsid w:val="006C716F"/>
    <w:rsid w:val="006D14B0"/>
    <w:rsid w:val="006D1540"/>
    <w:rsid w:val="006D2185"/>
    <w:rsid w:val="006D6456"/>
    <w:rsid w:val="006E1634"/>
    <w:rsid w:val="006E17A0"/>
    <w:rsid w:val="006E3485"/>
    <w:rsid w:val="006E50F0"/>
    <w:rsid w:val="006E72BA"/>
    <w:rsid w:val="006E740B"/>
    <w:rsid w:val="006E7C80"/>
    <w:rsid w:val="006F0572"/>
    <w:rsid w:val="006F1BA6"/>
    <w:rsid w:val="006F39DC"/>
    <w:rsid w:val="006F462D"/>
    <w:rsid w:val="006F7F09"/>
    <w:rsid w:val="0070045E"/>
    <w:rsid w:val="00700AA4"/>
    <w:rsid w:val="00704299"/>
    <w:rsid w:val="00705A7B"/>
    <w:rsid w:val="00706739"/>
    <w:rsid w:val="007101B8"/>
    <w:rsid w:val="00711433"/>
    <w:rsid w:val="00712CF8"/>
    <w:rsid w:val="00712E17"/>
    <w:rsid w:val="00713608"/>
    <w:rsid w:val="00716A67"/>
    <w:rsid w:val="00721866"/>
    <w:rsid w:val="00722CB6"/>
    <w:rsid w:val="0072371D"/>
    <w:rsid w:val="00726430"/>
    <w:rsid w:val="00732216"/>
    <w:rsid w:val="00733BA4"/>
    <w:rsid w:val="007344E7"/>
    <w:rsid w:val="00736C3B"/>
    <w:rsid w:val="007410BC"/>
    <w:rsid w:val="007426B2"/>
    <w:rsid w:val="007430C2"/>
    <w:rsid w:val="00744549"/>
    <w:rsid w:val="007458DB"/>
    <w:rsid w:val="00745C27"/>
    <w:rsid w:val="00745F76"/>
    <w:rsid w:val="0074753B"/>
    <w:rsid w:val="00747FB4"/>
    <w:rsid w:val="00750432"/>
    <w:rsid w:val="00752358"/>
    <w:rsid w:val="00755CF2"/>
    <w:rsid w:val="00756CD5"/>
    <w:rsid w:val="00756D64"/>
    <w:rsid w:val="00757128"/>
    <w:rsid w:val="00771069"/>
    <w:rsid w:val="0077332F"/>
    <w:rsid w:val="00773D2A"/>
    <w:rsid w:val="00781BDD"/>
    <w:rsid w:val="00783640"/>
    <w:rsid w:val="00783A0D"/>
    <w:rsid w:val="00785CB4"/>
    <w:rsid w:val="00786274"/>
    <w:rsid w:val="0078691B"/>
    <w:rsid w:val="00790CE9"/>
    <w:rsid w:val="00791A30"/>
    <w:rsid w:val="00792440"/>
    <w:rsid w:val="00793F15"/>
    <w:rsid w:val="0079627F"/>
    <w:rsid w:val="00796D23"/>
    <w:rsid w:val="00797479"/>
    <w:rsid w:val="007A14BE"/>
    <w:rsid w:val="007A1B28"/>
    <w:rsid w:val="007A2B1F"/>
    <w:rsid w:val="007A6993"/>
    <w:rsid w:val="007A6B97"/>
    <w:rsid w:val="007B10DC"/>
    <w:rsid w:val="007B32EC"/>
    <w:rsid w:val="007B3632"/>
    <w:rsid w:val="007B442E"/>
    <w:rsid w:val="007B4E2A"/>
    <w:rsid w:val="007B6C30"/>
    <w:rsid w:val="007C2550"/>
    <w:rsid w:val="007C2A5A"/>
    <w:rsid w:val="007C54D6"/>
    <w:rsid w:val="007C5B33"/>
    <w:rsid w:val="007C6DE2"/>
    <w:rsid w:val="007C74B5"/>
    <w:rsid w:val="007D17B2"/>
    <w:rsid w:val="007D25E3"/>
    <w:rsid w:val="007D36C1"/>
    <w:rsid w:val="007D44AD"/>
    <w:rsid w:val="007D7FD5"/>
    <w:rsid w:val="007E1E27"/>
    <w:rsid w:val="007E3B2E"/>
    <w:rsid w:val="007E7B04"/>
    <w:rsid w:val="007F02F0"/>
    <w:rsid w:val="007F1363"/>
    <w:rsid w:val="007F315A"/>
    <w:rsid w:val="007F3CD8"/>
    <w:rsid w:val="00800ED2"/>
    <w:rsid w:val="008017D5"/>
    <w:rsid w:val="0080188C"/>
    <w:rsid w:val="00803746"/>
    <w:rsid w:val="00804357"/>
    <w:rsid w:val="00804C16"/>
    <w:rsid w:val="00805E5E"/>
    <w:rsid w:val="00806443"/>
    <w:rsid w:val="008072C6"/>
    <w:rsid w:val="00814DA9"/>
    <w:rsid w:val="008202DC"/>
    <w:rsid w:val="008206D1"/>
    <w:rsid w:val="0082107E"/>
    <w:rsid w:val="00821370"/>
    <w:rsid w:val="00823235"/>
    <w:rsid w:val="00823C1D"/>
    <w:rsid w:val="008271DF"/>
    <w:rsid w:val="008321E1"/>
    <w:rsid w:val="0083473E"/>
    <w:rsid w:val="00836890"/>
    <w:rsid w:val="00836945"/>
    <w:rsid w:val="0084058E"/>
    <w:rsid w:val="008416E7"/>
    <w:rsid w:val="00842F46"/>
    <w:rsid w:val="0084672E"/>
    <w:rsid w:val="008542DB"/>
    <w:rsid w:val="008564B6"/>
    <w:rsid w:val="008611CD"/>
    <w:rsid w:val="00864002"/>
    <w:rsid w:val="00867D51"/>
    <w:rsid w:val="00872027"/>
    <w:rsid w:val="00872602"/>
    <w:rsid w:val="00873444"/>
    <w:rsid w:val="00874F39"/>
    <w:rsid w:val="00875DA4"/>
    <w:rsid w:val="00876446"/>
    <w:rsid w:val="008768C8"/>
    <w:rsid w:val="008777C0"/>
    <w:rsid w:val="00890148"/>
    <w:rsid w:val="008914EE"/>
    <w:rsid w:val="00892CAF"/>
    <w:rsid w:val="00893630"/>
    <w:rsid w:val="00894808"/>
    <w:rsid w:val="0089510D"/>
    <w:rsid w:val="00897D02"/>
    <w:rsid w:val="008A06B6"/>
    <w:rsid w:val="008A5D1B"/>
    <w:rsid w:val="008A5FBA"/>
    <w:rsid w:val="008A72B1"/>
    <w:rsid w:val="008B19E8"/>
    <w:rsid w:val="008B28CF"/>
    <w:rsid w:val="008B2F74"/>
    <w:rsid w:val="008B2F9D"/>
    <w:rsid w:val="008B54B3"/>
    <w:rsid w:val="008B56F7"/>
    <w:rsid w:val="008C4329"/>
    <w:rsid w:val="008C50B5"/>
    <w:rsid w:val="008C5443"/>
    <w:rsid w:val="008D00EE"/>
    <w:rsid w:val="008D1C68"/>
    <w:rsid w:val="008D3BD5"/>
    <w:rsid w:val="008D5A93"/>
    <w:rsid w:val="008E2A5F"/>
    <w:rsid w:val="008E399C"/>
    <w:rsid w:val="008E4A77"/>
    <w:rsid w:val="008E761B"/>
    <w:rsid w:val="008F107D"/>
    <w:rsid w:val="008F2C96"/>
    <w:rsid w:val="008F44B6"/>
    <w:rsid w:val="008F52B6"/>
    <w:rsid w:val="008F6C85"/>
    <w:rsid w:val="008F78FA"/>
    <w:rsid w:val="009006BC"/>
    <w:rsid w:val="00901063"/>
    <w:rsid w:val="00910A5B"/>
    <w:rsid w:val="00910ACB"/>
    <w:rsid w:val="0091190B"/>
    <w:rsid w:val="00913A07"/>
    <w:rsid w:val="009171C2"/>
    <w:rsid w:val="009231B7"/>
    <w:rsid w:val="00925414"/>
    <w:rsid w:val="0093034E"/>
    <w:rsid w:val="0093575B"/>
    <w:rsid w:val="00942A9E"/>
    <w:rsid w:val="00944968"/>
    <w:rsid w:val="009457CB"/>
    <w:rsid w:val="00947150"/>
    <w:rsid w:val="00947C21"/>
    <w:rsid w:val="00952036"/>
    <w:rsid w:val="009520C8"/>
    <w:rsid w:val="00952E9C"/>
    <w:rsid w:val="00955410"/>
    <w:rsid w:val="00955657"/>
    <w:rsid w:val="00956ABF"/>
    <w:rsid w:val="00964E44"/>
    <w:rsid w:val="00965277"/>
    <w:rsid w:val="00966E75"/>
    <w:rsid w:val="009724AF"/>
    <w:rsid w:val="00974BEC"/>
    <w:rsid w:val="0097520E"/>
    <w:rsid w:val="00975293"/>
    <w:rsid w:val="0097532B"/>
    <w:rsid w:val="009754D8"/>
    <w:rsid w:val="00976FD1"/>
    <w:rsid w:val="00977F56"/>
    <w:rsid w:val="009800F2"/>
    <w:rsid w:val="009826F2"/>
    <w:rsid w:val="009828BC"/>
    <w:rsid w:val="00983152"/>
    <w:rsid w:val="00984468"/>
    <w:rsid w:val="00986ADE"/>
    <w:rsid w:val="00987C8E"/>
    <w:rsid w:val="00990DCF"/>
    <w:rsid w:val="00992D5B"/>
    <w:rsid w:val="00994F07"/>
    <w:rsid w:val="009971B1"/>
    <w:rsid w:val="009A3937"/>
    <w:rsid w:val="009A5193"/>
    <w:rsid w:val="009A7639"/>
    <w:rsid w:val="009B63CC"/>
    <w:rsid w:val="009B6A7B"/>
    <w:rsid w:val="009C1690"/>
    <w:rsid w:val="009C2EFC"/>
    <w:rsid w:val="009C7B62"/>
    <w:rsid w:val="009D1CB3"/>
    <w:rsid w:val="009D1E66"/>
    <w:rsid w:val="009D36C9"/>
    <w:rsid w:val="009D5AB1"/>
    <w:rsid w:val="009E08BF"/>
    <w:rsid w:val="009E0FCE"/>
    <w:rsid w:val="009E2039"/>
    <w:rsid w:val="009E2981"/>
    <w:rsid w:val="009E5135"/>
    <w:rsid w:val="009E6C2A"/>
    <w:rsid w:val="009F0AF6"/>
    <w:rsid w:val="009F104D"/>
    <w:rsid w:val="009F4B77"/>
    <w:rsid w:val="009F7EF6"/>
    <w:rsid w:val="00A031A7"/>
    <w:rsid w:val="00A064B8"/>
    <w:rsid w:val="00A067C7"/>
    <w:rsid w:val="00A07665"/>
    <w:rsid w:val="00A100D4"/>
    <w:rsid w:val="00A11CAC"/>
    <w:rsid w:val="00A171C1"/>
    <w:rsid w:val="00A2113A"/>
    <w:rsid w:val="00A21950"/>
    <w:rsid w:val="00A221F9"/>
    <w:rsid w:val="00A227A6"/>
    <w:rsid w:val="00A25310"/>
    <w:rsid w:val="00A2678C"/>
    <w:rsid w:val="00A27900"/>
    <w:rsid w:val="00A27A64"/>
    <w:rsid w:val="00A27F26"/>
    <w:rsid w:val="00A32433"/>
    <w:rsid w:val="00A33306"/>
    <w:rsid w:val="00A35047"/>
    <w:rsid w:val="00A3693F"/>
    <w:rsid w:val="00A41BD8"/>
    <w:rsid w:val="00A44F50"/>
    <w:rsid w:val="00A532ED"/>
    <w:rsid w:val="00A5383E"/>
    <w:rsid w:val="00A53B09"/>
    <w:rsid w:val="00A54C7E"/>
    <w:rsid w:val="00A66226"/>
    <w:rsid w:val="00A67A15"/>
    <w:rsid w:val="00A70828"/>
    <w:rsid w:val="00A734EA"/>
    <w:rsid w:val="00A809DB"/>
    <w:rsid w:val="00A80B9B"/>
    <w:rsid w:val="00A83B0B"/>
    <w:rsid w:val="00A85DD5"/>
    <w:rsid w:val="00A8745C"/>
    <w:rsid w:val="00A91D35"/>
    <w:rsid w:val="00A930A1"/>
    <w:rsid w:val="00A94C08"/>
    <w:rsid w:val="00A96F03"/>
    <w:rsid w:val="00A97502"/>
    <w:rsid w:val="00AA1D43"/>
    <w:rsid w:val="00AB0D1D"/>
    <w:rsid w:val="00AB109E"/>
    <w:rsid w:val="00AB1C96"/>
    <w:rsid w:val="00AB23D7"/>
    <w:rsid w:val="00AB3318"/>
    <w:rsid w:val="00AB3ECE"/>
    <w:rsid w:val="00AB46DD"/>
    <w:rsid w:val="00AB6424"/>
    <w:rsid w:val="00AB6F0F"/>
    <w:rsid w:val="00AC36A5"/>
    <w:rsid w:val="00AC5165"/>
    <w:rsid w:val="00AC52CB"/>
    <w:rsid w:val="00AC5F43"/>
    <w:rsid w:val="00AC7035"/>
    <w:rsid w:val="00AD37EF"/>
    <w:rsid w:val="00AD7332"/>
    <w:rsid w:val="00AE08C3"/>
    <w:rsid w:val="00AE24A8"/>
    <w:rsid w:val="00AE4DCB"/>
    <w:rsid w:val="00AE506F"/>
    <w:rsid w:val="00AE60DD"/>
    <w:rsid w:val="00AE7EE7"/>
    <w:rsid w:val="00AF0247"/>
    <w:rsid w:val="00AF08C7"/>
    <w:rsid w:val="00AF2124"/>
    <w:rsid w:val="00AF234E"/>
    <w:rsid w:val="00AF285B"/>
    <w:rsid w:val="00AF66EC"/>
    <w:rsid w:val="00AF7A77"/>
    <w:rsid w:val="00B000AF"/>
    <w:rsid w:val="00B043DB"/>
    <w:rsid w:val="00B062EE"/>
    <w:rsid w:val="00B06A93"/>
    <w:rsid w:val="00B11AF3"/>
    <w:rsid w:val="00B13EA7"/>
    <w:rsid w:val="00B14196"/>
    <w:rsid w:val="00B145B1"/>
    <w:rsid w:val="00B2120A"/>
    <w:rsid w:val="00B25BC2"/>
    <w:rsid w:val="00B3080F"/>
    <w:rsid w:val="00B30BD0"/>
    <w:rsid w:val="00B31215"/>
    <w:rsid w:val="00B32897"/>
    <w:rsid w:val="00B341DB"/>
    <w:rsid w:val="00B34707"/>
    <w:rsid w:val="00B36C67"/>
    <w:rsid w:val="00B420CA"/>
    <w:rsid w:val="00B42A51"/>
    <w:rsid w:val="00B53B17"/>
    <w:rsid w:val="00B5767D"/>
    <w:rsid w:val="00B64074"/>
    <w:rsid w:val="00B64334"/>
    <w:rsid w:val="00B64ECB"/>
    <w:rsid w:val="00B664DF"/>
    <w:rsid w:val="00B8055C"/>
    <w:rsid w:val="00B828F2"/>
    <w:rsid w:val="00B85327"/>
    <w:rsid w:val="00B906F2"/>
    <w:rsid w:val="00B976AB"/>
    <w:rsid w:val="00B97F66"/>
    <w:rsid w:val="00BA2EAF"/>
    <w:rsid w:val="00BA50FE"/>
    <w:rsid w:val="00BA552C"/>
    <w:rsid w:val="00BA79C6"/>
    <w:rsid w:val="00BA7BF3"/>
    <w:rsid w:val="00BB434E"/>
    <w:rsid w:val="00BB683B"/>
    <w:rsid w:val="00BB78AB"/>
    <w:rsid w:val="00BC6A0C"/>
    <w:rsid w:val="00BC7EC1"/>
    <w:rsid w:val="00BD4F96"/>
    <w:rsid w:val="00BD534F"/>
    <w:rsid w:val="00BD62A2"/>
    <w:rsid w:val="00BD655D"/>
    <w:rsid w:val="00BE185F"/>
    <w:rsid w:val="00BE19C3"/>
    <w:rsid w:val="00BE54D7"/>
    <w:rsid w:val="00BE70B0"/>
    <w:rsid w:val="00BE7BE8"/>
    <w:rsid w:val="00BF0C16"/>
    <w:rsid w:val="00BF0E1B"/>
    <w:rsid w:val="00BF2CD3"/>
    <w:rsid w:val="00BF4CF1"/>
    <w:rsid w:val="00C029F0"/>
    <w:rsid w:val="00C02D4A"/>
    <w:rsid w:val="00C03147"/>
    <w:rsid w:val="00C0355F"/>
    <w:rsid w:val="00C03D83"/>
    <w:rsid w:val="00C04B9C"/>
    <w:rsid w:val="00C067E0"/>
    <w:rsid w:val="00C079EF"/>
    <w:rsid w:val="00C12B58"/>
    <w:rsid w:val="00C14ADB"/>
    <w:rsid w:val="00C22183"/>
    <w:rsid w:val="00C23A47"/>
    <w:rsid w:val="00C24FBF"/>
    <w:rsid w:val="00C26188"/>
    <w:rsid w:val="00C26A0E"/>
    <w:rsid w:val="00C30C1E"/>
    <w:rsid w:val="00C33B9C"/>
    <w:rsid w:val="00C35A89"/>
    <w:rsid w:val="00C35C94"/>
    <w:rsid w:val="00C35D17"/>
    <w:rsid w:val="00C4111D"/>
    <w:rsid w:val="00C43B89"/>
    <w:rsid w:val="00C44178"/>
    <w:rsid w:val="00C45D89"/>
    <w:rsid w:val="00C50BC4"/>
    <w:rsid w:val="00C5136A"/>
    <w:rsid w:val="00C633F2"/>
    <w:rsid w:val="00C63727"/>
    <w:rsid w:val="00C63A85"/>
    <w:rsid w:val="00C6408C"/>
    <w:rsid w:val="00C649C9"/>
    <w:rsid w:val="00C70E27"/>
    <w:rsid w:val="00C71158"/>
    <w:rsid w:val="00C71303"/>
    <w:rsid w:val="00C73DAC"/>
    <w:rsid w:val="00C772A6"/>
    <w:rsid w:val="00C85515"/>
    <w:rsid w:val="00C92310"/>
    <w:rsid w:val="00C94830"/>
    <w:rsid w:val="00C97168"/>
    <w:rsid w:val="00C97390"/>
    <w:rsid w:val="00CA13E7"/>
    <w:rsid w:val="00CA18A7"/>
    <w:rsid w:val="00CA4308"/>
    <w:rsid w:val="00CB3DDA"/>
    <w:rsid w:val="00CB57FF"/>
    <w:rsid w:val="00CB66AD"/>
    <w:rsid w:val="00CC275C"/>
    <w:rsid w:val="00CC53CA"/>
    <w:rsid w:val="00CC7242"/>
    <w:rsid w:val="00CD096B"/>
    <w:rsid w:val="00CD4A3C"/>
    <w:rsid w:val="00CD59ED"/>
    <w:rsid w:val="00CD7810"/>
    <w:rsid w:val="00CE0B46"/>
    <w:rsid w:val="00CE1D89"/>
    <w:rsid w:val="00CE2485"/>
    <w:rsid w:val="00CE5578"/>
    <w:rsid w:val="00CE6537"/>
    <w:rsid w:val="00CE6758"/>
    <w:rsid w:val="00CE7CDA"/>
    <w:rsid w:val="00CF3489"/>
    <w:rsid w:val="00CF37CD"/>
    <w:rsid w:val="00D03BAB"/>
    <w:rsid w:val="00D04659"/>
    <w:rsid w:val="00D048E9"/>
    <w:rsid w:val="00D049A8"/>
    <w:rsid w:val="00D04BA7"/>
    <w:rsid w:val="00D07669"/>
    <w:rsid w:val="00D10DC6"/>
    <w:rsid w:val="00D120E3"/>
    <w:rsid w:val="00D123E4"/>
    <w:rsid w:val="00D14B64"/>
    <w:rsid w:val="00D160FD"/>
    <w:rsid w:val="00D16A62"/>
    <w:rsid w:val="00D17C10"/>
    <w:rsid w:val="00D20D73"/>
    <w:rsid w:val="00D21146"/>
    <w:rsid w:val="00D2163D"/>
    <w:rsid w:val="00D27B89"/>
    <w:rsid w:val="00D27D2E"/>
    <w:rsid w:val="00D33785"/>
    <w:rsid w:val="00D33B19"/>
    <w:rsid w:val="00D347CE"/>
    <w:rsid w:val="00D430C1"/>
    <w:rsid w:val="00D43C0D"/>
    <w:rsid w:val="00D45D1F"/>
    <w:rsid w:val="00D46543"/>
    <w:rsid w:val="00D504EE"/>
    <w:rsid w:val="00D52A99"/>
    <w:rsid w:val="00D52D78"/>
    <w:rsid w:val="00D539B2"/>
    <w:rsid w:val="00D551EA"/>
    <w:rsid w:val="00D577CF"/>
    <w:rsid w:val="00D600B0"/>
    <w:rsid w:val="00D6271F"/>
    <w:rsid w:val="00D6289F"/>
    <w:rsid w:val="00D63017"/>
    <w:rsid w:val="00D63226"/>
    <w:rsid w:val="00D70EFE"/>
    <w:rsid w:val="00D70F22"/>
    <w:rsid w:val="00D7183A"/>
    <w:rsid w:val="00D726F5"/>
    <w:rsid w:val="00D742FC"/>
    <w:rsid w:val="00D74745"/>
    <w:rsid w:val="00D75F10"/>
    <w:rsid w:val="00D8113B"/>
    <w:rsid w:val="00D82F41"/>
    <w:rsid w:val="00D85A72"/>
    <w:rsid w:val="00D91B17"/>
    <w:rsid w:val="00D9477C"/>
    <w:rsid w:val="00D94788"/>
    <w:rsid w:val="00D94CDA"/>
    <w:rsid w:val="00DA0820"/>
    <w:rsid w:val="00DA0B00"/>
    <w:rsid w:val="00DA15CA"/>
    <w:rsid w:val="00DA2ABC"/>
    <w:rsid w:val="00DA2DD3"/>
    <w:rsid w:val="00DA3017"/>
    <w:rsid w:val="00DB37B9"/>
    <w:rsid w:val="00DB4D50"/>
    <w:rsid w:val="00DB5612"/>
    <w:rsid w:val="00DB5830"/>
    <w:rsid w:val="00DB6470"/>
    <w:rsid w:val="00DB7DC4"/>
    <w:rsid w:val="00DC0D62"/>
    <w:rsid w:val="00DC0E4C"/>
    <w:rsid w:val="00DC5B52"/>
    <w:rsid w:val="00DD646A"/>
    <w:rsid w:val="00DD6D99"/>
    <w:rsid w:val="00DD6EB9"/>
    <w:rsid w:val="00DE45EC"/>
    <w:rsid w:val="00DE460C"/>
    <w:rsid w:val="00DE5AB1"/>
    <w:rsid w:val="00DE705F"/>
    <w:rsid w:val="00DE715B"/>
    <w:rsid w:val="00DF002C"/>
    <w:rsid w:val="00DF1713"/>
    <w:rsid w:val="00DF489A"/>
    <w:rsid w:val="00E0096B"/>
    <w:rsid w:val="00E068D9"/>
    <w:rsid w:val="00E06B0A"/>
    <w:rsid w:val="00E072C9"/>
    <w:rsid w:val="00E0782A"/>
    <w:rsid w:val="00E10329"/>
    <w:rsid w:val="00E10914"/>
    <w:rsid w:val="00E1140C"/>
    <w:rsid w:val="00E15622"/>
    <w:rsid w:val="00E218E8"/>
    <w:rsid w:val="00E21990"/>
    <w:rsid w:val="00E21ADF"/>
    <w:rsid w:val="00E22E80"/>
    <w:rsid w:val="00E23229"/>
    <w:rsid w:val="00E24C64"/>
    <w:rsid w:val="00E2515D"/>
    <w:rsid w:val="00E2519C"/>
    <w:rsid w:val="00E26F19"/>
    <w:rsid w:val="00E271ED"/>
    <w:rsid w:val="00E331DC"/>
    <w:rsid w:val="00E3570E"/>
    <w:rsid w:val="00E37290"/>
    <w:rsid w:val="00E415C6"/>
    <w:rsid w:val="00E422CD"/>
    <w:rsid w:val="00E45108"/>
    <w:rsid w:val="00E45D6D"/>
    <w:rsid w:val="00E47381"/>
    <w:rsid w:val="00E53C26"/>
    <w:rsid w:val="00E61BC8"/>
    <w:rsid w:val="00E62644"/>
    <w:rsid w:val="00E63055"/>
    <w:rsid w:val="00E64D5E"/>
    <w:rsid w:val="00E677D1"/>
    <w:rsid w:val="00E72BD2"/>
    <w:rsid w:val="00E72C8E"/>
    <w:rsid w:val="00E74760"/>
    <w:rsid w:val="00E83F52"/>
    <w:rsid w:val="00E85412"/>
    <w:rsid w:val="00E85D35"/>
    <w:rsid w:val="00E90351"/>
    <w:rsid w:val="00E92CCC"/>
    <w:rsid w:val="00E92E32"/>
    <w:rsid w:val="00E92E90"/>
    <w:rsid w:val="00E94746"/>
    <w:rsid w:val="00E96B00"/>
    <w:rsid w:val="00E96FAE"/>
    <w:rsid w:val="00EA2E28"/>
    <w:rsid w:val="00EC2C7E"/>
    <w:rsid w:val="00EC4BB5"/>
    <w:rsid w:val="00EC56B6"/>
    <w:rsid w:val="00EC5C90"/>
    <w:rsid w:val="00EC645C"/>
    <w:rsid w:val="00EC6816"/>
    <w:rsid w:val="00ED0CA8"/>
    <w:rsid w:val="00EE03B4"/>
    <w:rsid w:val="00EE3F44"/>
    <w:rsid w:val="00EE474C"/>
    <w:rsid w:val="00EE49C5"/>
    <w:rsid w:val="00EE4F15"/>
    <w:rsid w:val="00EF0D28"/>
    <w:rsid w:val="00EF0D81"/>
    <w:rsid w:val="00EF173A"/>
    <w:rsid w:val="00EF1DCF"/>
    <w:rsid w:val="00EF28D6"/>
    <w:rsid w:val="00EF3D3A"/>
    <w:rsid w:val="00EF4201"/>
    <w:rsid w:val="00EF6DE6"/>
    <w:rsid w:val="00F030E8"/>
    <w:rsid w:val="00F05FFA"/>
    <w:rsid w:val="00F063C7"/>
    <w:rsid w:val="00F06F45"/>
    <w:rsid w:val="00F103A2"/>
    <w:rsid w:val="00F104D8"/>
    <w:rsid w:val="00F1560D"/>
    <w:rsid w:val="00F15A4E"/>
    <w:rsid w:val="00F161B6"/>
    <w:rsid w:val="00F163CB"/>
    <w:rsid w:val="00F25D74"/>
    <w:rsid w:val="00F27D25"/>
    <w:rsid w:val="00F303C0"/>
    <w:rsid w:val="00F30A52"/>
    <w:rsid w:val="00F339C7"/>
    <w:rsid w:val="00F359FA"/>
    <w:rsid w:val="00F36718"/>
    <w:rsid w:val="00F378B8"/>
    <w:rsid w:val="00F37F29"/>
    <w:rsid w:val="00F42261"/>
    <w:rsid w:val="00F44903"/>
    <w:rsid w:val="00F47208"/>
    <w:rsid w:val="00F50A84"/>
    <w:rsid w:val="00F51117"/>
    <w:rsid w:val="00F515A9"/>
    <w:rsid w:val="00F541D8"/>
    <w:rsid w:val="00F57163"/>
    <w:rsid w:val="00F6099F"/>
    <w:rsid w:val="00F653D6"/>
    <w:rsid w:val="00F656D3"/>
    <w:rsid w:val="00F67245"/>
    <w:rsid w:val="00F741A2"/>
    <w:rsid w:val="00F747A5"/>
    <w:rsid w:val="00F74B3F"/>
    <w:rsid w:val="00F768CF"/>
    <w:rsid w:val="00F80ED5"/>
    <w:rsid w:val="00F80FA7"/>
    <w:rsid w:val="00F858F4"/>
    <w:rsid w:val="00F911D0"/>
    <w:rsid w:val="00F940D0"/>
    <w:rsid w:val="00F97492"/>
    <w:rsid w:val="00F9763C"/>
    <w:rsid w:val="00FA4C58"/>
    <w:rsid w:val="00FA6958"/>
    <w:rsid w:val="00FB4DBE"/>
    <w:rsid w:val="00FB4F67"/>
    <w:rsid w:val="00FC1428"/>
    <w:rsid w:val="00FC2CE2"/>
    <w:rsid w:val="00FC32AA"/>
    <w:rsid w:val="00FC66A4"/>
    <w:rsid w:val="00FC7EA3"/>
    <w:rsid w:val="00FD074C"/>
    <w:rsid w:val="00FD4633"/>
    <w:rsid w:val="00FD51CD"/>
    <w:rsid w:val="00FE07F0"/>
    <w:rsid w:val="00FE358B"/>
    <w:rsid w:val="00FE4831"/>
    <w:rsid w:val="00FE5A56"/>
    <w:rsid w:val="00FF045B"/>
    <w:rsid w:val="00FF110F"/>
    <w:rsid w:val="00FF197D"/>
    <w:rsid w:val="00FF1B8F"/>
    <w:rsid w:val="00FF2CDD"/>
    <w:rsid w:val="08FAD09E"/>
    <w:rsid w:val="0C08F6F3"/>
    <w:rsid w:val="1784AF83"/>
    <w:rsid w:val="188C3189"/>
    <w:rsid w:val="1ADCA57C"/>
    <w:rsid w:val="25F0BC72"/>
    <w:rsid w:val="2F8AA4CA"/>
    <w:rsid w:val="3FFB64CB"/>
    <w:rsid w:val="45314C35"/>
    <w:rsid w:val="52D436CE"/>
    <w:rsid w:val="58965FB2"/>
    <w:rsid w:val="5CA94E46"/>
    <w:rsid w:val="6E5E770A"/>
    <w:rsid w:val="77D264AE"/>
    <w:rsid w:val="796A3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ACC02"/>
  <w15:docId w15:val="{7E000F57-2411-43C2-AF57-A70E92F5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s>
      <w:spacing w:line="360" w:lineRule="atLeast"/>
      <w:jc w:val="both"/>
    </w:pPr>
    <w:rPr>
      <w:lang w:eastAsia="fr-FR"/>
    </w:rPr>
  </w:style>
  <w:style w:type="paragraph" w:styleId="Heading1">
    <w:name w:val="heading 1"/>
    <w:basedOn w:val="Normal"/>
    <w:next w:val="Normal"/>
    <w:link w:val="Heading1Char"/>
    <w:uiPriority w:val="99"/>
    <w:qFormat/>
    <w:pPr>
      <w:spacing w:before="240"/>
      <w:outlineLvl w:val="0"/>
    </w:pPr>
    <w:rPr>
      <w:rFonts w:ascii="Arial" w:hAnsi="Arial" w:cs="Arial"/>
      <w:b/>
      <w:bCs/>
      <w:sz w:val="24"/>
      <w:szCs w:val="24"/>
      <w:u w:val="single"/>
    </w:rPr>
  </w:style>
  <w:style w:type="paragraph" w:styleId="Heading2">
    <w:name w:val="heading 2"/>
    <w:basedOn w:val="Normal"/>
    <w:next w:val="Normal"/>
    <w:qFormat/>
    <w:pPr>
      <w:spacing w:before="120"/>
      <w:outlineLvl w:val="1"/>
    </w:pPr>
    <w:rPr>
      <w:rFonts w:ascii="Arial" w:hAnsi="Arial" w:cs="Arial"/>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link w:val="Heading6Char"/>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E62644"/>
    <w:rPr>
      <w:rFonts w:ascii="Arial" w:hAnsi="Arial"/>
      <w:sz w:val="16"/>
    </w:rPr>
  </w:style>
  <w:style w:type="paragraph" w:styleId="Header">
    <w:name w:val="header"/>
    <w:basedOn w:val="Normal"/>
    <w:link w:val="HeaderChar"/>
    <w:uiPriority w:val="99"/>
    <w:rsid w:val="00347529"/>
    <w:pPr>
      <w:widowControl w:val="0"/>
      <w:pBdr>
        <w:bottom w:val="single" w:sz="4" w:space="5" w:color="auto"/>
      </w:pBdr>
      <w:tabs>
        <w:tab w:val="clear" w:pos="-720"/>
        <w:tab w:val="center" w:pos="4536"/>
        <w:tab w:val="right" w:pos="9072"/>
      </w:tabs>
      <w:spacing w:line="240" w:lineRule="auto"/>
      <w:jc w:val="center"/>
    </w:pPr>
    <w:rPr>
      <w:rFonts w:ascii="Söhne" w:eastAsiaTheme="minorEastAsia" w:hAnsi="Söhne"/>
      <w:i/>
      <w:sz w:val="16"/>
      <w:szCs w:val="22"/>
      <w:lang w:val="en-US" w:eastAsia="en-US"/>
    </w:rPr>
  </w:style>
  <w:style w:type="paragraph" w:customStyle="1" w:styleId="notedebas">
    <w:name w:val="note de bas"/>
    <w:basedOn w:val="Normal"/>
    <w:pPr>
      <w:widowControl w:val="0"/>
      <w:spacing w:line="240" w:lineRule="auto"/>
      <w:ind w:left="425" w:hanging="425"/>
    </w:pPr>
    <w:rPr>
      <w:rFonts w:ascii="Arial" w:hAnsi="Arial" w:cs="Arial"/>
      <w:sz w:val="16"/>
      <w:szCs w:val="16"/>
      <w:lang w:val="en-US"/>
    </w:rPr>
  </w:style>
  <w:style w:type="paragraph" w:customStyle="1" w:styleId="dot-sixthlevellist">
    <w:name w:val="dot-sixth_level_list"/>
    <w:basedOn w:val="dotsixthpara"/>
    <w:qFormat/>
    <w:rsid w:val="00B14196"/>
    <w:pPr>
      <w:spacing w:after="120"/>
      <w:ind w:hanging="425"/>
    </w:pPr>
  </w:style>
  <w:style w:type="paragraph" w:customStyle="1" w:styleId="paraa">
    <w:name w:val="paraa)"/>
    <w:basedOn w:val="Normal"/>
    <w:pPr>
      <w:spacing w:after="240" w:line="240" w:lineRule="auto"/>
      <w:ind w:left="425"/>
    </w:pPr>
    <w:rPr>
      <w:rFonts w:ascii="Arial" w:hAnsi="Arial" w:cs="Arial"/>
      <w:sz w:val="18"/>
      <w:szCs w:val="18"/>
    </w:rPr>
  </w:style>
  <w:style w:type="paragraph" w:customStyle="1" w:styleId="1">
    <w:name w:val="1"/>
    <w:basedOn w:val="Normal"/>
    <w:uiPriority w:val="99"/>
    <w:rsid w:val="006E17A0"/>
    <w:pPr>
      <w:tabs>
        <w:tab w:val="clear" w:pos="-720"/>
      </w:tabs>
      <w:spacing w:after="240" w:line="240" w:lineRule="auto"/>
      <w:ind w:left="425" w:hanging="425"/>
    </w:pPr>
    <w:rPr>
      <w:rFonts w:ascii="Söhne Halbfett" w:eastAsiaTheme="minorEastAsia" w:hAnsi="Söhne Halbfett" w:cs="Arial"/>
      <w:bCs/>
      <w:color w:val="000000"/>
      <w:sz w:val="22"/>
      <w:szCs w:val="18"/>
      <w:lang w:eastAsia="en-US"/>
    </w:rPr>
  </w:style>
  <w:style w:type="paragraph" w:customStyle="1" w:styleId="para1">
    <w:name w:val="para1"/>
    <w:basedOn w:val="Normal"/>
    <w:pPr>
      <w:spacing w:after="240" w:line="240" w:lineRule="auto"/>
    </w:pPr>
    <w:rPr>
      <w:rFonts w:ascii="Arial" w:hAnsi="Arial" w:cs="Arial"/>
      <w:sz w:val="18"/>
      <w:szCs w:val="18"/>
    </w:rPr>
  </w:style>
  <w:style w:type="paragraph" w:customStyle="1" w:styleId="i">
    <w:name w:val="i)"/>
    <w:basedOn w:val="Normal"/>
    <w:link w:val="iCar1"/>
    <w:uiPriority w:val="99"/>
    <w:rsid w:val="00347529"/>
    <w:pPr>
      <w:tabs>
        <w:tab w:val="clear" w:pos="-720"/>
      </w:tabs>
      <w:spacing w:after="120" w:line="240" w:lineRule="auto"/>
      <w:ind w:left="1843" w:hanging="425"/>
    </w:pPr>
    <w:rPr>
      <w:rFonts w:ascii="Söhne" w:eastAsiaTheme="minorEastAsia" w:hAnsi="Söhne" w:cs="Arial"/>
      <w:sz w:val="18"/>
      <w:szCs w:val="18"/>
      <w:lang w:eastAsia="en-US"/>
    </w:rPr>
  </w:style>
  <w:style w:type="paragraph" w:customStyle="1" w:styleId="A">
    <w:name w:val="A"/>
    <w:basedOn w:val="Normal"/>
    <w:uiPriority w:val="99"/>
    <w:rsid w:val="00347529"/>
    <w:pPr>
      <w:spacing w:after="240" w:line="240" w:lineRule="auto"/>
      <w:jc w:val="center"/>
    </w:pPr>
    <w:rPr>
      <w:rFonts w:ascii="Söhne Halbfett" w:hAnsi="Söhne Halbfett"/>
      <w:bCs/>
      <w:caps/>
      <w:sz w:val="24"/>
      <w:szCs w:val="24"/>
    </w:rPr>
  </w:style>
  <w:style w:type="paragraph" w:customStyle="1" w:styleId="Ref">
    <w:name w:val="Ref."/>
    <w:basedOn w:val="Normal"/>
    <w:rsid w:val="009E5135"/>
    <w:pPr>
      <w:spacing w:after="240" w:line="240" w:lineRule="auto"/>
    </w:pPr>
    <w:rPr>
      <w:rFonts w:ascii="Söhne" w:hAnsi="Söhne" w:cs="Arial"/>
      <w:sz w:val="18"/>
      <w:szCs w:val="18"/>
    </w:rPr>
  </w:style>
  <w:style w:type="paragraph" w:customStyle="1" w:styleId="sumtexte">
    <w:name w:val="sumtexte"/>
    <w:basedOn w:val="Normal"/>
    <w:rsid w:val="00347529"/>
    <w:pPr>
      <w:spacing w:after="120" w:line="240" w:lineRule="exact"/>
      <w:ind w:left="567" w:right="567"/>
    </w:pPr>
    <w:rPr>
      <w:rFonts w:ascii="Söhne" w:hAnsi="Söhne" w:cs="Arial"/>
      <w:i/>
      <w:iCs/>
      <w:sz w:val="18"/>
      <w:szCs w:val="18"/>
    </w:rPr>
  </w:style>
  <w:style w:type="paragraph" w:customStyle="1" w:styleId="paraA0">
    <w:name w:val="paraA"/>
    <w:basedOn w:val="Normal"/>
    <w:link w:val="paraACar"/>
    <w:uiPriority w:val="99"/>
    <w:rsid w:val="00347529"/>
    <w:pPr>
      <w:spacing w:after="240" w:line="240" w:lineRule="auto"/>
    </w:pPr>
    <w:rPr>
      <w:rFonts w:ascii="Söhne" w:hAnsi="Söhne"/>
      <w:sz w:val="18"/>
      <w:szCs w:val="18"/>
    </w:rPr>
  </w:style>
  <w:style w:type="paragraph" w:customStyle="1" w:styleId="TITRE">
    <w:name w:val="TITRE"/>
    <w:basedOn w:val="Normal"/>
    <w:pPr>
      <w:spacing w:after="240"/>
      <w:jc w:val="center"/>
    </w:pPr>
    <w:rPr>
      <w:b/>
      <w:bCs/>
      <w:caps/>
    </w:rPr>
  </w:style>
  <w:style w:type="paragraph" w:styleId="Footer">
    <w:name w:val="footer"/>
    <w:basedOn w:val="Normal"/>
    <w:link w:val="FooterChar"/>
    <w:uiPriority w:val="99"/>
    <w:rsid w:val="00347529"/>
    <w:pPr>
      <w:widowControl w:val="0"/>
      <w:pBdr>
        <w:top w:val="single" w:sz="4" w:space="5" w:color="auto"/>
      </w:pBdr>
      <w:tabs>
        <w:tab w:val="clear" w:pos="-720"/>
        <w:tab w:val="right" w:pos="9072"/>
      </w:tabs>
      <w:spacing w:line="240" w:lineRule="auto"/>
      <w:jc w:val="left"/>
    </w:pPr>
    <w:rPr>
      <w:rFonts w:ascii="Söhne" w:eastAsiaTheme="minorEastAsia" w:hAnsi="Söhne"/>
      <w:sz w:val="16"/>
      <w:szCs w:val="22"/>
      <w:lang w:val="en-US" w:eastAsia="en-US"/>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customStyle="1" w:styleId="sumtextelastpara">
    <w:name w:val="sumtexte last para"/>
    <w:basedOn w:val="sumtexte"/>
    <w:pPr>
      <w:spacing w:after="480"/>
    </w:pPr>
  </w:style>
  <w:style w:type="paragraph" w:customStyle="1" w:styleId="StyleTitre18ptNonGrasDoublesoulignCentrAvant6">
    <w:name w:val="Style Titre 1 + 8 pt Non Gras Double souligné Centré Avant : 6 ..."/>
    <w:basedOn w:val="Heading1"/>
    <w:rsid w:val="005E30EC"/>
    <w:pPr>
      <w:spacing w:before="120" w:after="120" w:line="240" w:lineRule="auto"/>
      <w:jc w:val="center"/>
    </w:pPr>
    <w:rPr>
      <w:rFonts w:cs="Times New Roman"/>
      <w:b w:val="0"/>
      <w:bCs w:val="0"/>
      <w:sz w:val="16"/>
      <w:szCs w:val="20"/>
      <w:u w:val="double" w:color="FFFFFF" w:themeColor="background1"/>
      <w:shd w:val="clear" w:color="auto" w:fill="FFFF00"/>
    </w:rPr>
  </w:style>
  <w:style w:type="paragraph" w:customStyle="1" w:styleId="ipara">
    <w:name w:val="i_para"/>
    <w:basedOn w:val="i"/>
    <w:link w:val="iparaCar"/>
    <w:pPr>
      <w:spacing w:line="200" w:lineRule="exact"/>
      <w:ind w:left="851" w:firstLine="0"/>
    </w:pPr>
  </w:style>
  <w:style w:type="paragraph" w:customStyle="1" w:styleId="iparalast">
    <w:name w:val="i_para_last"/>
    <w:basedOn w:val="i"/>
    <w:pPr>
      <w:spacing w:after="240" w:line="200" w:lineRule="exact"/>
    </w:pPr>
  </w:style>
  <w:style w:type="paragraph" w:customStyle="1" w:styleId="Referencetitle">
    <w:name w:val="Reference_title"/>
    <w:basedOn w:val="Normal"/>
    <w:uiPriority w:val="99"/>
    <w:rsid w:val="00347529"/>
    <w:pPr>
      <w:widowControl w:val="0"/>
      <w:tabs>
        <w:tab w:val="left" w:pos="2410"/>
      </w:tabs>
      <w:spacing w:after="240" w:line="240" w:lineRule="auto"/>
      <w:jc w:val="center"/>
    </w:pPr>
    <w:rPr>
      <w:rFonts w:ascii="Söhne Halbfett" w:hAnsi="Söhne Halbfett"/>
      <w:sz w:val="22"/>
    </w:rPr>
  </w:style>
  <w:style w:type="paragraph" w:customStyle="1" w:styleId="Chatperno">
    <w:name w:val="Chatper_no"/>
    <w:basedOn w:val="Normal"/>
    <w:uiPriority w:val="99"/>
    <w:rsid w:val="00347529"/>
    <w:pPr>
      <w:spacing w:after="240" w:line="240" w:lineRule="auto"/>
      <w:jc w:val="center"/>
    </w:pPr>
    <w:rPr>
      <w:rFonts w:ascii="Söhne Kräftig" w:hAnsi="Söhne Kräftig"/>
      <w:caps/>
      <w:spacing w:val="60"/>
      <w:sz w:val="24"/>
    </w:rPr>
  </w:style>
  <w:style w:type="paragraph" w:customStyle="1" w:styleId="Chaptertitle">
    <w:name w:val="Chapter_title"/>
    <w:basedOn w:val="Normal"/>
    <w:rsid w:val="00347529"/>
    <w:pPr>
      <w:pBdr>
        <w:bottom w:val="single" w:sz="6" w:space="10" w:color="auto"/>
      </w:pBdr>
      <w:spacing w:line="240" w:lineRule="auto"/>
      <w:jc w:val="center"/>
    </w:pPr>
    <w:rPr>
      <w:rFonts w:ascii="Söhne Halbfett" w:hAnsi="Söhne Halbfett"/>
      <w:caps/>
      <w:spacing w:val="40"/>
      <w:sz w:val="32"/>
    </w:rPr>
  </w:style>
  <w:style w:type="paragraph" w:customStyle="1" w:styleId="Summarytitle">
    <w:name w:val="Summary_title"/>
    <w:basedOn w:val="Normal"/>
    <w:uiPriority w:val="99"/>
    <w:rsid w:val="00347529"/>
    <w:pPr>
      <w:spacing w:before="1200" w:after="240" w:line="240" w:lineRule="auto"/>
      <w:jc w:val="center"/>
    </w:pPr>
    <w:rPr>
      <w:rFonts w:ascii="Söhne Halbfett" w:hAnsi="Söhne Halbfett"/>
      <w:bCs/>
      <w:caps/>
      <w:sz w:val="24"/>
      <w:szCs w:val="24"/>
    </w:rPr>
  </w:style>
  <w:style w:type="paragraph" w:customStyle="1" w:styleId="rtoiles">
    <w:name w:val="r_étoiles"/>
    <w:basedOn w:val="Normal"/>
    <w:next w:val="Normal"/>
    <w:uiPriority w:val="99"/>
    <w:rsid w:val="00347529"/>
    <w:pPr>
      <w:keepLines/>
      <w:tabs>
        <w:tab w:val="clear" w:pos="-720"/>
      </w:tabs>
      <w:spacing w:before="240" w:after="240" w:line="240" w:lineRule="atLeast"/>
      <w:jc w:val="center"/>
    </w:pPr>
    <w:rPr>
      <w:lang w:val="fr-FR"/>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CommentReference">
    <w:name w:val="annotation reference"/>
    <w:semiHidden/>
    <w:rsid w:val="002B147E"/>
    <w:rPr>
      <w:sz w:val="16"/>
      <w:szCs w:val="16"/>
    </w:rPr>
  </w:style>
  <w:style w:type="paragraph" w:styleId="CommentText">
    <w:name w:val="annotation text"/>
    <w:basedOn w:val="Normal"/>
    <w:semiHidden/>
    <w:rsid w:val="002B147E"/>
  </w:style>
  <w:style w:type="paragraph" w:styleId="CommentSubject">
    <w:name w:val="annotation subject"/>
    <w:basedOn w:val="CommentText"/>
    <w:next w:val="CommentText"/>
    <w:semiHidden/>
    <w:rsid w:val="002B147E"/>
    <w:rPr>
      <w:b/>
      <w:bCs/>
    </w:rPr>
  </w:style>
  <w:style w:type="character" w:styleId="PageNumber">
    <w:name w:val="page number"/>
    <w:basedOn w:val="DefaultParagraphFont"/>
    <w:rsid w:val="007458DB"/>
  </w:style>
  <w:style w:type="paragraph" w:customStyle="1" w:styleId="times">
    <w:name w:val="times"/>
    <w:basedOn w:val="Normal"/>
    <w:rsid w:val="00277C02"/>
    <w:pPr>
      <w:tabs>
        <w:tab w:val="clear" w:pos="-720"/>
      </w:tabs>
    </w:pPr>
    <w:rPr>
      <w:color w:val="000000"/>
      <w:sz w:val="28"/>
      <w:lang w:val="fr-FR"/>
    </w:rPr>
  </w:style>
  <w:style w:type="paragraph" w:customStyle="1" w:styleId="title1">
    <w:name w:val="title1"/>
    <w:basedOn w:val="Normal"/>
    <w:rsid w:val="00571CB5"/>
    <w:pPr>
      <w:tabs>
        <w:tab w:val="clear" w:pos="-720"/>
      </w:tabs>
      <w:spacing w:line="240" w:lineRule="auto"/>
      <w:jc w:val="left"/>
    </w:pPr>
    <w:rPr>
      <w:sz w:val="29"/>
      <w:szCs w:val="29"/>
      <w:lang w:val="fr-FR"/>
    </w:rPr>
  </w:style>
  <w:style w:type="paragraph" w:styleId="NormalWeb">
    <w:name w:val="Normal (Web)"/>
    <w:basedOn w:val="Normal"/>
    <w:rsid w:val="00BE19C3"/>
    <w:pPr>
      <w:tabs>
        <w:tab w:val="clear" w:pos="-720"/>
      </w:tabs>
      <w:spacing w:before="100" w:beforeAutospacing="1" w:after="100" w:afterAutospacing="1" w:line="240" w:lineRule="auto"/>
      <w:jc w:val="left"/>
    </w:pPr>
    <w:rPr>
      <w:rFonts w:ascii="Arial Unicode MS" w:eastAsia="Arial Unicode MS" w:hAnsi="Arial Unicode MS" w:cs="Arial Unicode MS"/>
      <w:sz w:val="24"/>
      <w:szCs w:val="24"/>
      <w:lang w:val="de-DE" w:eastAsia="de-DE"/>
    </w:rPr>
  </w:style>
  <w:style w:type="paragraph" w:styleId="ListParagraph">
    <w:name w:val="List Paragraph"/>
    <w:basedOn w:val="Normal"/>
    <w:uiPriority w:val="34"/>
    <w:qFormat/>
    <w:rsid w:val="004E4D57"/>
    <w:pPr>
      <w:ind w:left="708"/>
    </w:pPr>
  </w:style>
  <w:style w:type="character" w:customStyle="1" w:styleId="iCar1">
    <w:name w:val="i) Car1"/>
    <w:link w:val="i"/>
    <w:uiPriority w:val="99"/>
    <w:rsid w:val="005246B8"/>
    <w:rPr>
      <w:rFonts w:ascii="Söhne" w:eastAsiaTheme="minorEastAsia" w:hAnsi="Söhne" w:cs="Arial"/>
      <w:sz w:val="18"/>
      <w:szCs w:val="18"/>
      <w:lang w:eastAsia="en-US"/>
    </w:rPr>
  </w:style>
  <w:style w:type="character" w:customStyle="1" w:styleId="iparaCar">
    <w:name w:val="i_para Car"/>
    <w:link w:val="ipara"/>
    <w:rsid w:val="00C43B89"/>
  </w:style>
  <w:style w:type="paragraph" w:customStyle="1" w:styleId="Reflabnote">
    <w:name w:val="Ref_lab_note"/>
    <w:basedOn w:val="Normal"/>
    <w:link w:val="ReflabnoteCar"/>
    <w:rsid w:val="004E7E42"/>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basedOn w:val="DefaultParagraphFont"/>
    <w:link w:val="Reflabnote"/>
    <w:rsid w:val="004E7E42"/>
    <w:rPr>
      <w:rFonts w:ascii="Arial" w:hAnsi="Arial" w:cs="Arial"/>
      <w:sz w:val="18"/>
      <w:szCs w:val="18"/>
      <w:lang w:eastAsia="fr-FR"/>
    </w:rPr>
  </w:style>
  <w:style w:type="character" w:customStyle="1" w:styleId="HeaderChar">
    <w:name w:val="Header Char"/>
    <w:basedOn w:val="DefaultParagraphFont"/>
    <w:link w:val="Header"/>
    <w:uiPriority w:val="99"/>
    <w:rsid w:val="00347529"/>
    <w:rPr>
      <w:rFonts w:ascii="Söhne" w:eastAsiaTheme="minorEastAsia" w:hAnsi="Söhne"/>
      <w:i/>
      <w:sz w:val="16"/>
      <w:szCs w:val="22"/>
      <w:lang w:val="en-US" w:eastAsia="en-US"/>
    </w:rPr>
  </w:style>
  <w:style w:type="paragraph" w:customStyle="1" w:styleId="A1">
    <w:name w:val="A1"/>
    <w:basedOn w:val="Heading1"/>
    <w:qFormat/>
    <w:rsid w:val="005246B8"/>
    <w:pPr>
      <w:tabs>
        <w:tab w:val="clear" w:pos="-720"/>
      </w:tabs>
      <w:spacing w:before="0" w:after="240" w:line="240" w:lineRule="auto"/>
      <w:ind w:left="425" w:hanging="425"/>
      <w:jc w:val="left"/>
    </w:pPr>
    <w:rPr>
      <w:rFonts w:ascii="Ottawa" w:eastAsiaTheme="majorEastAsia" w:hAnsi="Ottawa"/>
      <w:sz w:val="22"/>
      <w:szCs w:val="28"/>
      <w:u w:val="none"/>
      <w:lang w:eastAsia="en-US"/>
    </w:rPr>
  </w:style>
  <w:style w:type="paragraph" w:customStyle="1" w:styleId="1Para">
    <w:name w:val="1_Para"/>
    <w:basedOn w:val="Normal"/>
    <w:uiPriority w:val="99"/>
    <w:rsid w:val="00347529"/>
    <w:pPr>
      <w:tabs>
        <w:tab w:val="clear" w:pos="-720"/>
      </w:tabs>
      <w:spacing w:after="240" w:line="240" w:lineRule="auto"/>
    </w:pPr>
    <w:rPr>
      <w:rFonts w:ascii="Söhne" w:eastAsiaTheme="minorEastAsia" w:hAnsi="Söhne" w:cs="Arial"/>
      <w:sz w:val="18"/>
      <w:szCs w:val="18"/>
      <w:lang w:eastAsia="en-US"/>
    </w:rPr>
  </w:style>
  <w:style w:type="paragraph" w:customStyle="1" w:styleId="11">
    <w:name w:val="1.1"/>
    <w:basedOn w:val="Normal"/>
    <w:uiPriority w:val="99"/>
    <w:rsid w:val="00347529"/>
    <w:pPr>
      <w:tabs>
        <w:tab w:val="clear" w:pos="-720"/>
      </w:tabs>
      <w:spacing w:after="240" w:line="240" w:lineRule="auto"/>
      <w:ind w:left="850" w:hanging="425"/>
      <w:jc w:val="left"/>
    </w:pPr>
    <w:rPr>
      <w:rFonts w:ascii="Söhne Halbfett" w:eastAsiaTheme="minorEastAsia" w:hAnsi="Söhne Halbfett" w:cs="Arial"/>
      <w:szCs w:val="22"/>
      <w:lang w:eastAsia="en-US"/>
    </w:rPr>
  </w:style>
  <w:style w:type="paragraph" w:customStyle="1" w:styleId="11Para">
    <w:name w:val="1.1_Para"/>
    <w:basedOn w:val="Normal"/>
    <w:uiPriority w:val="99"/>
    <w:rsid w:val="00347529"/>
    <w:pPr>
      <w:tabs>
        <w:tab w:val="clear" w:pos="-720"/>
      </w:tabs>
      <w:spacing w:after="240" w:line="240" w:lineRule="auto"/>
      <w:ind w:left="851"/>
    </w:pPr>
    <w:rPr>
      <w:rFonts w:ascii="Söhne" w:eastAsiaTheme="minorEastAsia" w:hAnsi="Söhne" w:cs="Arial"/>
      <w:sz w:val="18"/>
      <w:szCs w:val="18"/>
      <w:lang w:eastAsia="en-US"/>
    </w:rPr>
  </w:style>
  <w:style w:type="paragraph" w:customStyle="1" w:styleId="111">
    <w:name w:val="1.1.1"/>
    <w:basedOn w:val="Normal"/>
    <w:uiPriority w:val="99"/>
    <w:qFormat/>
    <w:rsid w:val="00347529"/>
    <w:pPr>
      <w:tabs>
        <w:tab w:val="clear" w:pos="-720"/>
      </w:tabs>
      <w:spacing w:after="120" w:line="240" w:lineRule="auto"/>
      <w:ind w:left="1418" w:hanging="567"/>
      <w:jc w:val="left"/>
    </w:pPr>
    <w:rPr>
      <w:rFonts w:ascii="Söhne Kräftig" w:eastAsiaTheme="minorEastAsia" w:hAnsi="Söhne Kräftig" w:cs="Arial"/>
      <w:sz w:val="19"/>
      <w:lang w:eastAsia="en-US"/>
    </w:rPr>
  </w:style>
  <w:style w:type="paragraph" w:customStyle="1" w:styleId="111Para">
    <w:name w:val="1.1.1_Para"/>
    <w:basedOn w:val="Normal"/>
    <w:qFormat/>
    <w:rsid w:val="00347529"/>
    <w:pPr>
      <w:tabs>
        <w:tab w:val="clear" w:pos="-720"/>
      </w:tabs>
      <w:spacing w:after="240" w:line="240" w:lineRule="auto"/>
      <w:ind w:left="1418"/>
    </w:pPr>
    <w:rPr>
      <w:rFonts w:ascii="Söhne" w:eastAsiaTheme="minorEastAsia" w:hAnsi="Söhne" w:cs="Arial"/>
      <w:sz w:val="18"/>
      <w:szCs w:val="18"/>
      <w:lang w:eastAsia="en-US"/>
    </w:rPr>
  </w:style>
  <w:style w:type="paragraph" w:customStyle="1" w:styleId="ilast">
    <w:name w:val="i)_last"/>
    <w:basedOn w:val="Normal"/>
    <w:uiPriority w:val="99"/>
    <w:rsid w:val="00347529"/>
    <w:pPr>
      <w:tabs>
        <w:tab w:val="clear" w:pos="-720"/>
      </w:tabs>
      <w:spacing w:after="240" w:line="240" w:lineRule="auto"/>
      <w:ind w:left="1843" w:hanging="425"/>
      <w:jc w:val="left"/>
    </w:pPr>
    <w:rPr>
      <w:rFonts w:ascii="Arial" w:eastAsiaTheme="minorEastAsia" w:hAnsi="Arial" w:cs="Arial"/>
      <w:sz w:val="18"/>
      <w:szCs w:val="18"/>
      <w:lang w:eastAsia="en-US"/>
    </w:rPr>
  </w:style>
  <w:style w:type="paragraph" w:customStyle="1" w:styleId="afourthlevel">
    <w:name w:val="a)_fourth_level"/>
    <w:basedOn w:val="Normal"/>
    <w:uiPriority w:val="99"/>
    <w:rsid w:val="00C649C9"/>
    <w:pPr>
      <w:tabs>
        <w:tab w:val="clear" w:pos="-720"/>
      </w:tabs>
      <w:spacing w:after="120" w:line="240" w:lineRule="auto"/>
      <w:ind w:left="2268" w:hanging="425"/>
      <w:jc w:val="left"/>
    </w:pPr>
    <w:rPr>
      <w:rFonts w:ascii="Söhne Kräftig" w:eastAsiaTheme="minorEastAsia" w:hAnsi="Söhne Kräftig" w:cs="Arial"/>
      <w:sz w:val="18"/>
      <w:lang w:eastAsia="en-US"/>
    </w:rPr>
  </w:style>
  <w:style w:type="paragraph" w:customStyle="1" w:styleId="afourthpara">
    <w:name w:val="a)_fourth_para"/>
    <w:basedOn w:val="Normal"/>
    <w:uiPriority w:val="99"/>
    <w:rsid w:val="00347529"/>
    <w:pPr>
      <w:tabs>
        <w:tab w:val="clear" w:pos="-720"/>
      </w:tabs>
      <w:spacing w:after="240" w:line="240" w:lineRule="auto"/>
      <w:ind w:left="1843"/>
    </w:pPr>
    <w:rPr>
      <w:rFonts w:ascii="Söhne" w:eastAsiaTheme="minorEastAsia" w:hAnsi="Söhne" w:cs="Arial"/>
      <w:sz w:val="18"/>
      <w:szCs w:val="18"/>
      <w:lang w:eastAsia="en-US"/>
    </w:rPr>
  </w:style>
  <w:style w:type="paragraph" w:customStyle="1" w:styleId="ififthlevel">
    <w:name w:val="i)_fifth_level"/>
    <w:basedOn w:val="Normal"/>
    <w:uiPriority w:val="99"/>
    <w:rsid w:val="006A07CA"/>
    <w:pPr>
      <w:tabs>
        <w:tab w:val="clear" w:pos="-720"/>
      </w:tabs>
      <w:spacing w:after="120" w:line="240" w:lineRule="auto"/>
      <w:ind w:left="2268" w:hanging="425"/>
      <w:jc w:val="left"/>
    </w:pPr>
    <w:rPr>
      <w:rFonts w:ascii="Söhne Kräftig" w:eastAsiaTheme="minorEastAsia" w:hAnsi="Söhne Kräftig" w:cs="Arial"/>
      <w:sz w:val="17"/>
      <w:szCs w:val="18"/>
      <w:lang w:eastAsia="en-US"/>
    </w:rPr>
  </w:style>
  <w:style w:type="paragraph" w:customStyle="1" w:styleId="ififthpara">
    <w:name w:val="i)_fifth_para"/>
    <w:basedOn w:val="Normal"/>
    <w:uiPriority w:val="99"/>
    <w:rsid w:val="00347529"/>
    <w:pPr>
      <w:tabs>
        <w:tab w:val="clear" w:pos="-720"/>
      </w:tabs>
      <w:spacing w:after="240" w:line="240" w:lineRule="auto"/>
      <w:ind w:left="1843"/>
    </w:pPr>
    <w:rPr>
      <w:rFonts w:ascii="Söhne" w:eastAsiaTheme="minorEastAsia" w:hAnsi="Söhne" w:cs="Arial"/>
      <w:sz w:val="18"/>
      <w:szCs w:val="18"/>
      <w:lang w:eastAsia="en-US"/>
    </w:rPr>
  </w:style>
  <w:style w:type="paragraph" w:customStyle="1" w:styleId="dotsixthlevel">
    <w:name w:val="dot_sixth_level"/>
    <w:basedOn w:val="Normal"/>
    <w:uiPriority w:val="99"/>
    <w:rsid w:val="00347529"/>
    <w:pPr>
      <w:tabs>
        <w:tab w:val="clear" w:pos="-720"/>
      </w:tabs>
      <w:spacing w:after="120" w:line="240" w:lineRule="auto"/>
      <w:ind w:left="2268" w:hanging="425"/>
    </w:pPr>
    <w:rPr>
      <w:rFonts w:ascii="Söhne" w:eastAsiaTheme="minorEastAsia" w:hAnsi="Söhne" w:cs="Arial"/>
      <w:sz w:val="18"/>
      <w:szCs w:val="18"/>
      <w:lang w:eastAsia="en-US"/>
    </w:rPr>
  </w:style>
  <w:style w:type="paragraph" w:customStyle="1" w:styleId="dotsixthpara">
    <w:name w:val="dot_sixth_para"/>
    <w:basedOn w:val="Normal"/>
    <w:uiPriority w:val="99"/>
    <w:rsid w:val="00DE460C"/>
    <w:pPr>
      <w:tabs>
        <w:tab w:val="clear" w:pos="-720"/>
      </w:tabs>
      <w:spacing w:after="240" w:line="240" w:lineRule="auto"/>
      <w:ind w:left="2693"/>
    </w:pPr>
    <w:rPr>
      <w:rFonts w:ascii="Söhne" w:eastAsiaTheme="minorEastAsia" w:hAnsi="Söhne" w:cs="Arial"/>
      <w:sz w:val="18"/>
      <w:szCs w:val="18"/>
      <w:lang w:eastAsia="en-US"/>
    </w:rPr>
  </w:style>
  <w:style w:type="paragraph" w:customStyle="1" w:styleId="ififthlevellist">
    <w:name w:val="i_fifth_level_list"/>
    <w:basedOn w:val="ififthpara"/>
    <w:uiPriority w:val="99"/>
    <w:rsid w:val="00C649C9"/>
    <w:pPr>
      <w:spacing w:after="120"/>
      <w:ind w:left="2693" w:hanging="425"/>
    </w:pPr>
  </w:style>
  <w:style w:type="paragraph" w:customStyle="1" w:styleId="11ilist">
    <w:name w:val="1.1.i_list"/>
    <w:basedOn w:val="ListParagraph"/>
    <w:uiPriority w:val="99"/>
    <w:rsid w:val="00347529"/>
    <w:pPr>
      <w:tabs>
        <w:tab w:val="clear" w:pos="-720"/>
        <w:tab w:val="left" w:pos="851"/>
      </w:tabs>
      <w:spacing w:after="120" w:line="240" w:lineRule="auto"/>
      <w:ind w:left="1276" w:hanging="425"/>
    </w:pPr>
    <w:rPr>
      <w:rFonts w:ascii="Söhne" w:eastAsiaTheme="minorEastAsia" w:hAnsi="Söhne" w:cs="Arial"/>
      <w:sz w:val="18"/>
      <w:szCs w:val="18"/>
      <w:lang w:eastAsia="en-US"/>
    </w:rPr>
  </w:style>
  <w:style w:type="paragraph" w:customStyle="1" w:styleId="11ipara">
    <w:name w:val="1.1.i_para"/>
    <w:basedOn w:val="11ilist"/>
    <w:qFormat/>
    <w:rsid w:val="001F6457"/>
    <w:pPr>
      <w:ind w:firstLine="0"/>
    </w:pPr>
  </w:style>
  <w:style w:type="paragraph" w:customStyle="1" w:styleId="TableHead">
    <w:name w:val="Table Head"/>
    <w:basedOn w:val="Normal"/>
    <w:uiPriority w:val="99"/>
    <w:rsid w:val="006E17A0"/>
    <w:pPr>
      <w:tabs>
        <w:tab w:val="clear" w:pos="-720"/>
      </w:tabs>
      <w:spacing w:before="120" w:after="120" w:line="240" w:lineRule="auto"/>
      <w:jc w:val="center"/>
    </w:pPr>
    <w:rPr>
      <w:rFonts w:ascii="Söhne Kräftig" w:hAnsi="Söhne Kräftig" w:cs="Ottawa"/>
      <w:b/>
      <w:bCs/>
      <w:sz w:val="18"/>
      <w:szCs w:val="18"/>
      <w:lang w:val="en-IE" w:eastAsia="en-US"/>
    </w:rPr>
  </w:style>
  <w:style w:type="paragraph" w:customStyle="1" w:styleId="Tabletext">
    <w:name w:val="Table text"/>
    <w:basedOn w:val="Normal"/>
    <w:uiPriority w:val="99"/>
    <w:rsid w:val="00E62644"/>
    <w:pPr>
      <w:tabs>
        <w:tab w:val="clear" w:pos="-720"/>
      </w:tabs>
      <w:spacing w:before="120" w:after="120" w:line="240" w:lineRule="auto"/>
      <w:jc w:val="center"/>
    </w:pPr>
    <w:rPr>
      <w:rFonts w:ascii="Arial" w:hAnsi="Arial" w:cs="Arial"/>
      <w:sz w:val="18"/>
      <w:szCs w:val="18"/>
      <w:lang w:val="en-IE" w:eastAsia="en-US"/>
    </w:rPr>
  </w:style>
  <w:style w:type="paragraph" w:customStyle="1" w:styleId="Tabletitle">
    <w:name w:val="Table title"/>
    <w:basedOn w:val="Normal"/>
    <w:autoRedefine/>
    <w:uiPriority w:val="99"/>
    <w:rsid w:val="002A10C6"/>
    <w:pPr>
      <w:tabs>
        <w:tab w:val="clear" w:pos="-720"/>
      </w:tabs>
      <w:spacing w:after="120" w:line="240" w:lineRule="auto"/>
      <w:ind w:left="624"/>
      <w:jc w:val="center"/>
    </w:pPr>
    <w:rPr>
      <w:rFonts w:ascii="Söhne Kräftig" w:hAnsi="Söhne Kräftig" w:cs="Ottawa"/>
      <w:b/>
      <w:bCs/>
      <w:i/>
      <w:iCs/>
      <w:sz w:val="18"/>
      <w:szCs w:val="18"/>
      <w:lang w:eastAsia="en-US"/>
    </w:rPr>
  </w:style>
  <w:style w:type="paragraph" w:styleId="PlainText">
    <w:name w:val="Plain Text"/>
    <w:basedOn w:val="Normal"/>
    <w:link w:val="PlainTextChar"/>
    <w:uiPriority w:val="99"/>
    <w:rsid w:val="00E62644"/>
    <w:pPr>
      <w:tabs>
        <w:tab w:val="clear" w:pos="-720"/>
      </w:tabs>
      <w:spacing w:line="240" w:lineRule="auto"/>
      <w:jc w:val="left"/>
    </w:pPr>
    <w:rPr>
      <w:rFonts w:ascii="Calibri" w:hAnsi="Calibri" w:cs="Calibri"/>
      <w:sz w:val="22"/>
      <w:szCs w:val="22"/>
      <w:lang w:eastAsia="en-US"/>
    </w:rPr>
  </w:style>
  <w:style w:type="character" w:customStyle="1" w:styleId="PlainTextChar">
    <w:name w:val="Plain Text Char"/>
    <w:basedOn w:val="DefaultParagraphFont"/>
    <w:link w:val="PlainText"/>
    <w:uiPriority w:val="99"/>
    <w:rsid w:val="00E62644"/>
    <w:rPr>
      <w:rFonts w:ascii="Calibri" w:hAnsi="Calibri" w:cs="Calibri"/>
      <w:sz w:val="22"/>
      <w:szCs w:val="22"/>
      <w:lang w:eastAsia="en-US"/>
    </w:rPr>
  </w:style>
  <w:style w:type="character" w:customStyle="1" w:styleId="FootnoteTextChar">
    <w:name w:val="Footnote Text Char"/>
    <w:basedOn w:val="DefaultParagraphFont"/>
    <w:link w:val="FootnoteText"/>
    <w:uiPriority w:val="99"/>
    <w:semiHidden/>
    <w:rsid w:val="00E62644"/>
    <w:rPr>
      <w:lang w:eastAsia="fr-FR"/>
    </w:rPr>
  </w:style>
  <w:style w:type="paragraph" w:customStyle="1" w:styleId="Default">
    <w:name w:val="Default"/>
    <w:rsid w:val="00C04B9C"/>
    <w:pPr>
      <w:autoSpaceDE w:val="0"/>
      <w:autoSpaceDN w:val="0"/>
      <w:adjustRightInd w:val="0"/>
    </w:pPr>
    <w:rPr>
      <w:color w:val="000000"/>
      <w:sz w:val="24"/>
      <w:szCs w:val="24"/>
      <w:lang w:val="fr-FR"/>
    </w:rPr>
  </w:style>
  <w:style w:type="paragraph" w:styleId="Revision">
    <w:name w:val="Revision"/>
    <w:hidden/>
    <w:uiPriority w:val="99"/>
    <w:semiHidden/>
    <w:rsid w:val="00A07665"/>
    <w:rPr>
      <w:lang w:eastAsia="fr-FR"/>
    </w:rPr>
  </w:style>
  <w:style w:type="paragraph" w:customStyle="1" w:styleId="dotseventhlevelpara">
    <w:name w:val="dot_seventh_level_para"/>
    <w:basedOn w:val="dotsixthpara"/>
    <w:qFormat/>
    <w:rsid w:val="006D14B0"/>
  </w:style>
  <w:style w:type="table" w:styleId="TableGrid">
    <w:name w:val="Table Grid"/>
    <w:basedOn w:val="TableNormal"/>
    <w:uiPriority w:val="59"/>
    <w:rsid w:val="006D14B0"/>
    <w:pPr>
      <w:tabs>
        <w:tab w:val="left" w:pos="-720"/>
      </w:tabs>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seventhlevellist">
    <w:name w:val="dot_seventh_level_list"/>
    <w:basedOn w:val="dotseventhlevelpara"/>
    <w:qFormat/>
    <w:rsid w:val="003C52D3"/>
    <w:pPr>
      <w:ind w:left="3118" w:hanging="425"/>
    </w:pPr>
  </w:style>
  <w:style w:type="paragraph" w:customStyle="1" w:styleId="doteighthlevelpara">
    <w:name w:val="dot_eighth_level_para"/>
    <w:basedOn w:val="dotsixthpara"/>
    <w:qFormat/>
    <w:rsid w:val="003C52D3"/>
    <w:pPr>
      <w:ind w:left="3119"/>
    </w:pPr>
  </w:style>
  <w:style w:type="paragraph" w:customStyle="1" w:styleId="111ilist">
    <w:name w:val="1.1.1i_list"/>
    <w:basedOn w:val="11ilist"/>
    <w:qFormat/>
    <w:rsid w:val="005B0077"/>
    <w:pPr>
      <w:ind w:left="1843"/>
    </w:pPr>
  </w:style>
  <w:style w:type="paragraph" w:customStyle="1" w:styleId="StyleRefPetitesmajuscules">
    <w:name w:val="Style Ref. + Petites majuscules"/>
    <w:basedOn w:val="Ref"/>
    <w:rsid w:val="005B0077"/>
    <w:rPr>
      <w:smallCaps/>
    </w:rPr>
  </w:style>
  <w:style w:type="paragraph" w:customStyle="1" w:styleId="StyleRefPetitesmajuscules1">
    <w:name w:val="Style Ref. + Petites majuscules1"/>
    <w:basedOn w:val="Ref"/>
    <w:rsid w:val="005B0077"/>
    <w:rPr>
      <w:smallCaps/>
    </w:rPr>
  </w:style>
  <w:style w:type="paragraph" w:customStyle="1" w:styleId="StyleReflabnoteGras">
    <w:name w:val="Style Ref_lab_note + Gras"/>
    <w:basedOn w:val="Reflabnote"/>
    <w:rsid w:val="005B0077"/>
    <w:rPr>
      <w:b/>
      <w:bCs/>
    </w:rPr>
  </w:style>
  <w:style w:type="paragraph" w:customStyle="1" w:styleId="desc">
    <w:name w:val="desc"/>
    <w:basedOn w:val="Normal"/>
    <w:rsid w:val="005B0077"/>
    <w:pPr>
      <w:tabs>
        <w:tab w:val="clear" w:pos="-720"/>
      </w:tabs>
      <w:spacing w:before="100" w:beforeAutospacing="1" w:after="100" w:afterAutospacing="1" w:line="240" w:lineRule="auto"/>
      <w:jc w:val="left"/>
    </w:pPr>
    <w:rPr>
      <w:sz w:val="24"/>
      <w:szCs w:val="24"/>
      <w:lang w:eastAsia="en-GB"/>
    </w:rPr>
  </w:style>
  <w:style w:type="character" w:customStyle="1" w:styleId="jrnl">
    <w:name w:val="jrnl"/>
    <w:basedOn w:val="DefaultParagraphFont"/>
    <w:rsid w:val="005B0077"/>
  </w:style>
  <w:style w:type="character" w:styleId="FollowedHyperlink">
    <w:name w:val="FollowedHyperlink"/>
    <w:basedOn w:val="DefaultParagraphFont"/>
    <w:semiHidden/>
    <w:unhideWhenUsed/>
    <w:rsid w:val="00312935"/>
    <w:rPr>
      <w:color w:val="800080" w:themeColor="followedHyperlink"/>
      <w:u w:val="single"/>
    </w:rPr>
  </w:style>
  <w:style w:type="character" w:styleId="UnresolvedMention">
    <w:name w:val="Unresolved Mention"/>
    <w:basedOn w:val="DefaultParagraphFont"/>
    <w:uiPriority w:val="99"/>
    <w:semiHidden/>
    <w:unhideWhenUsed/>
    <w:rsid w:val="00B420CA"/>
    <w:rPr>
      <w:color w:val="605E5C"/>
      <w:shd w:val="clear" w:color="auto" w:fill="E1DFDD"/>
    </w:rPr>
  </w:style>
  <w:style w:type="paragraph" w:customStyle="1" w:styleId="1111">
    <w:name w:val="1.1.1.1"/>
    <w:basedOn w:val="Normal"/>
    <w:uiPriority w:val="99"/>
    <w:qFormat/>
    <w:rsid w:val="00347529"/>
    <w:pPr>
      <w:tabs>
        <w:tab w:val="clear" w:pos="-720"/>
      </w:tabs>
      <w:spacing w:after="120" w:line="240" w:lineRule="auto"/>
      <w:ind w:left="1843" w:hanging="425"/>
      <w:jc w:val="left"/>
    </w:pPr>
    <w:rPr>
      <w:rFonts w:ascii="Söhne Kräftig" w:eastAsiaTheme="minorEastAsia" w:hAnsi="Söhne Kräftig" w:cs="Arial"/>
      <w:sz w:val="18"/>
      <w:szCs w:val="18"/>
      <w:lang w:eastAsia="en-US"/>
    </w:rPr>
  </w:style>
  <w:style w:type="paragraph" w:customStyle="1" w:styleId="11111">
    <w:name w:val="1.1.1.1.1"/>
    <w:basedOn w:val="Normal"/>
    <w:uiPriority w:val="99"/>
    <w:rsid w:val="00347529"/>
    <w:pPr>
      <w:tabs>
        <w:tab w:val="clear" w:pos="-720"/>
      </w:tabs>
      <w:spacing w:after="120" w:line="240" w:lineRule="auto"/>
      <w:ind w:left="1588"/>
      <w:jc w:val="left"/>
    </w:pPr>
    <w:rPr>
      <w:rFonts w:ascii="Söhne" w:eastAsiaTheme="minorEastAsia" w:hAnsi="Söhne" w:cs="Arial"/>
      <w:sz w:val="18"/>
      <w:szCs w:val="18"/>
      <w:lang w:eastAsia="en-US"/>
    </w:rPr>
  </w:style>
  <w:style w:type="character" w:customStyle="1" w:styleId="FooterChar">
    <w:name w:val="Footer Char"/>
    <w:basedOn w:val="DefaultParagraphFont"/>
    <w:link w:val="Footer"/>
    <w:uiPriority w:val="99"/>
    <w:rsid w:val="00347529"/>
    <w:rPr>
      <w:rFonts w:ascii="Söhne" w:eastAsiaTheme="minorEastAsia" w:hAnsi="Söhne"/>
      <w:sz w:val="16"/>
      <w:szCs w:val="22"/>
      <w:lang w:val="en-US" w:eastAsia="en-US"/>
    </w:rPr>
  </w:style>
  <w:style w:type="character" w:customStyle="1" w:styleId="paraACar">
    <w:name w:val="paraA Car"/>
    <w:link w:val="paraA0"/>
    <w:uiPriority w:val="99"/>
    <w:locked/>
    <w:rsid w:val="00347529"/>
    <w:rPr>
      <w:rFonts w:ascii="Söhne" w:hAnsi="Söhne"/>
      <w:sz w:val="18"/>
      <w:szCs w:val="18"/>
      <w:lang w:eastAsia="fr-FR"/>
    </w:rPr>
  </w:style>
  <w:style w:type="paragraph" w:customStyle="1" w:styleId="rfrences">
    <w:name w:val="références"/>
    <w:basedOn w:val="Normal"/>
    <w:link w:val="rfrencesChar"/>
    <w:rsid w:val="00347529"/>
    <w:pPr>
      <w:tabs>
        <w:tab w:val="clear" w:pos="-720"/>
      </w:tabs>
      <w:spacing w:after="240" w:line="240" w:lineRule="auto"/>
    </w:pPr>
    <w:rPr>
      <w:rFonts w:ascii="Söhne" w:hAnsi="Söhne"/>
      <w:sz w:val="18"/>
      <w:szCs w:val="22"/>
      <w:lang w:val="fr-FR" w:bidi="en-US"/>
    </w:rPr>
  </w:style>
  <w:style w:type="character" w:customStyle="1" w:styleId="rfrencesChar">
    <w:name w:val="références Char"/>
    <w:link w:val="rfrences"/>
    <w:rsid w:val="00347529"/>
    <w:rPr>
      <w:rFonts w:ascii="Söhne" w:hAnsi="Söhne"/>
      <w:sz w:val="18"/>
      <w:szCs w:val="22"/>
      <w:lang w:val="fr-FR" w:eastAsia="fr-FR" w:bidi="en-US"/>
    </w:rPr>
  </w:style>
  <w:style w:type="paragraph" w:customStyle="1" w:styleId="dot-seven-level-para">
    <w:name w:val="dot-seven-level-para"/>
    <w:basedOn w:val="dot-sixthlevellist"/>
    <w:qFormat/>
    <w:rsid w:val="00DE460C"/>
    <w:pPr>
      <w:ind w:left="3118"/>
    </w:pPr>
  </w:style>
  <w:style w:type="paragraph" w:customStyle="1" w:styleId="pf0">
    <w:name w:val="pf0"/>
    <w:basedOn w:val="Normal"/>
    <w:rsid w:val="00BA552C"/>
    <w:pPr>
      <w:tabs>
        <w:tab w:val="clear" w:pos="-720"/>
      </w:tabs>
      <w:spacing w:before="100" w:beforeAutospacing="1" w:after="100" w:afterAutospacing="1" w:line="240" w:lineRule="auto"/>
      <w:jc w:val="left"/>
    </w:pPr>
    <w:rPr>
      <w:sz w:val="24"/>
      <w:szCs w:val="24"/>
      <w:lang w:val="en-IE" w:eastAsia="en-IE"/>
    </w:rPr>
  </w:style>
  <w:style w:type="character" w:customStyle="1" w:styleId="cf01">
    <w:name w:val="cf01"/>
    <w:basedOn w:val="DefaultParagraphFont"/>
    <w:rsid w:val="00BA552C"/>
    <w:rPr>
      <w:rFonts w:ascii="Segoe UI" w:hAnsi="Segoe UI" w:cs="Segoe UI" w:hint="default"/>
      <w:sz w:val="18"/>
      <w:szCs w:val="18"/>
    </w:rPr>
  </w:style>
  <w:style w:type="character" w:customStyle="1" w:styleId="Heading1Char">
    <w:name w:val="Heading 1 Char"/>
    <w:basedOn w:val="DefaultParagraphFont"/>
    <w:link w:val="Heading1"/>
    <w:uiPriority w:val="99"/>
    <w:rsid w:val="00EF173A"/>
    <w:rPr>
      <w:rFonts w:ascii="Arial" w:hAnsi="Arial" w:cs="Arial"/>
      <w:b/>
      <w:bCs/>
      <w:sz w:val="24"/>
      <w:szCs w:val="24"/>
      <w:u w:val="single"/>
      <w:lang w:eastAsia="fr-FR"/>
    </w:rPr>
  </w:style>
  <w:style w:type="paragraph" w:styleId="BodyText">
    <w:name w:val="Body Text"/>
    <w:basedOn w:val="Normal"/>
    <w:link w:val="BodyTextChar"/>
    <w:uiPriority w:val="99"/>
    <w:rsid w:val="00EF173A"/>
    <w:pPr>
      <w:spacing w:after="120"/>
    </w:pPr>
  </w:style>
  <w:style w:type="character" w:customStyle="1" w:styleId="BodyTextChar">
    <w:name w:val="Body Text Char"/>
    <w:basedOn w:val="DefaultParagraphFont"/>
    <w:link w:val="BodyText"/>
    <w:uiPriority w:val="99"/>
    <w:rsid w:val="00EF173A"/>
    <w:rPr>
      <w:lang w:eastAsia="fr-FR"/>
    </w:rPr>
  </w:style>
  <w:style w:type="character" w:customStyle="1" w:styleId="Heading6Char">
    <w:name w:val="Heading 6 Char"/>
    <w:basedOn w:val="DefaultParagraphFont"/>
    <w:link w:val="Heading6"/>
    <w:rsid w:val="00757128"/>
    <w:rPr>
      <w:u w:val="single"/>
      <w:lang w:eastAsia="fr-FR"/>
    </w:rPr>
  </w:style>
  <w:style w:type="character" w:customStyle="1" w:styleId="contentpasted1">
    <w:name w:val="contentpasted1"/>
    <w:basedOn w:val="DefaultParagraphFont"/>
    <w:rsid w:val="001F0A3E"/>
  </w:style>
  <w:style w:type="character" w:customStyle="1" w:styleId="contentpasted0">
    <w:name w:val="contentpasted0"/>
    <w:basedOn w:val="DefaultParagraphFont"/>
    <w:rsid w:val="001F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330">
      <w:bodyDiv w:val="1"/>
      <w:marLeft w:val="0"/>
      <w:marRight w:val="0"/>
      <w:marTop w:val="0"/>
      <w:marBottom w:val="0"/>
      <w:divBdr>
        <w:top w:val="none" w:sz="0" w:space="0" w:color="auto"/>
        <w:left w:val="none" w:sz="0" w:space="0" w:color="auto"/>
        <w:bottom w:val="none" w:sz="0" w:space="0" w:color="auto"/>
        <w:right w:val="none" w:sz="0" w:space="0" w:color="auto"/>
      </w:divBdr>
    </w:div>
    <w:div w:id="356659186">
      <w:bodyDiv w:val="1"/>
      <w:marLeft w:val="0"/>
      <w:marRight w:val="0"/>
      <w:marTop w:val="0"/>
      <w:marBottom w:val="0"/>
      <w:divBdr>
        <w:top w:val="none" w:sz="0" w:space="0" w:color="auto"/>
        <w:left w:val="none" w:sz="0" w:space="0" w:color="auto"/>
        <w:bottom w:val="none" w:sz="0" w:space="0" w:color="auto"/>
        <w:right w:val="none" w:sz="0" w:space="0" w:color="auto"/>
      </w:divBdr>
    </w:div>
    <w:div w:id="393042593">
      <w:bodyDiv w:val="1"/>
      <w:marLeft w:val="0"/>
      <w:marRight w:val="0"/>
      <w:marTop w:val="0"/>
      <w:marBottom w:val="0"/>
      <w:divBdr>
        <w:top w:val="none" w:sz="0" w:space="0" w:color="auto"/>
        <w:left w:val="none" w:sz="0" w:space="0" w:color="auto"/>
        <w:bottom w:val="none" w:sz="0" w:space="0" w:color="auto"/>
        <w:right w:val="none" w:sz="0" w:space="0" w:color="auto"/>
      </w:divBdr>
    </w:div>
    <w:div w:id="534079676">
      <w:bodyDiv w:val="1"/>
      <w:marLeft w:val="0"/>
      <w:marRight w:val="0"/>
      <w:marTop w:val="0"/>
      <w:marBottom w:val="0"/>
      <w:divBdr>
        <w:top w:val="none" w:sz="0" w:space="0" w:color="auto"/>
        <w:left w:val="none" w:sz="0" w:space="0" w:color="auto"/>
        <w:bottom w:val="none" w:sz="0" w:space="0" w:color="auto"/>
        <w:right w:val="none" w:sz="0" w:space="0" w:color="auto"/>
      </w:divBdr>
    </w:div>
    <w:div w:id="657613252">
      <w:bodyDiv w:val="1"/>
      <w:marLeft w:val="0"/>
      <w:marRight w:val="0"/>
      <w:marTop w:val="0"/>
      <w:marBottom w:val="0"/>
      <w:divBdr>
        <w:top w:val="none" w:sz="0" w:space="0" w:color="auto"/>
        <w:left w:val="none" w:sz="0" w:space="0" w:color="auto"/>
        <w:bottom w:val="none" w:sz="0" w:space="0" w:color="auto"/>
        <w:right w:val="none" w:sz="0" w:space="0" w:color="auto"/>
      </w:divBdr>
      <w:divsChild>
        <w:div w:id="13725424">
          <w:marLeft w:val="0"/>
          <w:marRight w:val="0"/>
          <w:marTop w:val="0"/>
          <w:marBottom w:val="0"/>
          <w:divBdr>
            <w:top w:val="none" w:sz="0" w:space="0" w:color="auto"/>
            <w:left w:val="none" w:sz="0" w:space="0" w:color="auto"/>
            <w:bottom w:val="none" w:sz="0" w:space="0" w:color="auto"/>
            <w:right w:val="none" w:sz="0" w:space="0" w:color="auto"/>
          </w:divBdr>
          <w:divsChild>
            <w:div w:id="116292396">
              <w:marLeft w:val="0"/>
              <w:marRight w:val="0"/>
              <w:marTop w:val="0"/>
              <w:marBottom w:val="0"/>
              <w:divBdr>
                <w:top w:val="none" w:sz="0" w:space="0" w:color="auto"/>
                <w:left w:val="none" w:sz="0" w:space="0" w:color="auto"/>
                <w:bottom w:val="none" w:sz="0" w:space="0" w:color="auto"/>
                <w:right w:val="none" w:sz="0" w:space="0" w:color="auto"/>
              </w:divBdr>
              <w:divsChild>
                <w:div w:id="1685549484">
                  <w:marLeft w:val="0"/>
                  <w:marRight w:val="-6084"/>
                  <w:marTop w:val="0"/>
                  <w:marBottom w:val="0"/>
                  <w:divBdr>
                    <w:top w:val="none" w:sz="0" w:space="0" w:color="auto"/>
                    <w:left w:val="none" w:sz="0" w:space="0" w:color="auto"/>
                    <w:bottom w:val="none" w:sz="0" w:space="0" w:color="auto"/>
                    <w:right w:val="none" w:sz="0" w:space="0" w:color="auto"/>
                  </w:divBdr>
                  <w:divsChild>
                    <w:div w:id="1042245115">
                      <w:marLeft w:val="0"/>
                      <w:marRight w:val="5604"/>
                      <w:marTop w:val="0"/>
                      <w:marBottom w:val="0"/>
                      <w:divBdr>
                        <w:top w:val="none" w:sz="0" w:space="0" w:color="auto"/>
                        <w:left w:val="none" w:sz="0" w:space="0" w:color="auto"/>
                        <w:bottom w:val="none" w:sz="0" w:space="0" w:color="auto"/>
                        <w:right w:val="none" w:sz="0" w:space="0" w:color="auto"/>
                      </w:divBdr>
                      <w:divsChild>
                        <w:div w:id="1859157379">
                          <w:marLeft w:val="0"/>
                          <w:marRight w:val="0"/>
                          <w:marTop w:val="0"/>
                          <w:marBottom w:val="0"/>
                          <w:divBdr>
                            <w:top w:val="none" w:sz="0" w:space="0" w:color="auto"/>
                            <w:left w:val="none" w:sz="0" w:space="0" w:color="auto"/>
                            <w:bottom w:val="none" w:sz="0" w:space="0" w:color="auto"/>
                            <w:right w:val="none" w:sz="0" w:space="0" w:color="auto"/>
                          </w:divBdr>
                          <w:divsChild>
                            <w:div w:id="1422339992">
                              <w:marLeft w:val="0"/>
                              <w:marRight w:val="0"/>
                              <w:marTop w:val="120"/>
                              <w:marBottom w:val="360"/>
                              <w:divBdr>
                                <w:top w:val="none" w:sz="0" w:space="0" w:color="auto"/>
                                <w:left w:val="none" w:sz="0" w:space="0" w:color="auto"/>
                                <w:bottom w:val="none" w:sz="0" w:space="0" w:color="auto"/>
                                <w:right w:val="none" w:sz="0" w:space="0" w:color="auto"/>
                              </w:divBdr>
                              <w:divsChild>
                                <w:div w:id="1248806852">
                                  <w:marLeft w:val="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161718">
      <w:bodyDiv w:val="1"/>
      <w:marLeft w:val="0"/>
      <w:marRight w:val="0"/>
      <w:marTop w:val="0"/>
      <w:marBottom w:val="0"/>
      <w:divBdr>
        <w:top w:val="none" w:sz="0" w:space="0" w:color="auto"/>
        <w:left w:val="none" w:sz="0" w:space="0" w:color="auto"/>
        <w:bottom w:val="none" w:sz="0" w:space="0" w:color="auto"/>
        <w:right w:val="none" w:sz="0" w:space="0" w:color="auto"/>
      </w:divBdr>
    </w:div>
    <w:div w:id="734746579">
      <w:bodyDiv w:val="1"/>
      <w:marLeft w:val="0"/>
      <w:marRight w:val="0"/>
      <w:marTop w:val="0"/>
      <w:marBottom w:val="0"/>
      <w:divBdr>
        <w:top w:val="none" w:sz="0" w:space="0" w:color="auto"/>
        <w:left w:val="none" w:sz="0" w:space="0" w:color="auto"/>
        <w:bottom w:val="none" w:sz="0" w:space="0" w:color="auto"/>
        <w:right w:val="none" w:sz="0" w:space="0" w:color="auto"/>
      </w:divBdr>
      <w:divsChild>
        <w:div w:id="31275767">
          <w:marLeft w:val="0"/>
          <w:marRight w:val="0"/>
          <w:marTop w:val="0"/>
          <w:marBottom w:val="0"/>
          <w:divBdr>
            <w:top w:val="none" w:sz="0" w:space="0" w:color="auto"/>
            <w:left w:val="none" w:sz="0" w:space="0" w:color="auto"/>
            <w:bottom w:val="none" w:sz="0" w:space="0" w:color="auto"/>
            <w:right w:val="none" w:sz="0" w:space="0" w:color="auto"/>
          </w:divBdr>
          <w:divsChild>
            <w:div w:id="1110974593">
              <w:marLeft w:val="0"/>
              <w:marRight w:val="0"/>
              <w:marTop w:val="0"/>
              <w:marBottom w:val="0"/>
              <w:divBdr>
                <w:top w:val="none" w:sz="0" w:space="0" w:color="auto"/>
                <w:left w:val="none" w:sz="0" w:space="0" w:color="auto"/>
                <w:bottom w:val="none" w:sz="0" w:space="0" w:color="auto"/>
                <w:right w:val="none" w:sz="0" w:space="0" w:color="auto"/>
              </w:divBdr>
              <w:divsChild>
                <w:div w:id="1285574126">
                  <w:marLeft w:val="0"/>
                  <w:marRight w:val="-6084"/>
                  <w:marTop w:val="0"/>
                  <w:marBottom w:val="0"/>
                  <w:divBdr>
                    <w:top w:val="none" w:sz="0" w:space="0" w:color="auto"/>
                    <w:left w:val="none" w:sz="0" w:space="0" w:color="auto"/>
                    <w:bottom w:val="none" w:sz="0" w:space="0" w:color="auto"/>
                    <w:right w:val="none" w:sz="0" w:space="0" w:color="auto"/>
                  </w:divBdr>
                  <w:divsChild>
                    <w:div w:id="2140298729">
                      <w:marLeft w:val="0"/>
                      <w:marRight w:val="5604"/>
                      <w:marTop w:val="0"/>
                      <w:marBottom w:val="0"/>
                      <w:divBdr>
                        <w:top w:val="none" w:sz="0" w:space="0" w:color="auto"/>
                        <w:left w:val="none" w:sz="0" w:space="0" w:color="auto"/>
                        <w:bottom w:val="none" w:sz="0" w:space="0" w:color="auto"/>
                        <w:right w:val="none" w:sz="0" w:space="0" w:color="auto"/>
                      </w:divBdr>
                      <w:divsChild>
                        <w:div w:id="1298030739">
                          <w:marLeft w:val="0"/>
                          <w:marRight w:val="0"/>
                          <w:marTop w:val="0"/>
                          <w:marBottom w:val="0"/>
                          <w:divBdr>
                            <w:top w:val="none" w:sz="0" w:space="0" w:color="auto"/>
                            <w:left w:val="none" w:sz="0" w:space="0" w:color="auto"/>
                            <w:bottom w:val="none" w:sz="0" w:space="0" w:color="auto"/>
                            <w:right w:val="none" w:sz="0" w:space="0" w:color="auto"/>
                          </w:divBdr>
                          <w:divsChild>
                            <w:div w:id="1389576796">
                              <w:marLeft w:val="0"/>
                              <w:marRight w:val="0"/>
                              <w:marTop w:val="120"/>
                              <w:marBottom w:val="360"/>
                              <w:divBdr>
                                <w:top w:val="none" w:sz="0" w:space="0" w:color="auto"/>
                                <w:left w:val="none" w:sz="0" w:space="0" w:color="auto"/>
                                <w:bottom w:val="none" w:sz="0" w:space="0" w:color="auto"/>
                                <w:right w:val="none" w:sz="0" w:space="0" w:color="auto"/>
                              </w:divBdr>
                              <w:divsChild>
                                <w:div w:id="799616492">
                                  <w:marLeft w:val="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014720">
      <w:bodyDiv w:val="1"/>
      <w:marLeft w:val="0"/>
      <w:marRight w:val="0"/>
      <w:marTop w:val="0"/>
      <w:marBottom w:val="0"/>
      <w:divBdr>
        <w:top w:val="none" w:sz="0" w:space="0" w:color="auto"/>
        <w:left w:val="none" w:sz="0" w:space="0" w:color="auto"/>
        <w:bottom w:val="none" w:sz="0" w:space="0" w:color="auto"/>
        <w:right w:val="none" w:sz="0" w:space="0" w:color="auto"/>
      </w:divBdr>
    </w:div>
    <w:div w:id="1123891037">
      <w:bodyDiv w:val="1"/>
      <w:marLeft w:val="0"/>
      <w:marRight w:val="0"/>
      <w:marTop w:val="0"/>
      <w:marBottom w:val="0"/>
      <w:divBdr>
        <w:top w:val="none" w:sz="0" w:space="0" w:color="auto"/>
        <w:left w:val="none" w:sz="0" w:space="0" w:color="auto"/>
        <w:bottom w:val="none" w:sz="0" w:space="0" w:color="auto"/>
        <w:right w:val="none" w:sz="0" w:space="0" w:color="auto"/>
      </w:divBdr>
      <w:divsChild>
        <w:div w:id="616176750">
          <w:marLeft w:val="0"/>
          <w:marRight w:val="0"/>
          <w:marTop w:val="0"/>
          <w:marBottom w:val="0"/>
          <w:divBdr>
            <w:top w:val="none" w:sz="0" w:space="0" w:color="auto"/>
            <w:left w:val="none" w:sz="0" w:space="0" w:color="auto"/>
            <w:bottom w:val="none" w:sz="0" w:space="0" w:color="auto"/>
            <w:right w:val="none" w:sz="0" w:space="0" w:color="auto"/>
          </w:divBdr>
          <w:divsChild>
            <w:div w:id="1541162460">
              <w:marLeft w:val="0"/>
              <w:marRight w:val="0"/>
              <w:marTop w:val="0"/>
              <w:marBottom w:val="0"/>
              <w:divBdr>
                <w:top w:val="none" w:sz="0" w:space="0" w:color="auto"/>
                <w:left w:val="none" w:sz="0" w:space="0" w:color="auto"/>
                <w:bottom w:val="none" w:sz="0" w:space="0" w:color="auto"/>
                <w:right w:val="none" w:sz="0" w:space="0" w:color="auto"/>
              </w:divBdr>
              <w:divsChild>
                <w:div w:id="752122754">
                  <w:marLeft w:val="0"/>
                  <w:marRight w:val="-6084"/>
                  <w:marTop w:val="0"/>
                  <w:marBottom w:val="0"/>
                  <w:divBdr>
                    <w:top w:val="none" w:sz="0" w:space="0" w:color="auto"/>
                    <w:left w:val="none" w:sz="0" w:space="0" w:color="auto"/>
                    <w:bottom w:val="none" w:sz="0" w:space="0" w:color="auto"/>
                    <w:right w:val="none" w:sz="0" w:space="0" w:color="auto"/>
                  </w:divBdr>
                  <w:divsChild>
                    <w:div w:id="2096629104">
                      <w:marLeft w:val="0"/>
                      <w:marRight w:val="5604"/>
                      <w:marTop w:val="0"/>
                      <w:marBottom w:val="0"/>
                      <w:divBdr>
                        <w:top w:val="none" w:sz="0" w:space="0" w:color="auto"/>
                        <w:left w:val="none" w:sz="0" w:space="0" w:color="auto"/>
                        <w:bottom w:val="none" w:sz="0" w:space="0" w:color="auto"/>
                        <w:right w:val="none" w:sz="0" w:space="0" w:color="auto"/>
                      </w:divBdr>
                      <w:divsChild>
                        <w:div w:id="405956175">
                          <w:marLeft w:val="0"/>
                          <w:marRight w:val="0"/>
                          <w:marTop w:val="0"/>
                          <w:marBottom w:val="0"/>
                          <w:divBdr>
                            <w:top w:val="none" w:sz="0" w:space="0" w:color="auto"/>
                            <w:left w:val="none" w:sz="0" w:space="0" w:color="auto"/>
                            <w:bottom w:val="none" w:sz="0" w:space="0" w:color="auto"/>
                            <w:right w:val="none" w:sz="0" w:space="0" w:color="auto"/>
                          </w:divBdr>
                          <w:divsChild>
                            <w:div w:id="913202226">
                              <w:marLeft w:val="0"/>
                              <w:marRight w:val="0"/>
                              <w:marTop w:val="120"/>
                              <w:marBottom w:val="360"/>
                              <w:divBdr>
                                <w:top w:val="none" w:sz="0" w:space="0" w:color="auto"/>
                                <w:left w:val="none" w:sz="0" w:space="0" w:color="auto"/>
                                <w:bottom w:val="none" w:sz="0" w:space="0" w:color="auto"/>
                                <w:right w:val="none" w:sz="0" w:space="0" w:color="auto"/>
                              </w:divBdr>
                              <w:divsChild>
                                <w:div w:id="775054284">
                                  <w:marLeft w:val="3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427134">
      <w:bodyDiv w:val="1"/>
      <w:marLeft w:val="0"/>
      <w:marRight w:val="0"/>
      <w:marTop w:val="0"/>
      <w:marBottom w:val="0"/>
      <w:divBdr>
        <w:top w:val="none" w:sz="0" w:space="0" w:color="auto"/>
        <w:left w:val="none" w:sz="0" w:space="0" w:color="auto"/>
        <w:bottom w:val="none" w:sz="0" w:space="0" w:color="auto"/>
        <w:right w:val="none" w:sz="0" w:space="0" w:color="auto"/>
      </w:divBdr>
    </w:div>
    <w:div w:id="1404597677">
      <w:bodyDiv w:val="1"/>
      <w:marLeft w:val="0"/>
      <w:marRight w:val="0"/>
      <w:marTop w:val="0"/>
      <w:marBottom w:val="0"/>
      <w:divBdr>
        <w:top w:val="none" w:sz="0" w:space="0" w:color="auto"/>
        <w:left w:val="none" w:sz="0" w:space="0" w:color="auto"/>
        <w:bottom w:val="none" w:sz="0" w:space="0" w:color="auto"/>
        <w:right w:val="none" w:sz="0" w:space="0" w:color="auto"/>
      </w:divBdr>
      <w:divsChild>
        <w:div w:id="526255397">
          <w:marLeft w:val="0"/>
          <w:marRight w:val="0"/>
          <w:marTop w:val="0"/>
          <w:marBottom w:val="0"/>
          <w:divBdr>
            <w:top w:val="none" w:sz="0" w:space="0" w:color="auto"/>
            <w:left w:val="none" w:sz="0" w:space="0" w:color="auto"/>
            <w:bottom w:val="none" w:sz="0" w:space="0" w:color="auto"/>
            <w:right w:val="none" w:sz="0" w:space="0" w:color="auto"/>
          </w:divBdr>
          <w:divsChild>
            <w:div w:id="766584021">
              <w:marLeft w:val="0"/>
              <w:marRight w:val="0"/>
              <w:marTop w:val="0"/>
              <w:marBottom w:val="0"/>
              <w:divBdr>
                <w:top w:val="none" w:sz="0" w:space="0" w:color="auto"/>
                <w:left w:val="none" w:sz="0" w:space="0" w:color="auto"/>
                <w:bottom w:val="none" w:sz="0" w:space="0" w:color="auto"/>
                <w:right w:val="none" w:sz="0" w:space="0" w:color="auto"/>
              </w:divBdr>
              <w:divsChild>
                <w:div w:id="87238263">
                  <w:marLeft w:val="0"/>
                  <w:marRight w:val="-6084"/>
                  <w:marTop w:val="0"/>
                  <w:marBottom w:val="0"/>
                  <w:divBdr>
                    <w:top w:val="none" w:sz="0" w:space="0" w:color="auto"/>
                    <w:left w:val="none" w:sz="0" w:space="0" w:color="auto"/>
                    <w:bottom w:val="none" w:sz="0" w:space="0" w:color="auto"/>
                    <w:right w:val="none" w:sz="0" w:space="0" w:color="auto"/>
                  </w:divBdr>
                  <w:divsChild>
                    <w:div w:id="993295108">
                      <w:marLeft w:val="0"/>
                      <w:marRight w:val="5604"/>
                      <w:marTop w:val="0"/>
                      <w:marBottom w:val="0"/>
                      <w:divBdr>
                        <w:top w:val="none" w:sz="0" w:space="0" w:color="auto"/>
                        <w:left w:val="none" w:sz="0" w:space="0" w:color="auto"/>
                        <w:bottom w:val="none" w:sz="0" w:space="0" w:color="auto"/>
                        <w:right w:val="none" w:sz="0" w:space="0" w:color="auto"/>
                      </w:divBdr>
                      <w:divsChild>
                        <w:div w:id="1612856536">
                          <w:marLeft w:val="0"/>
                          <w:marRight w:val="0"/>
                          <w:marTop w:val="0"/>
                          <w:marBottom w:val="0"/>
                          <w:divBdr>
                            <w:top w:val="none" w:sz="0" w:space="0" w:color="auto"/>
                            <w:left w:val="none" w:sz="0" w:space="0" w:color="auto"/>
                            <w:bottom w:val="none" w:sz="0" w:space="0" w:color="auto"/>
                            <w:right w:val="none" w:sz="0" w:space="0" w:color="auto"/>
                          </w:divBdr>
                          <w:divsChild>
                            <w:div w:id="513614703">
                              <w:marLeft w:val="0"/>
                              <w:marRight w:val="0"/>
                              <w:marTop w:val="120"/>
                              <w:marBottom w:val="360"/>
                              <w:divBdr>
                                <w:top w:val="none" w:sz="0" w:space="0" w:color="auto"/>
                                <w:left w:val="none" w:sz="0" w:space="0" w:color="auto"/>
                                <w:bottom w:val="none" w:sz="0" w:space="0" w:color="auto"/>
                                <w:right w:val="none" w:sz="0" w:space="0" w:color="auto"/>
                              </w:divBdr>
                              <w:divsChild>
                                <w:div w:id="1142772586">
                                  <w:marLeft w:val="3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808332">
      <w:bodyDiv w:val="1"/>
      <w:marLeft w:val="0"/>
      <w:marRight w:val="0"/>
      <w:marTop w:val="0"/>
      <w:marBottom w:val="0"/>
      <w:divBdr>
        <w:top w:val="none" w:sz="0" w:space="0" w:color="auto"/>
        <w:left w:val="none" w:sz="0" w:space="0" w:color="auto"/>
        <w:bottom w:val="none" w:sz="0" w:space="0" w:color="auto"/>
        <w:right w:val="none" w:sz="0" w:space="0" w:color="auto"/>
      </w:divBdr>
    </w:div>
    <w:div w:id="1527676507">
      <w:bodyDiv w:val="1"/>
      <w:marLeft w:val="0"/>
      <w:marRight w:val="0"/>
      <w:marTop w:val="0"/>
      <w:marBottom w:val="0"/>
      <w:divBdr>
        <w:top w:val="none" w:sz="0" w:space="0" w:color="auto"/>
        <w:left w:val="none" w:sz="0" w:space="0" w:color="auto"/>
        <w:bottom w:val="none" w:sz="0" w:space="0" w:color="auto"/>
        <w:right w:val="none" w:sz="0" w:space="0" w:color="auto"/>
      </w:divBdr>
    </w:div>
    <w:div w:id="1655180808">
      <w:bodyDiv w:val="1"/>
      <w:marLeft w:val="0"/>
      <w:marRight w:val="0"/>
      <w:marTop w:val="0"/>
      <w:marBottom w:val="0"/>
      <w:divBdr>
        <w:top w:val="none" w:sz="0" w:space="0" w:color="auto"/>
        <w:left w:val="none" w:sz="0" w:space="0" w:color="auto"/>
        <w:bottom w:val="none" w:sz="0" w:space="0" w:color="auto"/>
        <w:right w:val="none" w:sz="0" w:space="0" w:color="auto"/>
      </w:divBdr>
    </w:div>
    <w:div w:id="1826050326">
      <w:bodyDiv w:val="1"/>
      <w:marLeft w:val="0"/>
      <w:marRight w:val="0"/>
      <w:marTop w:val="0"/>
      <w:marBottom w:val="0"/>
      <w:divBdr>
        <w:top w:val="none" w:sz="0" w:space="0" w:color="auto"/>
        <w:left w:val="none" w:sz="0" w:space="0" w:color="auto"/>
        <w:bottom w:val="none" w:sz="0" w:space="0" w:color="auto"/>
        <w:right w:val="none" w:sz="0" w:space="0" w:color="auto"/>
      </w:divBdr>
    </w:div>
    <w:div w:id="1981959403">
      <w:bodyDiv w:val="1"/>
      <w:marLeft w:val="0"/>
      <w:marRight w:val="0"/>
      <w:marTop w:val="0"/>
      <w:marBottom w:val="0"/>
      <w:divBdr>
        <w:top w:val="none" w:sz="0" w:space="0" w:color="auto"/>
        <w:left w:val="none" w:sz="0" w:space="0" w:color="auto"/>
        <w:bottom w:val="none" w:sz="0" w:space="0" w:color="auto"/>
        <w:right w:val="none" w:sz="0" w:space="0" w:color="auto"/>
      </w:divBdr>
    </w:div>
    <w:div w:id="1997293497">
      <w:bodyDiv w:val="1"/>
      <w:marLeft w:val="0"/>
      <w:marRight w:val="0"/>
      <w:marTop w:val="0"/>
      <w:marBottom w:val="0"/>
      <w:divBdr>
        <w:top w:val="none" w:sz="0" w:space="0" w:color="auto"/>
        <w:left w:val="none" w:sz="0" w:space="0" w:color="auto"/>
        <w:bottom w:val="none" w:sz="0" w:space="0" w:color="auto"/>
        <w:right w:val="none" w:sz="0" w:space="0" w:color="auto"/>
      </w:divBdr>
    </w:div>
    <w:div w:id="20058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i.nlm.nih.gov/entrez/query.fcgi?db=pubmed&amp;cmd=Search&amp;itool=pubmed_Abstract&amp;term=%22Badrane+H%22%5BAuthor%5D" TargetMode="External"/><Relationship Id="rId18" Type="http://schemas.openxmlformats.org/officeDocument/2006/relationships/hyperlink" Target="http://www.ncbi.nlm.nih.gov/entrez/query.fcgi?db=pubmed&amp;cmd=Search&amp;itool=pubmed_Abstract&amp;term=%22Perrin+P%22%5BAuthor%5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cbi.nlm.nih.gov/entrez/query.fcgi?db=pubmed&amp;cmd=Search&amp;itool=pubmed_Abstract&amp;term=%22Tordo+N%22%5BAuthor%5D" TargetMode="External"/><Relationship Id="rId7" Type="http://schemas.openxmlformats.org/officeDocument/2006/relationships/settings" Target="settings.xml"/><Relationship Id="rId12" Type="http://schemas.openxmlformats.org/officeDocument/2006/relationships/hyperlink" Target="http://www.ncbi.nlm.nih.gov/entrez/query.fcgi?db=pubmed&amp;cmd=Search&amp;itool=pubmed_Abstract&amp;term=%22Badrane+H%22%5BAuthor%5D" TargetMode="External"/><Relationship Id="rId17" Type="http://schemas.openxmlformats.org/officeDocument/2006/relationships/hyperlink" Target="http://www.ncbi.nlm.nih.gov/entrez/query.fcgi?db=pubmed&amp;cmd=Search&amp;itool=pubmed_Abstract&amp;term=%22Perrin+P%22%5BAuthor%5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cbi.nlm.nih.gov/entrez/query.fcgi?db=pubmed&amp;cmd=Search&amp;itool=pubmed_Abstract&amp;term=%22Bahloul+C%22%5BAuthor%5D" TargetMode="External"/><Relationship Id="rId20" Type="http://schemas.openxmlformats.org/officeDocument/2006/relationships/hyperlink" Target="http://www.ncbi.nlm.nih.gov/entrez/query.fcgi?db=pubmed&amp;cmd=Search&amp;itool=pubmed_Abstract&amp;term=%22Tordo+N%22%5BAuthor%5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entrez/query.fcgi?db=pubmed&amp;cmd=Search&amp;itool=pubmed_Abstract&amp;term=%22Badrane+H%22%5BAuthor%5D"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cbi.nlm.nih.gov/entrez/query.fcgi?db=pubmed&amp;cmd=Search&amp;itool=pubmed_Abstract&amp;term=%22Bahloul+C%22%5BAuthor%5D" TargetMode="External"/><Relationship Id="rId23" Type="http://schemas.openxmlformats.org/officeDocument/2006/relationships/hyperlink" Target="https://www.youtube.com/watch?v=aSEyLw79imA"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ncbi.nlm.nih.gov/entrez/query.fcgi?db=pubmed&amp;cmd=Search&amp;itool=pubmed_Abstract&amp;term=%22Perrin+P%22%5BAuthor%5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i.nlm.nih.gov/entrez/query.fcgi?db=pubmed&amp;cmd=Search&amp;itool=pubmed_Abstract&amp;term=%22Bahloul+C%22%5BAuthor%5D" TargetMode="External"/><Relationship Id="rId22" Type="http://schemas.openxmlformats.org/officeDocument/2006/relationships/hyperlink" Target="https://eur-lex.europa.eu/LexUriServ/LexUriServ.do?uri=OJ:L:2010:276:0033:0079:en: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oah.org/en/what-we-offer/expertise-network/reference-laboratories/" TargetMode="External"/><Relationship Id="rId2" Type="http://schemas.openxmlformats.org/officeDocument/2006/relationships/hyperlink" Target="https://www.woah.org/en/what-we-offer/veterinary-products/diagnostic-kits/the-register-of-diagnostic-kits/" TargetMode="External"/><Relationship Id="rId1" Type="http://schemas.openxmlformats.org/officeDocument/2006/relationships/hyperlink" Target="https://ictv.global/report/chapter/rhabdoviridae/rhabdoviridae/lyssavirus" TargetMode="External"/><Relationship Id="rId4" Type="http://schemas.openxmlformats.org/officeDocument/2006/relationships/hyperlink" Target="http://www.woah.org/en/our-scientific-expertise/veterinary-products/reference-reag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41163-850F-433D-AF8B-1CC96A564E50}">
  <ds:schemaRefs>
    <ds:schemaRef ds:uri="http://schemas.microsoft.com/sharepoint/v3/contenttype/forms"/>
  </ds:schemaRefs>
</ds:datastoreItem>
</file>

<file path=customXml/itemProps2.xml><?xml version="1.0" encoding="utf-8"?>
<ds:datastoreItem xmlns:ds="http://schemas.openxmlformats.org/officeDocument/2006/customXml" ds:itemID="{E6BBB4C9-7371-492B-AF98-CED83B0040A3}">
  <ds:schemaRefs>
    <ds:schemaRef ds:uri="http://schemas.openxmlformats.org/officeDocument/2006/bibliography"/>
  </ds:schemaRefs>
</ds:datastoreItem>
</file>

<file path=customXml/itemProps3.xml><?xml version="1.0" encoding="utf-8"?>
<ds:datastoreItem xmlns:ds="http://schemas.openxmlformats.org/officeDocument/2006/customXml" ds:itemID="{F09E292C-3A6E-436C-98A6-98604511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39637-8271-4A1E-9DAA-4C91FB40C69F}">
  <ds:schemaRefs>
    <ds:schemaRef ds:uri="dd973180-a4c1-4e52-b4bc-58f54f6e421a"/>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2d8f2bc2-ce05-4280-abbb-a54dfdc4c8e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MANUAL96</Template>
  <TotalTime>1</TotalTime>
  <Pages>3</Pages>
  <Words>20381</Words>
  <Characters>116173</Characters>
  <Application>Microsoft Office Word</Application>
  <DocSecurity>4</DocSecurity>
  <Lines>968</Lines>
  <Paragraphs>272</Paragraphs>
  <ScaleCrop>false</ScaleCrop>
  <HeadingPairs>
    <vt:vector size="2" baseType="variant">
      <vt:variant>
        <vt:lpstr>Title</vt:lpstr>
      </vt:variant>
      <vt:variant>
        <vt:i4>1</vt:i4>
      </vt:variant>
    </vt:vector>
  </HeadingPairs>
  <TitlesOfParts>
    <vt:vector size="1" baseType="lpstr">
      <vt:lpstr>Rabies</vt:lpstr>
    </vt:vector>
  </TitlesOfParts>
  <Company>Microsoft</Company>
  <LinksUpToDate>false</LinksUpToDate>
  <CharactersWithSpaces>136282</CharactersWithSpaces>
  <SharedDoc>false</SharedDoc>
  <HLinks>
    <vt:vector size="108" baseType="variant">
      <vt:variant>
        <vt:i4>196693</vt:i4>
      </vt:variant>
      <vt:variant>
        <vt:i4>39</vt:i4>
      </vt:variant>
      <vt:variant>
        <vt:i4>0</vt:i4>
      </vt:variant>
      <vt:variant>
        <vt:i4>5</vt:i4>
      </vt:variant>
      <vt:variant>
        <vt:lpwstr>https://www.woah.org/en/what-we-offer/expertise-network/reference-laboratories/</vt:lpwstr>
      </vt:variant>
      <vt:variant>
        <vt:lpwstr>ui-id-3</vt:lpwstr>
      </vt:variant>
      <vt:variant>
        <vt:i4>7733369</vt:i4>
      </vt:variant>
      <vt:variant>
        <vt:i4>36</vt:i4>
      </vt:variant>
      <vt:variant>
        <vt:i4>0</vt:i4>
      </vt:variant>
      <vt:variant>
        <vt:i4>5</vt:i4>
      </vt:variant>
      <vt:variant>
        <vt:lpwstr>https://www.youtube.com/watch?v=aSEyLw79imA</vt:lpwstr>
      </vt:variant>
      <vt:variant>
        <vt:lpwstr/>
      </vt:variant>
      <vt:variant>
        <vt:i4>196699</vt:i4>
      </vt:variant>
      <vt:variant>
        <vt:i4>33</vt:i4>
      </vt:variant>
      <vt:variant>
        <vt:i4>0</vt:i4>
      </vt:variant>
      <vt:variant>
        <vt:i4>5</vt:i4>
      </vt:variant>
      <vt:variant>
        <vt:lpwstr>https://eur-lex.europa.eu/LexUriServ/LexUriServ.do?uri=OJ:L:2010:276:0033:0079:en:PDF</vt:lpwstr>
      </vt:variant>
      <vt:variant>
        <vt:lpwstr/>
      </vt:variant>
      <vt:variant>
        <vt:i4>327806</vt:i4>
      </vt:variant>
      <vt:variant>
        <vt:i4>30</vt:i4>
      </vt:variant>
      <vt:variant>
        <vt:i4>0</vt:i4>
      </vt:variant>
      <vt:variant>
        <vt:i4>5</vt:i4>
      </vt:variant>
      <vt:variant>
        <vt:lpwstr>http://www.ncbi.nlm.nih.gov/entrez/query.fcgi?db=pubmed&amp;cmd=Search&amp;itool=pubmed_Abstract&amp;term=%22Tordo+N%22%5BAuthor%5D</vt:lpwstr>
      </vt:variant>
      <vt:variant>
        <vt:lpwstr/>
      </vt:variant>
      <vt:variant>
        <vt:i4>327806</vt:i4>
      </vt:variant>
      <vt:variant>
        <vt:i4>27</vt:i4>
      </vt:variant>
      <vt:variant>
        <vt:i4>0</vt:i4>
      </vt:variant>
      <vt:variant>
        <vt:i4>5</vt:i4>
      </vt:variant>
      <vt:variant>
        <vt:lpwstr>http://www.ncbi.nlm.nih.gov/entrez/query.fcgi?db=pubmed&amp;cmd=Search&amp;itool=pubmed_Abstract&amp;term=%22Tordo+N%22%5BAuthor%5D</vt:lpwstr>
      </vt:variant>
      <vt:variant>
        <vt:lpwstr/>
      </vt:variant>
      <vt:variant>
        <vt:i4>7602181</vt:i4>
      </vt:variant>
      <vt:variant>
        <vt:i4>24</vt:i4>
      </vt:variant>
      <vt:variant>
        <vt:i4>0</vt:i4>
      </vt:variant>
      <vt:variant>
        <vt:i4>5</vt:i4>
      </vt:variant>
      <vt:variant>
        <vt:lpwstr>http://www.ncbi.nlm.nih.gov/entrez/query.fcgi?db=pubmed&amp;cmd=Search&amp;itool=pubmed_Abstract&amp;term=%22Perrin+P%22%5BAuthor%5D</vt:lpwstr>
      </vt:variant>
      <vt:variant>
        <vt:lpwstr/>
      </vt:variant>
      <vt:variant>
        <vt:i4>7602181</vt:i4>
      </vt:variant>
      <vt:variant>
        <vt:i4>21</vt:i4>
      </vt:variant>
      <vt:variant>
        <vt:i4>0</vt:i4>
      </vt:variant>
      <vt:variant>
        <vt:i4>5</vt:i4>
      </vt:variant>
      <vt:variant>
        <vt:lpwstr>http://www.ncbi.nlm.nih.gov/entrez/query.fcgi?db=pubmed&amp;cmd=Search&amp;itool=pubmed_Abstract&amp;term=%22Perrin+P%22%5BAuthor%5D</vt:lpwstr>
      </vt:variant>
      <vt:variant>
        <vt:lpwstr/>
      </vt:variant>
      <vt:variant>
        <vt:i4>7602181</vt:i4>
      </vt:variant>
      <vt:variant>
        <vt:i4>18</vt:i4>
      </vt:variant>
      <vt:variant>
        <vt:i4>0</vt:i4>
      </vt:variant>
      <vt:variant>
        <vt:i4>5</vt:i4>
      </vt:variant>
      <vt:variant>
        <vt:lpwstr>http://www.ncbi.nlm.nih.gov/entrez/query.fcgi?db=pubmed&amp;cmd=Search&amp;itool=pubmed_Abstract&amp;term=%22Perrin+P%22%5BAuthor%5D</vt:lpwstr>
      </vt:variant>
      <vt:variant>
        <vt:lpwstr/>
      </vt:variant>
      <vt:variant>
        <vt:i4>6815757</vt:i4>
      </vt:variant>
      <vt:variant>
        <vt:i4>15</vt:i4>
      </vt:variant>
      <vt:variant>
        <vt:i4>0</vt:i4>
      </vt:variant>
      <vt:variant>
        <vt:i4>5</vt:i4>
      </vt:variant>
      <vt:variant>
        <vt:lpwstr>http://www.ncbi.nlm.nih.gov/entrez/query.fcgi?db=pubmed&amp;cmd=Search&amp;itool=pubmed_Abstract&amp;term=%22Bahloul+C%22%5BAuthor%5D</vt:lpwstr>
      </vt:variant>
      <vt:variant>
        <vt:lpwstr/>
      </vt:variant>
      <vt:variant>
        <vt:i4>6815757</vt:i4>
      </vt:variant>
      <vt:variant>
        <vt:i4>12</vt:i4>
      </vt:variant>
      <vt:variant>
        <vt:i4>0</vt:i4>
      </vt:variant>
      <vt:variant>
        <vt:i4>5</vt:i4>
      </vt:variant>
      <vt:variant>
        <vt:lpwstr>http://www.ncbi.nlm.nih.gov/entrez/query.fcgi?db=pubmed&amp;cmd=Search&amp;itool=pubmed_Abstract&amp;term=%22Bahloul+C%22%5BAuthor%5D</vt:lpwstr>
      </vt:variant>
      <vt:variant>
        <vt:lpwstr/>
      </vt:variant>
      <vt:variant>
        <vt:i4>6815757</vt:i4>
      </vt:variant>
      <vt:variant>
        <vt:i4>9</vt:i4>
      </vt:variant>
      <vt:variant>
        <vt:i4>0</vt:i4>
      </vt:variant>
      <vt:variant>
        <vt:i4>5</vt:i4>
      </vt:variant>
      <vt:variant>
        <vt:lpwstr>http://www.ncbi.nlm.nih.gov/entrez/query.fcgi?db=pubmed&amp;cmd=Search&amp;itool=pubmed_Abstract&amp;term=%22Bahloul+C%22%5BAuthor%5D</vt:lpwstr>
      </vt:variant>
      <vt:variant>
        <vt:lpwstr/>
      </vt:variant>
      <vt:variant>
        <vt:i4>6815752</vt:i4>
      </vt:variant>
      <vt:variant>
        <vt:i4>6</vt:i4>
      </vt:variant>
      <vt:variant>
        <vt:i4>0</vt:i4>
      </vt:variant>
      <vt:variant>
        <vt:i4>5</vt:i4>
      </vt:variant>
      <vt:variant>
        <vt:lpwstr>http://www.ncbi.nlm.nih.gov/entrez/query.fcgi?db=pubmed&amp;cmd=Search&amp;itool=pubmed_Abstract&amp;term=%22Badrane+H%22%5BAuthor%5D</vt:lpwstr>
      </vt:variant>
      <vt:variant>
        <vt:lpwstr/>
      </vt:variant>
      <vt:variant>
        <vt:i4>6815752</vt:i4>
      </vt:variant>
      <vt:variant>
        <vt:i4>3</vt:i4>
      </vt:variant>
      <vt:variant>
        <vt:i4>0</vt:i4>
      </vt:variant>
      <vt:variant>
        <vt:i4>5</vt:i4>
      </vt:variant>
      <vt:variant>
        <vt:lpwstr>http://www.ncbi.nlm.nih.gov/entrez/query.fcgi?db=pubmed&amp;cmd=Search&amp;itool=pubmed_Abstract&amp;term=%22Badrane+H%22%5BAuthor%5D</vt:lpwstr>
      </vt:variant>
      <vt:variant>
        <vt:lpwstr/>
      </vt:variant>
      <vt:variant>
        <vt:i4>6815752</vt:i4>
      </vt:variant>
      <vt:variant>
        <vt:i4>0</vt:i4>
      </vt:variant>
      <vt:variant>
        <vt:i4>0</vt:i4>
      </vt:variant>
      <vt:variant>
        <vt:i4>5</vt:i4>
      </vt:variant>
      <vt:variant>
        <vt:lpwstr>http://www.ncbi.nlm.nih.gov/entrez/query.fcgi?db=pubmed&amp;cmd=Search&amp;itool=pubmed_Abstract&amp;term=%22Badrane+H%22%5BAuthor%5D</vt:lpwstr>
      </vt:variant>
      <vt:variant>
        <vt:lpwstr/>
      </vt:variant>
      <vt:variant>
        <vt:i4>2424953</vt:i4>
      </vt:variant>
      <vt:variant>
        <vt:i4>9</vt:i4>
      </vt:variant>
      <vt:variant>
        <vt:i4>0</vt:i4>
      </vt:variant>
      <vt:variant>
        <vt:i4>5</vt:i4>
      </vt:variant>
      <vt:variant>
        <vt:lpwstr>http://www.woah.org/en/our-scientific-expertise/veterinary-products/reference-reagents/</vt:lpwstr>
      </vt:variant>
      <vt:variant>
        <vt:lpwstr/>
      </vt:variant>
      <vt:variant>
        <vt:i4>196693</vt:i4>
      </vt:variant>
      <vt:variant>
        <vt:i4>6</vt:i4>
      </vt:variant>
      <vt:variant>
        <vt:i4>0</vt:i4>
      </vt:variant>
      <vt:variant>
        <vt:i4>5</vt:i4>
      </vt:variant>
      <vt:variant>
        <vt:lpwstr>https://www.woah.org/en/what-we-offer/expertise-network/reference-laboratories/</vt:lpwstr>
      </vt:variant>
      <vt:variant>
        <vt:lpwstr>ui-id-3</vt:lpwstr>
      </vt:variant>
      <vt:variant>
        <vt:i4>2752624</vt:i4>
      </vt:variant>
      <vt:variant>
        <vt:i4>3</vt:i4>
      </vt:variant>
      <vt:variant>
        <vt:i4>0</vt:i4>
      </vt:variant>
      <vt:variant>
        <vt:i4>5</vt:i4>
      </vt:variant>
      <vt:variant>
        <vt:lpwstr>https://www.woah.org/en/what-we-offer/veterinary-products/diagnostic-kits/the-register-of-diagnostic-kits/</vt:lpwstr>
      </vt:variant>
      <vt:variant>
        <vt:lpwstr/>
      </vt:variant>
      <vt:variant>
        <vt:i4>7405617</vt:i4>
      </vt:variant>
      <vt:variant>
        <vt:i4>0</vt:i4>
      </vt:variant>
      <vt:variant>
        <vt:i4>0</vt:i4>
      </vt:variant>
      <vt:variant>
        <vt:i4>5</vt:i4>
      </vt:variant>
      <vt:variant>
        <vt:lpwstr>https://talk.ictvonline.org/ictv-reports/ictv_online_report/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Rabies</dc:title>
  <dc:subject>arial/trait</dc:subject>
  <dc:creator>sara</dc:creator>
  <cp:keywords/>
  <cp:lastModifiedBy>Egrie, Paul - MRP-APHIS</cp:lastModifiedBy>
  <cp:revision>2</cp:revision>
  <cp:lastPrinted>2018-10-19T19:53:00Z</cp:lastPrinted>
  <dcterms:created xsi:type="dcterms:W3CDTF">2023-04-10T09:27:00Z</dcterms:created>
  <dcterms:modified xsi:type="dcterms:W3CDTF">2023-04-10T09:27:00Z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