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A3FE" w14:textId="77777777" w:rsidR="007A7F7E" w:rsidRPr="00823C42" w:rsidRDefault="007A7F7E" w:rsidP="007A7F7E">
      <w:pPr>
        <w:pStyle w:val="Chatperno"/>
      </w:pPr>
      <w:r>
        <w:t>Chapter</w:t>
      </w:r>
      <w:r w:rsidRPr="00D86F7D">
        <w:t xml:space="preserve"> </w:t>
      </w:r>
      <w:r>
        <w:t>2.2</w:t>
      </w:r>
      <w:r w:rsidRPr="00C155C2">
        <w:t>.4.</w:t>
      </w:r>
    </w:p>
    <w:p w14:paraId="391D0CE2" w14:textId="77777777" w:rsidR="007A7F7E" w:rsidRPr="00C155C2" w:rsidRDefault="007A7F7E" w:rsidP="007A7F7E">
      <w:pPr>
        <w:pStyle w:val="Chaptertitle"/>
      </w:pPr>
      <w:r w:rsidRPr="00C155C2">
        <w:t>measurement uncertainty</w:t>
      </w:r>
    </w:p>
    <w:p w14:paraId="2685472B" w14:textId="77777777" w:rsidR="007A7F7E" w:rsidRPr="00C155C2" w:rsidRDefault="007A7F7E" w:rsidP="007A7F7E">
      <w:pPr>
        <w:pStyle w:val="A0"/>
        <w:spacing w:before="1200"/>
      </w:pPr>
      <w:r w:rsidRPr="00C155C2">
        <w:t>introduction</w:t>
      </w:r>
    </w:p>
    <w:p w14:paraId="6207F26B" w14:textId="77777777" w:rsidR="007A7F7E" w:rsidRPr="00115DA9" w:rsidRDefault="007A7F7E" w:rsidP="007A7F7E">
      <w:pPr>
        <w:pStyle w:val="sumtexte"/>
        <w:rPr>
          <w:i w:val="0"/>
          <w:strike/>
        </w:rPr>
      </w:pPr>
      <w:r w:rsidRPr="00886FA2">
        <w:rPr>
          <w:lang w:val="en-IE"/>
        </w:rPr>
        <w:t xml:space="preserve">The </w:t>
      </w:r>
      <w:r>
        <w:rPr>
          <w:lang w:val="en-IE"/>
        </w:rPr>
        <w:t>WOAH</w:t>
      </w:r>
      <w:r w:rsidRPr="00886FA2">
        <w:rPr>
          <w:lang w:val="en-IE"/>
        </w:rPr>
        <w:t xml:space="preserve"> Validation </w:t>
      </w:r>
      <w:r>
        <w:rPr>
          <w:lang w:val="en-IE"/>
        </w:rPr>
        <w:t>Recommendations</w:t>
      </w:r>
      <w:r w:rsidRPr="00886FA2">
        <w:rPr>
          <w:lang w:val="en-IE"/>
        </w:rPr>
        <w:t xml:space="preserve"> provide detailed information and examples in support of the </w:t>
      </w:r>
      <w:r w:rsidRPr="00115DA9">
        <w:rPr>
          <w:strike/>
          <w:lang w:val="en-IE"/>
        </w:rPr>
        <w:t xml:space="preserve">WOAH Validation Standard that is published as </w:t>
      </w:r>
      <w:r w:rsidRPr="00886FA2">
        <w:rPr>
          <w:lang w:val="en-IE"/>
        </w:rPr>
        <w:t>Chapter 1.1.</w:t>
      </w:r>
      <w:r>
        <w:rPr>
          <w:lang w:val="en-IE"/>
        </w:rPr>
        <w:t>6</w:t>
      </w:r>
      <w:r w:rsidRPr="00886FA2">
        <w:rPr>
          <w:lang w:val="en-IE"/>
        </w:rPr>
        <w:t xml:space="preserve"> </w:t>
      </w:r>
      <w:r w:rsidRPr="00661773">
        <w:rPr>
          <w:i w:val="0"/>
          <w:strike/>
        </w:rPr>
        <w:t xml:space="preserve">Principles and methods of </w:t>
      </w:r>
      <w:r w:rsidRPr="0070167D">
        <w:rPr>
          <w:i w:val="0"/>
        </w:rPr>
        <w:t>Validation of diagnostic assays for infectious diseases</w:t>
      </w:r>
      <w:r w:rsidRPr="00D86F7D">
        <w:rPr>
          <w:lang w:val="en-IE"/>
        </w:rPr>
        <w:t xml:space="preserve"> </w:t>
      </w:r>
      <w:r w:rsidRPr="00661773">
        <w:rPr>
          <w:i w:val="0"/>
          <w:iCs w:val="0"/>
          <w:u w:val="double"/>
          <w:lang w:val="en-IE"/>
        </w:rPr>
        <w:t>of terrestrial animals</w:t>
      </w:r>
      <w:r w:rsidRPr="00886FA2">
        <w:rPr>
          <w:lang w:val="en-IE"/>
        </w:rPr>
        <w:t xml:space="preserve"> </w:t>
      </w:r>
      <w:r w:rsidRPr="0066463C">
        <w:rPr>
          <w:strike/>
          <w:lang w:val="en-IE"/>
        </w:rPr>
        <w:t xml:space="preserve">this </w:t>
      </w:r>
      <w:r w:rsidRPr="0066463C">
        <w:rPr>
          <w:i w:val="0"/>
          <w:strike/>
          <w:lang w:val="en-IE"/>
        </w:rPr>
        <w:t>Terrestrial Manual</w:t>
      </w:r>
      <w:r w:rsidRPr="00115DA9">
        <w:rPr>
          <w:strike/>
          <w:lang w:val="en-IE"/>
        </w:rPr>
        <w:t xml:space="preserve">, or Chapter 1.1.2 of the </w:t>
      </w:r>
      <w:r w:rsidRPr="00115DA9">
        <w:rPr>
          <w:i w:val="0"/>
          <w:strike/>
          <w:lang w:val="en-IE"/>
        </w:rPr>
        <w:t>Aquatic Manual</w:t>
      </w:r>
      <w:r w:rsidRPr="00886FA2">
        <w:rPr>
          <w:lang w:val="en-IE"/>
        </w:rPr>
        <w:t xml:space="preserve">. </w:t>
      </w:r>
      <w:r w:rsidRPr="00661773">
        <w:rPr>
          <w:strike/>
          <w:lang w:val="en-IE"/>
        </w:rPr>
        <w:t xml:space="preserve">The Term “WOAH Validation Standard” in this chapter should be taken as referring to those chapters. </w:t>
      </w:r>
    </w:p>
    <w:p w14:paraId="65EBDCBE" w14:textId="5913E911" w:rsidR="007A7F7E" w:rsidRDefault="007A7F7E" w:rsidP="007A7F7E">
      <w:pPr>
        <w:pStyle w:val="sumtextelastpara"/>
      </w:pPr>
      <w:r w:rsidRPr="00C155C2">
        <w:t xml:space="preserve">Estimation of measurement uncertainty </w:t>
      </w:r>
      <w:r w:rsidRPr="00C155C2">
        <w:rPr>
          <w:i w:val="0"/>
        </w:rPr>
        <w:t>(</w:t>
      </w:r>
      <w:r w:rsidRPr="00C155C2">
        <w:t>MU</w:t>
      </w:r>
      <w:r>
        <w:rPr>
          <w:i w:val="0"/>
        </w:rPr>
        <w:t>)</w:t>
      </w:r>
      <w:r w:rsidRPr="004F6C96">
        <w:rPr>
          <w:strike/>
        </w:rPr>
        <w:t>, sometimes termed measurement imprecision,</w:t>
      </w:r>
      <w:r w:rsidRPr="00C155C2">
        <w:t xml:space="preserve"> is a requirement for testing laboratories based on international quality standards such as ISO/IEC 17025-</w:t>
      </w:r>
      <w:r w:rsidRPr="004F6C96">
        <w:rPr>
          <w:strike/>
        </w:rPr>
        <w:t>2005,</w:t>
      </w:r>
      <w:r>
        <w:rPr>
          <w:strike/>
        </w:rPr>
        <w:t xml:space="preserve"> </w:t>
      </w:r>
      <w:r w:rsidRPr="004F6C96">
        <w:rPr>
          <w:u w:val="double"/>
        </w:rPr>
        <w:t>2017</w:t>
      </w:r>
      <w:r w:rsidRPr="00C155C2">
        <w:t xml:space="preserve"> General requirements for the competence of testing and calibration laboratories</w:t>
      </w:r>
      <w:r w:rsidRPr="004F6C96">
        <w:rPr>
          <w:strike/>
        </w:rPr>
        <w:t xml:space="preserve"> </w:t>
      </w:r>
      <w:r w:rsidRPr="004F6C96">
        <w:rPr>
          <w:i w:val="0"/>
          <w:strike/>
        </w:rPr>
        <w:t>(</w:t>
      </w:r>
      <w:r w:rsidRPr="004F6C96">
        <w:rPr>
          <w:strike/>
        </w:rPr>
        <w:t>ISO/IEC 17025</w:t>
      </w:r>
      <w:r w:rsidRPr="004F6C96">
        <w:rPr>
          <w:i w:val="0"/>
          <w:strike/>
        </w:rPr>
        <w:t>)</w:t>
      </w:r>
      <w:r w:rsidRPr="001322AC">
        <w:rPr>
          <w:i w:val="0"/>
        </w:rPr>
        <w:t>.</w:t>
      </w:r>
      <w:r w:rsidRPr="00C155C2">
        <w:t xml:space="preserve"> The measurement process for detection of an analyte in a diagnostic sample is not entirely reproducible and </w:t>
      </w:r>
      <w:r>
        <w:t>hence</w:t>
      </w:r>
      <w:r w:rsidRPr="00C155C2">
        <w:t xml:space="preserve"> there is no exact value that can be associated with the measured analyte. Therefore</w:t>
      </w:r>
      <w:r w:rsidRPr="003E7873">
        <w:rPr>
          <w:u w:val="double"/>
        </w:rPr>
        <w:t>,</w:t>
      </w:r>
      <w:r w:rsidRPr="00630B3F">
        <w:t xml:space="preserve"> the result is most accurately expressed as an estimate </w:t>
      </w:r>
      <w:r w:rsidRPr="003E7873">
        <w:rPr>
          <w:strike/>
        </w:rPr>
        <w:t xml:space="preserve">together </w:t>
      </w:r>
      <w:r w:rsidRPr="00630B3F">
        <w:t xml:space="preserve">with an associated </w:t>
      </w:r>
      <w:r w:rsidRPr="003E7873">
        <w:rPr>
          <w:strike/>
        </w:rPr>
        <w:t xml:space="preserve">level of </w:t>
      </w:r>
      <w:r w:rsidRPr="00630B3F">
        <w:t>imprecision</w:t>
      </w:r>
      <w:r>
        <w:t xml:space="preserve"> </w:t>
      </w:r>
      <w:r w:rsidRPr="007212A6">
        <w:rPr>
          <w:u w:val="double"/>
        </w:rPr>
        <w:t>level</w:t>
      </w:r>
      <w:r w:rsidRPr="00C155C2">
        <w:t xml:space="preserve">. This imprecision is the measurement uncertainty </w:t>
      </w:r>
      <w:r w:rsidRPr="00C155C2">
        <w:rPr>
          <w:i w:val="0"/>
        </w:rPr>
        <w:t>(</w:t>
      </w:r>
      <w:r w:rsidRPr="00C155C2">
        <w:t>MU</w:t>
      </w:r>
      <w:r w:rsidRPr="00C155C2">
        <w:rPr>
          <w:i w:val="0"/>
        </w:rPr>
        <w:t>).</w:t>
      </w:r>
      <w:r w:rsidRPr="00C155C2">
        <w:t xml:space="preserve"> MU is limited to the measurement process</w:t>
      </w:r>
      <w:r>
        <w:t xml:space="preserve"> </w:t>
      </w:r>
      <w:r w:rsidRPr="007212A6">
        <w:rPr>
          <w:u w:val="double"/>
        </w:rPr>
        <w:t>of quantitative tests.</w:t>
      </w:r>
      <w:r w:rsidRPr="007212A6">
        <w:rPr>
          <w:i w:val="0"/>
          <w:u w:val="double"/>
        </w:rPr>
        <w:t xml:space="preserve"> </w:t>
      </w:r>
      <w:r w:rsidRPr="007212A6">
        <w:rPr>
          <w:u w:val="double"/>
        </w:rPr>
        <w:t xml:space="preserve">The approach described here is known as </w:t>
      </w:r>
      <w:r>
        <w:rPr>
          <w:u w:val="double"/>
        </w:rPr>
        <w:t>“</w:t>
      </w:r>
      <w:r w:rsidRPr="007212A6">
        <w:rPr>
          <w:u w:val="double"/>
        </w:rPr>
        <w:t>top-down</w:t>
      </w:r>
      <w:r>
        <w:rPr>
          <w:u w:val="double"/>
        </w:rPr>
        <w:t>”</w:t>
      </w:r>
      <w:r w:rsidRPr="007212A6">
        <w:rPr>
          <w:u w:val="double"/>
        </w:rPr>
        <w:t xml:space="preserve"> or </w:t>
      </w:r>
      <w:r>
        <w:rPr>
          <w:u w:val="double"/>
        </w:rPr>
        <w:t>“</w:t>
      </w:r>
      <w:r w:rsidRPr="007212A6">
        <w:rPr>
          <w:u w:val="double"/>
        </w:rPr>
        <w:t>control sample</w:t>
      </w:r>
      <w:r>
        <w:rPr>
          <w:u w:val="double"/>
        </w:rPr>
        <w:t>”</w:t>
      </w:r>
      <w:r w:rsidRPr="007212A6">
        <w:rPr>
          <w:u w:val="double"/>
        </w:rPr>
        <w:t xml:space="preserve"> because it uses a weak positive control sample and expresses the MU result at the </w:t>
      </w:r>
      <w:r w:rsidRPr="009E6A84">
        <w:rPr>
          <w:strike/>
          <w:highlight w:val="yellow"/>
        </w:rPr>
        <w:t>cut-off</w:t>
      </w:r>
      <w:r w:rsidR="009E6A84" w:rsidRPr="009E6A84">
        <w:rPr>
          <w:strike/>
          <w:highlight w:val="yellow"/>
        </w:rPr>
        <w:t xml:space="preserve"> </w:t>
      </w:r>
      <w:r w:rsidR="009E6A84" w:rsidRPr="009E6A84">
        <w:rPr>
          <w:highlight w:val="yellow"/>
          <w:u w:val="double"/>
        </w:rPr>
        <w:t>diagnostic threshold</w:t>
      </w:r>
      <w:r w:rsidRPr="007212A6">
        <w:rPr>
          <w:u w:val="double"/>
        </w:rPr>
        <w:t>, where it most matters</w:t>
      </w:r>
      <w:r>
        <w:t xml:space="preserve">. </w:t>
      </w:r>
      <w:r w:rsidRPr="00C155C2">
        <w:t xml:space="preserve">It is not a question of whether the measurement is appropriate and fit for whatever use to which it may be applied. It is not an alternative to test validation but is rightly considered a component of that process </w:t>
      </w:r>
      <w:r w:rsidRPr="00C155C2">
        <w:rPr>
          <w:i w:val="0"/>
        </w:rPr>
        <w:t>(</w:t>
      </w:r>
      <w:r w:rsidRPr="00C155C2">
        <w:t xml:space="preserve">see </w:t>
      </w:r>
      <w:r w:rsidRPr="00C0193F">
        <w:rPr>
          <w:strike/>
        </w:rPr>
        <w:t xml:space="preserve">the WOAH Validation Standard, </w:t>
      </w:r>
      <w:r w:rsidRPr="00C0193F">
        <w:rPr>
          <w:u w:val="double"/>
        </w:rPr>
        <w:t>chapter 1.1.6</w:t>
      </w:r>
      <w:r w:rsidRPr="0023644C">
        <w:t xml:space="preserve"> Section</w:t>
      </w:r>
      <w:r w:rsidRPr="00AE09DF">
        <w:t xml:space="preserve"> B.1.1</w:t>
      </w:r>
      <w:r>
        <w:t xml:space="preserve"> </w:t>
      </w:r>
      <w:r w:rsidRPr="00B9181D">
        <w:rPr>
          <w:i w:val="0"/>
          <w:iCs w:val="0"/>
          <w:u w:val="double"/>
        </w:rPr>
        <w:t>Repeatability</w:t>
      </w:r>
      <w:r w:rsidRPr="0023000C">
        <w:rPr>
          <w:i w:val="0"/>
          <w:iCs w:val="0"/>
        </w:rPr>
        <w:t>)</w:t>
      </w:r>
      <w:r w:rsidRPr="007212A6">
        <w:t>.</w:t>
      </w:r>
    </w:p>
    <w:p w14:paraId="0F83768D" w14:textId="77777777" w:rsidR="007A7F7E" w:rsidRPr="00C155C2" w:rsidRDefault="007A7F7E" w:rsidP="007A7F7E">
      <w:pPr>
        <w:pStyle w:val="A0"/>
      </w:pPr>
      <w:r>
        <w:t>a</w:t>
      </w:r>
      <w:r w:rsidRPr="00C155C2">
        <w:t>.</w:t>
      </w:r>
      <w:r>
        <w:t xml:space="preserve">  </w:t>
      </w:r>
      <w:r w:rsidRPr="00C155C2">
        <w:t>The necessity of determining MU</w:t>
      </w:r>
    </w:p>
    <w:p w14:paraId="4167B240" w14:textId="330E968C" w:rsidR="007A7F7E" w:rsidRDefault="007A7F7E" w:rsidP="007A7F7E">
      <w:pPr>
        <w:pStyle w:val="para1"/>
        <w:rPr>
          <w:lang w:val="en-IE"/>
        </w:rPr>
      </w:pPr>
      <w:r w:rsidRPr="007212A6">
        <w:rPr>
          <w:lang w:val="en-IE"/>
        </w:rPr>
        <w:t>To assure compliance with ISO/IEC 17025-</w:t>
      </w:r>
      <w:r w:rsidRPr="002442BA">
        <w:rPr>
          <w:strike/>
          <w:lang w:val="en-GB"/>
        </w:rPr>
        <w:t xml:space="preserve">2005 </w:t>
      </w:r>
      <w:r w:rsidRPr="007212A6">
        <w:rPr>
          <w:u w:val="double"/>
          <w:lang w:val="en-IE"/>
        </w:rPr>
        <w:t>2017</w:t>
      </w:r>
      <w:r w:rsidRPr="007212A6">
        <w:rPr>
          <w:lang w:val="en-IE"/>
        </w:rPr>
        <w:t xml:space="preserve"> requirements, national accreditation bodies for diagnostic </w:t>
      </w:r>
      <w:r w:rsidRPr="0023000C">
        <w:rPr>
          <w:u w:val="double"/>
          <w:lang w:val="en-IE"/>
        </w:rPr>
        <w:t>testing</w:t>
      </w:r>
      <w:r>
        <w:rPr>
          <w:lang w:val="en-IE"/>
        </w:rPr>
        <w:t xml:space="preserve"> </w:t>
      </w:r>
      <w:r w:rsidRPr="0023000C">
        <w:rPr>
          <w:lang w:val="en-IE"/>
        </w:rPr>
        <w:t xml:space="preserve">laboratories require </w:t>
      </w:r>
      <w:r w:rsidRPr="0023000C">
        <w:rPr>
          <w:u w:val="double"/>
          <w:lang w:val="en-IE"/>
        </w:rPr>
        <w:t>laboratories to calculate</w:t>
      </w:r>
      <w:r>
        <w:rPr>
          <w:lang w:val="en-IE"/>
        </w:rPr>
        <w:t xml:space="preserve"> </w:t>
      </w:r>
      <w:r w:rsidRPr="0023000C">
        <w:rPr>
          <w:lang w:val="en-IE"/>
        </w:rPr>
        <w:t>MU estimates for</w:t>
      </w:r>
      <w:r>
        <w:rPr>
          <w:lang w:val="en-IE"/>
        </w:rPr>
        <w:t xml:space="preserve"> </w:t>
      </w:r>
      <w:r w:rsidRPr="0023000C">
        <w:rPr>
          <w:u w:val="double"/>
          <w:lang w:val="en-IE"/>
        </w:rPr>
        <w:t>accredited</w:t>
      </w:r>
      <w:r w:rsidRPr="0023000C">
        <w:rPr>
          <w:lang w:val="en-IE"/>
        </w:rPr>
        <w:t xml:space="preserve"> test methods that produce quantitative results, e.g. optical densities (OD), percentage of positivity or inhibition (PP, PI), titres, cycle threshold (CT) values, etc. This includes tests where numeric results are calculated and then </w:t>
      </w:r>
      <w:r w:rsidRPr="002442BA">
        <w:rPr>
          <w:strike/>
          <w:lang w:val="en-GB"/>
        </w:rPr>
        <w:t xml:space="preserve">are </w:t>
      </w:r>
      <w:r w:rsidRPr="0023000C">
        <w:rPr>
          <w:lang w:val="en-IE"/>
        </w:rPr>
        <w:t xml:space="preserve">expressed as a positive or negative result at a cut-off value. </w:t>
      </w:r>
      <w:proofErr w:type="gramStart"/>
      <w:r w:rsidRPr="0023000C">
        <w:rPr>
          <w:lang w:val="en-IE"/>
        </w:rPr>
        <w:t>For the purpose of</w:t>
      </w:r>
      <w:proofErr w:type="gramEnd"/>
      <w:r w:rsidRPr="0023000C">
        <w:rPr>
          <w:lang w:val="en-IE"/>
        </w:rPr>
        <w:t xml:space="preserve"> estimating MU in serology and </w:t>
      </w:r>
      <w:r w:rsidRPr="00B870FE">
        <w:rPr>
          <w:u w:val="double"/>
          <w:lang w:val="en-IE"/>
        </w:rPr>
        <w:t>reverse transcriptase polymerase chain reaction (</w:t>
      </w:r>
      <w:r w:rsidRPr="0023000C">
        <w:rPr>
          <w:lang w:val="en-IE"/>
        </w:rPr>
        <w:t>RT</w:t>
      </w:r>
      <w:r>
        <w:rPr>
          <w:lang w:val="en-IE"/>
        </w:rPr>
        <w:t>-</w:t>
      </w:r>
      <w:r w:rsidRPr="0023000C">
        <w:rPr>
          <w:lang w:val="en-IE"/>
        </w:rPr>
        <w:t>PCR</w:t>
      </w:r>
      <w:r w:rsidRPr="00B870FE">
        <w:rPr>
          <w:u w:val="double"/>
          <w:lang w:val="en-IE"/>
        </w:rPr>
        <w:t>)</w:t>
      </w:r>
      <w:r w:rsidRPr="0023000C">
        <w:rPr>
          <w:lang w:val="en-IE"/>
        </w:rPr>
        <w:t>, suitable statistical measures are mean target values ± 2 standard deviations (SD), which is</w:t>
      </w:r>
      <w:r w:rsidR="00C45646">
        <w:rPr>
          <w:lang w:val="en-IE"/>
        </w:rPr>
        <w:t xml:space="preserve"> </w:t>
      </w:r>
      <w:r w:rsidR="00C45646" w:rsidRPr="00C45646">
        <w:rPr>
          <w:strike/>
          <w:highlight w:val="yellow"/>
          <w:u w:val="double"/>
          <w:lang w:val="en-IE"/>
        </w:rPr>
        <w:t>an</w:t>
      </w:r>
      <w:r w:rsidRPr="0023000C">
        <w:rPr>
          <w:lang w:val="en-IE"/>
        </w:rPr>
        <w:t xml:space="preserve"> approximate</w:t>
      </w:r>
      <w:r w:rsidRPr="00983333">
        <w:rPr>
          <w:strike/>
          <w:highlight w:val="yellow"/>
          <w:lang w:val="en-IE"/>
        </w:rPr>
        <w:t>ly equal to a</w:t>
      </w:r>
      <w:r w:rsidRPr="0023000C">
        <w:rPr>
          <w:lang w:val="en-IE"/>
        </w:rPr>
        <w:t xml:space="preserve"> 95%</w:t>
      </w:r>
      <w:r w:rsidRPr="003D721E">
        <w:rPr>
          <w:strike/>
          <w:lang w:val="en-IE"/>
        </w:rPr>
        <w:t xml:space="preserve"> </w:t>
      </w:r>
      <w:r w:rsidRPr="003D721E">
        <w:rPr>
          <w:strike/>
          <w:highlight w:val="yellow"/>
          <w:lang w:val="en-IE"/>
        </w:rPr>
        <w:t xml:space="preserve">confidence </w:t>
      </w:r>
      <w:r w:rsidR="003D721E" w:rsidRPr="003D721E">
        <w:rPr>
          <w:highlight w:val="yellow"/>
          <w:u w:val="double"/>
          <w:lang w:val="en-IE"/>
        </w:rPr>
        <w:t>reference</w:t>
      </w:r>
      <w:r w:rsidR="003D721E">
        <w:rPr>
          <w:lang w:val="en-IE"/>
        </w:rPr>
        <w:t xml:space="preserve"> </w:t>
      </w:r>
      <w:r w:rsidRPr="0023000C">
        <w:rPr>
          <w:lang w:val="en-IE"/>
        </w:rPr>
        <w:t>interval (</w:t>
      </w:r>
      <w:r w:rsidRPr="003D721E">
        <w:rPr>
          <w:strike/>
          <w:highlight w:val="yellow"/>
          <w:lang w:val="en-IE"/>
        </w:rPr>
        <w:t>C</w:t>
      </w:r>
      <w:r w:rsidR="003D721E" w:rsidRPr="003D721E">
        <w:rPr>
          <w:strike/>
          <w:highlight w:val="yellow"/>
          <w:lang w:val="en-IE"/>
        </w:rPr>
        <w:t xml:space="preserve"> </w:t>
      </w:r>
      <w:r w:rsidR="003D721E" w:rsidRPr="003D721E">
        <w:rPr>
          <w:highlight w:val="yellow"/>
          <w:u w:val="double"/>
          <w:lang w:val="en-IE"/>
        </w:rPr>
        <w:t>R</w:t>
      </w:r>
      <w:r w:rsidRPr="0023000C">
        <w:rPr>
          <w:lang w:val="en-IE"/>
        </w:rPr>
        <w:t xml:space="preserve">I), relative standard deviation (RSD = SD / mean of replicates) and coefficient of variation (CV = RSD × 100%). </w:t>
      </w:r>
      <w:r w:rsidRPr="0023000C">
        <w:rPr>
          <w:u w:val="double"/>
          <w:lang w:val="en-IE"/>
        </w:rPr>
        <w:t>Examples provided below assume normal distributio</w:t>
      </w:r>
      <w:r w:rsidRPr="003F3340">
        <w:rPr>
          <w:u w:val="double"/>
          <w:lang w:val="en-IE"/>
        </w:rPr>
        <w:t xml:space="preserve">n of data. </w:t>
      </w:r>
      <w:r w:rsidR="003A6707" w:rsidRPr="003F3340">
        <w:rPr>
          <w:highlight w:val="yellow"/>
          <w:u w:val="double"/>
          <w:lang w:val="en-GB"/>
        </w:rPr>
        <w:t>Alterna</w:t>
      </w:r>
      <w:r w:rsidR="003A6707" w:rsidRPr="25BB1E22">
        <w:rPr>
          <w:highlight w:val="yellow"/>
          <w:u w:val="double"/>
          <w:lang w:val="en-GB"/>
        </w:rPr>
        <w:t>tive methods are available that are less sensitive to both that assumption and to the presence of outliers; they are not illustrated here</w:t>
      </w:r>
      <w:r w:rsidR="003A6707" w:rsidRPr="0018028C">
        <w:rPr>
          <w:lang w:val="en-IE"/>
        </w:rPr>
        <w:t xml:space="preserve"> </w:t>
      </w:r>
      <w:proofErr w:type="gramStart"/>
      <w:r w:rsidRPr="0018028C">
        <w:rPr>
          <w:lang w:val="en-IE"/>
        </w:rPr>
        <w:t>The</w:t>
      </w:r>
      <w:proofErr w:type="gramEnd"/>
      <w:r w:rsidRPr="0018028C">
        <w:rPr>
          <w:lang w:val="en-IE"/>
        </w:rPr>
        <w:t xml:space="preserve"> concept of MU does not apply to strictly binary</w:t>
      </w:r>
      <w:r>
        <w:rPr>
          <w:lang w:val="en-IE"/>
        </w:rPr>
        <w:t xml:space="preserve"> </w:t>
      </w:r>
      <w:r w:rsidRPr="0018028C">
        <w:rPr>
          <w:u w:val="double"/>
          <w:lang w:val="en-IE"/>
        </w:rPr>
        <w:t>(qualitative)</w:t>
      </w:r>
      <w:r w:rsidRPr="0018028C">
        <w:rPr>
          <w:lang w:val="en-IE"/>
        </w:rPr>
        <w:t xml:space="preserve"> results (positive or negative).</w:t>
      </w:r>
    </w:p>
    <w:p w14:paraId="0EFE2BC6" w14:textId="77777777" w:rsidR="007A7F7E" w:rsidRPr="00C155C2" w:rsidRDefault="007A7F7E" w:rsidP="007A7F7E">
      <w:pPr>
        <w:pStyle w:val="1"/>
      </w:pPr>
      <w:r w:rsidRPr="00C155C2">
        <w:t>1.</w:t>
      </w:r>
      <w:r w:rsidRPr="00C155C2">
        <w:tab/>
        <w:t xml:space="preserve">Samples </w:t>
      </w:r>
      <w:r w:rsidRPr="0061289B">
        <w:t>for</w:t>
      </w:r>
      <w:r w:rsidRPr="00C155C2">
        <w:t xml:space="preserve"> use in determining MU</w:t>
      </w:r>
    </w:p>
    <w:p w14:paraId="47E20706" w14:textId="77777777" w:rsidR="007A7F7E" w:rsidRDefault="007A7F7E" w:rsidP="007A7F7E">
      <w:pPr>
        <w:pStyle w:val="1Para"/>
      </w:pPr>
      <w:r w:rsidRPr="00C155C2">
        <w:rPr>
          <w:bCs/>
        </w:rPr>
        <w:t>Repeatability is</w:t>
      </w:r>
      <w:r w:rsidRPr="00C155C2">
        <w:t xml:space="preserve"> the level of agreement between results of replicates of a sample both within and between runs of the same test method </w:t>
      </w:r>
      <w:proofErr w:type="gramStart"/>
      <w:r w:rsidRPr="00C155C2">
        <w:t>in a given</w:t>
      </w:r>
      <w:proofErr w:type="gramEnd"/>
      <w:r w:rsidRPr="00C155C2">
        <w:t xml:space="preserve"> laboratory. During assay development, repeatability is estimated by evaluating variation in results of independent replicates from a minimum of three (preferably five) samples representing analyte activity within the operating range of the assay (see</w:t>
      </w:r>
      <w:r w:rsidRPr="00BC765A">
        <w:rPr>
          <w:strike/>
        </w:rPr>
        <w:t xml:space="preserve"> the W</w:t>
      </w:r>
      <w:r w:rsidRPr="00C0193F">
        <w:rPr>
          <w:strike/>
        </w:rPr>
        <w:t xml:space="preserve">OAH Validation Standard, </w:t>
      </w:r>
      <w:r w:rsidRPr="00C0193F">
        <w:rPr>
          <w:u w:val="double"/>
        </w:rPr>
        <w:t>Chapter 1.1.6</w:t>
      </w:r>
      <w:r>
        <w:rPr>
          <w:u w:val="double"/>
        </w:rPr>
        <w:t xml:space="preserve"> </w:t>
      </w:r>
      <w:r w:rsidRPr="00BC765A">
        <w:rPr>
          <w:i/>
          <w:u w:val="double"/>
        </w:rPr>
        <w:t>Validation of diagnostic assays for infectious diseases</w:t>
      </w:r>
      <w:r w:rsidRPr="00BC765A">
        <w:rPr>
          <w:i/>
          <w:u w:val="double"/>
          <w:lang w:val="en-IE"/>
        </w:rPr>
        <w:t xml:space="preserve"> of terrestrial animals</w:t>
      </w:r>
      <w:r w:rsidRPr="00C155C2">
        <w:t xml:space="preserve">, Sections </w:t>
      </w:r>
      <w:r w:rsidRPr="00AE09DF">
        <w:t>A.2.5</w:t>
      </w:r>
      <w:r>
        <w:t xml:space="preserve"> </w:t>
      </w:r>
      <w:r w:rsidRPr="00B9181D">
        <w:rPr>
          <w:i/>
          <w:iCs/>
          <w:u w:val="double"/>
        </w:rPr>
        <w:t>Robustness</w:t>
      </w:r>
      <w:r w:rsidRPr="00AE09DF">
        <w:t xml:space="preserve"> and B.1.1</w:t>
      </w:r>
      <w:r>
        <w:t xml:space="preserve"> </w:t>
      </w:r>
      <w:r w:rsidRPr="00B9181D">
        <w:rPr>
          <w:i/>
          <w:iCs/>
          <w:u w:val="double"/>
        </w:rPr>
        <w:t>Repeatability</w:t>
      </w:r>
      <w:r w:rsidRPr="00AE09DF">
        <w:t>, and</w:t>
      </w:r>
      <w:r w:rsidRPr="00C155C2">
        <w:t xml:space="preserve"> </w:t>
      </w:r>
      <w:r>
        <w:t>Chapter</w:t>
      </w:r>
      <w:r w:rsidRPr="00C155C2">
        <w:t xml:space="preserve"> </w:t>
      </w:r>
      <w:r>
        <w:t>2.2</w:t>
      </w:r>
      <w:r w:rsidRPr="00C155C2">
        <w:t xml:space="preserve">.6 </w:t>
      </w:r>
      <w:r w:rsidRPr="00C155C2">
        <w:rPr>
          <w:i/>
        </w:rPr>
        <w:t>Selection and use of reference samples and panels</w:t>
      </w:r>
      <w:r w:rsidRPr="00C155C2">
        <w:t xml:space="preserve">, </w:t>
      </w:r>
      <w:r w:rsidRPr="00AE09DF">
        <w:t xml:space="preserve">Section </w:t>
      </w:r>
      <w:r w:rsidRPr="007D2D18">
        <w:rPr>
          <w:strike/>
        </w:rPr>
        <w:t>3.1</w:t>
      </w:r>
      <w:r w:rsidRPr="00E60125">
        <w:rPr>
          <w:strike/>
        </w:rPr>
        <w:t xml:space="preserve"> </w:t>
      </w:r>
      <w:r w:rsidRPr="00E60125">
        <w:rPr>
          <w:u w:val="double"/>
        </w:rPr>
        <w:t>A.4.2</w:t>
      </w:r>
      <w:r>
        <w:t>).</w:t>
      </w:r>
      <w:r w:rsidRPr="00C155C2">
        <w:t xml:space="preserve"> T</w:t>
      </w:r>
      <w:r>
        <w:t>ypically, t</w:t>
      </w:r>
      <w:r w:rsidRPr="00C155C2">
        <w:t xml:space="preserve">he variation in replicate results </w:t>
      </w:r>
      <w:r>
        <w:t>is</w:t>
      </w:r>
      <w:r w:rsidRPr="00C155C2">
        <w:t xml:space="preserve"> expressed </w:t>
      </w:r>
      <w:r>
        <w:t xml:space="preserve">as </w:t>
      </w:r>
      <w:r w:rsidRPr="00C155C2">
        <w:t>RSD</w:t>
      </w:r>
      <w:r>
        <w:t xml:space="preserve"> or</w:t>
      </w:r>
      <w:r w:rsidRPr="00C155C2">
        <w:t xml:space="preserve"> CV. The significant feature is that repeatability studies can be used to define the expected precision of the assay in the detection of a range of analyte concentrations.</w:t>
      </w:r>
    </w:p>
    <w:p w14:paraId="45343E95" w14:textId="77777777" w:rsidR="007A7F7E" w:rsidRPr="00C155C2" w:rsidRDefault="007A7F7E" w:rsidP="007A7F7E">
      <w:pPr>
        <w:pStyle w:val="1Para"/>
      </w:pPr>
      <w:r w:rsidRPr="00C155C2">
        <w:t xml:space="preserve">The use of internal quality or process controls over a range of expected results has become part of daily quality control and quality assurance operations of accredited facilities (see </w:t>
      </w:r>
      <w:r w:rsidRPr="00C0193F">
        <w:rPr>
          <w:strike/>
        </w:rPr>
        <w:t xml:space="preserve">the WOAH Validation Standard, </w:t>
      </w:r>
      <w:r w:rsidRPr="00C0193F">
        <w:rPr>
          <w:u w:val="double"/>
        </w:rPr>
        <w:t>chapter 1.1.6</w:t>
      </w:r>
      <w:r w:rsidRPr="00C155C2">
        <w:t xml:space="preserve">, </w:t>
      </w:r>
      <w:r w:rsidRPr="00AE09DF">
        <w:t xml:space="preserve">Sections A.2.6 </w:t>
      </w:r>
      <w:r w:rsidRPr="005A0758">
        <w:rPr>
          <w:i/>
          <w:iCs/>
        </w:rPr>
        <w:t>Calibration of the assay to standard reagents</w:t>
      </w:r>
      <w:r w:rsidRPr="00AE09DF">
        <w:t xml:space="preserve"> and B.5.1</w:t>
      </w:r>
      <w:r>
        <w:t xml:space="preserve"> </w:t>
      </w:r>
      <w:r w:rsidRPr="005A0758">
        <w:rPr>
          <w:i/>
          <w:iCs/>
        </w:rPr>
        <w:t>Monitoring the assay</w:t>
      </w:r>
      <w:r w:rsidRPr="00AE09DF">
        <w:t>, and</w:t>
      </w:r>
      <w:r w:rsidRPr="00C155C2">
        <w:t xml:space="preserve"> </w:t>
      </w:r>
      <w:r>
        <w:t>Chapter</w:t>
      </w:r>
      <w:r w:rsidRPr="00C155C2">
        <w:t xml:space="preserve"> </w:t>
      </w:r>
      <w:r>
        <w:t>2.2</w:t>
      </w:r>
      <w:r w:rsidRPr="00DA16CD">
        <w:t>.6, Section</w:t>
      </w:r>
      <w:r>
        <w:t xml:space="preserve"> </w:t>
      </w:r>
      <w:r w:rsidRPr="007D2D18">
        <w:rPr>
          <w:strike/>
        </w:rPr>
        <w:t>1.4</w:t>
      </w:r>
      <w:r w:rsidRPr="001619AA">
        <w:rPr>
          <w:strike/>
        </w:rPr>
        <w:t xml:space="preserve"> </w:t>
      </w:r>
      <w:r w:rsidRPr="001619AA">
        <w:rPr>
          <w:u w:val="double"/>
        </w:rPr>
        <w:t>C.1</w:t>
      </w:r>
      <w:r>
        <w:t>).</w:t>
      </w:r>
      <w:r w:rsidRPr="00DA16CD">
        <w:t xml:space="preserve"> These</w:t>
      </w:r>
      <w:r w:rsidRPr="00C155C2">
        <w:t xml:space="preserve"> results provide a continuous monitor relative to different aspects of repeatability, e.g. intra- and inter-assay variation, intra- and inter-operator variation and intra- and inter-batch variation, which, when subjected to statistical analysis, provide an </w:t>
      </w:r>
      <w:r w:rsidRPr="00C155C2">
        <w:lastRenderedPageBreak/>
        <w:t xml:space="preserve">expression of the level of robustness (precision) of a test procedure. The monitoring of assay quality control parameters for repeatability provides evidence that the assay is or is not performing as expected. For control samples to provide valid inferences about assay precision, they should be treated in </w:t>
      </w:r>
      <w:proofErr w:type="gramStart"/>
      <w:r w:rsidRPr="00C155C2">
        <w:t>exactly the same</w:t>
      </w:r>
      <w:proofErr w:type="gramEnd"/>
      <w:r w:rsidRPr="00C155C2">
        <w:t xml:space="preserve"> way as test samples in each run of the assay, e.g. including sample preparation such as extraction steps or dilution of serum samples for an antibody enzyme-linked immunosorbent assay (ELISA). </w:t>
      </w:r>
    </w:p>
    <w:p w14:paraId="0051A5F6" w14:textId="77777777" w:rsidR="007A7F7E" w:rsidRPr="00C155C2" w:rsidRDefault="007A7F7E" w:rsidP="007A7F7E">
      <w:pPr>
        <w:pStyle w:val="1Para"/>
      </w:pPr>
      <w:r w:rsidRPr="00C155C2">
        <w:t xml:space="preserve">The variation of the results for control samples can also be used as an estimate of those combined sources of uncertainty and is called the </w:t>
      </w:r>
      <w:r>
        <w:t>“</w:t>
      </w:r>
      <w:r w:rsidRPr="00C155C2">
        <w:t>top-down</w:t>
      </w:r>
      <w:r>
        <w:t>”</w:t>
      </w:r>
      <w:r w:rsidRPr="00C155C2">
        <w:t xml:space="preserve"> approach. This approach recognises that the components of precision will be manifest in the ultimate measurement. </w:t>
      </w:r>
      <w:proofErr w:type="gramStart"/>
      <w:r w:rsidRPr="00C155C2">
        <w:t>So</w:t>
      </w:r>
      <w:proofErr w:type="gramEnd"/>
      <w:r w:rsidRPr="00C155C2">
        <w:t xml:space="preserve"> monitoring the precision of the measurement over time will effectively show the combined effects of the imprecision associated with component steps. </w:t>
      </w:r>
    </w:p>
    <w:p w14:paraId="57587AF3" w14:textId="77777777" w:rsidR="007A7F7E" w:rsidRPr="00285E4B" w:rsidRDefault="007A7F7E" w:rsidP="007A7F7E">
      <w:pPr>
        <w:pStyle w:val="1Para"/>
      </w:pPr>
      <w:r w:rsidRPr="00A354FE">
        <w:t xml:space="preserve">The imprecision or uncertainty of the measurement process associated with a test result becomes increasingly more important the closer the test value is to the diagnostic cut-off value. This is because an interpretation is made relative to the assay threshold regarding the status of the test result as positive, negative, or inconclusive (as will be described in the following example). In this context, </w:t>
      </w:r>
      <w:r w:rsidRPr="0018028C">
        <w:rPr>
          <w:strike/>
        </w:rPr>
        <w:t>low</w:t>
      </w:r>
      <w:r>
        <w:rPr>
          <w:strike/>
        </w:rPr>
        <w:t xml:space="preserve"> </w:t>
      </w:r>
      <w:r w:rsidRPr="0018028C">
        <w:rPr>
          <w:u w:val="double"/>
        </w:rPr>
        <w:t>weak</w:t>
      </w:r>
      <w:r w:rsidRPr="00A354FE">
        <w:t xml:space="preserve"> positive samples, like those used in repeatability studies or as the </w:t>
      </w:r>
      <w:r w:rsidRPr="0018028C">
        <w:rPr>
          <w:strike/>
        </w:rPr>
        <w:t>low</w:t>
      </w:r>
      <w:r>
        <w:rPr>
          <w:strike/>
        </w:rPr>
        <w:t xml:space="preserve"> </w:t>
      </w:r>
      <w:r w:rsidRPr="0018028C">
        <w:rPr>
          <w:u w:val="double"/>
        </w:rPr>
        <w:t>weak</w:t>
      </w:r>
      <w:r w:rsidRPr="00A354FE">
        <w:t xml:space="preserve"> positive control, are most appropriate for estimation of MU. The rationale being that MU, which is a function of assay precision, is most critical at decision-making points (i.e. thresholds</w:t>
      </w:r>
      <w:r>
        <w:t xml:space="preserve"> </w:t>
      </w:r>
      <w:r w:rsidRPr="00285E4B">
        <w:rPr>
          <w:u w:val="double"/>
        </w:rPr>
        <w:t>or cut-offs</w:t>
      </w:r>
      <w:r w:rsidRPr="00A354FE">
        <w:t>)</w:t>
      </w:r>
      <w:r>
        <w:t>,</w:t>
      </w:r>
      <w:r w:rsidRPr="00A354FE">
        <w:t xml:space="preserve"> which are usually near the lower limit of detection for the assay. In this chapter, the application of MU with respect to cut-off (threshold) values, whether recommended by test-kit manufacturers or determined in the diagnostic laboratory, is described.</w:t>
      </w:r>
    </w:p>
    <w:p w14:paraId="78719909" w14:textId="77777777" w:rsidR="007A7F7E" w:rsidRPr="00285E4B" w:rsidRDefault="007A7F7E" w:rsidP="007A7F7E">
      <w:pPr>
        <w:pStyle w:val="para1"/>
        <w:rPr>
          <w:rFonts w:eastAsia="Times New Roman"/>
          <w:u w:val="double"/>
          <w:lang w:val="en-AU" w:eastAsia="en-AU"/>
        </w:rPr>
      </w:pPr>
      <w:r w:rsidRPr="00285E4B">
        <w:rPr>
          <w:u w:val="double"/>
          <w:lang w:val="en-IE"/>
        </w:rPr>
        <w:t xml:space="preserve">MU, using the top-down approach, ideally requires long-term accumulated data from a weak positive control sample after multiple </w:t>
      </w:r>
      <w:proofErr w:type="gramStart"/>
      <w:r w:rsidRPr="00285E4B">
        <w:rPr>
          <w:u w:val="double"/>
          <w:lang w:val="en-IE"/>
        </w:rPr>
        <w:t>test</w:t>
      </w:r>
      <w:proofErr w:type="gramEnd"/>
      <w:r w:rsidRPr="00285E4B">
        <w:rPr>
          <w:u w:val="double"/>
          <w:lang w:val="en-IE"/>
        </w:rPr>
        <w:t xml:space="preserve"> runs over time, with multiple operators and variable conditions. The examples given below are based on 10 data </w:t>
      </w:r>
      <w:proofErr w:type="gramStart"/>
      <w:r w:rsidRPr="00285E4B">
        <w:rPr>
          <w:u w:val="double"/>
          <w:lang w:val="en-IE"/>
        </w:rPr>
        <w:t>points</w:t>
      </w:r>
      <w:proofErr w:type="gramEnd"/>
      <w:r w:rsidRPr="00285E4B">
        <w:rPr>
          <w:u w:val="double"/>
          <w:lang w:val="en-IE"/>
        </w:rPr>
        <w:t xml:space="preserve"> but higher numbers will increase robustness.</w:t>
      </w:r>
    </w:p>
    <w:p w14:paraId="3908F7EA" w14:textId="77777777" w:rsidR="007A7F7E" w:rsidRPr="00C155C2" w:rsidRDefault="007A7F7E" w:rsidP="007A7F7E">
      <w:pPr>
        <w:pStyle w:val="1"/>
      </w:pPr>
      <w:r w:rsidRPr="00C155C2">
        <w:t>2.</w:t>
      </w:r>
      <w:r w:rsidRPr="00C155C2">
        <w:tab/>
        <w:t>Example of MU calculations in ELISA serology</w:t>
      </w:r>
    </w:p>
    <w:p w14:paraId="281B9969" w14:textId="77777777" w:rsidR="007A7F7E" w:rsidRDefault="007A7F7E" w:rsidP="007A7F7E">
      <w:pPr>
        <w:pStyle w:val="1Para"/>
      </w:pPr>
      <w:r w:rsidRPr="00C155C2">
        <w:t xml:space="preserve">For most antibody detection tests, it is important to remember that </w:t>
      </w:r>
      <w:proofErr w:type="gramStart"/>
      <w:r w:rsidRPr="00C155C2">
        <w:t>the majority of</w:t>
      </w:r>
      <w:proofErr w:type="gramEnd"/>
      <w:r w:rsidRPr="00C155C2">
        <w:t xml:space="preserve"> tests are measurements of antibody activity </w:t>
      </w:r>
      <w:r w:rsidRPr="00C155C2">
        <w:rPr>
          <w:bCs/>
        </w:rPr>
        <w:t>relative to a threshold</w:t>
      </w:r>
      <w:r w:rsidRPr="00C155C2">
        <w:t xml:space="preserve"> against which a dichotomous interpretation of positive or negative is applied. This is important because it helps to decide where application of MU is appropriate. In serology, uncertainty is frequently most relevant at the threshold between positive and negative determinations. Results falling into this zone are also described as intermediate, inconclusive, </w:t>
      </w:r>
      <w:proofErr w:type="gramStart"/>
      <w:r w:rsidRPr="00C155C2">
        <w:t>suspicious</w:t>
      </w:r>
      <w:proofErr w:type="gramEnd"/>
      <w:r w:rsidRPr="00C155C2">
        <w:t xml:space="preserve"> or equivocal (see </w:t>
      </w:r>
      <w:r w:rsidRPr="00C0193F">
        <w:rPr>
          <w:strike/>
        </w:rPr>
        <w:t xml:space="preserve">the WOAH Validation Standard, </w:t>
      </w:r>
      <w:r w:rsidRPr="00C0193F">
        <w:rPr>
          <w:u w:val="double"/>
        </w:rPr>
        <w:t>chapter 1.1.6</w:t>
      </w:r>
      <w:r w:rsidRPr="00DA16CD">
        <w:t>, Section B.2.4</w:t>
      </w:r>
      <w:r w:rsidRPr="005F49AB">
        <w:t xml:space="preserve"> </w:t>
      </w:r>
      <w:r w:rsidRPr="00424A87">
        <w:rPr>
          <w:i/>
          <w:iCs/>
          <w:u w:val="double"/>
        </w:rPr>
        <w:t>Selection of a cut-off</w:t>
      </w:r>
      <w:r w:rsidRPr="00424A87">
        <w:rPr>
          <w:u w:val="double"/>
        </w:rPr>
        <w:t xml:space="preserve"> (</w:t>
      </w:r>
      <w:r w:rsidRPr="00424A87">
        <w:rPr>
          <w:i/>
          <w:iCs/>
          <w:u w:val="double"/>
        </w:rPr>
        <w:t>threshold</w:t>
      </w:r>
      <w:r w:rsidRPr="00424A87">
        <w:rPr>
          <w:u w:val="double"/>
        </w:rPr>
        <w:t xml:space="preserve">) </w:t>
      </w:r>
      <w:r w:rsidRPr="00424A87">
        <w:rPr>
          <w:i/>
          <w:iCs/>
          <w:u w:val="double"/>
        </w:rPr>
        <w:t>value for classification of test results</w:t>
      </w:r>
      <w:r w:rsidRPr="00DA16CD">
        <w:t>).</w:t>
      </w:r>
      <w:r w:rsidRPr="00C155C2">
        <w:t xml:space="preserve"> </w:t>
      </w:r>
    </w:p>
    <w:p w14:paraId="45D91CF9" w14:textId="77777777" w:rsidR="007A7F7E" w:rsidRPr="00B716B9" w:rsidRDefault="007A7F7E" w:rsidP="007A7F7E">
      <w:pPr>
        <w:pStyle w:val="1Para"/>
        <w:rPr>
          <w:lang w:val="en-IE"/>
        </w:rPr>
      </w:pPr>
      <w:r w:rsidRPr="00C155C2">
        <w:t xml:space="preserve">A limited data set from a competitive ELISA for antibody to avian influenza virus is used as an example of a “top-down” approach for serology. A </w:t>
      </w:r>
      <w:r w:rsidRPr="0018028C">
        <w:rPr>
          <w:strike/>
        </w:rPr>
        <w:t>low</w:t>
      </w:r>
      <w:r>
        <w:rPr>
          <w:strike/>
        </w:rPr>
        <w:t xml:space="preserve"> </w:t>
      </w:r>
      <w:r w:rsidRPr="0018028C">
        <w:rPr>
          <w:u w:val="double"/>
        </w:rPr>
        <w:t>weak</w:t>
      </w:r>
      <w:r w:rsidRPr="00A354FE">
        <w:t xml:space="preserve"> </w:t>
      </w:r>
      <w:r w:rsidRPr="00C155C2">
        <w:t>positive control sample was used to calculate MU at the cut-off level</w:t>
      </w:r>
      <w:r w:rsidRPr="00C36A3E">
        <w:rPr>
          <w:rStyle w:val="FootnoteReference"/>
          <w:u w:val="double"/>
          <w:lang w:val="en-IE"/>
        </w:rPr>
        <w:footnoteReference w:id="2"/>
      </w:r>
      <w:r>
        <w:t>.</w:t>
      </w:r>
    </w:p>
    <w:p w14:paraId="35394F67" w14:textId="77777777" w:rsidR="007A7F7E" w:rsidRPr="00C155C2" w:rsidRDefault="007A7F7E" w:rsidP="007A7F7E">
      <w:pPr>
        <w:pStyle w:val="11"/>
      </w:pPr>
      <w:r w:rsidRPr="00C155C2">
        <w:t>2.1.</w:t>
      </w:r>
      <w:r w:rsidRPr="00C155C2">
        <w:tab/>
        <w:t>Method of expression of MU</w:t>
      </w:r>
    </w:p>
    <w:p w14:paraId="72A7FF2D" w14:textId="77777777" w:rsidR="007A7F7E" w:rsidRPr="00C155C2" w:rsidRDefault="007A7F7E" w:rsidP="007A7F7E">
      <w:pPr>
        <w:pStyle w:val="11Para"/>
      </w:pPr>
      <w:r w:rsidRPr="00C155C2">
        <w:t xml:space="preserve">As the uncertainty is to be estimated at the threshold, which is not necessarily the reaction level of the </w:t>
      </w:r>
      <w:r w:rsidRPr="0018028C">
        <w:rPr>
          <w:strike/>
        </w:rPr>
        <w:t>low</w:t>
      </w:r>
      <w:r>
        <w:rPr>
          <w:strike/>
        </w:rPr>
        <w:t xml:space="preserve"> </w:t>
      </w:r>
      <w:r w:rsidRPr="0018028C">
        <w:rPr>
          <w:u w:val="double"/>
        </w:rPr>
        <w:t>weak</w:t>
      </w:r>
      <w:r w:rsidRPr="00A354FE">
        <w:t xml:space="preserve"> </w:t>
      </w:r>
      <w:r w:rsidRPr="00C155C2">
        <w:t xml:space="preserve">positive control serum, the </w:t>
      </w:r>
      <w:r w:rsidRPr="00C155C2">
        <w:rPr>
          <w:bCs/>
        </w:rPr>
        <w:t>relative standard deviation</w:t>
      </w:r>
      <w:r w:rsidRPr="00C155C2">
        <w:t xml:space="preserve"> (RSD)</w:t>
      </w:r>
      <w:r w:rsidRPr="00C155C2">
        <w:rPr>
          <w:bCs/>
        </w:rPr>
        <w:t xml:space="preserve">, </w:t>
      </w:r>
      <w:r w:rsidRPr="00C155C2">
        <w:t xml:space="preserve">or coefficient of variation (CV), if expressed as a percentage, provides a convenient transformation: </w:t>
      </w:r>
    </w:p>
    <w:tbl>
      <w:tblPr>
        <w:tblW w:w="0" w:type="auto"/>
        <w:tblInd w:w="3686" w:type="dxa"/>
        <w:tblLayout w:type="fixed"/>
        <w:tblLook w:val="04A0" w:firstRow="1" w:lastRow="0" w:firstColumn="1" w:lastColumn="0" w:noHBand="0" w:noVBand="1"/>
      </w:tblPr>
      <w:tblGrid>
        <w:gridCol w:w="590"/>
        <w:gridCol w:w="397"/>
        <w:gridCol w:w="236"/>
        <w:gridCol w:w="397"/>
        <w:gridCol w:w="397"/>
        <w:gridCol w:w="1101"/>
        <w:gridCol w:w="284"/>
      </w:tblGrid>
      <w:tr w:rsidR="008D67F5" w:rsidRPr="00CA2A27" w14:paraId="290679E9" w14:textId="77777777" w:rsidTr="008D67F5">
        <w:tc>
          <w:tcPr>
            <w:tcW w:w="590" w:type="dxa"/>
            <w:shd w:val="clear" w:color="auto" w:fill="auto"/>
          </w:tcPr>
          <w:p w14:paraId="34C3CA28" w14:textId="77777777" w:rsidR="008D67F5" w:rsidRPr="00966403" w:rsidRDefault="008D67F5" w:rsidP="001200F4">
            <w:pPr>
              <w:pStyle w:val="ipara"/>
              <w:spacing w:after="0" w:line="240" w:lineRule="auto"/>
              <w:ind w:left="-113"/>
              <w:jc w:val="left"/>
            </w:pPr>
            <w:r w:rsidRPr="00966403">
              <w:t>RSD</w:t>
            </w:r>
          </w:p>
        </w:tc>
        <w:tc>
          <w:tcPr>
            <w:tcW w:w="397" w:type="dxa"/>
            <w:shd w:val="clear" w:color="auto" w:fill="auto"/>
          </w:tcPr>
          <w:p w14:paraId="562F3833" w14:textId="77777777" w:rsidR="008D67F5" w:rsidRPr="00966403" w:rsidRDefault="008D67F5" w:rsidP="001200F4">
            <w:pPr>
              <w:pStyle w:val="ipara"/>
              <w:spacing w:after="0" w:line="240" w:lineRule="auto"/>
              <w:ind w:left="-113"/>
              <w:jc w:val="left"/>
            </w:pPr>
            <w:r w:rsidRPr="00966403">
              <w:t>(X)</w:t>
            </w:r>
          </w:p>
        </w:tc>
        <w:tc>
          <w:tcPr>
            <w:tcW w:w="236" w:type="dxa"/>
            <w:shd w:val="clear" w:color="auto" w:fill="auto"/>
          </w:tcPr>
          <w:p w14:paraId="6C8BCF6F" w14:textId="77777777" w:rsidR="008D67F5" w:rsidRPr="00966403" w:rsidRDefault="008D67F5" w:rsidP="001200F4">
            <w:pPr>
              <w:pStyle w:val="ipara"/>
              <w:spacing w:after="0" w:line="240" w:lineRule="auto"/>
              <w:ind w:left="-113"/>
              <w:jc w:val="left"/>
            </w:pPr>
            <w:r w:rsidRPr="00966403">
              <w:t>=</w:t>
            </w:r>
          </w:p>
        </w:tc>
        <w:tc>
          <w:tcPr>
            <w:tcW w:w="397" w:type="dxa"/>
            <w:shd w:val="clear" w:color="auto" w:fill="auto"/>
          </w:tcPr>
          <w:p w14:paraId="4AA1C1D2" w14:textId="77777777" w:rsidR="008D67F5" w:rsidRPr="00966403" w:rsidRDefault="008D67F5" w:rsidP="001200F4">
            <w:pPr>
              <w:pStyle w:val="ipara"/>
              <w:spacing w:after="0" w:line="240" w:lineRule="auto"/>
              <w:ind w:left="-113"/>
              <w:jc w:val="left"/>
            </w:pPr>
            <w:r w:rsidRPr="00966403">
              <w:t>SD</w:t>
            </w:r>
          </w:p>
        </w:tc>
        <w:tc>
          <w:tcPr>
            <w:tcW w:w="397" w:type="dxa"/>
            <w:shd w:val="clear" w:color="auto" w:fill="auto"/>
          </w:tcPr>
          <w:p w14:paraId="3A956FBA" w14:textId="77777777" w:rsidR="008D67F5" w:rsidRPr="00966403" w:rsidRDefault="008D67F5" w:rsidP="001200F4">
            <w:pPr>
              <w:pStyle w:val="ipara"/>
              <w:spacing w:after="0" w:line="240" w:lineRule="auto"/>
              <w:ind w:left="-113"/>
              <w:jc w:val="left"/>
            </w:pPr>
            <w:r w:rsidRPr="00966403">
              <w:t>(X)</w:t>
            </w:r>
          </w:p>
        </w:tc>
        <w:tc>
          <w:tcPr>
            <w:tcW w:w="1385" w:type="dxa"/>
            <w:gridSpan w:val="2"/>
            <w:shd w:val="clear" w:color="auto" w:fill="auto"/>
          </w:tcPr>
          <w:p w14:paraId="11EC15A1" w14:textId="38A1A33E" w:rsidR="008D67F5" w:rsidRPr="00CA2A27" w:rsidRDefault="008D67F5" w:rsidP="001200F4">
            <w:pPr>
              <w:pStyle w:val="ipara"/>
              <w:spacing w:after="0" w:line="240" w:lineRule="auto"/>
              <w:ind w:left="-113"/>
              <w:jc w:val="left"/>
              <w:rPr>
                <w:highlight w:val="yellow"/>
              </w:rPr>
            </w:pPr>
            <w:r w:rsidRPr="00966403">
              <w:t>/</w:t>
            </w:r>
            <w:proofErr w:type="gramStart"/>
            <w:r w:rsidRPr="00CA2A27">
              <w:rPr>
                <w:highlight w:val="yellow"/>
                <w:u w:val="double"/>
              </w:rPr>
              <w:t>mean</w:t>
            </w:r>
            <w:proofErr w:type="gramEnd"/>
            <w:r w:rsidRPr="00966403">
              <w:t xml:space="preserve"> (</w:t>
            </w:r>
            <m:oMath>
              <m:acc>
                <m:accPr>
                  <m:chr m:val="̅"/>
                  <m:ctrlPr>
                    <w:rPr>
                      <w:rFonts w:ascii="Cambria Math" w:hAnsi="Cambria Math"/>
                      <w:i/>
                    </w:rPr>
                  </m:ctrlPr>
                </m:accPr>
                <m:e>
                  <m:r>
                    <m:rPr>
                      <m:sty m:val="p"/>
                    </m:rPr>
                    <w:rPr>
                      <w:rFonts w:ascii="Cambria Math"/>
                    </w:rPr>
                    <m:t>X</m:t>
                  </m:r>
                </m:e>
              </m:acc>
            </m:oMath>
            <w:r w:rsidRPr="00966403">
              <w:t>)</w:t>
            </w:r>
          </w:p>
        </w:tc>
      </w:tr>
      <w:tr w:rsidR="007A7F7E" w:rsidRPr="00C155C2" w14:paraId="51454105" w14:textId="77777777" w:rsidTr="008D67F5">
        <w:trPr>
          <w:gridAfter w:val="1"/>
          <w:wAfter w:w="284" w:type="dxa"/>
        </w:trPr>
        <w:tc>
          <w:tcPr>
            <w:tcW w:w="590" w:type="dxa"/>
            <w:shd w:val="clear" w:color="auto" w:fill="auto"/>
          </w:tcPr>
          <w:p w14:paraId="28B5DC34" w14:textId="59ADF2A7" w:rsidR="007A7F7E" w:rsidRPr="00C155C2" w:rsidRDefault="007A7F7E">
            <w:pPr>
              <w:pStyle w:val="ipara"/>
              <w:spacing w:after="0" w:line="240" w:lineRule="auto"/>
              <w:ind w:left="-113"/>
              <w:jc w:val="left"/>
            </w:pPr>
          </w:p>
        </w:tc>
        <w:tc>
          <w:tcPr>
            <w:tcW w:w="397" w:type="dxa"/>
            <w:shd w:val="clear" w:color="auto" w:fill="auto"/>
          </w:tcPr>
          <w:p w14:paraId="63CD845D" w14:textId="45794DE4" w:rsidR="007A7F7E" w:rsidRPr="00C155C2" w:rsidRDefault="007A7F7E">
            <w:pPr>
              <w:pStyle w:val="ipara"/>
              <w:spacing w:after="0" w:line="240" w:lineRule="auto"/>
              <w:ind w:left="-113"/>
              <w:jc w:val="left"/>
            </w:pPr>
          </w:p>
        </w:tc>
        <w:tc>
          <w:tcPr>
            <w:tcW w:w="236" w:type="dxa"/>
            <w:shd w:val="clear" w:color="auto" w:fill="auto"/>
          </w:tcPr>
          <w:p w14:paraId="5E5BDCF1" w14:textId="382D85F8" w:rsidR="007A7F7E" w:rsidRPr="00C155C2" w:rsidRDefault="007A7F7E">
            <w:pPr>
              <w:pStyle w:val="ipara"/>
              <w:spacing w:after="0" w:line="240" w:lineRule="auto"/>
              <w:ind w:left="-113"/>
              <w:jc w:val="left"/>
            </w:pPr>
          </w:p>
        </w:tc>
        <w:tc>
          <w:tcPr>
            <w:tcW w:w="397" w:type="dxa"/>
            <w:shd w:val="clear" w:color="auto" w:fill="auto"/>
          </w:tcPr>
          <w:p w14:paraId="0537FEBE" w14:textId="20535696" w:rsidR="007A7F7E" w:rsidRPr="00C155C2" w:rsidRDefault="007A7F7E">
            <w:pPr>
              <w:pStyle w:val="ipara"/>
              <w:spacing w:after="0" w:line="240" w:lineRule="auto"/>
              <w:ind w:left="-113"/>
              <w:jc w:val="left"/>
            </w:pPr>
          </w:p>
        </w:tc>
        <w:tc>
          <w:tcPr>
            <w:tcW w:w="397" w:type="dxa"/>
            <w:shd w:val="clear" w:color="auto" w:fill="auto"/>
          </w:tcPr>
          <w:p w14:paraId="503475CC" w14:textId="45D89184" w:rsidR="007A7F7E" w:rsidRPr="00C155C2" w:rsidRDefault="007A7F7E">
            <w:pPr>
              <w:pStyle w:val="ipara"/>
              <w:spacing w:after="0" w:line="240" w:lineRule="auto"/>
              <w:ind w:left="-113"/>
              <w:jc w:val="left"/>
            </w:pPr>
          </w:p>
        </w:tc>
        <w:tc>
          <w:tcPr>
            <w:tcW w:w="1101" w:type="dxa"/>
            <w:shd w:val="clear" w:color="auto" w:fill="auto"/>
          </w:tcPr>
          <w:p w14:paraId="69252690" w14:textId="77777777" w:rsidR="007A7F7E" w:rsidRPr="00C155C2" w:rsidRDefault="007A7F7E">
            <w:pPr>
              <w:pStyle w:val="ipara"/>
              <w:spacing w:after="0" w:line="240" w:lineRule="auto"/>
              <w:ind w:left="0"/>
              <w:jc w:val="left"/>
            </w:pPr>
          </w:p>
        </w:tc>
      </w:tr>
    </w:tbl>
    <w:p w14:paraId="789035EA" w14:textId="753BB9C4" w:rsidR="00E51CF7" w:rsidRDefault="00E51CF7" w:rsidP="00E51CF7">
      <w:pPr>
        <w:pStyle w:val="11Para"/>
        <w:jc w:val="center"/>
      </w:pPr>
      <w:r w:rsidRPr="00E51CF7">
        <w:rPr>
          <w:highlight w:val="yellow"/>
          <w:u w:val="double"/>
        </w:rPr>
        <w:t>X represents the set of replicates</w:t>
      </w:r>
    </w:p>
    <w:p w14:paraId="68DC4D6E" w14:textId="1A19C3B5" w:rsidR="007A7F7E" w:rsidRDefault="007A7F7E" w:rsidP="007A7F7E">
      <w:pPr>
        <w:pStyle w:val="11Para"/>
      </w:pPr>
      <w:r w:rsidRPr="00C155C2">
        <w:t xml:space="preserve">To simplify assessment, </w:t>
      </w:r>
      <w:proofErr w:type="gramStart"/>
      <w:r w:rsidRPr="00743861">
        <w:rPr>
          <w:strike/>
          <w:highlight w:val="yellow"/>
        </w:rPr>
        <w:t xml:space="preserve">the </w:t>
      </w:r>
      <w:r w:rsidR="00743861" w:rsidRPr="00743861">
        <w:rPr>
          <w:highlight w:val="yellow"/>
          <w:u w:val="double"/>
        </w:rPr>
        <w:t>a</w:t>
      </w:r>
      <w:proofErr w:type="gramEnd"/>
      <w:r w:rsidR="00743861" w:rsidRPr="00743861">
        <w:rPr>
          <w:highlight w:val="yellow"/>
          <w:u w:val="double"/>
        </w:rPr>
        <w:t xml:space="preserve"> suitably</w:t>
      </w:r>
      <w:r w:rsidR="00743861" w:rsidRPr="00C155C2">
        <w:t xml:space="preserve"> </w:t>
      </w:r>
      <w:r w:rsidRPr="00C155C2">
        <w:t xml:space="preserve">transformed result </w:t>
      </w:r>
      <w:r w:rsidR="005E7434" w:rsidRPr="005E7434">
        <w:rPr>
          <w:highlight w:val="yellow"/>
          <w:u w:val="double"/>
        </w:rPr>
        <w:t>(such as sample-to-positive ratio, per</w:t>
      </w:r>
      <w:r w:rsidR="005E7434">
        <w:rPr>
          <w:highlight w:val="yellow"/>
          <w:u w:val="double"/>
        </w:rPr>
        <w:t xml:space="preserve"> </w:t>
      </w:r>
      <w:r w:rsidR="005E7434" w:rsidRPr="005E7434">
        <w:rPr>
          <w:highlight w:val="yellow"/>
          <w:u w:val="double"/>
        </w:rPr>
        <w:t>cent inhibition, or background-corrected optical density)</w:t>
      </w:r>
      <w:r w:rsidR="005E7434" w:rsidRPr="00C155C2">
        <w:t xml:space="preserve"> </w:t>
      </w:r>
      <w:r w:rsidRPr="00C155C2">
        <w:t>is regarded as the assay output result, which is the</w:t>
      </w:r>
      <w:r w:rsidR="005E7434" w:rsidRPr="005E7434">
        <w:rPr>
          <w:highlight w:val="yellow"/>
          <w:u w:val="double"/>
        </w:rPr>
        <w:t>n</w:t>
      </w:r>
      <w:r w:rsidRPr="00C155C2">
        <w:t xml:space="preserve"> averaged across the number of replicates (</w:t>
      </w:r>
      <m:oMath>
        <m:acc>
          <m:accPr>
            <m:chr m:val="̅"/>
            <m:ctrlPr>
              <w:rPr>
                <w:rFonts w:ascii="Cambria Math" w:hAnsi="Cambria Math"/>
                <w:i/>
              </w:rPr>
            </m:ctrlPr>
          </m:accPr>
          <m:e>
            <m:r>
              <m:rPr>
                <m:sty m:val="p"/>
              </m:rPr>
              <w:rPr>
                <w:rFonts w:ascii="Cambria Math"/>
              </w:rPr>
              <m:t>X</m:t>
            </m:r>
          </m:e>
        </m:acc>
      </m:oMath>
      <w:r w:rsidRPr="00C155C2">
        <w:t xml:space="preserve">). In the case of this example, a competitive ELISA, results are “normalised” (as defined in </w:t>
      </w:r>
      <w:r w:rsidRPr="00C0193F">
        <w:rPr>
          <w:strike/>
        </w:rPr>
        <w:t xml:space="preserve">the WOAH Validation Standard, </w:t>
      </w:r>
      <w:r w:rsidRPr="00C0193F">
        <w:rPr>
          <w:u w:val="double"/>
        </w:rPr>
        <w:t>chapter 1.1.6</w:t>
      </w:r>
      <w:r w:rsidRPr="00DA16CD">
        <w:t>, Section A.2.7</w:t>
      </w:r>
      <w:r>
        <w:t xml:space="preserve"> </w:t>
      </w:r>
      <w:r w:rsidRPr="00424A87">
        <w:rPr>
          <w:i/>
          <w:iCs/>
          <w:u w:val="double"/>
        </w:rPr>
        <w:t>‘Normalising’ test results to a working standard</w:t>
      </w:r>
      <w:r w:rsidRPr="00DA16CD">
        <w:t>) to a</w:t>
      </w:r>
      <w:r w:rsidRPr="00C155C2">
        <w:t xml:space="preserve"> working standard by forming a ratio of all optical density (OD) values to the OD result of a non-reactive (negative) control (OD</w:t>
      </w:r>
      <w:r w:rsidRPr="00F85103">
        <w:rPr>
          <w:vertAlign w:val="subscript"/>
        </w:rPr>
        <w:t>N</w:t>
      </w:r>
      <w:r w:rsidRPr="00C155C2">
        <w:t xml:space="preserve">). This ratio is subtracted from 1 to set the level of antibody activity on a positive correlation </w:t>
      </w:r>
      <w:proofErr w:type="gramStart"/>
      <w:r w:rsidRPr="00C155C2">
        <w:t>scale;</w:t>
      </w:r>
      <w:proofErr w:type="gramEnd"/>
      <w:r w:rsidRPr="00C155C2">
        <w:t xml:space="preserve"> the greater the level, the greater the calculated value. This adjusted value is expressed as a per cent and referred to as the percentage inhibition or PI value. </w:t>
      </w:r>
      <w:proofErr w:type="gramStart"/>
      <w:r w:rsidRPr="00C155C2">
        <w:t>So</w:t>
      </w:r>
      <w:proofErr w:type="gramEnd"/>
      <w:r w:rsidRPr="00C155C2">
        <w:t xml:space="preserve"> for the </w:t>
      </w:r>
      <w:r w:rsidRPr="0018028C">
        <w:rPr>
          <w:strike/>
        </w:rPr>
        <w:t>low</w:t>
      </w:r>
      <w:r>
        <w:rPr>
          <w:strike/>
        </w:rPr>
        <w:t xml:space="preserve"> </w:t>
      </w:r>
      <w:r w:rsidRPr="0018028C">
        <w:rPr>
          <w:u w:val="double"/>
        </w:rPr>
        <w:t>weak</w:t>
      </w:r>
      <w:r w:rsidRPr="00A354FE">
        <w:t xml:space="preserve"> </w:t>
      </w:r>
      <w:r w:rsidRPr="00C155C2">
        <w:t>positive control serum (OD</w:t>
      </w:r>
      <w:r w:rsidRPr="00A7000C">
        <w:rPr>
          <w:strike/>
          <w:highlight w:val="yellow"/>
          <w:vertAlign w:val="subscript"/>
        </w:rPr>
        <w:t>L</w:t>
      </w:r>
      <w:r w:rsidR="0070799D" w:rsidRPr="00A7000C">
        <w:rPr>
          <w:highlight w:val="yellow"/>
          <w:u w:val="double"/>
          <w:vertAlign w:val="subscript"/>
        </w:rPr>
        <w:t>W</w:t>
      </w:r>
      <w:r w:rsidRPr="00C155C2">
        <w:t xml:space="preserve">), the transformation to obtain the per cent inhibition values for the </w:t>
      </w:r>
      <w:r w:rsidRPr="0018028C">
        <w:rPr>
          <w:strike/>
        </w:rPr>
        <w:t>low</w:t>
      </w:r>
      <w:r>
        <w:rPr>
          <w:strike/>
        </w:rPr>
        <w:t xml:space="preserve"> </w:t>
      </w:r>
      <w:r w:rsidRPr="0018028C">
        <w:rPr>
          <w:u w:val="double"/>
        </w:rPr>
        <w:t>weak</w:t>
      </w:r>
      <w:r w:rsidRPr="00C155C2">
        <w:t xml:space="preserve"> positive</w:t>
      </w:r>
      <w:r w:rsidRPr="00C155C2">
        <w:rPr>
          <w:bCs/>
        </w:rPr>
        <w:t xml:space="preserve"> control (PI</w:t>
      </w:r>
      <w:r w:rsidR="00A7000C" w:rsidRPr="00A7000C">
        <w:rPr>
          <w:strike/>
          <w:highlight w:val="yellow"/>
          <w:vertAlign w:val="subscript"/>
        </w:rPr>
        <w:t>L</w:t>
      </w:r>
      <w:r w:rsidR="00A7000C" w:rsidRPr="00A7000C">
        <w:rPr>
          <w:highlight w:val="yellow"/>
          <w:u w:val="double"/>
          <w:vertAlign w:val="subscript"/>
        </w:rPr>
        <w:t>W</w:t>
      </w:r>
      <w:r w:rsidRPr="00F85103">
        <w:t>) is</w:t>
      </w:r>
      <w:r w:rsidRPr="00C155C2">
        <w:t>:</w:t>
      </w:r>
    </w:p>
    <w:p w14:paraId="4A2CE9CA" w14:textId="7F51158A" w:rsidR="007A7F7E" w:rsidRDefault="007A7F7E" w:rsidP="007A7F7E">
      <w:pPr>
        <w:pStyle w:val="ipara"/>
        <w:spacing w:before="240"/>
        <w:ind w:left="3544"/>
        <w:jc w:val="left"/>
        <w:rPr>
          <w:bCs/>
        </w:rPr>
      </w:pPr>
      <w:r w:rsidRPr="00C155C2">
        <w:rPr>
          <w:bCs/>
        </w:rPr>
        <w:t>PI</w:t>
      </w:r>
      <w:r w:rsidR="00975FC3" w:rsidRPr="00A7000C">
        <w:rPr>
          <w:strike/>
          <w:highlight w:val="yellow"/>
          <w:vertAlign w:val="subscript"/>
        </w:rPr>
        <w:t>L</w:t>
      </w:r>
      <w:r w:rsidR="00975FC3" w:rsidRPr="00A7000C">
        <w:rPr>
          <w:highlight w:val="yellow"/>
          <w:u w:val="double"/>
          <w:vertAlign w:val="subscript"/>
        </w:rPr>
        <w:t>W</w:t>
      </w:r>
      <w:r w:rsidRPr="00C155C2">
        <w:rPr>
          <w:bCs/>
        </w:rPr>
        <w:t xml:space="preserve"> = 100 × [1– {OD</w:t>
      </w:r>
      <w:r w:rsidR="00975FC3" w:rsidRPr="00A7000C">
        <w:rPr>
          <w:strike/>
          <w:highlight w:val="yellow"/>
          <w:vertAlign w:val="subscript"/>
        </w:rPr>
        <w:t>L</w:t>
      </w:r>
      <w:r w:rsidR="00975FC3" w:rsidRPr="00A7000C">
        <w:rPr>
          <w:highlight w:val="yellow"/>
          <w:u w:val="double"/>
          <w:vertAlign w:val="subscript"/>
        </w:rPr>
        <w:t>W</w:t>
      </w:r>
      <w:r w:rsidRPr="00C155C2">
        <w:rPr>
          <w:bCs/>
        </w:rPr>
        <w:t>/ OD</w:t>
      </w:r>
      <w:r w:rsidRPr="00F85103">
        <w:rPr>
          <w:bCs/>
          <w:vertAlign w:val="subscript"/>
        </w:rPr>
        <w:t>N</w:t>
      </w:r>
      <w:r w:rsidRPr="00C155C2">
        <w:rPr>
          <w:bCs/>
        </w:rPr>
        <w:t>}]</w:t>
      </w:r>
    </w:p>
    <w:p w14:paraId="3811BB3B" w14:textId="77777777" w:rsidR="007A7F7E" w:rsidRDefault="007A7F7E" w:rsidP="007A7F7E">
      <w:pPr>
        <w:pStyle w:val="ipara"/>
        <w:spacing w:after="240"/>
      </w:pPr>
      <w:r w:rsidRPr="008228AA">
        <w:lastRenderedPageBreak/>
        <w:t>The relative standard deviation becomes:</w:t>
      </w:r>
    </w:p>
    <w:p w14:paraId="1B489FE7" w14:textId="20CD9F8B" w:rsidR="007A7F7E" w:rsidRPr="00B716B9" w:rsidRDefault="007A7F7E" w:rsidP="007A7F7E">
      <w:pPr>
        <w:spacing w:before="240" w:after="120"/>
        <w:ind w:left="3544"/>
        <w:rPr>
          <w:lang w:val="en-IE"/>
        </w:rPr>
      </w:pPr>
      <w:r w:rsidRPr="00B716B9">
        <w:rPr>
          <w:rFonts w:ascii="Arial" w:hAnsi="Arial"/>
          <w:sz w:val="18"/>
          <w:lang w:val="en-IE"/>
        </w:rPr>
        <w:t>RSD (PI</w:t>
      </w:r>
      <w:r w:rsidR="00975FC3" w:rsidRPr="00975FC3">
        <w:rPr>
          <w:strike/>
          <w:sz w:val="18"/>
          <w:highlight w:val="yellow"/>
          <w:vertAlign w:val="subscript"/>
          <w:lang w:val="en-GB"/>
        </w:rPr>
        <w:t>L</w:t>
      </w:r>
      <w:r w:rsidR="00975FC3" w:rsidRPr="00975FC3">
        <w:rPr>
          <w:sz w:val="18"/>
          <w:highlight w:val="yellow"/>
          <w:u w:val="double"/>
          <w:vertAlign w:val="subscript"/>
          <w:lang w:val="en-GB"/>
        </w:rPr>
        <w:t>W</w:t>
      </w:r>
      <w:r w:rsidRPr="00B716B9">
        <w:rPr>
          <w:rFonts w:ascii="Arial" w:hAnsi="Arial"/>
          <w:sz w:val="18"/>
          <w:lang w:val="en-IE"/>
        </w:rPr>
        <w:t>) = SD (PI</w:t>
      </w:r>
      <w:r w:rsidR="00975FC3" w:rsidRPr="00975FC3">
        <w:rPr>
          <w:strike/>
          <w:sz w:val="18"/>
          <w:highlight w:val="yellow"/>
          <w:vertAlign w:val="subscript"/>
          <w:lang w:val="en-GB"/>
        </w:rPr>
        <w:t>L</w:t>
      </w:r>
      <w:r w:rsidR="00975FC3" w:rsidRPr="00975FC3">
        <w:rPr>
          <w:sz w:val="18"/>
          <w:highlight w:val="yellow"/>
          <w:u w:val="double"/>
          <w:vertAlign w:val="subscript"/>
          <w:lang w:val="en-GB"/>
        </w:rPr>
        <w:t>W</w:t>
      </w:r>
      <w:r w:rsidRPr="00B716B9">
        <w:rPr>
          <w:rFonts w:ascii="Arial" w:hAnsi="Arial"/>
          <w:sz w:val="18"/>
          <w:lang w:val="en-IE"/>
        </w:rPr>
        <w:t xml:space="preserve">)/ </w:t>
      </w:r>
      <w:r w:rsidRPr="00955C24">
        <w:rPr>
          <w:rFonts w:ascii="Arial" w:hAnsi="Arial"/>
          <w:sz w:val="18"/>
          <w:highlight w:val="yellow"/>
          <w:u w:val="double"/>
          <w:lang w:val="en-IE"/>
        </w:rPr>
        <w:t>mean</w:t>
      </w:r>
      <w:r>
        <w:rPr>
          <w:rFonts w:ascii="Arial" w:hAnsi="Arial"/>
          <w:sz w:val="18"/>
          <w:lang w:val="en-IE"/>
        </w:rPr>
        <w:t xml:space="preserve"> </w:t>
      </w:r>
      <w:r w:rsidRPr="00B716B9">
        <w:rPr>
          <w:rFonts w:ascii="Arial" w:hAnsi="Arial"/>
          <w:sz w:val="18"/>
          <w:lang w:val="en-IE"/>
        </w:rPr>
        <w:t>(PI</w:t>
      </w:r>
      <w:r w:rsidR="00975FC3" w:rsidRPr="004A18F5">
        <w:rPr>
          <w:strike/>
          <w:sz w:val="18"/>
          <w:highlight w:val="yellow"/>
          <w:vertAlign w:val="subscript"/>
          <w:lang w:val="en-GB"/>
        </w:rPr>
        <w:t>L</w:t>
      </w:r>
      <w:r w:rsidR="00975FC3" w:rsidRPr="004A18F5">
        <w:rPr>
          <w:sz w:val="18"/>
          <w:highlight w:val="yellow"/>
          <w:u w:val="double"/>
          <w:vertAlign w:val="subscript"/>
          <w:lang w:val="en-GB"/>
        </w:rPr>
        <w:t>W</w:t>
      </w:r>
      <w:r w:rsidRPr="00B716B9">
        <w:rPr>
          <w:rFonts w:ascii="Arial" w:hAnsi="Arial"/>
          <w:sz w:val="18"/>
          <w:lang w:val="en-IE"/>
        </w:rPr>
        <w:t>)</w:t>
      </w:r>
    </w:p>
    <w:p w14:paraId="4C2B0FBF" w14:textId="77777777" w:rsidR="007A7F7E" w:rsidRPr="00C155C2" w:rsidRDefault="007A7F7E" w:rsidP="007A7F7E">
      <w:pPr>
        <w:pStyle w:val="11"/>
      </w:pPr>
      <w:r w:rsidRPr="00C155C2">
        <w:t>2.2.</w:t>
      </w:r>
      <w:r w:rsidRPr="00C155C2">
        <w:tab/>
        <w:t>Example</w:t>
      </w:r>
    </w:p>
    <w:p w14:paraId="2B080062" w14:textId="77777777" w:rsidR="007A7F7E" w:rsidRDefault="007A7F7E" w:rsidP="007A7F7E">
      <w:pPr>
        <w:pStyle w:val="11Para"/>
      </w:pPr>
      <w:r w:rsidRPr="00C155C2">
        <w:t xml:space="preserve">A limited data set for the AI competitive ELISA example is shown below. </w:t>
      </w:r>
      <w:r>
        <w:t xml:space="preserve">In the experiment, the operator tested the </w:t>
      </w:r>
      <w:r w:rsidRPr="0018028C">
        <w:rPr>
          <w:strike/>
        </w:rPr>
        <w:t>low</w:t>
      </w:r>
      <w:r>
        <w:rPr>
          <w:strike/>
        </w:rPr>
        <w:t xml:space="preserve"> </w:t>
      </w:r>
      <w:r w:rsidRPr="0018028C">
        <w:rPr>
          <w:u w:val="double"/>
        </w:rPr>
        <w:t>weak</w:t>
      </w:r>
      <w:r>
        <w:t xml:space="preserve"> positive control serum ten times in the same run. </w:t>
      </w:r>
      <w:r w:rsidRPr="00C155C2">
        <w:t>Ideally in the application of this “top down” method, a large</w:t>
      </w:r>
      <w:r>
        <w:t>r</w:t>
      </w:r>
      <w:r w:rsidRPr="00C155C2">
        <w:t xml:space="preserve"> data set would be used, which would enable accounting for effects on precision resulting from changes in operator and assay components (other than only the control serum). </w:t>
      </w:r>
    </w:p>
    <w:p w14:paraId="6D037BF3" w14:textId="77777777" w:rsidR="007A7F7E" w:rsidRDefault="007A7F7E" w:rsidP="007A7F7E">
      <w:pPr>
        <w:pStyle w:val="11Para"/>
        <w:ind w:left="0"/>
        <w:jc w:val="center"/>
        <w:rPr>
          <w:rFonts w:ascii="Söhne Kräftig" w:hAnsi="Söhne Kräftig"/>
          <w:i/>
          <w:iCs/>
          <w:u w:val="double"/>
        </w:rPr>
      </w:pPr>
      <w:r w:rsidRPr="006300A9">
        <w:rPr>
          <w:rFonts w:ascii="Söhne Kräftig" w:hAnsi="Söhne Kräftig"/>
          <w:b/>
          <w:bCs/>
          <w:i/>
          <w:iCs/>
          <w:u w:val="double"/>
        </w:rPr>
        <w:t>Table 1</w:t>
      </w:r>
      <w:r>
        <w:rPr>
          <w:rFonts w:ascii="Söhne Kräftig" w:hAnsi="Söhne Kräftig"/>
          <w:b/>
          <w:bCs/>
          <w:i/>
          <w:iCs/>
          <w:u w:val="double"/>
        </w:rPr>
        <w:t>.</w:t>
      </w:r>
      <w:r w:rsidRPr="006300A9">
        <w:rPr>
          <w:rFonts w:ascii="Söhne Kräftig" w:hAnsi="Söhne Kräftig"/>
          <w:i/>
          <w:iCs/>
          <w:u w:val="double"/>
        </w:rPr>
        <w:t xml:space="preserve"> Top-down or control sample approach for an influenza antibody C-ELISA</w:t>
      </w:r>
    </w:p>
    <w:tbl>
      <w:tblPr>
        <w:tblStyle w:val="TableGrid"/>
        <w:tblW w:w="0" w:type="auto"/>
        <w:jc w:val="center"/>
        <w:tblLook w:val="04A0" w:firstRow="1" w:lastRow="0" w:firstColumn="1" w:lastColumn="0" w:noHBand="0" w:noVBand="1"/>
      </w:tblPr>
      <w:tblGrid>
        <w:gridCol w:w="1700"/>
        <w:gridCol w:w="1701"/>
      </w:tblGrid>
      <w:tr w:rsidR="007A7F7E" w:rsidRPr="0013262E" w14:paraId="7D1F8E0C" w14:textId="77777777">
        <w:trPr>
          <w:jc w:val="center"/>
        </w:trPr>
        <w:tc>
          <w:tcPr>
            <w:tcW w:w="1700" w:type="dxa"/>
          </w:tcPr>
          <w:p w14:paraId="39B71D01" w14:textId="77777777" w:rsidR="007A7F7E" w:rsidRPr="0013262E" w:rsidRDefault="007A7F7E">
            <w:pPr>
              <w:pStyle w:val="11Para"/>
              <w:spacing w:before="60" w:after="60"/>
              <w:ind w:left="0"/>
              <w:jc w:val="center"/>
              <w:rPr>
                <w:sz w:val="16"/>
                <w:szCs w:val="16"/>
                <w:u w:val="double"/>
              </w:rPr>
            </w:pPr>
            <w:r w:rsidRPr="00B716B9">
              <w:rPr>
                <w:rFonts w:ascii="Söhne Kräftig" w:hAnsi="Söhne Kräftig"/>
                <w:i/>
              </w:rPr>
              <w:t>Test</w:t>
            </w:r>
          </w:p>
        </w:tc>
        <w:tc>
          <w:tcPr>
            <w:tcW w:w="1701" w:type="dxa"/>
          </w:tcPr>
          <w:p w14:paraId="40E06F6D" w14:textId="77777777" w:rsidR="007A7F7E" w:rsidRPr="0013262E" w:rsidRDefault="007A7F7E">
            <w:pPr>
              <w:pStyle w:val="11Para"/>
              <w:spacing w:before="60" w:after="60"/>
              <w:ind w:left="0"/>
              <w:jc w:val="center"/>
              <w:rPr>
                <w:sz w:val="16"/>
                <w:szCs w:val="16"/>
                <w:u w:val="double"/>
              </w:rPr>
            </w:pPr>
            <w:r w:rsidRPr="00B716B9">
              <w:rPr>
                <w:rFonts w:ascii="Söhne Kräftig" w:hAnsi="Söhne Kräftig"/>
                <w:i/>
              </w:rPr>
              <w:t xml:space="preserve">Pl </w:t>
            </w:r>
            <w:r w:rsidRPr="00B716B9">
              <w:rPr>
                <w:rFonts w:ascii="Söhne Kräftig" w:hAnsi="Söhne Kräftig"/>
              </w:rPr>
              <w:t>(</w:t>
            </w:r>
            <w:r w:rsidRPr="00B716B9">
              <w:rPr>
                <w:rFonts w:ascii="Söhne Kräftig" w:hAnsi="Söhne Kräftig"/>
                <w:i/>
              </w:rPr>
              <w:t>%</w:t>
            </w:r>
            <w:r w:rsidRPr="00B716B9">
              <w:rPr>
                <w:rFonts w:ascii="Söhne Kräftig" w:hAnsi="Söhne Kräftig"/>
              </w:rPr>
              <w:t>)</w:t>
            </w:r>
          </w:p>
        </w:tc>
      </w:tr>
      <w:tr w:rsidR="007A7F7E" w:rsidRPr="0013262E" w14:paraId="2739B717" w14:textId="77777777">
        <w:trPr>
          <w:jc w:val="center"/>
        </w:trPr>
        <w:tc>
          <w:tcPr>
            <w:tcW w:w="1700" w:type="dxa"/>
          </w:tcPr>
          <w:p w14:paraId="3E996050" w14:textId="77777777" w:rsidR="007A7F7E" w:rsidRPr="0013262E" w:rsidRDefault="007A7F7E">
            <w:pPr>
              <w:pStyle w:val="11Para"/>
              <w:spacing w:before="60" w:after="60"/>
              <w:ind w:left="0"/>
              <w:jc w:val="center"/>
              <w:rPr>
                <w:sz w:val="16"/>
                <w:szCs w:val="16"/>
                <w:u w:val="double"/>
              </w:rPr>
            </w:pPr>
            <w:r w:rsidRPr="00C155C2">
              <w:rPr>
                <w:sz w:val="16"/>
                <w:szCs w:val="16"/>
              </w:rPr>
              <w:t>1</w:t>
            </w:r>
          </w:p>
        </w:tc>
        <w:tc>
          <w:tcPr>
            <w:tcW w:w="1701" w:type="dxa"/>
          </w:tcPr>
          <w:p w14:paraId="1D10C3F1" w14:textId="77777777" w:rsidR="007A7F7E" w:rsidRPr="0013262E" w:rsidRDefault="007A7F7E">
            <w:pPr>
              <w:pStyle w:val="11Para"/>
              <w:spacing w:before="60" w:after="60"/>
              <w:ind w:left="0"/>
              <w:jc w:val="center"/>
              <w:rPr>
                <w:sz w:val="16"/>
                <w:szCs w:val="16"/>
                <w:u w:val="double"/>
              </w:rPr>
            </w:pPr>
            <w:r w:rsidRPr="00C155C2">
              <w:rPr>
                <w:sz w:val="16"/>
                <w:szCs w:val="16"/>
              </w:rPr>
              <w:t>56</w:t>
            </w:r>
          </w:p>
        </w:tc>
      </w:tr>
      <w:tr w:rsidR="007A7F7E" w:rsidRPr="0013262E" w14:paraId="0E42F4A5" w14:textId="77777777">
        <w:trPr>
          <w:jc w:val="center"/>
        </w:trPr>
        <w:tc>
          <w:tcPr>
            <w:tcW w:w="1700" w:type="dxa"/>
          </w:tcPr>
          <w:p w14:paraId="6C31AC38" w14:textId="77777777" w:rsidR="007A7F7E" w:rsidRPr="0013262E" w:rsidRDefault="007A7F7E">
            <w:pPr>
              <w:pStyle w:val="11Para"/>
              <w:spacing w:before="60" w:after="60"/>
              <w:ind w:left="0"/>
              <w:jc w:val="center"/>
              <w:rPr>
                <w:sz w:val="16"/>
                <w:szCs w:val="16"/>
                <w:u w:val="double"/>
              </w:rPr>
            </w:pPr>
            <w:r w:rsidRPr="00C155C2">
              <w:rPr>
                <w:sz w:val="16"/>
                <w:szCs w:val="16"/>
              </w:rPr>
              <w:t>2</w:t>
            </w:r>
          </w:p>
        </w:tc>
        <w:tc>
          <w:tcPr>
            <w:tcW w:w="1701" w:type="dxa"/>
          </w:tcPr>
          <w:p w14:paraId="48A8C965" w14:textId="77777777" w:rsidR="007A7F7E" w:rsidRPr="0013262E" w:rsidRDefault="007A7F7E">
            <w:pPr>
              <w:pStyle w:val="11Para"/>
              <w:spacing w:before="60" w:after="60"/>
              <w:ind w:left="0"/>
              <w:jc w:val="center"/>
              <w:rPr>
                <w:sz w:val="16"/>
                <w:szCs w:val="16"/>
                <w:u w:val="double"/>
              </w:rPr>
            </w:pPr>
            <w:r w:rsidRPr="00C155C2">
              <w:rPr>
                <w:sz w:val="16"/>
                <w:szCs w:val="16"/>
              </w:rPr>
              <w:t>56</w:t>
            </w:r>
          </w:p>
        </w:tc>
      </w:tr>
      <w:tr w:rsidR="007A7F7E" w:rsidRPr="0013262E" w14:paraId="6280A061" w14:textId="77777777">
        <w:trPr>
          <w:jc w:val="center"/>
        </w:trPr>
        <w:tc>
          <w:tcPr>
            <w:tcW w:w="1700" w:type="dxa"/>
          </w:tcPr>
          <w:p w14:paraId="39B02653" w14:textId="77777777" w:rsidR="007A7F7E" w:rsidRPr="0013262E" w:rsidRDefault="007A7F7E">
            <w:pPr>
              <w:pStyle w:val="11Para"/>
              <w:spacing w:before="60" w:after="60"/>
              <w:ind w:left="0"/>
              <w:jc w:val="center"/>
              <w:rPr>
                <w:sz w:val="16"/>
                <w:szCs w:val="16"/>
                <w:u w:val="double"/>
              </w:rPr>
            </w:pPr>
            <w:r w:rsidRPr="007B29E1">
              <w:rPr>
                <w:sz w:val="16"/>
                <w:szCs w:val="16"/>
              </w:rPr>
              <w:t>3</w:t>
            </w:r>
          </w:p>
        </w:tc>
        <w:tc>
          <w:tcPr>
            <w:tcW w:w="1701" w:type="dxa"/>
          </w:tcPr>
          <w:p w14:paraId="35BB0376" w14:textId="77777777" w:rsidR="007A7F7E" w:rsidRPr="0013262E" w:rsidRDefault="007A7F7E">
            <w:pPr>
              <w:pStyle w:val="11Para"/>
              <w:spacing w:before="60" w:after="60"/>
              <w:ind w:left="0"/>
              <w:jc w:val="center"/>
              <w:rPr>
                <w:sz w:val="16"/>
                <w:szCs w:val="16"/>
                <w:u w:val="double"/>
              </w:rPr>
            </w:pPr>
            <w:r w:rsidRPr="007B29E1">
              <w:rPr>
                <w:sz w:val="16"/>
                <w:szCs w:val="16"/>
              </w:rPr>
              <w:t>61</w:t>
            </w:r>
          </w:p>
        </w:tc>
      </w:tr>
      <w:tr w:rsidR="007A7F7E" w:rsidRPr="0013262E" w14:paraId="7B53941B" w14:textId="77777777">
        <w:trPr>
          <w:jc w:val="center"/>
        </w:trPr>
        <w:tc>
          <w:tcPr>
            <w:tcW w:w="1700" w:type="dxa"/>
          </w:tcPr>
          <w:p w14:paraId="7B959342" w14:textId="77777777" w:rsidR="007A7F7E" w:rsidRPr="0013262E" w:rsidRDefault="007A7F7E">
            <w:pPr>
              <w:pStyle w:val="11Para"/>
              <w:spacing w:before="60" w:after="60"/>
              <w:ind w:left="0"/>
              <w:jc w:val="center"/>
              <w:rPr>
                <w:sz w:val="16"/>
                <w:szCs w:val="16"/>
                <w:u w:val="double"/>
              </w:rPr>
            </w:pPr>
            <w:r w:rsidRPr="0044514F">
              <w:rPr>
                <w:sz w:val="16"/>
                <w:szCs w:val="16"/>
              </w:rPr>
              <w:t>4</w:t>
            </w:r>
          </w:p>
        </w:tc>
        <w:tc>
          <w:tcPr>
            <w:tcW w:w="1701" w:type="dxa"/>
          </w:tcPr>
          <w:p w14:paraId="343F4C01" w14:textId="77777777" w:rsidR="007A7F7E" w:rsidRPr="0013262E" w:rsidRDefault="007A7F7E">
            <w:pPr>
              <w:pStyle w:val="11Para"/>
              <w:spacing w:before="60" w:after="60"/>
              <w:ind w:left="0"/>
              <w:jc w:val="center"/>
              <w:rPr>
                <w:sz w:val="16"/>
                <w:szCs w:val="16"/>
                <w:u w:val="double"/>
              </w:rPr>
            </w:pPr>
            <w:r w:rsidRPr="0044514F">
              <w:rPr>
                <w:sz w:val="16"/>
                <w:szCs w:val="16"/>
              </w:rPr>
              <w:t>64</w:t>
            </w:r>
          </w:p>
        </w:tc>
      </w:tr>
      <w:tr w:rsidR="007A7F7E" w:rsidRPr="0013262E" w14:paraId="5B87D275" w14:textId="77777777">
        <w:trPr>
          <w:jc w:val="center"/>
        </w:trPr>
        <w:tc>
          <w:tcPr>
            <w:tcW w:w="1700" w:type="dxa"/>
          </w:tcPr>
          <w:p w14:paraId="5065D687" w14:textId="77777777" w:rsidR="007A7F7E" w:rsidRPr="0013262E" w:rsidRDefault="007A7F7E">
            <w:pPr>
              <w:pStyle w:val="11Para"/>
              <w:spacing w:before="60" w:after="60"/>
              <w:ind w:left="0"/>
              <w:jc w:val="center"/>
              <w:rPr>
                <w:sz w:val="16"/>
                <w:szCs w:val="16"/>
                <w:u w:val="double"/>
              </w:rPr>
            </w:pPr>
            <w:r w:rsidRPr="00C155C2">
              <w:rPr>
                <w:sz w:val="16"/>
                <w:szCs w:val="16"/>
              </w:rPr>
              <w:t>5</w:t>
            </w:r>
          </w:p>
        </w:tc>
        <w:tc>
          <w:tcPr>
            <w:tcW w:w="1701" w:type="dxa"/>
          </w:tcPr>
          <w:p w14:paraId="6DE3E9A8" w14:textId="77777777" w:rsidR="007A7F7E" w:rsidRPr="0013262E" w:rsidRDefault="007A7F7E">
            <w:pPr>
              <w:pStyle w:val="11Para"/>
              <w:spacing w:before="60" w:after="60"/>
              <w:ind w:left="0"/>
              <w:jc w:val="center"/>
              <w:rPr>
                <w:sz w:val="16"/>
                <w:szCs w:val="16"/>
                <w:u w:val="double"/>
              </w:rPr>
            </w:pPr>
            <w:r w:rsidRPr="00C155C2">
              <w:rPr>
                <w:sz w:val="16"/>
                <w:szCs w:val="16"/>
              </w:rPr>
              <w:t>51</w:t>
            </w:r>
          </w:p>
        </w:tc>
      </w:tr>
      <w:tr w:rsidR="007A7F7E" w:rsidRPr="0013262E" w14:paraId="39F8FB2A" w14:textId="77777777">
        <w:trPr>
          <w:jc w:val="center"/>
        </w:trPr>
        <w:tc>
          <w:tcPr>
            <w:tcW w:w="1700" w:type="dxa"/>
          </w:tcPr>
          <w:p w14:paraId="04A1B93C" w14:textId="77777777" w:rsidR="007A7F7E" w:rsidRPr="0013262E" w:rsidRDefault="007A7F7E">
            <w:pPr>
              <w:pStyle w:val="11Para"/>
              <w:spacing w:before="60" w:after="60"/>
              <w:ind w:left="0"/>
              <w:jc w:val="center"/>
              <w:rPr>
                <w:sz w:val="16"/>
                <w:szCs w:val="16"/>
                <w:u w:val="double"/>
              </w:rPr>
            </w:pPr>
            <w:r w:rsidRPr="00C155C2">
              <w:rPr>
                <w:sz w:val="16"/>
                <w:szCs w:val="16"/>
              </w:rPr>
              <w:t>6</w:t>
            </w:r>
          </w:p>
        </w:tc>
        <w:tc>
          <w:tcPr>
            <w:tcW w:w="1701" w:type="dxa"/>
          </w:tcPr>
          <w:p w14:paraId="4B4BE765" w14:textId="77777777" w:rsidR="007A7F7E" w:rsidRPr="0013262E" w:rsidRDefault="007A7F7E">
            <w:pPr>
              <w:pStyle w:val="11Para"/>
              <w:spacing w:before="60" w:after="60"/>
              <w:ind w:left="0"/>
              <w:jc w:val="center"/>
              <w:rPr>
                <w:sz w:val="16"/>
                <w:szCs w:val="16"/>
                <w:u w:val="double"/>
              </w:rPr>
            </w:pPr>
            <w:r w:rsidRPr="00C155C2">
              <w:rPr>
                <w:sz w:val="16"/>
                <w:szCs w:val="16"/>
              </w:rPr>
              <w:t>49</w:t>
            </w:r>
          </w:p>
        </w:tc>
      </w:tr>
      <w:tr w:rsidR="007A7F7E" w:rsidRPr="0013262E" w14:paraId="021E1663" w14:textId="77777777">
        <w:trPr>
          <w:jc w:val="center"/>
        </w:trPr>
        <w:tc>
          <w:tcPr>
            <w:tcW w:w="1700" w:type="dxa"/>
          </w:tcPr>
          <w:p w14:paraId="1FC83C32" w14:textId="77777777" w:rsidR="007A7F7E" w:rsidRPr="0013262E" w:rsidRDefault="007A7F7E">
            <w:pPr>
              <w:pStyle w:val="11Para"/>
              <w:spacing w:before="60" w:after="60"/>
              <w:ind w:left="0"/>
              <w:jc w:val="center"/>
              <w:rPr>
                <w:sz w:val="16"/>
                <w:szCs w:val="16"/>
                <w:u w:val="double"/>
              </w:rPr>
            </w:pPr>
            <w:r w:rsidRPr="00C155C2">
              <w:rPr>
                <w:sz w:val="16"/>
                <w:szCs w:val="16"/>
              </w:rPr>
              <w:t>7</w:t>
            </w:r>
          </w:p>
        </w:tc>
        <w:tc>
          <w:tcPr>
            <w:tcW w:w="1701" w:type="dxa"/>
          </w:tcPr>
          <w:p w14:paraId="5FBA1E02" w14:textId="77777777" w:rsidR="007A7F7E" w:rsidRPr="0013262E" w:rsidRDefault="007A7F7E">
            <w:pPr>
              <w:pStyle w:val="11Para"/>
              <w:spacing w:before="60" w:after="60"/>
              <w:ind w:left="0"/>
              <w:jc w:val="center"/>
              <w:rPr>
                <w:sz w:val="16"/>
                <w:szCs w:val="16"/>
                <w:u w:val="double"/>
              </w:rPr>
            </w:pPr>
            <w:r w:rsidRPr="00C155C2">
              <w:rPr>
                <w:sz w:val="16"/>
                <w:szCs w:val="16"/>
              </w:rPr>
              <w:t>59</w:t>
            </w:r>
          </w:p>
        </w:tc>
      </w:tr>
      <w:tr w:rsidR="007A7F7E" w:rsidRPr="0013262E" w14:paraId="3224E400" w14:textId="77777777">
        <w:trPr>
          <w:jc w:val="center"/>
        </w:trPr>
        <w:tc>
          <w:tcPr>
            <w:tcW w:w="1700" w:type="dxa"/>
          </w:tcPr>
          <w:p w14:paraId="574D7768" w14:textId="77777777" w:rsidR="007A7F7E" w:rsidRPr="0013262E" w:rsidRDefault="007A7F7E">
            <w:pPr>
              <w:pStyle w:val="11Para"/>
              <w:spacing w:before="60" w:after="60"/>
              <w:ind w:left="0"/>
              <w:jc w:val="center"/>
              <w:rPr>
                <w:sz w:val="16"/>
                <w:szCs w:val="16"/>
                <w:u w:val="double"/>
              </w:rPr>
            </w:pPr>
            <w:r w:rsidRPr="00C155C2">
              <w:rPr>
                <w:sz w:val="16"/>
                <w:szCs w:val="16"/>
              </w:rPr>
              <w:t>8</w:t>
            </w:r>
          </w:p>
        </w:tc>
        <w:tc>
          <w:tcPr>
            <w:tcW w:w="1701" w:type="dxa"/>
          </w:tcPr>
          <w:p w14:paraId="51EAA766" w14:textId="77777777" w:rsidR="007A7F7E" w:rsidRPr="0013262E" w:rsidRDefault="007A7F7E">
            <w:pPr>
              <w:pStyle w:val="11Para"/>
              <w:spacing w:before="60" w:after="60"/>
              <w:ind w:left="0"/>
              <w:jc w:val="center"/>
              <w:rPr>
                <w:sz w:val="16"/>
                <w:szCs w:val="16"/>
                <w:u w:val="double"/>
              </w:rPr>
            </w:pPr>
            <w:r w:rsidRPr="00C155C2">
              <w:rPr>
                <w:sz w:val="16"/>
                <w:szCs w:val="16"/>
              </w:rPr>
              <w:t>70</w:t>
            </w:r>
          </w:p>
        </w:tc>
      </w:tr>
      <w:tr w:rsidR="007A7F7E" w:rsidRPr="0013262E" w14:paraId="4E6F94E3" w14:textId="77777777">
        <w:trPr>
          <w:jc w:val="center"/>
        </w:trPr>
        <w:tc>
          <w:tcPr>
            <w:tcW w:w="1700" w:type="dxa"/>
          </w:tcPr>
          <w:p w14:paraId="4C4B95B6" w14:textId="77777777" w:rsidR="007A7F7E" w:rsidRPr="0013262E" w:rsidRDefault="007A7F7E">
            <w:pPr>
              <w:pStyle w:val="11Para"/>
              <w:spacing w:before="60" w:after="60"/>
              <w:ind w:left="0"/>
              <w:jc w:val="center"/>
              <w:rPr>
                <w:sz w:val="16"/>
                <w:szCs w:val="16"/>
                <w:u w:val="double"/>
              </w:rPr>
            </w:pPr>
            <w:r w:rsidRPr="00C155C2">
              <w:rPr>
                <w:sz w:val="16"/>
                <w:szCs w:val="16"/>
              </w:rPr>
              <w:t>9</w:t>
            </w:r>
          </w:p>
        </w:tc>
        <w:tc>
          <w:tcPr>
            <w:tcW w:w="1701" w:type="dxa"/>
          </w:tcPr>
          <w:p w14:paraId="0ABB4C6C" w14:textId="77777777" w:rsidR="007A7F7E" w:rsidRPr="0013262E" w:rsidRDefault="007A7F7E">
            <w:pPr>
              <w:pStyle w:val="11Para"/>
              <w:spacing w:before="60" w:after="60"/>
              <w:ind w:left="0"/>
              <w:jc w:val="center"/>
              <w:rPr>
                <w:sz w:val="16"/>
                <w:szCs w:val="16"/>
                <w:u w:val="double"/>
              </w:rPr>
            </w:pPr>
            <w:r w:rsidRPr="00C155C2">
              <w:rPr>
                <w:sz w:val="16"/>
                <w:szCs w:val="16"/>
              </w:rPr>
              <w:t>55</w:t>
            </w:r>
          </w:p>
        </w:tc>
      </w:tr>
      <w:tr w:rsidR="007A7F7E" w:rsidRPr="0013262E" w14:paraId="4197A12D" w14:textId="77777777">
        <w:trPr>
          <w:jc w:val="center"/>
        </w:trPr>
        <w:tc>
          <w:tcPr>
            <w:tcW w:w="1700" w:type="dxa"/>
          </w:tcPr>
          <w:p w14:paraId="29AFB783" w14:textId="77777777" w:rsidR="007A7F7E" w:rsidRPr="0013262E" w:rsidRDefault="007A7F7E">
            <w:pPr>
              <w:pStyle w:val="11Para"/>
              <w:spacing w:before="60" w:after="60"/>
              <w:ind w:left="0"/>
              <w:jc w:val="center"/>
              <w:rPr>
                <w:sz w:val="16"/>
                <w:szCs w:val="16"/>
                <w:u w:val="double"/>
              </w:rPr>
            </w:pPr>
            <w:r w:rsidRPr="00C155C2">
              <w:rPr>
                <w:sz w:val="16"/>
                <w:szCs w:val="16"/>
              </w:rPr>
              <w:t>10</w:t>
            </w:r>
          </w:p>
        </w:tc>
        <w:tc>
          <w:tcPr>
            <w:tcW w:w="1701" w:type="dxa"/>
          </w:tcPr>
          <w:p w14:paraId="551FD768" w14:textId="77777777" w:rsidR="007A7F7E" w:rsidRPr="0013262E" w:rsidRDefault="007A7F7E">
            <w:pPr>
              <w:pStyle w:val="11Para"/>
              <w:spacing w:before="60" w:after="60"/>
              <w:ind w:left="0"/>
              <w:jc w:val="center"/>
              <w:rPr>
                <w:sz w:val="16"/>
                <w:szCs w:val="16"/>
                <w:u w:val="double"/>
              </w:rPr>
            </w:pPr>
            <w:r w:rsidRPr="00C155C2">
              <w:rPr>
                <w:sz w:val="16"/>
                <w:szCs w:val="16"/>
              </w:rPr>
              <w:t>42</w:t>
            </w:r>
          </w:p>
        </w:tc>
      </w:tr>
    </w:tbl>
    <w:p w14:paraId="710F0081" w14:textId="77777777" w:rsidR="007A7F7E" w:rsidRPr="00C155C2" w:rsidRDefault="007A7F7E" w:rsidP="007A7F7E">
      <w:pPr>
        <w:pStyle w:val="ipara"/>
        <w:spacing w:before="120" w:after="240"/>
        <w:ind w:left="0"/>
        <w:jc w:val="center"/>
      </w:pPr>
      <w:r w:rsidRPr="00C155C2">
        <w:rPr>
          <w:sz w:val="16"/>
          <w:szCs w:val="16"/>
        </w:rPr>
        <w:t>Mean PI = 56.3; Std Dev (SD) = 7.9; Assays (</w:t>
      </w:r>
      <w:r w:rsidRPr="00C155C2">
        <w:rPr>
          <w:i/>
          <w:sz w:val="16"/>
          <w:szCs w:val="16"/>
        </w:rPr>
        <w:t>n</w:t>
      </w:r>
      <w:r w:rsidRPr="00C155C2">
        <w:rPr>
          <w:sz w:val="16"/>
          <w:szCs w:val="16"/>
        </w:rPr>
        <w:t>) = 10</w:t>
      </w:r>
    </w:p>
    <w:p w14:paraId="679347CD" w14:textId="77777777" w:rsidR="007A7F7E" w:rsidRPr="00C155C2" w:rsidRDefault="007A7F7E" w:rsidP="007A7F7E">
      <w:pPr>
        <w:pStyle w:val="11"/>
      </w:pPr>
      <w:r w:rsidRPr="00C155C2">
        <w:t>2.3.</w:t>
      </w:r>
      <w:r w:rsidRPr="00C155C2">
        <w:tab/>
        <w:t>Calculating uncertainty</w:t>
      </w:r>
    </w:p>
    <w:p w14:paraId="183675E4" w14:textId="77777777" w:rsidR="007A7F7E" w:rsidRPr="00C155C2" w:rsidRDefault="007A7F7E" w:rsidP="007A7F7E">
      <w:pPr>
        <w:pStyle w:val="11Para"/>
      </w:pPr>
      <w:r w:rsidRPr="00C155C2">
        <w:t>From the limited data set,</w:t>
      </w:r>
    </w:p>
    <w:p w14:paraId="7C556D50" w14:textId="68A7F8DF" w:rsidR="007A7F7E" w:rsidRPr="00C155C2" w:rsidRDefault="007A7F7E" w:rsidP="007A7F7E">
      <w:pPr>
        <w:pStyle w:val="11Para"/>
      </w:pPr>
      <w:r w:rsidRPr="00C155C2">
        <w:t>RSD (PI</w:t>
      </w:r>
      <w:r w:rsidR="007547C1" w:rsidRPr="00A7000C">
        <w:rPr>
          <w:strike/>
          <w:highlight w:val="yellow"/>
          <w:vertAlign w:val="subscript"/>
        </w:rPr>
        <w:t>L</w:t>
      </w:r>
      <w:r w:rsidR="007547C1" w:rsidRPr="00A7000C">
        <w:rPr>
          <w:highlight w:val="yellow"/>
          <w:u w:val="double"/>
          <w:vertAlign w:val="subscript"/>
        </w:rPr>
        <w:t>W</w:t>
      </w:r>
      <w:r w:rsidRPr="00C155C2">
        <w:t xml:space="preserve">) = </w:t>
      </w:r>
      <w:r>
        <w:t xml:space="preserve">SD/Mean </w:t>
      </w:r>
      <w:r w:rsidR="00A7497B" w:rsidRPr="00A7497B">
        <w:rPr>
          <w:highlight w:val="yellow"/>
          <w:u w:val="double"/>
        </w:rPr>
        <w:t>=</w:t>
      </w:r>
      <w:r w:rsidR="00A7497B">
        <w:t xml:space="preserve"> </w:t>
      </w:r>
      <w:r w:rsidRPr="00C155C2">
        <w:t>7.9/56.3 = 0.14 (or as coefficient of variation = 14%)</w:t>
      </w:r>
    </w:p>
    <w:p w14:paraId="744F8CD2" w14:textId="7B3CA47A" w:rsidR="007A7F7E" w:rsidRPr="00C155C2" w:rsidRDefault="007A7F7E" w:rsidP="007A7F7E">
      <w:pPr>
        <w:pStyle w:val="11Para"/>
      </w:pPr>
      <w:r w:rsidRPr="00C155C2">
        <w:t>Expanded uncertainty (U) is the statistic defining the interval within which the value of the measure and is believed to lie within a specified level of confidence, usually 95%. Expanding the uncertainty is done by multiplying the RSD (PI</w:t>
      </w:r>
      <w:r w:rsidR="002A4B99" w:rsidRPr="00A7000C">
        <w:rPr>
          <w:strike/>
          <w:highlight w:val="yellow"/>
          <w:vertAlign w:val="subscript"/>
        </w:rPr>
        <w:t>L</w:t>
      </w:r>
      <w:r w:rsidR="002A4B99" w:rsidRPr="00A7000C">
        <w:rPr>
          <w:highlight w:val="yellow"/>
          <w:u w:val="double"/>
          <w:vertAlign w:val="subscript"/>
        </w:rPr>
        <w:t>W</w:t>
      </w:r>
      <w:r w:rsidRPr="00C155C2">
        <w:t xml:space="preserve">) by a factor of 2; this allows the calculation of an approximate 95% </w:t>
      </w:r>
      <w:r w:rsidRPr="00A7497B">
        <w:rPr>
          <w:strike/>
          <w:highlight w:val="yellow"/>
        </w:rPr>
        <w:t xml:space="preserve">confidence </w:t>
      </w:r>
      <w:r w:rsidR="00A7497B" w:rsidRPr="00A7497B">
        <w:rPr>
          <w:highlight w:val="yellow"/>
          <w:u w:val="double"/>
        </w:rPr>
        <w:t>reference</w:t>
      </w:r>
      <w:r w:rsidR="00A7497B">
        <w:t xml:space="preserve"> </w:t>
      </w:r>
      <w:r w:rsidRPr="00C155C2">
        <w:t>interval around the threshold value</w:t>
      </w:r>
      <w:r>
        <w:t xml:space="preserve"> (</w:t>
      </w:r>
      <w:r w:rsidRPr="002239D3">
        <w:t>in this case at PI = 50%)</w:t>
      </w:r>
      <w:r w:rsidRPr="00C155C2">
        <w:t>, assuming normally distributed data.</w:t>
      </w:r>
      <w:r w:rsidR="00EC51BF">
        <w:t xml:space="preserve"> </w:t>
      </w:r>
      <w:r w:rsidR="00EC51BF" w:rsidRPr="00EC51BF">
        <w:rPr>
          <w:rStyle w:val="cf01"/>
          <w:rFonts w:ascii="Söhne" w:hAnsi="Söhne" w:cs="Calibri"/>
          <w:highlight w:val="yellow"/>
          <w:u w:val="double"/>
        </w:rPr>
        <w:t xml:space="preserve">If data are not normally </w:t>
      </w:r>
      <w:proofErr w:type="gramStart"/>
      <w:r w:rsidR="00EC51BF" w:rsidRPr="00EC51BF">
        <w:rPr>
          <w:rStyle w:val="cf01"/>
          <w:rFonts w:ascii="Söhne" w:hAnsi="Söhne" w:cs="Calibri"/>
          <w:highlight w:val="yellow"/>
          <w:u w:val="double"/>
        </w:rPr>
        <w:t>distributed</w:t>
      </w:r>
      <w:proofErr w:type="gramEnd"/>
      <w:r w:rsidR="00EC51BF" w:rsidRPr="00EC51BF">
        <w:rPr>
          <w:rStyle w:val="cf01"/>
          <w:rFonts w:ascii="Söhne" w:hAnsi="Söhne" w:cs="Calibri"/>
          <w:highlight w:val="yellow"/>
          <w:u w:val="double"/>
        </w:rPr>
        <w:t xml:space="preserve"> they must be transformed to fit a normal distribution using a log scale.</w:t>
      </w:r>
    </w:p>
    <w:p w14:paraId="2ADA50BF" w14:textId="4CBBCFA7" w:rsidR="007A7F7E" w:rsidRPr="00C155C2" w:rsidRDefault="007A7F7E" w:rsidP="007A7F7E">
      <w:pPr>
        <w:pStyle w:val="11Para"/>
      </w:pPr>
      <w:r w:rsidRPr="00C155C2">
        <w:t>U (95%</w:t>
      </w:r>
      <w:r w:rsidR="00A7497B" w:rsidRPr="00A7497B">
        <w:rPr>
          <w:strike/>
          <w:highlight w:val="yellow"/>
          <w:lang w:val="en-IE"/>
        </w:rPr>
        <w:t xml:space="preserve"> </w:t>
      </w:r>
      <w:r w:rsidR="00A7497B" w:rsidRPr="003D721E">
        <w:rPr>
          <w:strike/>
          <w:highlight w:val="yellow"/>
          <w:lang w:val="en-IE"/>
        </w:rPr>
        <w:t xml:space="preserve">C </w:t>
      </w:r>
      <w:r w:rsidR="00A7497B" w:rsidRPr="003D721E">
        <w:rPr>
          <w:highlight w:val="yellow"/>
          <w:u w:val="double"/>
          <w:lang w:val="en-IE"/>
        </w:rPr>
        <w:t>R</w:t>
      </w:r>
      <w:r w:rsidR="00A7497B" w:rsidRPr="0023000C">
        <w:rPr>
          <w:lang w:val="en-IE"/>
        </w:rPr>
        <w:t>I</w:t>
      </w:r>
      <w:r w:rsidRPr="00C155C2">
        <w:t>) = 2 × RSD = 0.28</w:t>
      </w:r>
    </w:p>
    <w:p w14:paraId="14587DFD" w14:textId="77777777" w:rsidR="007A7F7E" w:rsidRPr="00C155C2" w:rsidRDefault="007A7F7E" w:rsidP="007A7F7E">
      <w:pPr>
        <w:pStyle w:val="11Para"/>
      </w:pPr>
      <w:r w:rsidRPr="00C155C2">
        <w:t xml:space="preserve">This estimate can then be applied at the threshold </w:t>
      </w:r>
      <w:proofErr w:type="gramStart"/>
      <w:r w:rsidRPr="00C155C2">
        <w:t>level</w:t>
      </w:r>
      <w:proofErr w:type="gramEnd"/>
    </w:p>
    <w:p w14:paraId="21E61B25" w14:textId="257AD649" w:rsidR="007A7F7E" w:rsidRDefault="007A7F7E" w:rsidP="007A7F7E">
      <w:pPr>
        <w:pStyle w:val="11Para"/>
      </w:pPr>
      <w:r w:rsidRPr="00C155C2">
        <w:t xml:space="preserve">95% </w:t>
      </w:r>
      <w:r w:rsidR="00A7497B" w:rsidRPr="003D721E">
        <w:rPr>
          <w:strike/>
          <w:highlight w:val="yellow"/>
          <w:lang w:val="en-IE"/>
        </w:rPr>
        <w:t xml:space="preserve">C </w:t>
      </w:r>
      <w:r w:rsidR="00A7497B" w:rsidRPr="003D721E">
        <w:rPr>
          <w:highlight w:val="yellow"/>
          <w:u w:val="double"/>
          <w:lang w:val="en-IE"/>
        </w:rPr>
        <w:t>R</w:t>
      </w:r>
      <w:r w:rsidR="00A7497B" w:rsidRPr="0023000C">
        <w:rPr>
          <w:lang w:val="en-IE"/>
        </w:rPr>
        <w:t>I</w:t>
      </w:r>
      <w:r w:rsidRPr="00C155C2">
        <w:t xml:space="preserve"> = 50 ± (50 × 0.28) = 50 ± 14%</w:t>
      </w:r>
    </w:p>
    <w:p w14:paraId="670DB66D" w14:textId="7E503039" w:rsidR="007A7F7E" w:rsidRPr="00C155C2" w:rsidRDefault="007A7F7E" w:rsidP="007A7F7E">
      <w:pPr>
        <w:pStyle w:val="11"/>
      </w:pPr>
      <w:r w:rsidRPr="00C155C2">
        <w:t>2.4.</w:t>
      </w:r>
      <w:r w:rsidRPr="00C155C2">
        <w:tab/>
        <w:t>Interpretation</w:t>
      </w:r>
      <w:r w:rsidR="00074196">
        <w:t xml:space="preserve"> </w:t>
      </w:r>
      <w:r w:rsidR="00074196" w:rsidRPr="00074196">
        <w:rPr>
          <w:highlight w:val="yellow"/>
          <w:u w:val="double"/>
        </w:rPr>
        <w:t>of the results</w:t>
      </w:r>
    </w:p>
    <w:p w14:paraId="141C4E7D" w14:textId="6C459132" w:rsidR="007A7F7E" w:rsidRDefault="007A7F7E" w:rsidP="007A7F7E">
      <w:pPr>
        <w:pStyle w:val="11Para"/>
      </w:pPr>
      <w:r w:rsidRPr="00D76EBA">
        <w:rPr>
          <w:strike/>
          <w:highlight w:val="yellow"/>
        </w:rPr>
        <w:t>Any positive result (PI &gt; 50%) that is less than 64% is not positive with 95% confidence. Similarly, a negative result (PI &lt; 50%) that is higher or equal to a PI of 36 is not negative at the 95% confidence level.</w:t>
      </w:r>
      <w:r w:rsidRPr="00D76EBA">
        <w:rPr>
          <w:strike/>
        </w:rPr>
        <w:t xml:space="preserve"> </w:t>
      </w:r>
      <w:r w:rsidR="00D76EBA" w:rsidRPr="00D57ACF">
        <w:rPr>
          <w:highlight w:val="yellow"/>
          <w:u w:val="double"/>
        </w:rPr>
        <w:t>A sample with a PI between 36% and 64% is within the MU surrounding the threshold value, and thus its diagnostic status is less certain than those of samples with results further from that threshold.</w:t>
      </w:r>
      <w:r w:rsidR="00D76EBA" w:rsidRPr="00D57ACF">
        <w:t xml:space="preserve"> </w:t>
      </w:r>
      <w:r w:rsidRPr="00C155C2">
        <w:t xml:space="preserve">This zone of lower confidence may correlate with the “grey zone” or “inconclusive/suspect zone” for interpretation that should be established for all tests (Greiner </w:t>
      </w:r>
      <w:r w:rsidRPr="00C155C2">
        <w:rPr>
          <w:i/>
        </w:rPr>
        <w:t xml:space="preserve">et al., </w:t>
      </w:r>
      <w:r w:rsidRPr="00D57ACF">
        <w:rPr>
          <w:iCs/>
        </w:rPr>
        <w:t>1995</w:t>
      </w:r>
      <w:r w:rsidRPr="00C155C2">
        <w:t>).</w:t>
      </w:r>
    </w:p>
    <w:p w14:paraId="18B6A1A1" w14:textId="77777777" w:rsidR="007A7F7E" w:rsidRPr="006C096F" w:rsidRDefault="007A7F7E" w:rsidP="007A7F7E">
      <w:pPr>
        <w:pStyle w:val="1"/>
        <w:rPr>
          <w:u w:val="double"/>
          <w:lang w:val="en-AU"/>
        </w:rPr>
      </w:pPr>
      <w:r w:rsidRPr="006C096F">
        <w:rPr>
          <w:u w:val="double"/>
          <w:lang w:val="en-AU"/>
        </w:rPr>
        <w:t>3.</w:t>
      </w:r>
      <w:r w:rsidRPr="006C096F">
        <w:rPr>
          <w:u w:val="double"/>
          <w:lang w:val="en-AU"/>
        </w:rPr>
        <w:tab/>
        <w:t>Example of MU calculation in molecular tests</w:t>
      </w:r>
    </w:p>
    <w:p w14:paraId="31635E4D" w14:textId="77777777" w:rsidR="007A7F7E" w:rsidRPr="006C096F" w:rsidRDefault="007A7F7E" w:rsidP="007A7F7E">
      <w:pPr>
        <w:pStyle w:val="11"/>
        <w:rPr>
          <w:u w:val="double"/>
          <w:lang w:val="en-IE"/>
        </w:rPr>
      </w:pPr>
      <w:r w:rsidRPr="006C096F">
        <w:rPr>
          <w:u w:val="double"/>
          <w:lang w:val="en-IE"/>
        </w:rPr>
        <w:t xml:space="preserve">3.1. </w:t>
      </w:r>
      <w:r w:rsidRPr="006C096F">
        <w:rPr>
          <w:u w:val="double"/>
          <w:lang w:val="en-IE"/>
        </w:rPr>
        <w:tab/>
        <w:t>Example</w:t>
      </w:r>
    </w:p>
    <w:p w14:paraId="4C258E62" w14:textId="567CF621" w:rsidR="007A7F7E" w:rsidRPr="005D2689" w:rsidRDefault="007A7F7E" w:rsidP="007A7F7E">
      <w:pPr>
        <w:pStyle w:val="11Para"/>
        <w:rPr>
          <w:u w:val="double"/>
          <w:lang w:val="en-IE"/>
        </w:rPr>
      </w:pPr>
      <w:r w:rsidRPr="005D2689">
        <w:rPr>
          <w:u w:val="double"/>
          <w:lang w:val="en-IE"/>
        </w:rPr>
        <w:lastRenderedPageBreak/>
        <w:t>For real-time PCRs, replicates of positive controls with their respective cycle threshold (C</w:t>
      </w:r>
      <w:r w:rsidR="00550428">
        <w:rPr>
          <w:u w:val="double"/>
          <w:lang w:val="en-IE"/>
        </w:rPr>
        <w:t>t</w:t>
      </w:r>
      <w:r w:rsidRPr="005D2689">
        <w:rPr>
          <w:u w:val="double"/>
          <w:lang w:val="en-IE"/>
        </w:rPr>
        <w:t xml:space="preserve">) values can be used to estimate MU using the top-down approach (Newberry </w:t>
      </w:r>
      <w:r>
        <w:rPr>
          <w:u w:val="double"/>
          <w:lang w:val="en-IE"/>
        </w:rPr>
        <w:t>&amp;</w:t>
      </w:r>
      <w:r w:rsidRPr="005D2689">
        <w:rPr>
          <w:u w:val="double"/>
          <w:lang w:val="en-IE"/>
        </w:rPr>
        <w:t xml:space="preserve"> Colling, 2021). The method of expression follows the same formula as for the ELISA example above. This example uses data from replicate runs of a weak positive control sample (10 runs) of an equine influenza </w:t>
      </w:r>
      <w:r>
        <w:rPr>
          <w:u w:val="double"/>
          <w:lang w:val="en-IE"/>
        </w:rPr>
        <w:t>hydrolysis probe</w:t>
      </w:r>
      <w:r w:rsidRPr="005D2689">
        <w:rPr>
          <w:u w:val="double"/>
          <w:lang w:val="en-IE"/>
        </w:rPr>
        <w:t xml:space="preserve"> assay. </w:t>
      </w:r>
    </w:p>
    <w:p w14:paraId="57D41A58" w14:textId="77777777" w:rsidR="007A7F7E" w:rsidRDefault="007A7F7E" w:rsidP="007A7F7E">
      <w:pPr>
        <w:pStyle w:val="11Para"/>
        <w:ind w:left="0"/>
        <w:jc w:val="center"/>
        <w:rPr>
          <w:rFonts w:ascii="Söhne Kräftig" w:hAnsi="Söhne Kräftig"/>
          <w:i/>
          <w:iCs/>
          <w:u w:val="double"/>
        </w:rPr>
      </w:pPr>
      <w:r w:rsidRPr="001261F2">
        <w:rPr>
          <w:rFonts w:ascii="Söhne Kräftig" w:hAnsi="Söhne Kräftig"/>
          <w:b/>
          <w:bCs/>
          <w:i/>
          <w:iCs/>
          <w:u w:val="double"/>
        </w:rPr>
        <w:t>Table 2.</w:t>
      </w:r>
      <w:r w:rsidRPr="001261F2">
        <w:rPr>
          <w:rFonts w:ascii="Söhne Kräftig" w:hAnsi="Söhne Kräftig"/>
          <w:i/>
          <w:iCs/>
          <w:u w:val="double"/>
        </w:rPr>
        <w:t xml:space="preserve"> Top-down or control sample approach for an equine influenza TaqMan A </w:t>
      </w:r>
      <w:proofErr w:type="gramStart"/>
      <w:r w:rsidRPr="001261F2">
        <w:rPr>
          <w:rFonts w:ascii="Söhne Kräftig" w:hAnsi="Söhne Kräftig"/>
          <w:i/>
          <w:iCs/>
          <w:u w:val="double"/>
        </w:rPr>
        <w:t>assa</w:t>
      </w:r>
      <w:r>
        <w:rPr>
          <w:rFonts w:ascii="Söhne Kräftig" w:hAnsi="Söhne Kräftig"/>
          <w:i/>
          <w:iCs/>
          <w:u w:val="double"/>
        </w:rPr>
        <w:t>y</w:t>
      </w:r>
      <w:proofErr w:type="gramEnd"/>
    </w:p>
    <w:tbl>
      <w:tblPr>
        <w:tblStyle w:val="TableGrid"/>
        <w:tblW w:w="0" w:type="auto"/>
        <w:jc w:val="center"/>
        <w:tblLook w:val="04A0" w:firstRow="1" w:lastRow="0" w:firstColumn="1" w:lastColumn="0" w:noHBand="0" w:noVBand="1"/>
      </w:tblPr>
      <w:tblGrid>
        <w:gridCol w:w="1700"/>
        <w:gridCol w:w="1701"/>
      </w:tblGrid>
      <w:tr w:rsidR="007A7F7E" w:rsidRPr="00F10E68" w14:paraId="1BBFD319" w14:textId="77777777">
        <w:trPr>
          <w:jc w:val="center"/>
        </w:trPr>
        <w:tc>
          <w:tcPr>
            <w:tcW w:w="1700" w:type="dxa"/>
          </w:tcPr>
          <w:p w14:paraId="7F038C83" w14:textId="77777777" w:rsidR="007A7F7E" w:rsidRPr="00F10E68" w:rsidRDefault="007A7F7E">
            <w:pPr>
              <w:pStyle w:val="11Para"/>
              <w:spacing w:before="60" w:after="60"/>
              <w:ind w:left="0"/>
              <w:jc w:val="center"/>
              <w:rPr>
                <w:sz w:val="16"/>
                <w:szCs w:val="16"/>
                <w:u w:val="double"/>
              </w:rPr>
            </w:pPr>
            <w:r w:rsidRPr="00F10E68">
              <w:rPr>
                <w:rFonts w:ascii="Söhne Kräftig" w:hAnsi="Söhne Kräftig"/>
                <w:i/>
                <w:u w:val="double"/>
              </w:rPr>
              <w:t>Test</w:t>
            </w:r>
          </w:p>
        </w:tc>
        <w:tc>
          <w:tcPr>
            <w:tcW w:w="1701" w:type="dxa"/>
          </w:tcPr>
          <w:p w14:paraId="46328908" w14:textId="77777777" w:rsidR="007A7F7E" w:rsidRPr="00F10E68" w:rsidRDefault="007A7F7E">
            <w:pPr>
              <w:pStyle w:val="11Para"/>
              <w:spacing w:before="60" w:after="60"/>
              <w:ind w:left="0"/>
              <w:jc w:val="center"/>
              <w:rPr>
                <w:sz w:val="16"/>
                <w:szCs w:val="16"/>
                <w:u w:val="double"/>
              </w:rPr>
            </w:pPr>
            <w:r w:rsidRPr="00F10E68">
              <w:rPr>
                <w:rFonts w:ascii="Söhne Kräftig" w:hAnsi="Söhne Kräftig"/>
                <w:i/>
                <w:u w:val="double"/>
              </w:rPr>
              <w:t>Ct value</w:t>
            </w:r>
          </w:p>
        </w:tc>
      </w:tr>
      <w:tr w:rsidR="007A7F7E" w:rsidRPr="00F10E68" w14:paraId="4C942FFB" w14:textId="77777777">
        <w:trPr>
          <w:jc w:val="center"/>
        </w:trPr>
        <w:tc>
          <w:tcPr>
            <w:tcW w:w="1700" w:type="dxa"/>
          </w:tcPr>
          <w:p w14:paraId="29121BBB" w14:textId="77777777" w:rsidR="007A7F7E" w:rsidRPr="00F10E68" w:rsidRDefault="007A7F7E">
            <w:pPr>
              <w:pStyle w:val="11Para"/>
              <w:spacing w:before="60" w:after="60"/>
              <w:ind w:left="0"/>
              <w:jc w:val="center"/>
              <w:rPr>
                <w:sz w:val="16"/>
                <w:szCs w:val="16"/>
                <w:u w:val="double"/>
              </w:rPr>
            </w:pPr>
            <w:r w:rsidRPr="00F10E68">
              <w:rPr>
                <w:sz w:val="16"/>
                <w:szCs w:val="16"/>
                <w:u w:val="double"/>
              </w:rPr>
              <w:t>1</w:t>
            </w:r>
          </w:p>
        </w:tc>
        <w:tc>
          <w:tcPr>
            <w:tcW w:w="1701" w:type="dxa"/>
          </w:tcPr>
          <w:p w14:paraId="36BEB0DF"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33.60</w:t>
            </w:r>
          </w:p>
        </w:tc>
      </w:tr>
      <w:tr w:rsidR="007A7F7E" w:rsidRPr="00F10E68" w14:paraId="0FAA36AE" w14:textId="77777777">
        <w:trPr>
          <w:jc w:val="center"/>
        </w:trPr>
        <w:tc>
          <w:tcPr>
            <w:tcW w:w="1700" w:type="dxa"/>
          </w:tcPr>
          <w:p w14:paraId="6C018945" w14:textId="77777777" w:rsidR="007A7F7E" w:rsidRPr="00F10E68" w:rsidRDefault="007A7F7E">
            <w:pPr>
              <w:pStyle w:val="11Para"/>
              <w:spacing w:before="60" w:after="60"/>
              <w:ind w:left="0"/>
              <w:jc w:val="center"/>
              <w:rPr>
                <w:sz w:val="16"/>
                <w:szCs w:val="16"/>
                <w:u w:val="double"/>
              </w:rPr>
            </w:pPr>
            <w:r w:rsidRPr="00F10E68">
              <w:rPr>
                <w:sz w:val="16"/>
                <w:szCs w:val="16"/>
                <w:u w:val="double"/>
              </w:rPr>
              <w:t>2</w:t>
            </w:r>
          </w:p>
        </w:tc>
        <w:tc>
          <w:tcPr>
            <w:tcW w:w="1701" w:type="dxa"/>
          </w:tcPr>
          <w:p w14:paraId="11FC1B26"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33.20</w:t>
            </w:r>
          </w:p>
        </w:tc>
      </w:tr>
      <w:tr w:rsidR="007A7F7E" w:rsidRPr="00F10E68" w14:paraId="7E3A877E" w14:textId="77777777">
        <w:trPr>
          <w:jc w:val="center"/>
        </w:trPr>
        <w:tc>
          <w:tcPr>
            <w:tcW w:w="1700" w:type="dxa"/>
          </w:tcPr>
          <w:p w14:paraId="10007BB1" w14:textId="77777777" w:rsidR="007A7F7E" w:rsidRPr="00F10E68" w:rsidRDefault="007A7F7E">
            <w:pPr>
              <w:pStyle w:val="11Para"/>
              <w:spacing w:before="60" w:after="60"/>
              <w:ind w:left="0"/>
              <w:jc w:val="center"/>
              <w:rPr>
                <w:sz w:val="16"/>
                <w:szCs w:val="16"/>
                <w:u w:val="double"/>
              </w:rPr>
            </w:pPr>
            <w:r w:rsidRPr="00F10E68">
              <w:rPr>
                <w:sz w:val="16"/>
                <w:szCs w:val="16"/>
                <w:u w:val="double"/>
              </w:rPr>
              <w:t>3</w:t>
            </w:r>
          </w:p>
        </w:tc>
        <w:tc>
          <w:tcPr>
            <w:tcW w:w="1701" w:type="dxa"/>
          </w:tcPr>
          <w:p w14:paraId="7D95FDE7"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33.96</w:t>
            </w:r>
          </w:p>
        </w:tc>
      </w:tr>
      <w:tr w:rsidR="007A7F7E" w:rsidRPr="00F10E68" w14:paraId="69EF8816" w14:textId="77777777">
        <w:trPr>
          <w:jc w:val="center"/>
        </w:trPr>
        <w:tc>
          <w:tcPr>
            <w:tcW w:w="1700" w:type="dxa"/>
          </w:tcPr>
          <w:p w14:paraId="266CE14A" w14:textId="77777777" w:rsidR="007A7F7E" w:rsidRPr="00F10E68" w:rsidRDefault="007A7F7E">
            <w:pPr>
              <w:pStyle w:val="11Para"/>
              <w:spacing w:before="60" w:after="60"/>
              <w:ind w:left="0"/>
              <w:jc w:val="center"/>
              <w:rPr>
                <w:sz w:val="16"/>
                <w:szCs w:val="16"/>
                <w:u w:val="double"/>
              </w:rPr>
            </w:pPr>
            <w:r w:rsidRPr="00F10E68">
              <w:rPr>
                <w:sz w:val="16"/>
                <w:szCs w:val="16"/>
                <w:u w:val="double"/>
              </w:rPr>
              <w:t>4</w:t>
            </w:r>
          </w:p>
        </w:tc>
        <w:tc>
          <w:tcPr>
            <w:tcW w:w="1701" w:type="dxa"/>
          </w:tcPr>
          <w:p w14:paraId="3A0B98BE"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33.18</w:t>
            </w:r>
          </w:p>
        </w:tc>
      </w:tr>
      <w:tr w:rsidR="007A7F7E" w:rsidRPr="00F10E68" w14:paraId="6277026A" w14:textId="77777777">
        <w:trPr>
          <w:jc w:val="center"/>
        </w:trPr>
        <w:tc>
          <w:tcPr>
            <w:tcW w:w="1700" w:type="dxa"/>
          </w:tcPr>
          <w:p w14:paraId="2544B6BE" w14:textId="77777777" w:rsidR="007A7F7E" w:rsidRPr="00F10E68" w:rsidRDefault="007A7F7E">
            <w:pPr>
              <w:pStyle w:val="11Para"/>
              <w:spacing w:before="60" w:after="60"/>
              <w:ind w:left="0"/>
              <w:jc w:val="center"/>
              <w:rPr>
                <w:sz w:val="16"/>
                <w:szCs w:val="16"/>
                <w:u w:val="double"/>
              </w:rPr>
            </w:pPr>
            <w:r w:rsidRPr="00F10E68">
              <w:rPr>
                <w:sz w:val="16"/>
                <w:szCs w:val="16"/>
                <w:u w:val="double"/>
              </w:rPr>
              <w:t>5</w:t>
            </w:r>
          </w:p>
        </w:tc>
        <w:tc>
          <w:tcPr>
            <w:tcW w:w="1701" w:type="dxa"/>
          </w:tcPr>
          <w:p w14:paraId="58236F70"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33.96</w:t>
            </w:r>
          </w:p>
        </w:tc>
      </w:tr>
      <w:tr w:rsidR="007A7F7E" w:rsidRPr="00F10E68" w14:paraId="1BDC621D" w14:textId="77777777">
        <w:trPr>
          <w:jc w:val="center"/>
        </w:trPr>
        <w:tc>
          <w:tcPr>
            <w:tcW w:w="1700" w:type="dxa"/>
          </w:tcPr>
          <w:p w14:paraId="0AA47779" w14:textId="77777777" w:rsidR="007A7F7E" w:rsidRPr="00F10E68" w:rsidRDefault="007A7F7E">
            <w:pPr>
              <w:pStyle w:val="11Para"/>
              <w:spacing w:before="60" w:after="60"/>
              <w:ind w:left="0"/>
              <w:jc w:val="center"/>
              <w:rPr>
                <w:sz w:val="16"/>
                <w:szCs w:val="16"/>
                <w:u w:val="double"/>
              </w:rPr>
            </w:pPr>
            <w:r w:rsidRPr="00F10E68">
              <w:rPr>
                <w:sz w:val="16"/>
                <w:szCs w:val="16"/>
                <w:u w:val="double"/>
              </w:rPr>
              <w:t>6</w:t>
            </w:r>
          </w:p>
        </w:tc>
        <w:tc>
          <w:tcPr>
            <w:tcW w:w="1701" w:type="dxa"/>
          </w:tcPr>
          <w:p w14:paraId="62882410"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32.72</w:t>
            </w:r>
          </w:p>
        </w:tc>
      </w:tr>
      <w:tr w:rsidR="007A7F7E" w:rsidRPr="00F10E68" w14:paraId="4602CD25" w14:textId="77777777">
        <w:trPr>
          <w:jc w:val="center"/>
        </w:trPr>
        <w:tc>
          <w:tcPr>
            <w:tcW w:w="1700" w:type="dxa"/>
          </w:tcPr>
          <w:p w14:paraId="70ACC661" w14:textId="77777777" w:rsidR="007A7F7E" w:rsidRPr="00F10E68" w:rsidRDefault="007A7F7E">
            <w:pPr>
              <w:pStyle w:val="11Para"/>
              <w:spacing w:before="60" w:after="60"/>
              <w:ind w:left="0"/>
              <w:jc w:val="center"/>
              <w:rPr>
                <w:sz w:val="16"/>
                <w:szCs w:val="16"/>
                <w:u w:val="double"/>
              </w:rPr>
            </w:pPr>
            <w:r w:rsidRPr="00F10E68">
              <w:rPr>
                <w:sz w:val="16"/>
                <w:szCs w:val="16"/>
                <w:u w:val="double"/>
              </w:rPr>
              <w:t>7</w:t>
            </w:r>
          </w:p>
        </w:tc>
        <w:tc>
          <w:tcPr>
            <w:tcW w:w="1701" w:type="dxa"/>
          </w:tcPr>
          <w:p w14:paraId="2F435AE5"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33.57</w:t>
            </w:r>
          </w:p>
        </w:tc>
      </w:tr>
      <w:tr w:rsidR="007A7F7E" w:rsidRPr="00F10E68" w14:paraId="434F61D8" w14:textId="77777777">
        <w:trPr>
          <w:jc w:val="center"/>
        </w:trPr>
        <w:tc>
          <w:tcPr>
            <w:tcW w:w="1700" w:type="dxa"/>
          </w:tcPr>
          <w:p w14:paraId="7484E8FE" w14:textId="77777777" w:rsidR="007A7F7E" w:rsidRPr="00F10E68" w:rsidRDefault="007A7F7E">
            <w:pPr>
              <w:pStyle w:val="11Para"/>
              <w:spacing w:before="60" w:after="60"/>
              <w:ind w:left="0"/>
              <w:jc w:val="center"/>
              <w:rPr>
                <w:sz w:val="16"/>
                <w:szCs w:val="16"/>
                <w:u w:val="double"/>
              </w:rPr>
            </w:pPr>
            <w:r w:rsidRPr="00F10E68">
              <w:rPr>
                <w:sz w:val="16"/>
                <w:szCs w:val="16"/>
                <w:u w:val="double"/>
              </w:rPr>
              <w:t>8</w:t>
            </w:r>
          </w:p>
        </w:tc>
        <w:tc>
          <w:tcPr>
            <w:tcW w:w="1701" w:type="dxa"/>
          </w:tcPr>
          <w:p w14:paraId="29EB4F56"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33.45</w:t>
            </w:r>
          </w:p>
        </w:tc>
      </w:tr>
      <w:tr w:rsidR="007A7F7E" w:rsidRPr="00F10E68" w14:paraId="20F64D7D" w14:textId="77777777">
        <w:trPr>
          <w:jc w:val="center"/>
        </w:trPr>
        <w:tc>
          <w:tcPr>
            <w:tcW w:w="1700" w:type="dxa"/>
          </w:tcPr>
          <w:p w14:paraId="57697FDF" w14:textId="77777777" w:rsidR="007A7F7E" w:rsidRPr="00F10E68" w:rsidRDefault="007A7F7E">
            <w:pPr>
              <w:pStyle w:val="11Para"/>
              <w:spacing w:before="60" w:after="60"/>
              <w:ind w:left="0"/>
              <w:jc w:val="center"/>
              <w:rPr>
                <w:sz w:val="16"/>
                <w:szCs w:val="16"/>
                <w:u w:val="double"/>
              </w:rPr>
            </w:pPr>
            <w:r w:rsidRPr="00F10E68">
              <w:rPr>
                <w:sz w:val="16"/>
                <w:szCs w:val="16"/>
                <w:u w:val="double"/>
              </w:rPr>
              <w:t>9</w:t>
            </w:r>
          </w:p>
        </w:tc>
        <w:tc>
          <w:tcPr>
            <w:tcW w:w="1701" w:type="dxa"/>
          </w:tcPr>
          <w:p w14:paraId="055B7724"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32.80</w:t>
            </w:r>
          </w:p>
        </w:tc>
      </w:tr>
      <w:tr w:rsidR="007A7F7E" w:rsidRPr="00F10E68" w14:paraId="67286CF3" w14:textId="77777777">
        <w:trPr>
          <w:jc w:val="center"/>
        </w:trPr>
        <w:tc>
          <w:tcPr>
            <w:tcW w:w="1700" w:type="dxa"/>
          </w:tcPr>
          <w:p w14:paraId="24076ABC" w14:textId="77777777" w:rsidR="007A7F7E" w:rsidRPr="00F10E68" w:rsidRDefault="007A7F7E">
            <w:pPr>
              <w:pStyle w:val="11Para"/>
              <w:spacing w:before="60" w:after="60"/>
              <w:ind w:left="0"/>
              <w:jc w:val="center"/>
              <w:rPr>
                <w:sz w:val="16"/>
                <w:szCs w:val="16"/>
                <w:u w:val="double"/>
              </w:rPr>
            </w:pPr>
            <w:r w:rsidRPr="00F10E68">
              <w:rPr>
                <w:sz w:val="16"/>
                <w:szCs w:val="16"/>
                <w:u w:val="double"/>
              </w:rPr>
              <w:t>10</w:t>
            </w:r>
          </w:p>
        </w:tc>
        <w:tc>
          <w:tcPr>
            <w:tcW w:w="1701" w:type="dxa"/>
          </w:tcPr>
          <w:p w14:paraId="4B967C39" w14:textId="77777777" w:rsidR="007A7F7E" w:rsidRPr="00F10E68" w:rsidRDefault="007A7F7E">
            <w:pPr>
              <w:pStyle w:val="11Para"/>
              <w:spacing w:before="60" w:after="60"/>
              <w:ind w:left="0"/>
              <w:jc w:val="center"/>
              <w:rPr>
                <w:sz w:val="16"/>
                <w:szCs w:val="16"/>
                <w:u w:val="double"/>
              </w:rPr>
            </w:pPr>
            <w:r w:rsidRPr="00F10E68">
              <w:rPr>
                <w:rFonts w:cstheme="minorHAnsi"/>
                <w:color w:val="222A35"/>
                <w:sz w:val="16"/>
                <w:szCs w:val="16"/>
                <w:u w:val="double"/>
              </w:rPr>
              <w:t>33.20</w:t>
            </w:r>
          </w:p>
        </w:tc>
      </w:tr>
    </w:tbl>
    <w:p w14:paraId="14E882BE" w14:textId="77777777" w:rsidR="007A7F7E" w:rsidRPr="005D2689" w:rsidRDefault="007A7F7E" w:rsidP="007A7F7E">
      <w:pPr>
        <w:pStyle w:val="11Para"/>
        <w:spacing w:before="120"/>
        <w:ind w:left="0"/>
        <w:jc w:val="center"/>
        <w:rPr>
          <w:sz w:val="16"/>
          <w:szCs w:val="16"/>
          <w:u w:val="double"/>
        </w:rPr>
      </w:pPr>
      <w:r w:rsidRPr="005D2689">
        <w:rPr>
          <w:sz w:val="16"/>
          <w:szCs w:val="16"/>
          <w:u w:val="double"/>
        </w:rPr>
        <w:t>Mean = 33.36; Std Dev (SD) = 0.43; Assay n=10</w:t>
      </w:r>
    </w:p>
    <w:p w14:paraId="36EC6C0B" w14:textId="77777777" w:rsidR="007A7F7E" w:rsidRPr="005D2689" w:rsidRDefault="007A7F7E" w:rsidP="007A7F7E">
      <w:pPr>
        <w:pStyle w:val="11"/>
        <w:rPr>
          <w:u w:val="double"/>
        </w:rPr>
      </w:pPr>
      <w:r w:rsidRPr="005D2689">
        <w:rPr>
          <w:u w:val="double"/>
        </w:rPr>
        <w:t>3.2.</w:t>
      </w:r>
      <w:r w:rsidRPr="005D2689">
        <w:rPr>
          <w:u w:val="double"/>
        </w:rPr>
        <w:tab/>
        <w:t>Calculating uncertainty</w:t>
      </w:r>
    </w:p>
    <w:p w14:paraId="26F9C49B" w14:textId="77777777" w:rsidR="007A7F7E" w:rsidRPr="005D2689" w:rsidRDefault="007A7F7E" w:rsidP="007A7F7E">
      <w:pPr>
        <w:pStyle w:val="11Para"/>
        <w:rPr>
          <w:u w:val="double"/>
        </w:rPr>
      </w:pPr>
      <w:r w:rsidRPr="005D2689">
        <w:rPr>
          <w:u w:val="double"/>
        </w:rPr>
        <w:t>From the limited data set,</w:t>
      </w:r>
    </w:p>
    <w:p w14:paraId="56F82348" w14:textId="22215471" w:rsidR="007A7F7E" w:rsidRPr="005D2689" w:rsidRDefault="007A7F7E" w:rsidP="007A7F7E">
      <w:pPr>
        <w:pStyle w:val="11Para"/>
        <w:rPr>
          <w:u w:val="double"/>
        </w:rPr>
      </w:pPr>
      <w:r w:rsidRPr="005D2689">
        <w:rPr>
          <w:u w:val="double"/>
        </w:rPr>
        <w:t>RSD (PI</w:t>
      </w:r>
      <w:r w:rsidR="002A4B99" w:rsidRPr="00A7000C">
        <w:rPr>
          <w:strike/>
          <w:highlight w:val="yellow"/>
          <w:vertAlign w:val="subscript"/>
        </w:rPr>
        <w:t>L</w:t>
      </w:r>
      <w:r w:rsidR="002A4B99" w:rsidRPr="00A7000C">
        <w:rPr>
          <w:highlight w:val="yellow"/>
          <w:u w:val="double"/>
          <w:vertAlign w:val="subscript"/>
        </w:rPr>
        <w:t>W</w:t>
      </w:r>
      <w:r w:rsidRPr="005D2689">
        <w:rPr>
          <w:u w:val="double"/>
        </w:rPr>
        <w:t>) = SD/Mean 0.43/33.36 = 0.0128 (or as coefficient of variation = 1.28%)</w:t>
      </w:r>
    </w:p>
    <w:p w14:paraId="086E6B1C" w14:textId="3A777BE3" w:rsidR="007A7F7E" w:rsidRPr="005D2689" w:rsidRDefault="007A7F7E" w:rsidP="007A7F7E">
      <w:pPr>
        <w:pStyle w:val="11Para"/>
        <w:rPr>
          <w:u w:val="double"/>
        </w:rPr>
      </w:pPr>
      <w:r w:rsidRPr="005D2689">
        <w:rPr>
          <w:u w:val="double"/>
        </w:rPr>
        <w:t>Expanded uncertainty (U) is the statistic defining the interval within which the value of the measure and is believed to lie within a specified level of confidence, usually 95%. Expanding the uncertainty is done by multiplying the RSD (PI</w:t>
      </w:r>
      <w:r w:rsidR="002A4B99" w:rsidRPr="00A7000C">
        <w:rPr>
          <w:strike/>
          <w:highlight w:val="yellow"/>
          <w:vertAlign w:val="subscript"/>
        </w:rPr>
        <w:t>L</w:t>
      </w:r>
      <w:r w:rsidR="002A4B99" w:rsidRPr="00A7000C">
        <w:rPr>
          <w:highlight w:val="yellow"/>
          <w:u w:val="double"/>
          <w:vertAlign w:val="subscript"/>
        </w:rPr>
        <w:t>W</w:t>
      </w:r>
      <w:r w:rsidRPr="005D2689">
        <w:rPr>
          <w:u w:val="double"/>
        </w:rPr>
        <w:t>) by a factor of 2; this allows the calculation of an approximate 95% confidence interval around the threshold value (in this case at Ct value = 37), assuming normally distributed data.</w:t>
      </w:r>
    </w:p>
    <w:p w14:paraId="0F0FBE82" w14:textId="30F45CA4" w:rsidR="007A7F7E" w:rsidRPr="005D2689" w:rsidRDefault="007A7F7E" w:rsidP="007A7F7E">
      <w:pPr>
        <w:pStyle w:val="11Para"/>
        <w:rPr>
          <w:u w:val="double"/>
        </w:rPr>
      </w:pPr>
      <w:r w:rsidRPr="005D2689">
        <w:rPr>
          <w:u w:val="double"/>
        </w:rPr>
        <w:t>U (95%</w:t>
      </w:r>
      <w:r w:rsidR="00A7497B" w:rsidRPr="00A7497B">
        <w:rPr>
          <w:strike/>
          <w:highlight w:val="yellow"/>
          <w:lang w:val="en-IE"/>
        </w:rPr>
        <w:t xml:space="preserve"> </w:t>
      </w:r>
      <w:r w:rsidR="00A7497B" w:rsidRPr="003D721E">
        <w:rPr>
          <w:strike/>
          <w:highlight w:val="yellow"/>
          <w:lang w:val="en-IE"/>
        </w:rPr>
        <w:t xml:space="preserve">C </w:t>
      </w:r>
      <w:r w:rsidR="00A7497B" w:rsidRPr="003D721E">
        <w:rPr>
          <w:highlight w:val="yellow"/>
          <w:u w:val="double"/>
          <w:lang w:val="en-IE"/>
        </w:rPr>
        <w:t>R</w:t>
      </w:r>
      <w:r w:rsidR="00A7497B" w:rsidRPr="0023000C">
        <w:rPr>
          <w:lang w:val="en-IE"/>
        </w:rPr>
        <w:t>I</w:t>
      </w:r>
      <w:r w:rsidRPr="005D2689">
        <w:rPr>
          <w:u w:val="double"/>
        </w:rPr>
        <w:t>) = 2 × RSD = 0.0255</w:t>
      </w:r>
    </w:p>
    <w:p w14:paraId="6A0C3094" w14:textId="77777777" w:rsidR="007A7F7E" w:rsidRPr="005D2689" w:rsidRDefault="007A7F7E" w:rsidP="007A7F7E">
      <w:pPr>
        <w:pStyle w:val="11Para"/>
        <w:rPr>
          <w:u w:val="double"/>
        </w:rPr>
      </w:pPr>
      <w:r w:rsidRPr="005D2689">
        <w:rPr>
          <w:u w:val="double"/>
        </w:rPr>
        <w:t xml:space="preserve">This estimate can then be applied at the threshold </w:t>
      </w:r>
      <w:proofErr w:type="gramStart"/>
      <w:r w:rsidRPr="005D2689">
        <w:rPr>
          <w:u w:val="double"/>
        </w:rPr>
        <w:t>level</w:t>
      </w:r>
      <w:proofErr w:type="gramEnd"/>
    </w:p>
    <w:p w14:paraId="70B0962C" w14:textId="3B96529B" w:rsidR="007A7F7E" w:rsidRPr="005D2689" w:rsidRDefault="007A7F7E" w:rsidP="007A7F7E">
      <w:pPr>
        <w:pStyle w:val="11Para"/>
        <w:rPr>
          <w:u w:val="double"/>
        </w:rPr>
      </w:pPr>
      <w:r w:rsidRPr="005D2689">
        <w:rPr>
          <w:u w:val="double"/>
        </w:rPr>
        <w:t xml:space="preserve">95% </w:t>
      </w:r>
      <w:r w:rsidR="00A7497B" w:rsidRPr="003D721E">
        <w:rPr>
          <w:strike/>
          <w:highlight w:val="yellow"/>
          <w:lang w:val="en-IE"/>
        </w:rPr>
        <w:t xml:space="preserve">C </w:t>
      </w:r>
      <w:r w:rsidR="00A7497B" w:rsidRPr="003D721E">
        <w:rPr>
          <w:highlight w:val="yellow"/>
          <w:u w:val="double"/>
          <w:lang w:val="en-IE"/>
        </w:rPr>
        <w:t>R</w:t>
      </w:r>
      <w:r w:rsidR="00A7497B" w:rsidRPr="0023000C">
        <w:rPr>
          <w:lang w:val="en-IE"/>
        </w:rPr>
        <w:t>I</w:t>
      </w:r>
      <w:r w:rsidRPr="005D2689">
        <w:rPr>
          <w:u w:val="double"/>
        </w:rPr>
        <w:t xml:space="preserve"> = 37</w:t>
      </w:r>
      <w:r w:rsidRPr="005D2689">
        <w:rPr>
          <w:rFonts w:ascii="Calibri" w:hAnsi="Calibri" w:cs="Calibri"/>
          <w:u w:val="double"/>
        </w:rPr>
        <w:t>±</w:t>
      </w:r>
      <w:r w:rsidRPr="005D2689">
        <w:rPr>
          <w:u w:val="double"/>
        </w:rPr>
        <w:t xml:space="preserve"> (37 × 0.0255) = 37 </w:t>
      </w:r>
      <w:r w:rsidRPr="005D2689">
        <w:rPr>
          <w:rFonts w:ascii="Calibri" w:hAnsi="Calibri" w:cs="Calibri"/>
          <w:u w:val="double"/>
        </w:rPr>
        <w:t>±</w:t>
      </w:r>
      <w:r w:rsidRPr="005D2689">
        <w:rPr>
          <w:u w:val="double"/>
        </w:rPr>
        <w:t xml:space="preserve"> 0.94 </w:t>
      </w:r>
    </w:p>
    <w:p w14:paraId="417E1237" w14:textId="594AAB1C" w:rsidR="007A7F7E" w:rsidRDefault="007A7F7E" w:rsidP="007A7F7E">
      <w:pPr>
        <w:pStyle w:val="11Para"/>
        <w:rPr>
          <w:rFonts w:cstheme="minorHAnsi"/>
          <w:u w:val="double"/>
          <w:lang w:val="en-IE"/>
        </w:rPr>
      </w:pPr>
      <w:r w:rsidRPr="005D2689">
        <w:rPr>
          <w:rFonts w:cstheme="minorHAnsi"/>
          <w:u w:val="double"/>
          <w:lang w:val="en-IE"/>
        </w:rPr>
        <w:t xml:space="preserve">The mean cycle threshold (Ct) value after 10 runs is 33.36 and the standard deviation is 0.43. The relative standard deviation is 0.0128. The expanded uncertainty (95% </w:t>
      </w:r>
      <w:r w:rsidR="00A7497B" w:rsidRPr="003D721E">
        <w:rPr>
          <w:strike/>
          <w:highlight w:val="yellow"/>
          <w:lang w:val="en-IE"/>
        </w:rPr>
        <w:t xml:space="preserve">C </w:t>
      </w:r>
      <w:r w:rsidR="00A7497B" w:rsidRPr="003D721E">
        <w:rPr>
          <w:highlight w:val="yellow"/>
          <w:u w:val="double"/>
          <w:lang w:val="en-IE"/>
        </w:rPr>
        <w:t>R</w:t>
      </w:r>
      <w:r w:rsidR="00A7497B" w:rsidRPr="0023000C">
        <w:rPr>
          <w:lang w:val="en-IE"/>
        </w:rPr>
        <w:t>I</w:t>
      </w:r>
      <w:r w:rsidRPr="005D2689">
        <w:rPr>
          <w:rFonts w:cstheme="minorHAnsi"/>
          <w:u w:val="double"/>
          <w:lang w:val="en-IE"/>
        </w:rPr>
        <w:t xml:space="preserve">) is 2 × the relative standard deviation = 0.0255. Measurement of uncertainty (MU) is most relevant at the cut-off (Ct = 37) and can be applied by multiplication (37 × 0.0255 = 0.94). Subtraction from the threshold (37-0.94) provides the lower 95% </w:t>
      </w:r>
      <w:r w:rsidRPr="00CA7BE8">
        <w:rPr>
          <w:rFonts w:cstheme="minorHAnsi"/>
          <w:strike/>
          <w:highlight w:val="yellow"/>
          <w:lang w:val="en-IE"/>
        </w:rPr>
        <w:t xml:space="preserve">confidence </w:t>
      </w:r>
      <w:r w:rsidR="00CA7BE8" w:rsidRPr="00CA7BE8">
        <w:rPr>
          <w:rFonts w:cstheme="minorHAnsi"/>
          <w:highlight w:val="yellow"/>
          <w:u w:val="double"/>
          <w:lang w:val="en-IE"/>
        </w:rPr>
        <w:t>reference</w:t>
      </w:r>
      <w:r w:rsidR="00CA7BE8">
        <w:rPr>
          <w:rFonts w:cstheme="minorHAnsi"/>
          <w:u w:val="double"/>
          <w:lang w:val="en-IE"/>
        </w:rPr>
        <w:t xml:space="preserve"> </w:t>
      </w:r>
      <w:r w:rsidRPr="005D2689">
        <w:rPr>
          <w:rFonts w:cstheme="minorHAnsi"/>
          <w:u w:val="double"/>
          <w:lang w:val="en-IE"/>
        </w:rPr>
        <w:t xml:space="preserve">limit (Ct = 36.06) and addition (37+0.94) the upper 95% </w:t>
      </w:r>
      <w:r w:rsidR="00CA7BE8" w:rsidRPr="00CA7BE8">
        <w:rPr>
          <w:rFonts w:cstheme="minorHAnsi"/>
          <w:strike/>
          <w:highlight w:val="yellow"/>
          <w:lang w:val="en-IE"/>
        </w:rPr>
        <w:t xml:space="preserve">confidence </w:t>
      </w:r>
      <w:r w:rsidR="00CA7BE8" w:rsidRPr="00CA7BE8">
        <w:rPr>
          <w:rFonts w:cstheme="minorHAnsi"/>
          <w:highlight w:val="yellow"/>
          <w:u w:val="double"/>
          <w:lang w:val="en-IE"/>
        </w:rPr>
        <w:t>reference</w:t>
      </w:r>
      <w:r w:rsidR="00CA7BE8">
        <w:rPr>
          <w:rFonts w:cstheme="minorHAnsi"/>
          <w:u w:val="double"/>
          <w:lang w:val="en-IE"/>
        </w:rPr>
        <w:t xml:space="preserve"> </w:t>
      </w:r>
      <w:r w:rsidRPr="005D2689">
        <w:rPr>
          <w:rFonts w:cstheme="minorHAnsi"/>
          <w:u w:val="double"/>
          <w:lang w:val="en-IE"/>
        </w:rPr>
        <w:t>limit (Ct = 37.94).</w:t>
      </w:r>
    </w:p>
    <w:p w14:paraId="3E20CC13" w14:textId="77777777" w:rsidR="007A7F7E" w:rsidRPr="00F007D4" w:rsidRDefault="007A7F7E" w:rsidP="007A7F7E">
      <w:pPr>
        <w:pStyle w:val="11"/>
        <w:rPr>
          <w:u w:val="double"/>
          <w:lang w:val="en-IE"/>
        </w:rPr>
      </w:pPr>
      <w:r w:rsidRPr="00F007D4">
        <w:rPr>
          <w:u w:val="double"/>
          <w:lang w:val="en-IE"/>
        </w:rPr>
        <w:t>3.3.</w:t>
      </w:r>
      <w:r w:rsidRPr="00F007D4">
        <w:rPr>
          <w:u w:val="double"/>
          <w:lang w:val="en-IE"/>
        </w:rPr>
        <w:tab/>
        <w:t>Interpretation</w:t>
      </w:r>
      <w:r>
        <w:rPr>
          <w:u w:val="double"/>
          <w:lang w:val="en-IE"/>
        </w:rPr>
        <w:t xml:space="preserve"> of the results</w:t>
      </w:r>
    </w:p>
    <w:p w14:paraId="558A0631" w14:textId="2CBC53C0" w:rsidR="00B84332" w:rsidRDefault="007A7F7E" w:rsidP="00545E68">
      <w:pPr>
        <w:pStyle w:val="11Para"/>
        <w:spacing w:after="480"/>
        <w:rPr>
          <w:u w:val="double"/>
          <w:lang w:val="en-IE"/>
        </w:rPr>
      </w:pPr>
      <w:r w:rsidRPr="00E73D6C">
        <w:rPr>
          <w:strike/>
          <w:highlight w:val="yellow"/>
          <w:lang w:val="en-IE"/>
        </w:rPr>
        <w:t xml:space="preserve">Any positive result (Ct &lt; 37) that is higher than 36 Ct is not positive with 95% confidence. Similarly, any negative result (Ct &gt; 37) that is less than 38 Ct is not negative with 95% confidence. </w:t>
      </w:r>
      <w:r w:rsidR="00E73D6C" w:rsidRPr="00E73D6C">
        <w:rPr>
          <w:highlight w:val="yellow"/>
          <w:u w:val="double"/>
        </w:rPr>
        <w:t>A sample with a Ct between 36 and 38 is within the MU surrounding the threshold value, and thus its diagnostic status is less certain than those of samples with results further from that threshold.</w:t>
      </w:r>
    </w:p>
    <w:p w14:paraId="576A6D09" w14:textId="77777777" w:rsidR="007A7F7E" w:rsidRPr="00C155C2" w:rsidRDefault="007A7F7E" w:rsidP="007A7F7E">
      <w:pPr>
        <w:pStyle w:val="A0"/>
      </w:pPr>
      <w:r>
        <w:t xml:space="preserve">b.  </w:t>
      </w:r>
      <w:r w:rsidRPr="00C155C2">
        <w:t>Other applications</w:t>
      </w:r>
    </w:p>
    <w:p w14:paraId="28E5E37D" w14:textId="3D1DE997" w:rsidR="007A7F7E" w:rsidRDefault="007A7F7E" w:rsidP="007A7F7E">
      <w:pPr>
        <w:pStyle w:val="para1"/>
        <w:rPr>
          <w:strike/>
          <w:lang w:val="en-IE"/>
        </w:rPr>
      </w:pPr>
      <w:r w:rsidRPr="005D2689">
        <w:rPr>
          <w:lang w:val="en-IE"/>
        </w:rPr>
        <w:t xml:space="preserve">The top-down approach should be broadly applicable </w:t>
      </w:r>
      <w:r w:rsidRPr="002442BA">
        <w:rPr>
          <w:strike/>
          <w:lang w:val="en-GB"/>
        </w:rPr>
        <w:t>for</w:t>
      </w:r>
      <w:r w:rsidRPr="005D2689">
        <w:rPr>
          <w:u w:val="double"/>
          <w:lang w:val="en-IE"/>
        </w:rPr>
        <w:t>to</w:t>
      </w:r>
      <w:r w:rsidRPr="005D2689">
        <w:rPr>
          <w:lang w:val="en-IE"/>
        </w:rPr>
        <w:t xml:space="preserve"> a range of diagnostic tests including molecular tests. For the calculation of tests using a typical two-fold dilution series for the positive control such as virus neutralisation, complement </w:t>
      </w:r>
      <w:r w:rsidRPr="005D2689">
        <w:rPr>
          <w:lang w:val="en-IE"/>
        </w:rPr>
        <w:lastRenderedPageBreak/>
        <w:t xml:space="preserve">fixation and haemagglutination inhibition tests geometric mean titre (i.e. </w:t>
      </w:r>
      <w:r w:rsidR="002C0412" w:rsidRPr="002C0412">
        <w:rPr>
          <w:highlight w:val="yellow"/>
          <w:u w:val="double"/>
          <w:lang w:val="en-IE"/>
        </w:rPr>
        <w:t>geo</w:t>
      </w:r>
      <w:r w:rsidRPr="005D2689">
        <w:rPr>
          <w:lang w:val="en-IE"/>
        </w:rPr>
        <w:t xml:space="preserve">mean and </w:t>
      </w:r>
      <w:r w:rsidR="00C91906" w:rsidRPr="00C91906">
        <w:rPr>
          <w:highlight w:val="yellow"/>
          <w:u w:val="double"/>
          <w:lang w:val="en-IE"/>
        </w:rPr>
        <w:t>expanded [</w:t>
      </w:r>
      <w:r w:rsidRPr="005D2689">
        <w:rPr>
          <w:lang w:val="en-IE"/>
        </w:rPr>
        <w:t>SD</w:t>
      </w:r>
      <w:r w:rsidR="00C91906" w:rsidRPr="00C91906">
        <w:rPr>
          <w:highlight w:val="yellow"/>
          <w:u w:val="double"/>
          <w:lang w:val="en-IE"/>
        </w:rPr>
        <w:t>]</w:t>
      </w:r>
      <w:r w:rsidRPr="005D2689">
        <w:rPr>
          <w:lang w:val="en-IE"/>
        </w:rPr>
        <w:t xml:space="preserve"> of log base 2 titre values) of the positive control serum should be calculated. Relative standard deviations based on these log scale values may then be applied at the threshold (log</w:t>
      </w:r>
      <w:r w:rsidR="00127DC2">
        <w:rPr>
          <w:lang w:val="en-IE"/>
        </w:rPr>
        <w:t xml:space="preserve"> </w:t>
      </w:r>
      <w:r w:rsidR="00127DC2" w:rsidRPr="00127DC2">
        <w:rPr>
          <w:highlight w:val="yellow"/>
          <w:u w:val="double"/>
          <w:lang w:val="en-IE"/>
        </w:rPr>
        <w:t>base 2</w:t>
      </w:r>
      <w:r w:rsidRPr="005D2689">
        <w:rPr>
          <w:lang w:val="en-IE"/>
        </w:rPr>
        <w:t xml:space="preserve">) titre, and finally transformed </w:t>
      </w:r>
      <w:r w:rsidR="00C867D6" w:rsidRPr="00B66D7A">
        <w:rPr>
          <w:highlight w:val="yellow"/>
          <w:u w:val="double"/>
          <w:lang w:val="en-IE"/>
        </w:rPr>
        <w:t>(by antilog)</w:t>
      </w:r>
      <w:r w:rsidR="00C867D6" w:rsidRPr="00C867D6">
        <w:rPr>
          <w:lang w:val="en-IE"/>
        </w:rPr>
        <w:t xml:space="preserve"> </w:t>
      </w:r>
      <w:r w:rsidRPr="005D2689">
        <w:rPr>
          <w:lang w:val="en-IE"/>
        </w:rPr>
        <w:t>to represent the uncertainty at the threshold. However, in all cases, the approach assumes that the variance about the positive control used to estimate the RSD is proportionally similar at the point of application of the MU, for example at the threshold. If the RSD varies significantly over the measurement scale, the positive control serum used to estimate the MU at the threshold should be selected for an activity level close to that threshold. The Australian Government, Department of Agriculture</w:t>
      </w:r>
      <w:r w:rsidRPr="00B93988">
        <w:rPr>
          <w:u w:val="double"/>
          <w:lang w:val="en-IE"/>
        </w:rPr>
        <w:t>, Fisheries</w:t>
      </w:r>
      <w:r w:rsidRPr="00B93988">
        <w:rPr>
          <w:lang w:val="en-IE"/>
        </w:rPr>
        <w:t xml:space="preserve"> and </w:t>
      </w:r>
      <w:r w:rsidRPr="002442BA">
        <w:rPr>
          <w:strike/>
          <w:lang w:val="en-GB"/>
        </w:rPr>
        <w:t>Water Resources</w:t>
      </w:r>
      <w:r w:rsidRPr="00B93988">
        <w:rPr>
          <w:u w:val="double"/>
          <w:lang w:val="en-IE"/>
        </w:rPr>
        <w:t>Forestry</w:t>
      </w:r>
      <w:r w:rsidRPr="00B93988">
        <w:rPr>
          <w:lang w:val="en-IE"/>
        </w:rPr>
        <w:t xml:space="preserve">, has compiled worked examples for </w:t>
      </w:r>
      <w:proofErr w:type="gramStart"/>
      <w:r w:rsidRPr="00B93988">
        <w:rPr>
          <w:lang w:val="en-IE"/>
        </w:rPr>
        <w:t>a number of</w:t>
      </w:r>
      <w:proofErr w:type="gramEnd"/>
      <w:r w:rsidRPr="00B93988">
        <w:rPr>
          <w:lang w:val="en-IE"/>
        </w:rPr>
        <w:t xml:space="preserve"> diagnostic tests</w:t>
      </w:r>
      <w:r>
        <w:rPr>
          <w:lang w:val="en-IE"/>
        </w:rPr>
        <w:t xml:space="preserve"> </w:t>
      </w:r>
      <w:r w:rsidRPr="00E12D7F">
        <w:rPr>
          <w:u w:val="double"/>
          <w:lang w:val="en-IE"/>
        </w:rPr>
        <w:t>(see footnote 1).</w:t>
      </w:r>
      <w:r>
        <w:rPr>
          <w:lang w:val="en-IE"/>
        </w:rPr>
        <w:t xml:space="preserve"> </w:t>
      </w:r>
      <w:r w:rsidRPr="009E688C">
        <w:rPr>
          <w:strike/>
          <w:u w:val="double"/>
          <w:lang w:val="en-IE"/>
        </w:rPr>
        <w:t>(DAFF, 2010),</w:t>
      </w:r>
      <w:r w:rsidRPr="009E688C">
        <w:rPr>
          <w:strike/>
          <w:lang w:val="en-IE"/>
        </w:rPr>
        <w:t xml:space="preserve"> which are available online at: </w:t>
      </w:r>
    </w:p>
    <w:p w14:paraId="3A35D769" w14:textId="77777777" w:rsidR="007A7F7E" w:rsidRPr="002F78E3" w:rsidRDefault="00000000" w:rsidP="007A7F7E">
      <w:pPr>
        <w:pStyle w:val="para1"/>
        <w:jc w:val="center"/>
        <w:rPr>
          <w:strike/>
          <w:lang w:val="en-GB"/>
        </w:rPr>
      </w:pPr>
      <w:hyperlink r:id="rId11" w:history="1">
        <w:r w:rsidR="007A7F7E" w:rsidRPr="002F78E3">
          <w:rPr>
            <w:rStyle w:val="Hyperlink"/>
            <w:strike/>
            <w:lang w:val="en-GB"/>
          </w:rPr>
          <w:t>http://www.agriculture.gov.au/animal/health/laboratories/tests/worked-example-measurement</w:t>
        </w:r>
      </w:hyperlink>
    </w:p>
    <w:p w14:paraId="3E95B0AF" w14:textId="77777777" w:rsidR="007A7F7E" w:rsidRPr="002442BA" w:rsidRDefault="007A7F7E" w:rsidP="007A7F7E">
      <w:pPr>
        <w:pStyle w:val="para1"/>
        <w:rPr>
          <w:strike/>
          <w:lang w:val="en-GB"/>
        </w:rPr>
      </w:pPr>
      <w:r w:rsidRPr="002442BA">
        <w:rPr>
          <w:strike/>
          <w:lang w:val="en-GB"/>
        </w:rPr>
        <w:t>For quantitative real-time PCRs (qPCR) replicates of positive controls with their respective cycle threshold (CT) values can be used to estimate MU using the top-down approach.</w:t>
      </w:r>
    </w:p>
    <w:p w14:paraId="0FA805BD" w14:textId="77777777" w:rsidR="007A7F7E" w:rsidRPr="002442BA" w:rsidRDefault="007A7F7E" w:rsidP="007A7F7E">
      <w:pPr>
        <w:pStyle w:val="para1"/>
        <w:rPr>
          <w:lang w:val="en-GB"/>
        </w:rPr>
      </w:pPr>
      <w:r w:rsidRPr="002442BA">
        <w:rPr>
          <w:lang w:val="en-GB"/>
        </w:rPr>
        <w:t xml:space="preserve">Other approaches and variations have been described, i.e. for serological tests (Dimech </w:t>
      </w:r>
      <w:r w:rsidRPr="002442BA">
        <w:rPr>
          <w:i/>
          <w:iCs/>
          <w:lang w:val="en-GB"/>
        </w:rPr>
        <w:t>et al.,</w:t>
      </w:r>
      <w:r w:rsidRPr="002442BA">
        <w:rPr>
          <w:lang w:val="en-GB"/>
        </w:rPr>
        <w:t xml:space="preserve"> 2006; Goris </w:t>
      </w:r>
      <w:r w:rsidRPr="002442BA">
        <w:rPr>
          <w:i/>
          <w:iCs/>
          <w:lang w:val="en-GB"/>
        </w:rPr>
        <w:t>et al.,</w:t>
      </w:r>
      <w:r w:rsidRPr="002442BA">
        <w:rPr>
          <w:lang w:val="en-GB"/>
        </w:rPr>
        <w:t xml:space="preserve"> 2009; Toussaint </w:t>
      </w:r>
      <w:r w:rsidRPr="002442BA">
        <w:rPr>
          <w:i/>
          <w:iCs/>
          <w:lang w:val="en-GB"/>
        </w:rPr>
        <w:t>et al.,</w:t>
      </w:r>
      <w:r w:rsidRPr="002442BA">
        <w:rPr>
          <w:lang w:val="en-GB"/>
        </w:rPr>
        <w:t xml:space="preserve"> 2007). </w:t>
      </w:r>
      <w:r w:rsidRPr="002442BA">
        <w:rPr>
          <w:strike/>
          <w:lang w:val="en-GB"/>
        </w:rPr>
        <w:t xml:space="preserve">Additional work and policy </w:t>
      </w:r>
      <w:r w:rsidRPr="002442BA">
        <w:rPr>
          <w:u w:val="double"/>
          <w:lang w:val="en-GB"/>
        </w:rPr>
        <w:t>Central</w:t>
      </w:r>
      <w:r w:rsidRPr="002442BA">
        <w:rPr>
          <w:lang w:val="en-GB"/>
        </w:rPr>
        <w:t xml:space="preserve"> documents </w:t>
      </w:r>
      <w:r w:rsidRPr="002442BA">
        <w:rPr>
          <w:strike/>
          <w:lang w:val="en-GB"/>
        </w:rPr>
        <w:t xml:space="preserve">are available from the National Pathology Accreditation Advisory Group and Life Science. The central document </w:t>
      </w:r>
      <w:r w:rsidRPr="002442BA">
        <w:rPr>
          <w:lang w:val="en-GB"/>
        </w:rPr>
        <w:t xml:space="preserve">to MU </w:t>
      </w:r>
      <w:proofErr w:type="spellStart"/>
      <w:r w:rsidRPr="002442BA">
        <w:rPr>
          <w:strike/>
          <w:lang w:val="en-GB"/>
        </w:rPr>
        <w:t>is</w:t>
      </w:r>
      <w:r w:rsidRPr="002442BA">
        <w:rPr>
          <w:u w:val="double"/>
          <w:lang w:val="en-GB"/>
        </w:rPr>
        <w:t>are</w:t>
      </w:r>
      <w:proofErr w:type="spellEnd"/>
      <w:r w:rsidRPr="002442BA">
        <w:rPr>
          <w:lang w:val="en-GB"/>
        </w:rPr>
        <w:t xml:space="preserve"> the Guide to the expression of uncertainty in measurement (GUM), ISO/IEC Guide</w:t>
      </w:r>
      <w:r w:rsidRPr="002442BA">
        <w:rPr>
          <w:u w:val="double"/>
          <w:lang w:val="en-GB"/>
        </w:rPr>
        <w:t>,</w:t>
      </w:r>
      <w:r w:rsidRPr="002442BA">
        <w:rPr>
          <w:lang w:val="en-GB"/>
        </w:rPr>
        <w:t xml:space="preserve"> </w:t>
      </w:r>
      <w:r w:rsidRPr="002442BA">
        <w:rPr>
          <w:strike/>
          <w:lang w:val="en-GB"/>
        </w:rPr>
        <w:t>(</w:t>
      </w:r>
      <w:r w:rsidRPr="002442BA">
        <w:rPr>
          <w:lang w:val="en-GB"/>
        </w:rPr>
        <w:t>1995</w:t>
      </w:r>
      <w:r w:rsidRPr="002442BA">
        <w:rPr>
          <w:strike/>
          <w:lang w:val="en-GB"/>
        </w:rPr>
        <w:t>)</w:t>
      </w:r>
      <w:r w:rsidRPr="002442BA">
        <w:rPr>
          <w:u w:val="double"/>
          <w:lang w:val="en-GB"/>
        </w:rPr>
        <w:t xml:space="preserve"> and </w:t>
      </w:r>
      <w:proofErr w:type="spellStart"/>
      <w:r w:rsidRPr="002442BA">
        <w:rPr>
          <w:u w:val="double"/>
          <w:lang w:val="en-GB"/>
        </w:rPr>
        <w:t>Eurachem</w:t>
      </w:r>
      <w:proofErr w:type="spellEnd"/>
      <w:r w:rsidRPr="002442BA">
        <w:rPr>
          <w:u w:val="double"/>
          <w:lang w:val="en-GB"/>
        </w:rPr>
        <w:t>/CITAC Guide, 2012 CG 4: Quantifying uncertainty in analytical measurement</w:t>
      </w:r>
      <w:r w:rsidRPr="002442BA">
        <w:rPr>
          <w:lang w:val="en-GB"/>
        </w:rPr>
        <w:t>.</w:t>
      </w:r>
    </w:p>
    <w:p w14:paraId="3BF0E72C" w14:textId="77777777" w:rsidR="007A7F7E" w:rsidRDefault="007A7F7E" w:rsidP="007A7F7E">
      <w:pPr>
        <w:pStyle w:val="1"/>
      </w:pPr>
      <w:r w:rsidRPr="006C1D81">
        <w:t xml:space="preserve">Scope and limitations of the top-down approach </w:t>
      </w:r>
    </w:p>
    <w:p w14:paraId="23E14FB7" w14:textId="77777777" w:rsidR="007A7F7E" w:rsidRPr="002442BA" w:rsidRDefault="007A7F7E" w:rsidP="007A7F7E">
      <w:pPr>
        <w:pStyle w:val="para1"/>
        <w:spacing w:after="480"/>
        <w:rPr>
          <w:u w:val="double"/>
          <w:lang w:val="en-GB"/>
        </w:rPr>
      </w:pPr>
      <w:r w:rsidRPr="002442BA">
        <w:rPr>
          <w:u w:val="double"/>
          <w:lang w:val="en-GB"/>
        </w:rPr>
        <w:t xml:space="preserve">Methods for quantifying uncertainty (addressing MU) for tests vary. When estimating MU for quantitative, biologically based diagnostic tests, where variations in the substrate or matrix have large and unpredictable effects, a top-down approach is recommended (Dimech </w:t>
      </w:r>
      <w:r w:rsidRPr="002442BA">
        <w:rPr>
          <w:i/>
          <w:iCs/>
          <w:u w:val="double"/>
          <w:lang w:val="en-GB"/>
        </w:rPr>
        <w:t>et al.,</w:t>
      </w:r>
      <w:r w:rsidRPr="002442BA">
        <w:rPr>
          <w:u w:val="double"/>
          <w:lang w:val="en-GB"/>
        </w:rPr>
        <w:t xml:space="preserve"> 2006; </w:t>
      </w:r>
      <w:proofErr w:type="spellStart"/>
      <w:r w:rsidRPr="002442BA">
        <w:rPr>
          <w:u w:val="double"/>
          <w:lang w:val="en-GB"/>
        </w:rPr>
        <w:t>Eurachem</w:t>
      </w:r>
      <w:proofErr w:type="spellEnd"/>
      <w:r w:rsidRPr="002442BA">
        <w:rPr>
          <w:u w:val="double"/>
          <w:lang w:val="en-GB"/>
        </w:rPr>
        <w:t xml:space="preserve"> 2012; Goris </w:t>
      </w:r>
      <w:r w:rsidRPr="002442BA">
        <w:rPr>
          <w:i/>
          <w:iCs/>
          <w:u w:val="double"/>
          <w:lang w:val="en-GB"/>
        </w:rPr>
        <w:t>et al.,</w:t>
      </w:r>
      <w:r w:rsidRPr="002442BA">
        <w:rPr>
          <w:u w:val="double"/>
          <w:lang w:val="en-GB"/>
        </w:rPr>
        <w:t xml:space="preserve"> 2009; ISO/IEC Guide 98-3:2008; Newberry &amp; Colling, 2021; Standards Council of Canada, 2021; and footnote 1). The advantage of this method is that quality control data are generated during normal test runs and can be used to estimate the precision of the assay and express it at the cut-off. The application at the cut-off depends on the performance of the test at different analyte concentrations, e.g. variation is likely to increase at higher diluted samples. The top-down approach does not identify individual contributors to measurement uncertainty but rather provides an overall estimate. Measurement uncertainty does not replace test validation; however, the validation process includes assessments of repeatability through quality control samples which facilitate calculation of MU.</w:t>
      </w:r>
    </w:p>
    <w:p w14:paraId="15BBD2F6" w14:textId="77777777" w:rsidR="007A7F7E" w:rsidRPr="00C155C2" w:rsidRDefault="007A7F7E" w:rsidP="007A7F7E">
      <w:pPr>
        <w:pStyle w:val="Referencetitle"/>
      </w:pPr>
      <w:r w:rsidRPr="00C155C2">
        <w:t>REFERENCES</w:t>
      </w:r>
    </w:p>
    <w:p w14:paraId="6198D2AD" w14:textId="49300005" w:rsidR="007A7F7E" w:rsidRPr="002442BA" w:rsidRDefault="007A7F7E" w:rsidP="007A7F7E">
      <w:pPr>
        <w:spacing w:after="240" w:line="240" w:lineRule="auto"/>
        <w:rPr>
          <w:rFonts w:ascii="Arial" w:hAnsi="Arial" w:cs="Arial"/>
          <w:strike/>
          <w:sz w:val="18"/>
          <w:szCs w:val="18"/>
          <w:lang w:val="en-GB"/>
        </w:rPr>
      </w:pPr>
      <w:r w:rsidRPr="002442BA">
        <w:rPr>
          <w:rFonts w:ascii="Arial" w:hAnsi="Arial" w:cs="Arial"/>
          <w:smallCaps/>
          <w:strike/>
          <w:sz w:val="18"/>
          <w:szCs w:val="18"/>
          <w:lang w:val="en-GB" w:eastAsia="en-GB"/>
        </w:rPr>
        <w:t>American Association for Laboratory Accreditation</w:t>
      </w:r>
      <w:r w:rsidRPr="002442BA">
        <w:rPr>
          <w:rFonts w:ascii="Arial" w:hAnsi="Arial" w:cs="Arial"/>
          <w:strike/>
          <w:sz w:val="18"/>
          <w:szCs w:val="18"/>
          <w:lang w:val="en-GB" w:eastAsia="en-GB"/>
        </w:rPr>
        <w:t xml:space="preserve"> (A2LA). </w:t>
      </w:r>
      <w:r w:rsidRPr="002442BA">
        <w:rPr>
          <w:rFonts w:ascii="Arial" w:hAnsi="Arial" w:cs="Arial"/>
          <w:strike/>
          <w:sz w:val="18"/>
          <w:szCs w:val="18"/>
          <w:lang w:val="en-GB"/>
        </w:rPr>
        <w:t xml:space="preserve">Policy on estimating measurement uncertainty for life science testing labs </w:t>
      </w:r>
      <w:r w:rsidRPr="00847DFD">
        <w:rPr>
          <w:strike/>
          <w:lang w:val="en-GB"/>
        </w:rPr>
        <w:t>https://portal.a2la.org/policies/A2LA_P103b.pdf</w:t>
      </w:r>
      <w:r w:rsidRPr="002442BA">
        <w:rPr>
          <w:rFonts w:ascii="Arial" w:hAnsi="Arial" w:cs="Arial"/>
          <w:strike/>
          <w:sz w:val="18"/>
          <w:szCs w:val="18"/>
          <w:lang w:val="en-GB"/>
        </w:rPr>
        <w:t xml:space="preserve"> (accessed 22 November 2018).</w:t>
      </w:r>
    </w:p>
    <w:p w14:paraId="3ED7103D" w14:textId="328B4567" w:rsidR="007A7F7E" w:rsidRPr="002442BA" w:rsidRDefault="007A7F7E" w:rsidP="007A7F7E">
      <w:pPr>
        <w:pStyle w:val="para1"/>
        <w:rPr>
          <w:strike/>
          <w:lang w:val="en-GB"/>
        </w:rPr>
      </w:pPr>
      <w:r w:rsidRPr="00661521">
        <w:rPr>
          <w:strike/>
          <w:lang w:val="en-IE"/>
        </w:rPr>
        <w:t xml:space="preserve">Australian Government, Department of Agriculture and </w:t>
      </w:r>
      <w:r w:rsidRPr="002442BA">
        <w:rPr>
          <w:smallCaps/>
          <w:strike/>
          <w:spacing w:val="-2"/>
          <w:lang w:val="en-GB"/>
        </w:rPr>
        <w:t xml:space="preserve">Water </w:t>
      </w:r>
      <w:proofErr w:type="gramStart"/>
      <w:r w:rsidRPr="002442BA">
        <w:rPr>
          <w:smallCaps/>
          <w:strike/>
          <w:spacing w:val="-2"/>
          <w:lang w:val="en-GB"/>
        </w:rPr>
        <w:t>Resources</w:t>
      </w:r>
      <w:r w:rsidRPr="002442BA">
        <w:rPr>
          <w:strike/>
          <w:spacing w:val="-2"/>
          <w:lang w:val="en-GB"/>
        </w:rPr>
        <w:t>.</w:t>
      </w:r>
      <w:r w:rsidRPr="00661521">
        <w:rPr>
          <w:strike/>
          <w:u w:val="double"/>
          <w:lang w:val="en-IE"/>
        </w:rPr>
        <w:t>.</w:t>
      </w:r>
      <w:proofErr w:type="gramEnd"/>
      <w:r w:rsidRPr="00661521">
        <w:rPr>
          <w:strike/>
          <w:lang w:val="en-IE"/>
        </w:rPr>
        <w:t xml:space="preserve"> Worked </w:t>
      </w:r>
      <w:r w:rsidRPr="00661521">
        <w:rPr>
          <w:strike/>
          <w:u w:val="double"/>
          <w:lang w:val="en-IE"/>
        </w:rPr>
        <w:t xml:space="preserve">examples </w:t>
      </w:r>
      <w:r w:rsidRPr="00661521">
        <w:rPr>
          <w:strike/>
          <w:lang w:val="en-IE"/>
        </w:rPr>
        <w:t xml:space="preserve">of measurement uncertainty </w:t>
      </w:r>
      <w:r w:rsidRPr="00847DFD">
        <w:rPr>
          <w:strike/>
          <w:lang w:val="en-GB"/>
        </w:rPr>
        <w:t>http://www.agriculture.gov.au/animal/health/laboratories/tests/worked-example-measurement</w:t>
      </w:r>
      <w:r w:rsidRPr="002442BA">
        <w:rPr>
          <w:strike/>
          <w:lang w:val="en-GB"/>
        </w:rPr>
        <w:t xml:space="preserve"> (accessed 22 November 2018).</w:t>
      </w:r>
    </w:p>
    <w:p w14:paraId="5B96C262" w14:textId="2D159F2D" w:rsidR="007A7F7E" w:rsidRPr="002442BA" w:rsidRDefault="007A7F7E" w:rsidP="007A7F7E">
      <w:pPr>
        <w:pStyle w:val="Ref"/>
        <w:rPr>
          <w:strike/>
          <w:lang w:val="en-GB"/>
        </w:rPr>
      </w:pPr>
      <w:r w:rsidRPr="002442BA">
        <w:rPr>
          <w:smallCaps/>
          <w:strike/>
          <w:lang w:val="en-GB"/>
        </w:rPr>
        <w:t>Australian Government Department of Health and Ageing</w:t>
      </w:r>
      <w:r w:rsidRPr="002442BA">
        <w:rPr>
          <w:strike/>
          <w:lang w:val="en-GB"/>
        </w:rPr>
        <w:t xml:space="preserve"> (2007). Requirements for the estimation of measurement uncertainty, National Pathology Accreditation Advisory Group. </w:t>
      </w:r>
      <w:r w:rsidRPr="00847DFD">
        <w:rPr>
          <w:strike/>
          <w:lang w:val="en-GB"/>
        </w:rPr>
        <w:t>http://www.health.gov.au/internet/main/publishing.nsf/Content/B1074B732F32282DCA257BF0001FA218/$File/dhaeou.pdf</w:t>
      </w:r>
      <w:r w:rsidRPr="002442BA">
        <w:rPr>
          <w:strike/>
          <w:lang w:val="en-GB"/>
        </w:rPr>
        <w:t xml:space="preserve"> (accessed 22 November 2018).</w:t>
      </w:r>
    </w:p>
    <w:p w14:paraId="41AC1BB8" w14:textId="77777777" w:rsidR="007A7F7E" w:rsidRPr="002442BA" w:rsidRDefault="007A7F7E" w:rsidP="007A7F7E">
      <w:pPr>
        <w:pStyle w:val="Ref"/>
        <w:rPr>
          <w:lang w:val="en-GB"/>
        </w:rPr>
      </w:pPr>
      <w:r w:rsidRPr="00272FDF">
        <w:rPr>
          <w:smallCaps/>
          <w:lang w:val="en-IE"/>
        </w:rPr>
        <w:t>Dimech W., Francis B., Kox J. &amp; Roberts G.</w:t>
      </w:r>
      <w:r w:rsidRPr="00272FDF">
        <w:rPr>
          <w:lang w:val="en-IE"/>
        </w:rPr>
        <w:t xml:space="preserve"> (2006). Calculating uncertainty of measurement for serology assays by use of precision and bias. </w:t>
      </w:r>
      <w:r w:rsidRPr="002442BA">
        <w:rPr>
          <w:i/>
          <w:lang w:val="en-GB"/>
        </w:rPr>
        <w:t>Clin. Chem</w:t>
      </w:r>
      <w:r w:rsidRPr="002442BA">
        <w:rPr>
          <w:lang w:val="en-GB"/>
        </w:rPr>
        <w:t xml:space="preserve">., </w:t>
      </w:r>
      <w:r w:rsidRPr="002442BA">
        <w:rPr>
          <w:b/>
          <w:lang w:val="en-GB"/>
        </w:rPr>
        <w:t>52</w:t>
      </w:r>
      <w:r w:rsidRPr="002442BA">
        <w:rPr>
          <w:lang w:val="en-GB"/>
        </w:rPr>
        <w:t xml:space="preserve">, No. 3, 526–529. </w:t>
      </w:r>
    </w:p>
    <w:p w14:paraId="02B02DD3" w14:textId="5D00E013" w:rsidR="007A7F7E" w:rsidRPr="00272FDF" w:rsidRDefault="007A7F7E" w:rsidP="007A7F7E">
      <w:pPr>
        <w:pStyle w:val="Ref"/>
        <w:rPr>
          <w:u w:val="double"/>
          <w:lang w:val="en-IE"/>
        </w:rPr>
      </w:pPr>
      <w:r w:rsidRPr="004E5AF8">
        <w:rPr>
          <w:smallCaps/>
          <w:u w:val="double"/>
          <w:lang w:val="en-IE"/>
        </w:rPr>
        <w:t>Ellison S.L.R. &amp; Williams A. (eds)</w:t>
      </w:r>
      <w:r w:rsidRPr="00272FDF">
        <w:rPr>
          <w:u w:val="double"/>
          <w:lang w:val="en-IE"/>
        </w:rPr>
        <w:t xml:space="preserve"> (2012). </w:t>
      </w:r>
      <w:proofErr w:type="spellStart"/>
      <w:r w:rsidRPr="00272FDF">
        <w:rPr>
          <w:u w:val="double"/>
          <w:lang w:val="en-IE"/>
        </w:rPr>
        <w:t>Eurachem</w:t>
      </w:r>
      <w:proofErr w:type="spellEnd"/>
      <w:r w:rsidRPr="00272FDF">
        <w:rPr>
          <w:u w:val="double"/>
          <w:lang w:val="en-IE"/>
        </w:rPr>
        <w:t>/CITAC Guide CG 4: Quantifying uncertainty in analytical measurement, 3rd Ed</w:t>
      </w:r>
      <w:r>
        <w:rPr>
          <w:u w:val="double"/>
          <w:lang w:val="en-IE"/>
        </w:rPr>
        <w:t>ition</w:t>
      </w:r>
      <w:r w:rsidRPr="00272FDF">
        <w:rPr>
          <w:u w:val="double"/>
          <w:lang w:val="en-IE"/>
        </w:rPr>
        <w:t xml:space="preserve">. </w:t>
      </w:r>
      <w:proofErr w:type="spellStart"/>
      <w:r w:rsidRPr="00272FDF">
        <w:rPr>
          <w:u w:val="double"/>
          <w:lang w:val="en-IE"/>
        </w:rPr>
        <w:t>Eurachem</w:t>
      </w:r>
      <w:proofErr w:type="spellEnd"/>
      <w:r w:rsidRPr="00272FDF">
        <w:rPr>
          <w:u w:val="double"/>
          <w:lang w:val="en-IE"/>
        </w:rPr>
        <w:t xml:space="preserve">, Teddington, United Kingdom, Section 3. Available at: </w:t>
      </w:r>
      <w:r w:rsidRPr="00847DFD">
        <w:rPr>
          <w:lang w:val="en-IE"/>
        </w:rPr>
        <w:t>www.eurachem.org/images/stories/Guides/pdf/QUAM2012_P1.pdf</w:t>
      </w:r>
      <w:r w:rsidRPr="00272FDF">
        <w:rPr>
          <w:u w:val="double"/>
          <w:lang w:val="en-IE"/>
        </w:rPr>
        <w:t xml:space="preserve"> (Accessed 10 June 2023).</w:t>
      </w:r>
    </w:p>
    <w:p w14:paraId="3BDAB22C" w14:textId="77777777" w:rsidR="007A7F7E" w:rsidRPr="00E60125" w:rsidRDefault="007A7F7E" w:rsidP="007A7F7E">
      <w:pPr>
        <w:pStyle w:val="Ref"/>
        <w:rPr>
          <w:lang w:val="de-DE"/>
        </w:rPr>
      </w:pPr>
      <w:r w:rsidRPr="00E25A7C">
        <w:rPr>
          <w:smallCaps/>
          <w:lang w:val="nl-NL"/>
        </w:rPr>
        <w:t>Goris N., Vandenbussche F., Herr, C., Villers, J., Van der Stede, Y. &amp; De Clercq K</w:t>
      </w:r>
      <w:r w:rsidRPr="00E25A7C">
        <w:rPr>
          <w:lang w:val="nl-NL"/>
        </w:rPr>
        <w:t xml:space="preserve">. (2009). </w:t>
      </w:r>
      <w:r w:rsidRPr="00E25A7C">
        <w:rPr>
          <w:lang w:val="en-IE"/>
        </w:rPr>
        <w:t xml:space="preserve">Validation of two real-time PCR methods for foot-and-mouth disease diagnosis: RNA-extraction, matrix effects, uncertainty of measurement and precision. </w:t>
      </w:r>
      <w:r w:rsidRPr="00E60125">
        <w:rPr>
          <w:i/>
          <w:lang w:val="de-DE"/>
        </w:rPr>
        <w:t>J. Virol. Methods,</w:t>
      </w:r>
      <w:r w:rsidRPr="00E60125">
        <w:rPr>
          <w:lang w:val="de-DE"/>
        </w:rPr>
        <w:t xml:space="preserve"> </w:t>
      </w:r>
      <w:r w:rsidRPr="00E60125">
        <w:rPr>
          <w:b/>
          <w:lang w:val="de-DE"/>
        </w:rPr>
        <w:t>160</w:t>
      </w:r>
      <w:r w:rsidRPr="00E60125">
        <w:rPr>
          <w:lang w:val="de-DE"/>
        </w:rPr>
        <w:t>, 157–162.</w:t>
      </w:r>
    </w:p>
    <w:p w14:paraId="4FF21681" w14:textId="77777777" w:rsidR="007A7F7E" w:rsidRPr="00E25A7C" w:rsidRDefault="007A7F7E" w:rsidP="007A7F7E">
      <w:pPr>
        <w:pStyle w:val="Ref"/>
        <w:rPr>
          <w:lang w:val="en-IE"/>
        </w:rPr>
      </w:pPr>
      <w:r w:rsidRPr="00E60125">
        <w:rPr>
          <w:smallCaps/>
          <w:lang w:val="de-DE"/>
        </w:rPr>
        <w:t>Greiner M., Sohr D. &amp; Goebel P.A.</w:t>
      </w:r>
      <w:r w:rsidRPr="00E60125">
        <w:rPr>
          <w:lang w:val="de-DE"/>
        </w:rPr>
        <w:t xml:space="preserve"> (1995). </w:t>
      </w:r>
      <w:r w:rsidRPr="00E25A7C">
        <w:rPr>
          <w:lang w:val="en-IE"/>
        </w:rPr>
        <w:t xml:space="preserve">Modified ROC analysis for the selection of cut-off values and the definition of intermediate results of </w:t>
      </w:r>
      <w:proofErr w:type="spellStart"/>
      <w:r w:rsidRPr="00E25A7C">
        <w:rPr>
          <w:lang w:val="en-IE"/>
        </w:rPr>
        <w:t>serodiagnostic</w:t>
      </w:r>
      <w:proofErr w:type="spellEnd"/>
      <w:r w:rsidRPr="00E25A7C">
        <w:rPr>
          <w:lang w:val="en-IE"/>
        </w:rPr>
        <w:t xml:space="preserve"> tests, </w:t>
      </w:r>
      <w:r w:rsidRPr="00E25A7C">
        <w:rPr>
          <w:i/>
          <w:lang w:val="en-IE"/>
        </w:rPr>
        <w:t>J. Immunol. Methods</w:t>
      </w:r>
      <w:r w:rsidRPr="00E25A7C">
        <w:rPr>
          <w:lang w:val="en-IE"/>
        </w:rPr>
        <w:t xml:space="preserve">, </w:t>
      </w:r>
      <w:r w:rsidRPr="00E25A7C">
        <w:rPr>
          <w:b/>
          <w:lang w:val="en-IE"/>
        </w:rPr>
        <w:t>185</w:t>
      </w:r>
      <w:r w:rsidRPr="00E25A7C">
        <w:rPr>
          <w:lang w:val="en-IE"/>
        </w:rPr>
        <w:t>, 123–132.</w:t>
      </w:r>
    </w:p>
    <w:p w14:paraId="15563F83" w14:textId="2B435FA3" w:rsidR="007A7F7E" w:rsidRPr="00604286" w:rsidRDefault="007A7F7E" w:rsidP="007A7F7E">
      <w:pPr>
        <w:pStyle w:val="Ref"/>
        <w:spacing w:after="280"/>
        <w:rPr>
          <w:strike/>
          <w:lang w:val="en-GB"/>
        </w:rPr>
      </w:pPr>
      <w:r w:rsidRPr="00E25A7C">
        <w:rPr>
          <w:smallCaps/>
          <w:lang w:val="en-IE"/>
        </w:rPr>
        <w:lastRenderedPageBreak/>
        <w:t xml:space="preserve">ISO/IEC </w:t>
      </w:r>
      <w:r w:rsidRPr="00604286">
        <w:rPr>
          <w:smallCaps/>
          <w:strike/>
          <w:lang w:val="en-GB"/>
        </w:rPr>
        <w:t xml:space="preserve">(1995). </w:t>
      </w:r>
      <w:r w:rsidRPr="00604286">
        <w:rPr>
          <w:strike/>
          <w:lang w:val="en-GB"/>
        </w:rPr>
        <w:t xml:space="preserve">Guide to the expression of uncertainty in measurement (GUM), ISO/IEC Guide 98:1995. International Organization for Standardization (ISO), </w:t>
      </w:r>
      <w:r w:rsidRPr="00847DFD">
        <w:rPr>
          <w:strike/>
          <w:lang w:val="en-GB"/>
        </w:rPr>
        <w:t>www.iso.org</w:t>
      </w:r>
      <w:r w:rsidRPr="00604286">
        <w:rPr>
          <w:strike/>
          <w:lang w:val="en-GB"/>
        </w:rPr>
        <w:t>.</w:t>
      </w:r>
    </w:p>
    <w:p w14:paraId="28CF469A" w14:textId="1C7CAB29" w:rsidR="007A7F7E" w:rsidRPr="00E25A7C" w:rsidRDefault="007A7F7E" w:rsidP="007A7F7E">
      <w:pPr>
        <w:pStyle w:val="Ref"/>
        <w:spacing w:after="280"/>
        <w:rPr>
          <w:lang w:val="en-IE"/>
        </w:rPr>
      </w:pPr>
      <w:r w:rsidRPr="00604286">
        <w:rPr>
          <w:smallCaps/>
          <w:strike/>
          <w:lang w:val="en-GB"/>
        </w:rPr>
        <w:t xml:space="preserve">ISO/IEC (2005). ISO/IEC </w:t>
      </w:r>
      <w:r w:rsidRPr="00E25A7C">
        <w:rPr>
          <w:smallCaps/>
          <w:lang w:val="en-IE"/>
        </w:rPr>
        <w:t>17025:</w:t>
      </w:r>
      <w:r w:rsidRPr="00604286">
        <w:rPr>
          <w:smallCaps/>
          <w:strike/>
          <w:lang w:val="en-GB"/>
        </w:rPr>
        <w:t>2005</w:t>
      </w:r>
      <w:r w:rsidRPr="00E25A7C">
        <w:rPr>
          <w:smallCaps/>
          <w:u w:val="double"/>
          <w:lang w:val="en-IE"/>
        </w:rPr>
        <w:t>2017</w:t>
      </w:r>
      <w:r w:rsidRPr="00E25A7C">
        <w:rPr>
          <w:smallCaps/>
          <w:lang w:val="en-IE"/>
        </w:rPr>
        <w:t xml:space="preserve">. </w:t>
      </w:r>
      <w:r w:rsidRPr="00E25A7C">
        <w:rPr>
          <w:lang w:val="en-IE"/>
        </w:rPr>
        <w:t xml:space="preserve">General Requirements for the Competence of Testing and Calibration Laboratories. International Organization for Standardization (ISO), </w:t>
      </w:r>
      <w:r w:rsidRPr="00847DFD">
        <w:rPr>
          <w:lang w:val="en-IE"/>
        </w:rPr>
        <w:t>www.iso.org</w:t>
      </w:r>
      <w:r w:rsidRPr="00E25A7C">
        <w:rPr>
          <w:lang w:val="en-IE"/>
        </w:rPr>
        <w:t>.</w:t>
      </w:r>
    </w:p>
    <w:p w14:paraId="32D45CC2" w14:textId="59DFD8DD" w:rsidR="007A7F7E" w:rsidRPr="00E25A7C" w:rsidRDefault="007A7F7E" w:rsidP="007A7F7E">
      <w:pPr>
        <w:pStyle w:val="ref0"/>
        <w:rPr>
          <w:szCs w:val="18"/>
          <w:lang w:val="en-IE"/>
        </w:rPr>
      </w:pPr>
      <w:r w:rsidRPr="00E25A7C">
        <w:rPr>
          <w:smallCaps/>
          <w:szCs w:val="18"/>
          <w:lang w:val="en-IE"/>
        </w:rPr>
        <w:t>ISO/IEC Guide 98-3:2008</w:t>
      </w:r>
      <w:r w:rsidRPr="00E25A7C">
        <w:rPr>
          <w:szCs w:val="18"/>
          <w:lang w:val="en-IE"/>
        </w:rPr>
        <w:t xml:space="preserve"> (E). Uncertainty of measurement – Part 3 Guide to the expression of uncertainty in measurement (GUM:1995), International Organization for Standardization (ISO), </w:t>
      </w:r>
      <w:r w:rsidRPr="00847DFD">
        <w:rPr>
          <w:lang w:val="en-IE"/>
        </w:rPr>
        <w:t>www.iso.org</w:t>
      </w:r>
      <w:r w:rsidRPr="00E25A7C">
        <w:rPr>
          <w:rFonts w:cs="Arial"/>
          <w:szCs w:val="18"/>
          <w:lang w:val="en-AU"/>
        </w:rPr>
        <w:t xml:space="preserve"> </w:t>
      </w:r>
      <w:r w:rsidRPr="00E25A7C">
        <w:rPr>
          <w:szCs w:val="18"/>
          <w:lang w:val="en-IE"/>
        </w:rPr>
        <w:t xml:space="preserve">(accessed 10 June 2023). </w:t>
      </w:r>
    </w:p>
    <w:p w14:paraId="17F75E03" w14:textId="07A8059F" w:rsidR="007A7F7E" w:rsidRPr="00847DFD" w:rsidRDefault="007A7F7E" w:rsidP="007A7F7E">
      <w:pPr>
        <w:pStyle w:val="rtoiles"/>
        <w:spacing w:line="240" w:lineRule="auto"/>
        <w:jc w:val="left"/>
        <w:rPr>
          <w:rFonts w:ascii="Söhne" w:hAnsi="Söhne"/>
          <w:sz w:val="18"/>
          <w:szCs w:val="18"/>
          <w:u w:val="double"/>
          <w:lang w:val="en-GB"/>
        </w:rPr>
      </w:pPr>
      <w:r w:rsidRPr="00604286">
        <w:rPr>
          <w:rFonts w:ascii="Söhne" w:hAnsi="Söhne"/>
          <w:smallCaps/>
          <w:sz w:val="18"/>
          <w:szCs w:val="18"/>
          <w:u w:val="double"/>
          <w:lang w:val="en-GB"/>
        </w:rPr>
        <w:t>SCC- Standards Council of Canada</w:t>
      </w:r>
      <w:r w:rsidRPr="00604286">
        <w:rPr>
          <w:rFonts w:ascii="Söhne" w:hAnsi="Söhne"/>
          <w:sz w:val="18"/>
          <w:szCs w:val="18"/>
          <w:u w:val="double"/>
          <w:lang w:val="en-GB"/>
        </w:rPr>
        <w:t xml:space="preserve">. Requirements and Guidance for method Verification and Validation in Testing Laboratories (RG-MVVT), 2021-05-24. </w:t>
      </w:r>
      <w:r w:rsidRPr="00847DFD">
        <w:rPr>
          <w:rFonts w:ascii="Söhne" w:hAnsi="Söhne"/>
          <w:lang w:val="en-GB"/>
        </w:rPr>
        <w:t>http://www.scc.ca/</w:t>
      </w:r>
      <w:r w:rsidRPr="00847DFD">
        <w:rPr>
          <w:rFonts w:ascii="Söhne" w:hAnsi="Söhne"/>
          <w:sz w:val="18"/>
          <w:szCs w:val="18"/>
          <w:u w:val="double"/>
          <w:lang w:val="en-GB"/>
        </w:rPr>
        <w:t xml:space="preserve"> (accessed 10 June 2023</w:t>
      </w:r>
      <w:proofErr w:type="gramStart"/>
      <w:r w:rsidRPr="00847DFD">
        <w:rPr>
          <w:rFonts w:ascii="Söhne" w:hAnsi="Söhne"/>
          <w:sz w:val="18"/>
          <w:szCs w:val="18"/>
          <w:u w:val="double"/>
          <w:lang w:val="en-GB"/>
        </w:rPr>
        <w:t>)</w:t>
      </w:r>
      <w:r w:rsidRPr="00847DFD" w:rsidDel="002B6957">
        <w:rPr>
          <w:rFonts w:ascii="Söhne" w:hAnsi="Söhne"/>
          <w:sz w:val="18"/>
          <w:szCs w:val="18"/>
          <w:u w:val="double"/>
          <w:lang w:val="en-GB"/>
        </w:rPr>
        <w:t xml:space="preserve"> </w:t>
      </w:r>
      <w:r w:rsidRPr="00847DFD">
        <w:rPr>
          <w:rFonts w:ascii="Söhne" w:hAnsi="Söhne"/>
          <w:sz w:val="18"/>
          <w:szCs w:val="18"/>
          <w:u w:val="double"/>
          <w:lang w:val="en-GB"/>
        </w:rPr>
        <w:t>.</w:t>
      </w:r>
      <w:proofErr w:type="gramEnd"/>
    </w:p>
    <w:p w14:paraId="07DE6346" w14:textId="77777777" w:rsidR="007A7F7E" w:rsidRPr="00604286" w:rsidRDefault="007A7F7E" w:rsidP="007A7F7E">
      <w:pPr>
        <w:pStyle w:val="Ref"/>
        <w:rPr>
          <w:lang w:val="en-GB"/>
        </w:rPr>
      </w:pPr>
      <w:r w:rsidRPr="007B7DDA">
        <w:rPr>
          <w:smallCaps/>
          <w:lang w:val="en-GB"/>
        </w:rPr>
        <w:t xml:space="preserve">Toussaint J.F., Assam P., </w:t>
      </w:r>
      <w:proofErr w:type="spellStart"/>
      <w:r w:rsidRPr="007B7DDA">
        <w:rPr>
          <w:smallCaps/>
          <w:lang w:val="en-GB"/>
        </w:rPr>
        <w:t>Caij</w:t>
      </w:r>
      <w:proofErr w:type="spellEnd"/>
      <w:r w:rsidRPr="007B7DDA">
        <w:rPr>
          <w:smallCaps/>
          <w:lang w:val="en-GB"/>
        </w:rPr>
        <w:t xml:space="preserve"> B., Dekeyser F., </w:t>
      </w:r>
      <w:proofErr w:type="spellStart"/>
      <w:r w:rsidRPr="007B7DDA">
        <w:rPr>
          <w:smallCaps/>
          <w:lang w:val="en-GB"/>
        </w:rPr>
        <w:t>Knapen</w:t>
      </w:r>
      <w:proofErr w:type="spellEnd"/>
      <w:r w:rsidRPr="007B7DDA">
        <w:rPr>
          <w:smallCaps/>
          <w:lang w:val="en-GB"/>
        </w:rPr>
        <w:t xml:space="preserve"> K., </w:t>
      </w:r>
      <w:proofErr w:type="spellStart"/>
      <w:r w:rsidRPr="007B7DDA">
        <w:rPr>
          <w:smallCaps/>
          <w:lang w:val="en-GB"/>
        </w:rPr>
        <w:t>Imberechts</w:t>
      </w:r>
      <w:proofErr w:type="spellEnd"/>
      <w:r w:rsidRPr="007B7DDA">
        <w:rPr>
          <w:smallCaps/>
          <w:lang w:val="en-GB"/>
        </w:rPr>
        <w:t xml:space="preserve"> H., Goris N., </w:t>
      </w:r>
      <w:proofErr w:type="spellStart"/>
      <w:r w:rsidRPr="007B7DDA">
        <w:rPr>
          <w:smallCaps/>
          <w:lang w:val="en-GB"/>
        </w:rPr>
        <w:t>Molenberghs</w:t>
      </w:r>
      <w:proofErr w:type="spellEnd"/>
      <w:r w:rsidRPr="007B7DDA">
        <w:rPr>
          <w:smallCaps/>
          <w:lang w:val="en-GB"/>
        </w:rPr>
        <w:t xml:space="preserve"> G., </w:t>
      </w:r>
      <w:proofErr w:type="spellStart"/>
      <w:r w:rsidRPr="007B7DDA">
        <w:rPr>
          <w:smallCaps/>
          <w:lang w:val="en-GB"/>
        </w:rPr>
        <w:t>Mintiens</w:t>
      </w:r>
      <w:proofErr w:type="spellEnd"/>
      <w:r w:rsidRPr="007B7DDA">
        <w:rPr>
          <w:smallCaps/>
          <w:lang w:val="en-GB"/>
        </w:rPr>
        <w:t xml:space="preserve"> K., &amp; De Clercq K.</w:t>
      </w:r>
      <w:r w:rsidRPr="007B7DDA">
        <w:rPr>
          <w:lang w:val="en-GB"/>
        </w:rPr>
        <w:t xml:space="preserve"> (2007). </w:t>
      </w:r>
      <w:r w:rsidRPr="00E25A7C">
        <w:rPr>
          <w:lang w:val="en-IE"/>
        </w:rPr>
        <w:t xml:space="preserve">Uncertainty of measurement for competitive and indirect ELISAs. </w:t>
      </w:r>
      <w:r w:rsidRPr="00E25A7C">
        <w:rPr>
          <w:i/>
          <w:lang w:val="en-IE"/>
        </w:rPr>
        <w:t xml:space="preserve">Rev. sci. tech. </w:t>
      </w:r>
      <w:r w:rsidRPr="00604286">
        <w:rPr>
          <w:i/>
          <w:lang w:val="en-GB"/>
        </w:rPr>
        <w:t xml:space="preserve">Off. int. </w:t>
      </w:r>
      <w:proofErr w:type="spellStart"/>
      <w:r w:rsidRPr="00604286">
        <w:rPr>
          <w:i/>
          <w:lang w:val="en-GB"/>
        </w:rPr>
        <w:t>Epiz</w:t>
      </w:r>
      <w:proofErr w:type="spellEnd"/>
      <w:r w:rsidRPr="00604286">
        <w:rPr>
          <w:i/>
          <w:lang w:val="en-GB"/>
        </w:rPr>
        <w:t>.,</w:t>
      </w:r>
      <w:r w:rsidRPr="00604286">
        <w:rPr>
          <w:lang w:val="en-GB"/>
        </w:rPr>
        <w:t xml:space="preserve"> </w:t>
      </w:r>
      <w:r w:rsidRPr="00604286">
        <w:rPr>
          <w:b/>
          <w:lang w:val="en-GB"/>
        </w:rPr>
        <w:t>26</w:t>
      </w:r>
      <w:r w:rsidRPr="00604286">
        <w:rPr>
          <w:lang w:val="en-GB"/>
        </w:rPr>
        <w:t xml:space="preserve">, 649–656. </w:t>
      </w:r>
    </w:p>
    <w:p w14:paraId="79932129" w14:textId="2F109425" w:rsidR="007A7F7E" w:rsidRPr="00563913" w:rsidRDefault="007A7F7E" w:rsidP="007A7F7E">
      <w:pPr>
        <w:pStyle w:val="Ref"/>
        <w:rPr>
          <w:rStyle w:val="Hyperlink"/>
          <w:rFonts w:cstheme="minorHAnsi"/>
          <w:u w:val="double"/>
          <w:lang w:val="en-AU"/>
        </w:rPr>
      </w:pPr>
      <w:r w:rsidRPr="00E25A7C">
        <w:rPr>
          <w:rFonts w:cstheme="minorHAnsi"/>
          <w:smallCaps/>
          <w:u w:val="double"/>
          <w:lang w:val="en-AU"/>
        </w:rPr>
        <w:t>Newberry K. &amp; Colling A</w:t>
      </w:r>
      <w:r w:rsidRPr="00E25A7C">
        <w:rPr>
          <w:rFonts w:cstheme="minorHAnsi"/>
          <w:spacing w:val="-3"/>
          <w:u w:val="double"/>
          <w:lang w:val="en-AU"/>
        </w:rPr>
        <w:t xml:space="preserve"> (2021).</w:t>
      </w:r>
      <w:r w:rsidRPr="00E25A7C">
        <w:rPr>
          <w:rFonts w:cstheme="minorHAnsi"/>
          <w:u w:val="double"/>
          <w:lang w:val="en-AU"/>
        </w:rPr>
        <w:t xml:space="preserve"> Quality standards and guidelines for test validation for infectious diseases in veterinary laboratories. </w:t>
      </w:r>
      <w:r w:rsidRPr="00E25A7C">
        <w:rPr>
          <w:rFonts w:cstheme="minorHAnsi"/>
          <w:i/>
          <w:iCs/>
          <w:u w:val="double"/>
          <w:lang w:val="en-AU"/>
        </w:rPr>
        <w:t xml:space="preserve">Rev. Sci. Tech. Off. Int. </w:t>
      </w:r>
      <w:proofErr w:type="spellStart"/>
      <w:r w:rsidRPr="00E25A7C">
        <w:rPr>
          <w:rFonts w:cstheme="minorHAnsi"/>
          <w:i/>
          <w:iCs/>
          <w:u w:val="double"/>
          <w:lang w:val="en-AU"/>
        </w:rPr>
        <w:t>Epiz</w:t>
      </w:r>
      <w:proofErr w:type="spellEnd"/>
      <w:r w:rsidRPr="00E25A7C">
        <w:rPr>
          <w:rFonts w:cstheme="minorHAnsi"/>
          <w:u w:val="double"/>
          <w:lang w:val="en-AU"/>
        </w:rPr>
        <w:t xml:space="preserve">., 40, 227–237. </w:t>
      </w:r>
      <w:r w:rsidRPr="001339DB">
        <w:rPr>
          <w:u w:val="double"/>
          <w:lang w:val="en-IE"/>
        </w:rPr>
        <w:t xml:space="preserve">Available at </w:t>
      </w:r>
      <w:r w:rsidRPr="00847DFD">
        <w:rPr>
          <w:lang w:val="en-IE"/>
        </w:rPr>
        <w:t>https://doc.woah.org/dyn/portal/index.xhtml?page=alo&amp;aloId=41245</w:t>
      </w:r>
      <w:r w:rsidRPr="00604286">
        <w:rPr>
          <w:rStyle w:val="Hyperlink"/>
          <w:rFonts w:cstheme="minorHAnsi"/>
          <w:u w:val="double"/>
          <w:lang w:val="en-GB"/>
        </w:rPr>
        <w:t xml:space="preserve"> </w:t>
      </w:r>
      <w:r w:rsidRPr="00E25A7C">
        <w:rPr>
          <w:u w:val="double"/>
          <w:lang w:val="en-IE"/>
        </w:rPr>
        <w:t xml:space="preserve">(accessed </w:t>
      </w:r>
      <w:r>
        <w:rPr>
          <w:u w:val="double"/>
          <w:lang w:val="en-IE"/>
        </w:rPr>
        <w:t>22</w:t>
      </w:r>
      <w:r w:rsidRPr="00E25A7C">
        <w:rPr>
          <w:u w:val="double"/>
          <w:lang w:val="en-IE"/>
        </w:rPr>
        <w:t xml:space="preserve"> June 2023)</w:t>
      </w:r>
    </w:p>
    <w:p w14:paraId="1C6C0C98" w14:textId="77777777" w:rsidR="007A7F7E" w:rsidRPr="00604286" w:rsidRDefault="007A7F7E" w:rsidP="007A7F7E">
      <w:pPr>
        <w:pStyle w:val="rtoiles"/>
        <w:spacing w:line="240" w:lineRule="auto"/>
        <w:rPr>
          <w:rFonts w:ascii="Söhne" w:hAnsi="Söhne"/>
          <w:sz w:val="18"/>
          <w:lang w:val="en-GB"/>
        </w:rPr>
      </w:pPr>
      <w:r w:rsidRPr="00604286">
        <w:rPr>
          <w:rFonts w:ascii="Söhne" w:hAnsi="Söhne"/>
          <w:sz w:val="18"/>
          <w:lang w:val="en-GB"/>
        </w:rPr>
        <w:t>*</w:t>
      </w:r>
      <w:r w:rsidRPr="00604286">
        <w:rPr>
          <w:rFonts w:ascii="Söhne" w:hAnsi="Söhne"/>
          <w:sz w:val="18"/>
          <w:lang w:val="en-GB"/>
        </w:rPr>
        <w:br/>
        <w:t>*   *</w:t>
      </w:r>
    </w:p>
    <w:p w14:paraId="782BEFDE" w14:textId="3E0A7B3C" w:rsidR="007A7F7E" w:rsidRPr="00D73329" w:rsidRDefault="007A7F7E" w:rsidP="007A7F7E">
      <w:pPr>
        <w:pStyle w:val="Reflabnote"/>
        <w:spacing w:before="240" w:after="240"/>
        <w:rPr>
          <w:rFonts w:ascii="Söhne" w:hAnsi="Söhne"/>
          <w:u w:val="double"/>
          <w:lang w:val="en-IE"/>
        </w:rPr>
      </w:pPr>
      <w:r w:rsidRPr="00D73329">
        <w:rPr>
          <w:rFonts w:ascii="Söhne" w:hAnsi="Söhne"/>
          <w:b/>
          <w:bCs/>
          <w:u w:val="double"/>
          <w:lang w:val="en-IE"/>
        </w:rPr>
        <w:t>NB:</w:t>
      </w:r>
      <w:r w:rsidRPr="00D73329">
        <w:rPr>
          <w:rFonts w:ascii="Söhne" w:hAnsi="Söhne"/>
          <w:u w:val="double"/>
          <w:lang w:val="en-IE"/>
        </w:rPr>
        <w:t xml:space="preserve"> There is a WOAH Collaborating Centre for </w:t>
      </w:r>
      <w:r w:rsidRPr="00D73329">
        <w:rPr>
          <w:rFonts w:ascii="Söhne" w:hAnsi="Söhne"/>
          <w:u w:val="double"/>
          <w:lang w:val="en-IE"/>
        </w:rPr>
        <w:br/>
        <w:t xml:space="preserve">Diagnostic Test Validation Science in the Asia-Pacific Region (please consult the WOAH Web site: </w:t>
      </w:r>
      <w:r w:rsidRPr="00D73329">
        <w:rPr>
          <w:rFonts w:ascii="Söhne" w:hAnsi="Söhne"/>
          <w:u w:val="double"/>
          <w:lang w:val="en-IE"/>
        </w:rPr>
        <w:br/>
      </w:r>
      <w:r w:rsidRPr="00847DFD">
        <w:rPr>
          <w:rFonts w:ascii="Söhne" w:hAnsi="Söhne"/>
          <w:lang w:val="en-IE"/>
        </w:rPr>
        <w:t>https://www.woah.org/en/what-we-offer/expertise-network/collaborating-centres/#ui-id-3</w:t>
      </w:r>
      <w:r w:rsidRPr="00D73329">
        <w:rPr>
          <w:rFonts w:ascii="Söhne" w:hAnsi="Söhne"/>
          <w:u w:val="double"/>
          <w:lang w:val="en-IE"/>
        </w:rPr>
        <w:t xml:space="preserve">). </w:t>
      </w:r>
      <w:r w:rsidRPr="00D73329">
        <w:rPr>
          <w:rFonts w:ascii="Söhne" w:hAnsi="Söhne"/>
          <w:u w:val="double"/>
          <w:lang w:val="en-IE"/>
        </w:rPr>
        <w:br/>
        <w:t>Please contact the WOAH Collaborating Centre for any further information on validation</w:t>
      </w:r>
      <w:r w:rsidRPr="00D73329">
        <w:rPr>
          <w:rFonts w:ascii="Söhne" w:hAnsi="Söhne"/>
          <w:iCs/>
          <w:u w:val="double"/>
          <w:lang w:val="en-IE"/>
        </w:rPr>
        <w:t>.</w:t>
      </w:r>
    </w:p>
    <w:p w14:paraId="39BB67FF" w14:textId="4F643ECB" w:rsidR="007A7F7E" w:rsidRPr="00F80730" w:rsidRDefault="007A7F7E" w:rsidP="00875DDA">
      <w:pPr>
        <w:spacing w:line="240" w:lineRule="auto"/>
        <w:jc w:val="center"/>
        <w:rPr>
          <w:rFonts w:ascii="Söhne" w:eastAsia="Times New Roman" w:hAnsi="Söhne" w:cs="Times New Roman"/>
          <w:smallCaps/>
          <w:sz w:val="18"/>
          <w:szCs w:val="18"/>
          <w:lang w:val="en-AU" w:eastAsia="fr-FR"/>
        </w:rPr>
      </w:pPr>
      <w:r w:rsidRPr="0020246A">
        <w:rPr>
          <w:rFonts w:ascii="Söhne" w:hAnsi="Söhne"/>
          <w:b/>
          <w:smallCaps/>
          <w:sz w:val="18"/>
          <w:lang w:val="en-AU"/>
        </w:rPr>
        <w:t>NB:</w:t>
      </w:r>
      <w:r w:rsidRPr="0020246A">
        <w:rPr>
          <w:rFonts w:ascii="Söhne" w:hAnsi="Söhne"/>
          <w:smallCaps/>
          <w:sz w:val="18"/>
          <w:lang w:val="en-AU"/>
        </w:rPr>
        <w:t xml:space="preserve"> First adopted in 2014.</w:t>
      </w:r>
      <w:r w:rsidRPr="00F80730">
        <w:rPr>
          <w:rFonts w:ascii="Söhne" w:hAnsi="Söhne"/>
          <w:smallCaps/>
          <w:sz w:val="18"/>
          <w:szCs w:val="18"/>
          <w:lang w:val="en-AU"/>
        </w:rPr>
        <w:t xml:space="preserve"> </w:t>
      </w:r>
    </w:p>
    <w:sectPr w:rsidR="007A7F7E" w:rsidRPr="00F80730" w:rsidSect="009C4EE8">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18" w:right="1418" w:bottom="1418" w:left="1418" w:header="567" w:footer="567" w:gutter="0"/>
      <w:paperSrc w:first="7" w:other="7"/>
      <w:lnNumType w:countBy="1" w:restart="newSection"/>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D9A9" w14:textId="77777777" w:rsidR="009C4EE8" w:rsidRDefault="009C4EE8" w:rsidP="007A7F7E">
      <w:pPr>
        <w:spacing w:after="0" w:line="240" w:lineRule="auto"/>
      </w:pPr>
      <w:r>
        <w:separator/>
      </w:r>
    </w:p>
  </w:endnote>
  <w:endnote w:type="continuationSeparator" w:id="0">
    <w:p w14:paraId="541A1438" w14:textId="77777777" w:rsidR="009C4EE8" w:rsidRDefault="009C4EE8" w:rsidP="007A7F7E">
      <w:pPr>
        <w:spacing w:after="0" w:line="240" w:lineRule="auto"/>
      </w:pPr>
      <w:r>
        <w:continuationSeparator/>
      </w:r>
    </w:p>
  </w:endnote>
  <w:endnote w:type="continuationNotice" w:id="1">
    <w:p w14:paraId="522289DF" w14:textId="77777777" w:rsidR="009C4EE8" w:rsidRDefault="009C4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Ottawa">
    <w:altName w:val="Calibri"/>
    <w:charset w:val="00"/>
    <w:family w:val="swiss"/>
    <w:pitch w:val="variable"/>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ED6" w14:textId="77777777" w:rsidR="007A7F7E" w:rsidRPr="00C54766" w:rsidRDefault="007A7F7E">
    <w:pPr>
      <w:pStyle w:val="Footer"/>
    </w:pPr>
    <w:r>
      <w:fldChar w:fldCharType="begin"/>
    </w:r>
    <w:r>
      <w:instrText>PAGE</w:instrText>
    </w:r>
    <w:r>
      <w:fldChar w:fldCharType="separate"/>
    </w:r>
    <w:r>
      <w:t>1</w:t>
    </w:r>
    <w:r>
      <w:fldChar w:fldCharType="end"/>
    </w:r>
    <w:r>
      <w:tab/>
      <w:t xml:space="preserve">WOAH </w:t>
    </w:r>
    <w:r>
      <w:rPr>
        <w:i/>
        <w:iCs/>
      </w:rPr>
      <w:t>Terrestrial</w:t>
    </w:r>
    <w:r>
      <w:t xml:space="preserve"> </w:t>
    </w:r>
    <w:r>
      <w:rPr>
        <w:i/>
      </w:rPr>
      <w:t>Manual</w:t>
    </w:r>
    <w: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426B" w14:textId="77777777" w:rsidR="007A7F7E" w:rsidRPr="00C54766" w:rsidRDefault="007A7F7E">
    <w:pPr>
      <w:pStyle w:val="Footer"/>
    </w:pPr>
    <w:r>
      <w:t xml:space="preserve">WOAH </w:t>
    </w:r>
    <w:r>
      <w:rPr>
        <w:i/>
        <w:iCs/>
      </w:rPr>
      <w:t>Terrestrial</w:t>
    </w:r>
    <w:r>
      <w:t xml:space="preserve"> </w:t>
    </w:r>
    <w:r>
      <w:rPr>
        <w:i/>
      </w:rPr>
      <w:t>Manual</w:t>
    </w:r>
    <w:r>
      <w:t xml:space="preserve"> 2024</w:t>
    </w:r>
    <w:r>
      <w:tab/>
    </w: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10DE" w14:textId="77777777" w:rsidR="007A7F7E" w:rsidRPr="00C54766" w:rsidRDefault="007A7F7E">
    <w:pPr>
      <w:pStyle w:val="Footer"/>
    </w:pPr>
    <w:r>
      <w:t xml:space="preserve">WOAH </w:t>
    </w:r>
    <w:r>
      <w:rPr>
        <w:i/>
        <w:iCs/>
      </w:rPr>
      <w:t>Terrestrial</w:t>
    </w:r>
    <w:r>
      <w:t xml:space="preserve"> </w:t>
    </w:r>
    <w:r>
      <w:rPr>
        <w:i/>
      </w:rPr>
      <w:t>Manual</w:t>
    </w:r>
    <w:r>
      <w:t xml:space="preserve"> 2024</w:t>
    </w:r>
    <w:r>
      <w:tab/>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712F" w14:textId="77777777" w:rsidR="009C4EE8" w:rsidRDefault="009C4EE8" w:rsidP="007A7F7E">
      <w:pPr>
        <w:spacing w:after="0" w:line="240" w:lineRule="auto"/>
      </w:pPr>
      <w:r>
        <w:separator/>
      </w:r>
    </w:p>
  </w:footnote>
  <w:footnote w:type="continuationSeparator" w:id="0">
    <w:p w14:paraId="291F6344" w14:textId="77777777" w:rsidR="009C4EE8" w:rsidRDefault="009C4EE8" w:rsidP="007A7F7E">
      <w:pPr>
        <w:spacing w:after="0" w:line="240" w:lineRule="auto"/>
      </w:pPr>
      <w:r>
        <w:continuationSeparator/>
      </w:r>
    </w:p>
  </w:footnote>
  <w:footnote w:type="continuationNotice" w:id="1">
    <w:p w14:paraId="2EDAD8A3" w14:textId="77777777" w:rsidR="009C4EE8" w:rsidRDefault="009C4EE8">
      <w:pPr>
        <w:spacing w:after="0" w:line="240" w:lineRule="auto"/>
      </w:pPr>
    </w:p>
  </w:footnote>
  <w:footnote w:id="2">
    <w:p w14:paraId="5C3E320E" w14:textId="2D628D55" w:rsidR="007A7F7E" w:rsidRPr="009306AE" w:rsidRDefault="007A7F7E" w:rsidP="007A7F7E">
      <w:pPr>
        <w:pStyle w:val="FootnoteText"/>
        <w:spacing w:after="0" w:line="240" w:lineRule="auto"/>
        <w:ind w:left="425" w:hanging="425"/>
        <w:jc w:val="both"/>
        <w:rPr>
          <w:rFonts w:ascii="Söhne" w:hAnsi="Söhne"/>
          <w:sz w:val="16"/>
          <w:szCs w:val="16"/>
          <w:u w:val="double"/>
          <w:lang w:val="en-GB"/>
        </w:rPr>
      </w:pPr>
      <w:r w:rsidRPr="003D6823">
        <w:rPr>
          <w:rStyle w:val="FootnoteReference"/>
          <w:rFonts w:ascii="Söhne" w:hAnsi="Söhne"/>
          <w:sz w:val="16"/>
          <w:szCs w:val="16"/>
          <w:u w:val="double"/>
          <w:vertAlign w:val="baseline"/>
        </w:rPr>
        <w:footnoteRef/>
      </w:r>
      <w:r w:rsidRPr="00DA7ABA">
        <w:rPr>
          <w:rFonts w:ascii="Söhne" w:hAnsi="Söhne"/>
          <w:sz w:val="16"/>
          <w:szCs w:val="16"/>
          <w:u w:val="double"/>
          <w:lang w:val="en-GB"/>
        </w:rPr>
        <w:t xml:space="preserve"> </w:t>
      </w:r>
      <w:r w:rsidRPr="00DA7ABA">
        <w:rPr>
          <w:rFonts w:ascii="Söhne" w:hAnsi="Söhne"/>
          <w:sz w:val="16"/>
          <w:szCs w:val="16"/>
          <w:u w:val="double"/>
          <w:lang w:val="en-GB"/>
        </w:rPr>
        <w:tab/>
      </w:r>
      <w:r w:rsidRPr="006A403D">
        <w:rPr>
          <w:rFonts w:ascii="Söhne" w:hAnsi="Söhne"/>
          <w:sz w:val="16"/>
          <w:szCs w:val="16"/>
          <w:u w:val="double"/>
          <w:lang w:val="en-IE"/>
        </w:rPr>
        <w:t xml:space="preserve">The Australian Government, Department of Agriculture, Fisheries and Forestry, has compiled worked examples for </w:t>
      </w:r>
      <w:proofErr w:type="gramStart"/>
      <w:r w:rsidRPr="006A403D">
        <w:rPr>
          <w:rFonts w:ascii="Söhne" w:hAnsi="Söhne"/>
          <w:sz w:val="16"/>
          <w:szCs w:val="16"/>
          <w:u w:val="double"/>
          <w:lang w:val="en-IE"/>
        </w:rPr>
        <w:t>a number of</w:t>
      </w:r>
      <w:proofErr w:type="gramEnd"/>
      <w:r w:rsidRPr="006A403D">
        <w:rPr>
          <w:rFonts w:ascii="Söhne" w:hAnsi="Söhne"/>
          <w:sz w:val="16"/>
          <w:szCs w:val="16"/>
          <w:u w:val="double"/>
          <w:lang w:val="en-IE"/>
        </w:rPr>
        <w:t xml:space="preserve"> diagnostic tests Available online at: </w:t>
      </w:r>
      <w:r w:rsidRPr="003D6823">
        <w:rPr>
          <w:rFonts w:ascii="Söhne" w:hAnsi="Söhne"/>
          <w:sz w:val="16"/>
          <w:szCs w:val="16"/>
          <w:lang w:val="en-IE"/>
        </w:rPr>
        <w:t>https://www.agriculture.gov.au/agriculture-land/animal/health/laboratories/tests/measurement-uncertainty</w:t>
      </w:r>
      <w:r w:rsidRPr="006A403D">
        <w:rPr>
          <w:rFonts w:ascii="Söhne" w:hAnsi="Söhne"/>
          <w:sz w:val="16"/>
          <w:szCs w:val="16"/>
          <w:u w:val="double"/>
          <w:lang w:val="en-IE"/>
        </w:rPr>
        <w:t xml:space="preserve"> (accessed 22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3183" w14:textId="77777777" w:rsidR="007A7F7E" w:rsidRPr="00825E46" w:rsidRDefault="007A7F7E">
    <w:pPr>
      <w:pStyle w:val="Header"/>
    </w:pPr>
    <w:r w:rsidRPr="00825E46">
      <w:t>Chapter 2.2.4. – Measurement uncertainty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A43F" w14:textId="77777777" w:rsidR="007A7F7E" w:rsidRPr="00825E46" w:rsidRDefault="007A7F7E">
    <w:pPr>
      <w:pStyle w:val="Header"/>
    </w:pPr>
    <w:r w:rsidRPr="00825E46">
      <w:t>Chapter 2.2.4. – Measurement uncertainty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9BFD" w14:textId="77777777" w:rsidR="007A7F7E" w:rsidRDefault="007A7F7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3CB"/>
    <w:multiLevelType w:val="hybridMultilevel"/>
    <w:tmpl w:val="250E06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88E2ACA"/>
    <w:multiLevelType w:val="hybridMultilevel"/>
    <w:tmpl w:val="01580252"/>
    <w:lvl w:ilvl="0" w:tplc="53007B02">
      <w:start w:val="1"/>
      <w:numFmt w:val="decimal"/>
      <w:pStyle w:val="Style1"/>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 w15:restartNumberingAfterBreak="0">
    <w:nsid w:val="18B468F5"/>
    <w:multiLevelType w:val="hybridMultilevel"/>
    <w:tmpl w:val="7FF8D2C4"/>
    <w:lvl w:ilvl="0" w:tplc="D102F37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1769D"/>
    <w:multiLevelType w:val="hybridMultilevel"/>
    <w:tmpl w:val="870E93C6"/>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4" w15:restartNumberingAfterBreak="0">
    <w:nsid w:val="225608D5"/>
    <w:multiLevelType w:val="hybridMultilevel"/>
    <w:tmpl w:val="2DF438A0"/>
    <w:lvl w:ilvl="0" w:tplc="4552AD42">
      <w:start w:val="3"/>
      <w:numFmt w:val="bullet"/>
      <w:lvlText w:val="•"/>
      <w:lvlJc w:val="left"/>
      <w:pPr>
        <w:ind w:left="2203" w:hanging="360"/>
      </w:pPr>
      <w:rPr>
        <w:rFonts w:ascii="Söhne" w:eastAsiaTheme="minorEastAsia" w:hAnsi="Söhne"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5" w15:restartNumberingAfterBreak="0">
    <w:nsid w:val="243C3AC4"/>
    <w:multiLevelType w:val="hybridMultilevel"/>
    <w:tmpl w:val="3B62B1CA"/>
    <w:lvl w:ilvl="0" w:tplc="C218BE9E">
      <w:start w:val="3"/>
      <w:numFmt w:val="bullet"/>
      <w:lvlText w:val="•"/>
      <w:lvlJc w:val="left"/>
      <w:pPr>
        <w:ind w:left="2203" w:hanging="360"/>
      </w:pPr>
      <w:rPr>
        <w:rFonts w:ascii="Söhne" w:eastAsiaTheme="minorEastAsia" w:hAnsi="Söhne"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15:restartNumberingAfterBreak="0">
    <w:nsid w:val="30F55E36"/>
    <w:multiLevelType w:val="hybridMultilevel"/>
    <w:tmpl w:val="FD6E091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7" w15:restartNumberingAfterBreak="0">
    <w:nsid w:val="36E52F22"/>
    <w:multiLevelType w:val="hybridMultilevel"/>
    <w:tmpl w:val="DE840206"/>
    <w:lvl w:ilvl="0" w:tplc="FFFFFFFF">
      <w:start w:val="1"/>
      <w:numFmt w:val="decimal"/>
      <w:lvlText w:val="%1"/>
      <w:lvlJc w:val="left"/>
      <w:pPr>
        <w:ind w:left="872" w:hanging="608"/>
      </w:pPr>
      <w:rPr>
        <w:spacing w:val="-1"/>
        <w:w w:val="83"/>
        <w:lang w:val="en-US" w:eastAsia="en-US" w:bidi="ar-SA"/>
      </w:rPr>
    </w:lvl>
    <w:lvl w:ilvl="1" w:tplc="2AE6336C">
      <w:numFmt w:val="bullet"/>
      <w:lvlText w:val="•"/>
      <w:lvlJc w:val="left"/>
      <w:pPr>
        <w:ind w:left="1884" w:hanging="608"/>
      </w:pPr>
      <w:rPr>
        <w:rFonts w:hint="default"/>
        <w:lang w:val="en-US" w:eastAsia="en-US" w:bidi="ar-SA"/>
      </w:rPr>
    </w:lvl>
    <w:lvl w:ilvl="2" w:tplc="FCFE4B90">
      <w:numFmt w:val="bullet"/>
      <w:lvlText w:val="•"/>
      <w:lvlJc w:val="left"/>
      <w:pPr>
        <w:ind w:left="2889" w:hanging="608"/>
      </w:pPr>
      <w:rPr>
        <w:rFonts w:hint="default"/>
        <w:lang w:val="en-US" w:eastAsia="en-US" w:bidi="ar-SA"/>
      </w:rPr>
    </w:lvl>
    <w:lvl w:ilvl="3" w:tplc="47E80DB4">
      <w:numFmt w:val="bullet"/>
      <w:lvlText w:val="•"/>
      <w:lvlJc w:val="left"/>
      <w:pPr>
        <w:ind w:left="3893" w:hanging="608"/>
      </w:pPr>
      <w:rPr>
        <w:rFonts w:hint="default"/>
        <w:lang w:val="en-US" w:eastAsia="en-US" w:bidi="ar-SA"/>
      </w:rPr>
    </w:lvl>
    <w:lvl w:ilvl="4" w:tplc="FB9E9A32">
      <w:numFmt w:val="bullet"/>
      <w:lvlText w:val="•"/>
      <w:lvlJc w:val="left"/>
      <w:pPr>
        <w:ind w:left="4898" w:hanging="608"/>
      </w:pPr>
      <w:rPr>
        <w:rFonts w:hint="default"/>
        <w:lang w:val="en-US" w:eastAsia="en-US" w:bidi="ar-SA"/>
      </w:rPr>
    </w:lvl>
    <w:lvl w:ilvl="5" w:tplc="1EFE75F8">
      <w:numFmt w:val="bullet"/>
      <w:lvlText w:val="•"/>
      <w:lvlJc w:val="left"/>
      <w:pPr>
        <w:ind w:left="5903" w:hanging="608"/>
      </w:pPr>
      <w:rPr>
        <w:rFonts w:hint="default"/>
        <w:lang w:val="en-US" w:eastAsia="en-US" w:bidi="ar-SA"/>
      </w:rPr>
    </w:lvl>
    <w:lvl w:ilvl="6" w:tplc="398C02B0">
      <w:numFmt w:val="bullet"/>
      <w:lvlText w:val="•"/>
      <w:lvlJc w:val="left"/>
      <w:pPr>
        <w:ind w:left="6907" w:hanging="608"/>
      </w:pPr>
      <w:rPr>
        <w:rFonts w:hint="default"/>
        <w:lang w:val="en-US" w:eastAsia="en-US" w:bidi="ar-SA"/>
      </w:rPr>
    </w:lvl>
    <w:lvl w:ilvl="7" w:tplc="7174DEE0">
      <w:numFmt w:val="bullet"/>
      <w:lvlText w:val="•"/>
      <w:lvlJc w:val="left"/>
      <w:pPr>
        <w:ind w:left="7912" w:hanging="608"/>
      </w:pPr>
      <w:rPr>
        <w:rFonts w:hint="default"/>
        <w:lang w:val="en-US" w:eastAsia="en-US" w:bidi="ar-SA"/>
      </w:rPr>
    </w:lvl>
    <w:lvl w:ilvl="8" w:tplc="F2868ADE">
      <w:numFmt w:val="bullet"/>
      <w:lvlText w:val="•"/>
      <w:lvlJc w:val="left"/>
      <w:pPr>
        <w:ind w:left="8917" w:hanging="608"/>
      </w:pPr>
      <w:rPr>
        <w:rFonts w:hint="default"/>
        <w:lang w:val="en-US" w:eastAsia="en-US" w:bidi="ar-SA"/>
      </w:rPr>
    </w:lvl>
  </w:abstractNum>
  <w:abstractNum w:abstractNumId="8" w15:restartNumberingAfterBreak="0">
    <w:nsid w:val="54063675"/>
    <w:multiLevelType w:val="multilevel"/>
    <w:tmpl w:val="0C0A001D"/>
    <w:styleLink w:val="Estilo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F87111"/>
    <w:multiLevelType w:val="hybridMultilevel"/>
    <w:tmpl w:val="C4602500"/>
    <w:lvl w:ilvl="0" w:tplc="B5CA739C">
      <w:start w:val="1"/>
      <w:numFmt w:val="decimal"/>
      <w:pStyle w:val="RN-RefNos"/>
      <w:lvlText w:val="%1."/>
      <w:lvlJc w:val="lef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16cid:durableId="885945736">
    <w:abstractNumId w:val="9"/>
  </w:num>
  <w:num w:numId="2" w16cid:durableId="1972129197">
    <w:abstractNumId w:val="8"/>
  </w:num>
  <w:num w:numId="3" w16cid:durableId="1672373839">
    <w:abstractNumId w:val="1"/>
  </w:num>
  <w:num w:numId="4" w16cid:durableId="517042598">
    <w:abstractNumId w:val="2"/>
  </w:num>
  <w:num w:numId="5" w16cid:durableId="1861891236">
    <w:abstractNumId w:val="0"/>
  </w:num>
  <w:num w:numId="6" w16cid:durableId="107479926">
    <w:abstractNumId w:val="6"/>
  </w:num>
  <w:num w:numId="7" w16cid:durableId="1790199752">
    <w:abstractNumId w:val="3"/>
  </w:num>
  <w:num w:numId="8" w16cid:durableId="135221904">
    <w:abstractNumId w:val="4"/>
  </w:num>
  <w:num w:numId="9" w16cid:durableId="900285450">
    <w:abstractNumId w:val="5"/>
  </w:num>
  <w:num w:numId="10" w16cid:durableId="105207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7E"/>
    <w:rsid w:val="0001404D"/>
    <w:rsid w:val="000201D8"/>
    <w:rsid w:val="00074196"/>
    <w:rsid w:val="000750CE"/>
    <w:rsid w:val="00082030"/>
    <w:rsid w:val="000850CC"/>
    <w:rsid w:val="00100423"/>
    <w:rsid w:val="00115195"/>
    <w:rsid w:val="00122BC2"/>
    <w:rsid w:val="00127DC2"/>
    <w:rsid w:val="00142349"/>
    <w:rsid w:val="00142526"/>
    <w:rsid w:val="00144F0A"/>
    <w:rsid w:val="00152D95"/>
    <w:rsid w:val="00160013"/>
    <w:rsid w:val="001878E4"/>
    <w:rsid w:val="001A08E6"/>
    <w:rsid w:val="001A3B2B"/>
    <w:rsid w:val="001C11E0"/>
    <w:rsid w:val="001D2C1A"/>
    <w:rsid w:val="001D6A03"/>
    <w:rsid w:val="002A4B99"/>
    <w:rsid w:val="002C0412"/>
    <w:rsid w:val="002C063A"/>
    <w:rsid w:val="002D5788"/>
    <w:rsid w:val="002F2E40"/>
    <w:rsid w:val="002F78E3"/>
    <w:rsid w:val="003716D0"/>
    <w:rsid w:val="003806EC"/>
    <w:rsid w:val="003A6707"/>
    <w:rsid w:val="003D6823"/>
    <w:rsid w:val="003D721E"/>
    <w:rsid w:val="003F2387"/>
    <w:rsid w:val="003F3340"/>
    <w:rsid w:val="00405D26"/>
    <w:rsid w:val="00411D9D"/>
    <w:rsid w:val="00427566"/>
    <w:rsid w:val="00440D70"/>
    <w:rsid w:val="00471240"/>
    <w:rsid w:val="00475DE8"/>
    <w:rsid w:val="00495BD8"/>
    <w:rsid w:val="004A18F5"/>
    <w:rsid w:val="004D38C1"/>
    <w:rsid w:val="004D68A2"/>
    <w:rsid w:val="004E371A"/>
    <w:rsid w:val="004F7E79"/>
    <w:rsid w:val="0050527F"/>
    <w:rsid w:val="00545182"/>
    <w:rsid w:val="00545E68"/>
    <w:rsid w:val="00550428"/>
    <w:rsid w:val="00594BF1"/>
    <w:rsid w:val="0059593D"/>
    <w:rsid w:val="005B23CE"/>
    <w:rsid w:val="005E7434"/>
    <w:rsid w:val="005F0AA2"/>
    <w:rsid w:val="00626ED2"/>
    <w:rsid w:val="00632081"/>
    <w:rsid w:val="00657313"/>
    <w:rsid w:val="00694608"/>
    <w:rsid w:val="006A6C53"/>
    <w:rsid w:val="006A7B86"/>
    <w:rsid w:val="00705C93"/>
    <w:rsid w:val="0070799D"/>
    <w:rsid w:val="00735855"/>
    <w:rsid w:val="00743861"/>
    <w:rsid w:val="0075318F"/>
    <w:rsid w:val="007547C1"/>
    <w:rsid w:val="00756365"/>
    <w:rsid w:val="00757497"/>
    <w:rsid w:val="007A7F7E"/>
    <w:rsid w:val="007B0418"/>
    <w:rsid w:val="007B7DDA"/>
    <w:rsid w:val="007C29DB"/>
    <w:rsid w:val="007D3B65"/>
    <w:rsid w:val="00822B81"/>
    <w:rsid w:val="00847DFD"/>
    <w:rsid w:val="0086262C"/>
    <w:rsid w:val="008700CC"/>
    <w:rsid w:val="00875DDA"/>
    <w:rsid w:val="0088714F"/>
    <w:rsid w:val="008D67F5"/>
    <w:rsid w:val="008E4058"/>
    <w:rsid w:val="009423C0"/>
    <w:rsid w:val="00975FC3"/>
    <w:rsid w:val="00983333"/>
    <w:rsid w:val="009927E8"/>
    <w:rsid w:val="009A6E9A"/>
    <w:rsid w:val="009C064D"/>
    <w:rsid w:val="009C4EE8"/>
    <w:rsid w:val="009E6A84"/>
    <w:rsid w:val="00A06A13"/>
    <w:rsid w:val="00A613F8"/>
    <w:rsid w:val="00A64291"/>
    <w:rsid w:val="00A7000C"/>
    <w:rsid w:val="00A7497B"/>
    <w:rsid w:val="00A847A6"/>
    <w:rsid w:val="00AB7FF4"/>
    <w:rsid w:val="00AD7037"/>
    <w:rsid w:val="00AE4B5A"/>
    <w:rsid w:val="00B1013C"/>
    <w:rsid w:val="00B222A6"/>
    <w:rsid w:val="00B734C1"/>
    <w:rsid w:val="00B84332"/>
    <w:rsid w:val="00B92D8C"/>
    <w:rsid w:val="00BB4FE4"/>
    <w:rsid w:val="00BB74FD"/>
    <w:rsid w:val="00BC1AAC"/>
    <w:rsid w:val="00C30B08"/>
    <w:rsid w:val="00C45646"/>
    <w:rsid w:val="00C620E4"/>
    <w:rsid w:val="00C867D6"/>
    <w:rsid w:val="00C91906"/>
    <w:rsid w:val="00C9192B"/>
    <w:rsid w:val="00C91974"/>
    <w:rsid w:val="00CA57A3"/>
    <w:rsid w:val="00CA7BE8"/>
    <w:rsid w:val="00CC2276"/>
    <w:rsid w:val="00CF656A"/>
    <w:rsid w:val="00D027CC"/>
    <w:rsid w:val="00D722D0"/>
    <w:rsid w:val="00D76EBA"/>
    <w:rsid w:val="00DB56E4"/>
    <w:rsid w:val="00E43619"/>
    <w:rsid w:val="00E45426"/>
    <w:rsid w:val="00E51CF7"/>
    <w:rsid w:val="00E73D6C"/>
    <w:rsid w:val="00E81D51"/>
    <w:rsid w:val="00EA15B0"/>
    <w:rsid w:val="00EB2538"/>
    <w:rsid w:val="00EC51BF"/>
    <w:rsid w:val="00EF013C"/>
    <w:rsid w:val="00F0016D"/>
    <w:rsid w:val="00F4255A"/>
    <w:rsid w:val="00F55005"/>
    <w:rsid w:val="095626AA"/>
    <w:rsid w:val="0A25C72B"/>
    <w:rsid w:val="15EACA11"/>
    <w:rsid w:val="25BB1E22"/>
    <w:rsid w:val="28299B93"/>
    <w:rsid w:val="412BD802"/>
    <w:rsid w:val="41A0D3CC"/>
    <w:rsid w:val="482A1C38"/>
    <w:rsid w:val="4F325E57"/>
    <w:rsid w:val="51B6A731"/>
    <w:rsid w:val="57DE2897"/>
    <w:rsid w:val="6478E3A0"/>
    <w:rsid w:val="6B30C4BB"/>
    <w:rsid w:val="6CF41956"/>
    <w:rsid w:val="7B3F4E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39EEE0"/>
  <w15:chartTrackingRefBased/>
  <w15:docId w15:val="{55FCB215-512B-4FB0-AC3C-9E792CD4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7E"/>
    <w:rPr>
      <w:rFonts w:eastAsiaTheme="minorHAnsi"/>
      <w:kern w:val="0"/>
      <w:lang w:val="fr-FR"/>
      <w14:ligatures w14:val="none"/>
    </w:rPr>
  </w:style>
  <w:style w:type="paragraph" w:styleId="Heading1">
    <w:name w:val="heading 1"/>
    <w:basedOn w:val="Normal"/>
    <w:next w:val="Normal"/>
    <w:link w:val="Heading1Char"/>
    <w:autoRedefine/>
    <w:uiPriority w:val="99"/>
    <w:qFormat/>
    <w:rsid w:val="001D2C1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nhideWhenUsed/>
    <w:qFormat/>
    <w:rsid w:val="001D2C1A"/>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nhideWhenUsed/>
    <w:qFormat/>
    <w:rsid w:val="007A7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A7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A7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A7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A7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A7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A7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ext">
    <w:name w:val="Appendix text"/>
    <w:basedOn w:val="Normal"/>
    <w:autoRedefine/>
    <w:qFormat/>
    <w:rsid w:val="00100423"/>
    <w:pPr>
      <w:ind w:left="284"/>
      <w:jc w:val="center"/>
    </w:pPr>
    <w:rPr>
      <w:rFonts w:ascii="Arial" w:hAnsi="Arial" w:cs="Calibri"/>
      <w:bCs/>
      <w:i/>
      <w:iCs/>
      <w:sz w:val="16"/>
      <w:szCs w:val="14"/>
      <w:lang w:eastAsia="en-GB"/>
    </w:rPr>
  </w:style>
  <w:style w:type="character" w:customStyle="1" w:styleId="Heading1Char">
    <w:name w:val="Heading 1 Char"/>
    <w:basedOn w:val="DefaultParagraphFont"/>
    <w:link w:val="Heading1"/>
    <w:uiPriority w:val="99"/>
    <w:rsid w:val="001D2C1A"/>
    <w:rPr>
      <w:rFonts w:ascii="Verdana" w:eastAsiaTheme="majorEastAsia" w:hAnsi="Verdana" w:cstheme="majorBidi"/>
      <w:b/>
      <w:sz w:val="32"/>
      <w:szCs w:val="32"/>
    </w:rPr>
  </w:style>
  <w:style w:type="character" w:customStyle="1" w:styleId="Heading2Char">
    <w:name w:val="Heading 2 Char"/>
    <w:basedOn w:val="DefaultParagraphFont"/>
    <w:link w:val="Heading2"/>
    <w:rsid w:val="001D2C1A"/>
    <w:rPr>
      <w:rFonts w:ascii="Verdana" w:eastAsiaTheme="majorEastAsia" w:hAnsi="Verdana" w:cstheme="majorBidi"/>
      <w:b/>
      <w:sz w:val="24"/>
      <w:szCs w:val="26"/>
    </w:rPr>
  </w:style>
  <w:style w:type="paragraph" w:customStyle="1" w:styleId="Quotation">
    <w:name w:val="Quotation"/>
    <w:basedOn w:val="Normal"/>
    <w:qFormat/>
    <w:rsid w:val="00160013"/>
    <w:pPr>
      <w:suppressAutoHyphens/>
      <w:autoSpaceDN w:val="0"/>
      <w:textAlignment w:val="baseline"/>
    </w:pPr>
    <w:rPr>
      <w:rFonts w:ascii="Book Antiqua" w:eastAsia="SimSun" w:hAnsi="Book Antiqua" w:cs="Arial"/>
      <w:kern w:val="3"/>
      <w:sz w:val="19"/>
      <w:szCs w:val="24"/>
      <w:lang w:bidi="hi-IN"/>
    </w:rPr>
  </w:style>
  <w:style w:type="character" w:customStyle="1" w:styleId="Heading3Char">
    <w:name w:val="Heading 3 Char"/>
    <w:basedOn w:val="DefaultParagraphFont"/>
    <w:link w:val="Heading3"/>
    <w:rsid w:val="007A7F7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rsid w:val="007A7F7E"/>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rsid w:val="007A7F7E"/>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rsid w:val="007A7F7E"/>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rsid w:val="007A7F7E"/>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rsid w:val="007A7F7E"/>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rsid w:val="007A7F7E"/>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7A7F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F7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A7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F7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A7F7E"/>
    <w:pPr>
      <w:spacing w:before="160"/>
      <w:jc w:val="center"/>
    </w:pPr>
    <w:rPr>
      <w:i/>
      <w:iCs/>
      <w:color w:val="404040" w:themeColor="text1" w:themeTint="BF"/>
    </w:rPr>
  </w:style>
  <w:style w:type="character" w:customStyle="1" w:styleId="QuoteChar">
    <w:name w:val="Quote Char"/>
    <w:basedOn w:val="DefaultParagraphFont"/>
    <w:link w:val="Quote"/>
    <w:uiPriority w:val="29"/>
    <w:rsid w:val="007A7F7E"/>
    <w:rPr>
      <w:rFonts w:ascii="Verdana" w:hAnsi="Verdana" w:cs="Times New Roman"/>
      <w:i/>
      <w:iCs/>
      <w:color w:val="404040" w:themeColor="text1" w:themeTint="BF"/>
      <w:kern w:val="0"/>
      <w:sz w:val="24"/>
      <w:szCs w:val="20"/>
      <w14:ligatures w14:val="none"/>
    </w:rPr>
  </w:style>
  <w:style w:type="paragraph" w:styleId="ListParagraph">
    <w:name w:val="List Paragraph"/>
    <w:basedOn w:val="Normal"/>
    <w:uiPriority w:val="34"/>
    <w:qFormat/>
    <w:rsid w:val="007A7F7E"/>
    <w:pPr>
      <w:ind w:left="720"/>
      <w:contextualSpacing/>
    </w:pPr>
  </w:style>
  <w:style w:type="character" w:styleId="IntenseEmphasis">
    <w:name w:val="Intense Emphasis"/>
    <w:basedOn w:val="DefaultParagraphFont"/>
    <w:uiPriority w:val="21"/>
    <w:qFormat/>
    <w:rsid w:val="007A7F7E"/>
    <w:rPr>
      <w:i/>
      <w:iCs/>
      <w:color w:val="0F4761" w:themeColor="accent1" w:themeShade="BF"/>
    </w:rPr>
  </w:style>
  <w:style w:type="paragraph" w:styleId="IntenseQuote">
    <w:name w:val="Intense Quote"/>
    <w:basedOn w:val="Normal"/>
    <w:next w:val="Normal"/>
    <w:link w:val="IntenseQuoteChar"/>
    <w:uiPriority w:val="30"/>
    <w:qFormat/>
    <w:rsid w:val="007A7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F7E"/>
    <w:rPr>
      <w:rFonts w:ascii="Verdana" w:hAnsi="Verdana"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7A7F7E"/>
    <w:rPr>
      <w:b/>
      <w:bCs/>
      <w:smallCaps/>
      <w:color w:val="0F4761" w:themeColor="accent1" w:themeShade="BF"/>
      <w:spacing w:val="5"/>
    </w:rPr>
  </w:style>
  <w:style w:type="character" w:styleId="LineNumber">
    <w:name w:val="line number"/>
    <w:basedOn w:val="DefaultParagraphFont"/>
    <w:rsid w:val="007A7F7E"/>
    <w:rPr>
      <w:rFonts w:ascii="Söhne" w:hAnsi="Söhne" w:cs="Times New Roman"/>
      <w:sz w:val="16"/>
    </w:rPr>
  </w:style>
  <w:style w:type="paragraph" w:styleId="Header">
    <w:name w:val="header"/>
    <w:basedOn w:val="Normal"/>
    <w:link w:val="HeaderChar"/>
    <w:uiPriority w:val="99"/>
    <w:rsid w:val="007A7F7E"/>
    <w:pPr>
      <w:widowControl w:val="0"/>
      <w:pBdr>
        <w:bottom w:val="single" w:sz="4" w:space="5" w:color="auto"/>
      </w:pBdr>
      <w:tabs>
        <w:tab w:val="center" w:pos="4536"/>
        <w:tab w:val="right" w:pos="9072"/>
      </w:tabs>
      <w:spacing w:after="0" w:line="240" w:lineRule="auto"/>
      <w:jc w:val="center"/>
    </w:pPr>
    <w:rPr>
      <w:rFonts w:ascii="Söhne" w:eastAsiaTheme="minorEastAsia" w:hAnsi="Söhne" w:cs="Times New Roman"/>
      <w:i/>
      <w:sz w:val="16"/>
      <w:lang w:val="en-US"/>
    </w:rPr>
  </w:style>
  <w:style w:type="character" w:customStyle="1" w:styleId="HeaderChar">
    <w:name w:val="Header Char"/>
    <w:basedOn w:val="DefaultParagraphFont"/>
    <w:link w:val="Header"/>
    <w:uiPriority w:val="99"/>
    <w:rsid w:val="007A7F7E"/>
    <w:rPr>
      <w:rFonts w:ascii="Söhne" w:eastAsiaTheme="minorEastAsia" w:hAnsi="Söhne" w:cs="Times New Roman"/>
      <w:i/>
      <w:kern w:val="0"/>
      <w:sz w:val="16"/>
      <w:lang w:val="en-US"/>
      <w14:ligatures w14:val="none"/>
    </w:rPr>
  </w:style>
  <w:style w:type="paragraph" w:customStyle="1" w:styleId="notedebas">
    <w:name w:val="note de bas"/>
    <w:basedOn w:val="Normal"/>
    <w:rsid w:val="007A7F7E"/>
    <w:pPr>
      <w:widowControl w:val="0"/>
      <w:spacing w:line="240" w:lineRule="auto"/>
      <w:ind w:left="425" w:hanging="425"/>
    </w:pPr>
    <w:rPr>
      <w:rFonts w:ascii="Arial" w:hAnsi="Arial" w:cs="Arial"/>
      <w:sz w:val="16"/>
      <w:szCs w:val="16"/>
      <w:lang w:val="en-US"/>
    </w:rPr>
  </w:style>
  <w:style w:type="paragraph" w:customStyle="1" w:styleId="a">
    <w:name w:val="a)"/>
    <w:basedOn w:val="Normal"/>
    <w:rsid w:val="007A7F7E"/>
    <w:pPr>
      <w:spacing w:after="120" w:line="240" w:lineRule="auto"/>
      <w:ind w:left="425" w:hanging="425"/>
    </w:pPr>
    <w:rPr>
      <w:rFonts w:ascii="Ottawa" w:hAnsi="Ottawa" w:cs="Ottawa"/>
      <w:b/>
      <w:bCs/>
    </w:rPr>
  </w:style>
  <w:style w:type="paragraph" w:customStyle="1" w:styleId="paraa">
    <w:name w:val="paraa)"/>
    <w:basedOn w:val="Normal"/>
    <w:link w:val="paraaCar"/>
    <w:rsid w:val="007A7F7E"/>
    <w:pPr>
      <w:spacing w:after="240" w:line="240" w:lineRule="auto"/>
      <w:ind w:left="425"/>
    </w:pPr>
    <w:rPr>
      <w:rFonts w:ascii="Arial" w:hAnsi="Arial" w:cs="Arial"/>
      <w:sz w:val="18"/>
      <w:szCs w:val="18"/>
    </w:rPr>
  </w:style>
  <w:style w:type="paragraph" w:customStyle="1" w:styleId="1">
    <w:name w:val="1"/>
    <w:basedOn w:val="Normal"/>
    <w:uiPriority w:val="99"/>
    <w:qFormat/>
    <w:rsid w:val="007A7F7E"/>
    <w:pPr>
      <w:spacing w:after="240" w:line="240" w:lineRule="auto"/>
      <w:ind w:left="425" w:hanging="425"/>
      <w:jc w:val="both"/>
    </w:pPr>
    <w:rPr>
      <w:rFonts w:ascii="Söhne Halbfett" w:eastAsiaTheme="minorEastAsia" w:hAnsi="Söhne Halbfett" w:cs="Arial"/>
      <w:bCs/>
      <w:color w:val="000000"/>
      <w:szCs w:val="18"/>
      <w:lang w:val="en-GB"/>
    </w:rPr>
  </w:style>
  <w:style w:type="paragraph" w:customStyle="1" w:styleId="para1">
    <w:name w:val="para1"/>
    <w:basedOn w:val="Normal"/>
    <w:rsid w:val="007A7F7E"/>
    <w:pPr>
      <w:spacing w:after="240" w:line="240" w:lineRule="auto"/>
      <w:jc w:val="both"/>
    </w:pPr>
    <w:rPr>
      <w:rFonts w:ascii="Söhne" w:hAnsi="Söhne" w:cs="Arial"/>
      <w:sz w:val="18"/>
      <w:szCs w:val="18"/>
    </w:rPr>
  </w:style>
  <w:style w:type="paragraph" w:customStyle="1" w:styleId="i">
    <w:name w:val="i)"/>
    <w:basedOn w:val="Normal"/>
    <w:link w:val="iCar"/>
    <w:uiPriority w:val="99"/>
    <w:qFormat/>
    <w:rsid w:val="007A7F7E"/>
    <w:pPr>
      <w:spacing w:after="120" w:line="240" w:lineRule="auto"/>
      <w:ind w:left="1843" w:hanging="425"/>
      <w:jc w:val="both"/>
    </w:pPr>
    <w:rPr>
      <w:rFonts w:ascii="Söhne" w:eastAsiaTheme="minorEastAsia" w:hAnsi="Söhne" w:cs="Arial"/>
      <w:sz w:val="18"/>
      <w:szCs w:val="18"/>
      <w:lang w:val="en-GB"/>
    </w:rPr>
  </w:style>
  <w:style w:type="paragraph" w:customStyle="1" w:styleId="A0">
    <w:name w:val="A"/>
    <w:basedOn w:val="Normal"/>
    <w:uiPriority w:val="99"/>
    <w:rsid w:val="007A7F7E"/>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Ref">
    <w:name w:val="Ref."/>
    <w:basedOn w:val="Normal"/>
    <w:link w:val="RefCar"/>
    <w:rsid w:val="007A7F7E"/>
    <w:pPr>
      <w:spacing w:after="240" w:line="240" w:lineRule="auto"/>
      <w:jc w:val="both"/>
    </w:pPr>
    <w:rPr>
      <w:rFonts w:ascii="Söhne" w:hAnsi="Söhne" w:cs="Arial"/>
      <w:sz w:val="18"/>
      <w:szCs w:val="18"/>
    </w:rPr>
  </w:style>
  <w:style w:type="paragraph" w:customStyle="1" w:styleId="sumtexte">
    <w:name w:val="sumtexte"/>
    <w:basedOn w:val="Normal"/>
    <w:link w:val="sumtexteChar"/>
    <w:rsid w:val="007A7F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paragraph" w:customStyle="1" w:styleId="paraA0">
    <w:name w:val="paraA"/>
    <w:basedOn w:val="Normal"/>
    <w:link w:val="paraACar0"/>
    <w:uiPriority w:val="99"/>
    <w:rsid w:val="007A7F7E"/>
    <w:pPr>
      <w:tabs>
        <w:tab w:val="left" w:pos="-720"/>
      </w:tabs>
      <w:spacing w:after="240" w:line="240" w:lineRule="auto"/>
      <w:jc w:val="both"/>
    </w:pPr>
    <w:rPr>
      <w:rFonts w:ascii="Söhne" w:eastAsia="Times New Roman" w:hAnsi="Söhne" w:cs="Times New Roman"/>
      <w:sz w:val="18"/>
      <w:szCs w:val="18"/>
      <w:lang w:val="en-GB" w:eastAsia="fr-FR"/>
    </w:rPr>
  </w:style>
  <w:style w:type="paragraph" w:customStyle="1" w:styleId="TITRE">
    <w:name w:val="TITRE"/>
    <w:basedOn w:val="Normal"/>
    <w:rsid w:val="007A7F7E"/>
    <w:pPr>
      <w:spacing w:after="240"/>
      <w:jc w:val="center"/>
    </w:pPr>
    <w:rPr>
      <w:b/>
      <w:bCs/>
      <w:caps/>
    </w:rPr>
  </w:style>
  <w:style w:type="paragraph" w:styleId="Footer">
    <w:name w:val="footer"/>
    <w:basedOn w:val="Normal"/>
    <w:link w:val="FooterChar"/>
    <w:uiPriority w:val="99"/>
    <w:rsid w:val="007A7F7E"/>
    <w:pPr>
      <w:widowControl w:val="0"/>
      <w:pBdr>
        <w:top w:val="single" w:sz="4" w:space="5" w:color="auto"/>
      </w:pBdr>
      <w:tabs>
        <w:tab w:val="right" w:pos="9072"/>
      </w:tabs>
      <w:spacing w:after="0" w:line="240" w:lineRule="auto"/>
    </w:pPr>
    <w:rPr>
      <w:rFonts w:ascii="Söhne" w:eastAsiaTheme="minorEastAsia" w:hAnsi="Söhne" w:cs="Times New Roman"/>
      <w:sz w:val="16"/>
      <w:lang w:val="en-US"/>
    </w:rPr>
  </w:style>
  <w:style w:type="character" w:customStyle="1" w:styleId="FooterChar">
    <w:name w:val="Footer Char"/>
    <w:basedOn w:val="DefaultParagraphFont"/>
    <w:link w:val="Footer"/>
    <w:uiPriority w:val="99"/>
    <w:rsid w:val="007A7F7E"/>
    <w:rPr>
      <w:rFonts w:ascii="Söhne" w:eastAsiaTheme="minorEastAsia" w:hAnsi="Söhne" w:cs="Times New Roman"/>
      <w:kern w:val="0"/>
      <w:sz w:val="16"/>
      <w:lang w:val="en-US"/>
      <w14:ligatures w14:val="none"/>
    </w:rPr>
  </w:style>
  <w:style w:type="paragraph" w:styleId="FootnoteText">
    <w:name w:val="footnote text"/>
    <w:basedOn w:val="Normal"/>
    <w:link w:val="FootnoteTextChar"/>
    <w:rsid w:val="007A7F7E"/>
  </w:style>
  <w:style w:type="character" w:customStyle="1" w:styleId="FootnoteTextChar">
    <w:name w:val="Footnote Text Char"/>
    <w:basedOn w:val="DefaultParagraphFont"/>
    <w:link w:val="FootnoteText"/>
    <w:rsid w:val="007A7F7E"/>
    <w:rPr>
      <w:rFonts w:eastAsiaTheme="minorHAnsi"/>
      <w:kern w:val="0"/>
      <w:lang w:val="fr-FR"/>
      <w14:ligatures w14:val="none"/>
    </w:rPr>
  </w:style>
  <w:style w:type="character" w:styleId="FootnoteReference">
    <w:name w:val="footnote reference"/>
    <w:basedOn w:val="DefaultParagraphFont"/>
    <w:rsid w:val="007A7F7E"/>
    <w:rPr>
      <w:vertAlign w:val="superscript"/>
    </w:rPr>
  </w:style>
  <w:style w:type="paragraph" w:customStyle="1" w:styleId="sumtextelastpara">
    <w:name w:val="sumtexte last para"/>
    <w:basedOn w:val="sumtexte"/>
    <w:rsid w:val="007A7F7E"/>
    <w:pPr>
      <w:spacing w:after="480"/>
    </w:pPr>
  </w:style>
  <w:style w:type="paragraph" w:customStyle="1" w:styleId="b">
    <w:name w:val="b)"/>
    <w:basedOn w:val="Normal"/>
    <w:rsid w:val="007A7F7E"/>
    <w:pPr>
      <w:spacing w:after="120" w:line="240" w:lineRule="auto"/>
      <w:ind w:left="850" w:hanging="425"/>
    </w:pPr>
    <w:rPr>
      <w:rFonts w:ascii="Ottawa" w:hAnsi="Ottawa" w:cs="Ottawa"/>
      <w:b/>
      <w:bCs/>
      <w:sz w:val="18"/>
      <w:szCs w:val="18"/>
    </w:rPr>
  </w:style>
  <w:style w:type="paragraph" w:customStyle="1" w:styleId="ipara">
    <w:name w:val="i_para"/>
    <w:basedOn w:val="i"/>
    <w:rsid w:val="007A7F7E"/>
    <w:pPr>
      <w:spacing w:line="200" w:lineRule="exact"/>
      <w:ind w:left="851" w:firstLine="0"/>
    </w:pPr>
  </w:style>
  <w:style w:type="paragraph" w:customStyle="1" w:styleId="iparalast">
    <w:name w:val="i_para_last"/>
    <w:basedOn w:val="i"/>
    <w:link w:val="iparalastCar"/>
    <w:rsid w:val="007A7F7E"/>
    <w:pPr>
      <w:spacing w:after="240" w:line="200" w:lineRule="exact"/>
    </w:pPr>
  </w:style>
  <w:style w:type="paragraph" w:customStyle="1" w:styleId="Referencetitle">
    <w:name w:val="Reference_title"/>
    <w:basedOn w:val="Normal"/>
    <w:uiPriority w:val="99"/>
    <w:rsid w:val="007A7F7E"/>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Chatperno">
    <w:name w:val="Chatper_no"/>
    <w:basedOn w:val="Normal"/>
    <w:uiPriority w:val="99"/>
    <w:rsid w:val="007A7F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Chaptertitle">
    <w:name w:val="Chapter_title"/>
    <w:basedOn w:val="Normal"/>
    <w:rsid w:val="007A7F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Summarytitle">
    <w:name w:val="Summary_title"/>
    <w:basedOn w:val="Normal"/>
    <w:uiPriority w:val="99"/>
    <w:rsid w:val="007A7F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rtoiles">
    <w:name w:val="r_étoiles"/>
    <w:basedOn w:val="Normal"/>
    <w:next w:val="Normal"/>
    <w:uiPriority w:val="99"/>
    <w:rsid w:val="007A7F7E"/>
    <w:pPr>
      <w:keepLines/>
      <w:spacing w:before="240" w:after="240" w:line="240" w:lineRule="atLeast"/>
      <w:jc w:val="center"/>
    </w:pPr>
    <w:rPr>
      <w:rFonts w:ascii="Times New Roman" w:eastAsia="Times New Roman" w:hAnsi="Times New Roman" w:cs="Times New Roman"/>
      <w:sz w:val="20"/>
      <w:szCs w:val="20"/>
      <w:lang w:eastAsia="fr-FR"/>
    </w:rPr>
  </w:style>
  <w:style w:type="character" w:customStyle="1" w:styleId="sumtexteCar">
    <w:name w:val="sumtexte Car"/>
    <w:rsid w:val="007A7F7E"/>
    <w:rPr>
      <w:rFonts w:ascii="Arial" w:hAnsi="Arial" w:cs="Arial"/>
      <w:i/>
      <w:iCs/>
      <w:sz w:val="18"/>
      <w:szCs w:val="18"/>
      <w:lang w:val="en-GB" w:eastAsia="fr-FR"/>
    </w:rPr>
  </w:style>
  <w:style w:type="character" w:customStyle="1" w:styleId="sumtextelastparaCar">
    <w:name w:val="sumtexte last para Car"/>
    <w:uiPriority w:val="1"/>
    <w:rsid w:val="007A7F7E"/>
    <w:rPr>
      <w:rFonts w:ascii="Arial" w:hAnsi="Arial" w:cs="Arial"/>
      <w:i/>
      <w:iCs/>
      <w:sz w:val="18"/>
      <w:szCs w:val="18"/>
      <w:lang w:val="en-GB" w:eastAsia="fr-FR"/>
    </w:rPr>
  </w:style>
  <w:style w:type="paragraph" w:styleId="BalloonText">
    <w:name w:val="Balloon Text"/>
    <w:basedOn w:val="Normal"/>
    <w:link w:val="BalloonTextChar"/>
    <w:semiHidden/>
    <w:rsid w:val="007A7F7E"/>
    <w:rPr>
      <w:rFonts w:ascii="Tahoma" w:hAnsi="Tahoma" w:cs="Tahoma"/>
      <w:sz w:val="16"/>
      <w:szCs w:val="16"/>
    </w:rPr>
  </w:style>
  <w:style w:type="character" w:customStyle="1" w:styleId="BalloonTextChar">
    <w:name w:val="Balloon Text Char"/>
    <w:basedOn w:val="DefaultParagraphFont"/>
    <w:link w:val="BalloonText"/>
    <w:semiHidden/>
    <w:rsid w:val="007A7F7E"/>
    <w:rPr>
      <w:rFonts w:ascii="Tahoma" w:eastAsiaTheme="minorHAnsi" w:hAnsi="Tahoma" w:cs="Tahoma"/>
      <w:kern w:val="0"/>
      <w:sz w:val="16"/>
      <w:szCs w:val="16"/>
      <w:lang w:val="fr-FR"/>
      <w14:ligatures w14:val="none"/>
    </w:rPr>
  </w:style>
  <w:style w:type="character" w:styleId="CommentReference">
    <w:name w:val="annotation reference"/>
    <w:basedOn w:val="DefaultParagraphFont"/>
    <w:semiHidden/>
    <w:rsid w:val="007A7F7E"/>
    <w:rPr>
      <w:sz w:val="16"/>
      <w:szCs w:val="16"/>
    </w:rPr>
  </w:style>
  <w:style w:type="paragraph" w:styleId="CommentText">
    <w:name w:val="annotation text"/>
    <w:basedOn w:val="Normal"/>
    <w:link w:val="CommentTextChar"/>
    <w:rsid w:val="007A7F7E"/>
  </w:style>
  <w:style w:type="character" w:customStyle="1" w:styleId="CommentTextChar">
    <w:name w:val="Comment Text Char"/>
    <w:basedOn w:val="DefaultParagraphFont"/>
    <w:link w:val="CommentText"/>
    <w:uiPriority w:val="99"/>
    <w:rsid w:val="007A7F7E"/>
    <w:rPr>
      <w:rFonts w:eastAsiaTheme="minorHAnsi"/>
      <w:kern w:val="0"/>
      <w:lang w:val="fr-FR"/>
      <w14:ligatures w14:val="none"/>
    </w:rPr>
  </w:style>
  <w:style w:type="paragraph" w:styleId="CommentSubject">
    <w:name w:val="annotation subject"/>
    <w:basedOn w:val="CommentText"/>
    <w:next w:val="CommentText"/>
    <w:link w:val="CommentSubjectChar"/>
    <w:semiHidden/>
    <w:rsid w:val="007A7F7E"/>
    <w:rPr>
      <w:b/>
      <w:bCs/>
    </w:rPr>
  </w:style>
  <w:style w:type="character" w:customStyle="1" w:styleId="CommentSubjectChar">
    <w:name w:val="Comment Subject Char"/>
    <w:basedOn w:val="CommentTextChar"/>
    <w:link w:val="CommentSubject"/>
    <w:semiHidden/>
    <w:rsid w:val="007A7F7E"/>
    <w:rPr>
      <w:rFonts w:eastAsiaTheme="minorHAnsi"/>
      <w:b/>
      <w:bCs/>
      <w:kern w:val="0"/>
      <w:lang w:val="fr-FR"/>
      <w14:ligatures w14:val="none"/>
    </w:rPr>
  </w:style>
  <w:style w:type="paragraph" w:styleId="NormalWeb">
    <w:name w:val="Normal (Web)"/>
    <w:aliases w:val=" webb,webb"/>
    <w:basedOn w:val="Normal"/>
    <w:link w:val="NormalWebChar"/>
    <w:uiPriority w:val="99"/>
    <w:rsid w:val="007A7F7E"/>
    <w:pPr>
      <w:spacing w:before="100" w:beforeAutospacing="1" w:after="100" w:afterAutospacing="1" w:line="240" w:lineRule="auto"/>
    </w:pPr>
    <w:rPr>
      <w:sz w:val="24"/>
      <w:szCs w:val="24"/>
      <w:lang w:val="en-US"/>
    </w:rPr>
  </w:style>
  <w:style w:type="paragraph" w:styleId="DocumentMap">
    <w:name w:val="Document Map"/>
    <w:basedOn w:val="Normal"/>
    <w:link w:val="DocumentMapChar"/>
    <w:semiHidden/>
    <w:rsid w:val="007A7F7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A7F7E"/>
    <w:rPr>
      <w:rFonts w:ascii="Tahoma" w:eastAsiaTheme="minorHAnsi" w:hAnsi="Tahoma" w:cs="Tahoma"/>
      <w:kern w:val="0"/>
      <w:shd w:val="clear" w:color="auto" w:fill="000080"/>
      <w:lang w:val="fr-FR"/>
      <w14:ligatures w14:val="none"/>
    </w:rPr>
  </w:style>
  <w:style w:type="paragraph" w:customStyle="1" w:styleId="A1">
    <w:name w:val="A1"/>
    <w:basedOn w:val="Heading1"/>
    <w:qFormat/>
    <w:rsid w:val="007A7F7E"/>
    <w:pPr>
      <w:keepNext w:val="0"/>
      <w:keepLines w:val="0"/>
      <w:spacing w:before="0" w:after="240"/>
      <w:ind w:left="425" w:hanging="425"/>
    </w:pPr>
    <w:rPr>
      <w:rFonts w:ascii="Ottawa" w:hAnsi="Ottawa" w:cs="Arial"/>
      <w:bCs/>
      <w:sz w:val="22"/>
      <w:szCs w:val="28"/>
    </w:rPr>
  </w:style>
  <w:style w:type="paragraph" w:customStyle="1" w:styleId="1Para">
    <w:name w:val="1_Para"/>
    <w:basedOn w:val="Normal"/>
    <w:uiPriority w:val="99"/>
    <w:qFormat/>
    <w:rsid w:val="007A7F7E"/>
    <w:pPr>
      <w:spacing w:after="240" w:line="240" w:lineRule="auto"/>
      <w:jc w:val="both"/>
    </w:pPr>
    <w:rPr>
      <w:rFonts w:ascii="Söhne" w:eastAsiaTheme="minorEastAsia" w:hAnsi="Söhne" w:cs="Arial"/>
      <w:sz w:val="18"/>
      <w:szCs w:val="18"/>
      <w:lang w:val="en-GB"/>
    </w:rPr>
  </w:style>
  <w:style w:type="paragraph" w:customStyle="1" w:styleId="11">
    <w:name w:val="1.1"/>
    <w:basedOn w:val="Normal"/>
    <w:uiPriority w:val="99"/>
    <w:qFormat/>
    <w:rsid w:val="007A7F7E"/>
    <w:pPr>
      <w:spacing w:after="240" w:line="240" w:lineRule="auto"/>
      <w:ind w:left="850" w:hanging="425"/>
    </w:pPr>
    <w:rPr>
      <w:rFonts w:ascii="Söhne Halbfett" w:eastAsiaTheme="minorEastAsia" w:hAnsi="Söhne Halbfett" w:cs="Arial"/>
      <w:sz w:val="20"/>
      <w:lang w:val="en-GB"/>
    </w:rPr>
  </w:style>
  <w:style w:type="paragraph" w:customStyle="1" w:styleId="11Para">
    <w:name w:val="1.1_Para"/>
    <w:basedOn w:val="Normal"/>
    <w:uiPriority w:val="99"/>
    <w:qFormat/>
    <w:rsid w:val="007A7F7E"/>
    <w:pPr>
      <w:spacing w:after="240" w:line="240" w:lineRule="auto"/>
      <w:ind w:left="851"/>
      <w:jc w:val="both"/>
    </w:pPr>
    <w:rPr>
      <w:rFonts w:ascii="Söhne" w:eastAsiaTheme="minorEastAsia" w:hAnsi="Söhne" w:cs="Arial"/>
      <w:sz w:val="18"/>
      <w:szCs w:val="18"/>
      <w:lang w:val="en-GB"/>
    </w:rPr>
  </w:style>
  <w:style w:type="paragraph" w:customStyle="1" w:styleId="111">
    <w:name w:val="1.1.1"/>
    <w:basedOn w:val="Normal"/>
    <w:uiPriority w:val="99"/>
    <w:qFormat/>
    <w:rsid w:val="007A7F7E"/>
    <w:pPr>
      <w:spacing w:after="120" w:line="240" w:lineRule="auto"/>
      <w:ind w:left="1418" w:hanging="567"/>
    </w:pPr>
    <w:rPr>
      <w:rFonts w:ascii="Söhne Kräftig" w:eastAsiaTheme="minorEastAsia" w:hAnsi="Söhne Kräftig" w:cs="Arial"/>
      <w:sz w:val="19"/>
      <w:szCs w:val="20"/>
      <w:lang w:val="en-GB"/>
    </w:rPr>
  </w:style>
  <w:style w:type="paragraph" w:customStyle="1" w:styleId="111Para">
    <w:name w:val="1.1.1_Para"/>
    <w:basedOn w:val="Normal"/>
    <w:qFormat/>
    <w:rsid w:val="007A7F7E"/>
    <w:pPr>
      <w:spacing w:after="240" w:line="240" w:lineRule="auto"/>
      <w:ind w:left="1418"/>
      <w:jc w:val="both"/>
    </w:pPr>
    <w:rPr>
      <w:rFonts w:ascii="Söhne" w:eastAsiaTheme="minorEastAsia" w:hAnsi="Söhne" w:cs="Arial"/>
      <w:sz w:val="18"/>
      <w:szCs w:val="18"/>
      <w:lang w:val="en-GB"/>
    </w:rPr>
  </w:style>
  <w:style w:type="paragraph" w:customStyle="1" w:styleId="ilast">
    <w:name w:val="i)_last"/>
    <w:basedOn w:val="Normal"/>
    <w:uiPriority w:val="99"/>
    <w:qFormat/>
    <w:rsid w:val="007A7F7E"/>
    <w:pPr>
      <w:spacing w:after="240" w:line="240" w:lineRule="auto"/>
      <w:ind w:left="1843" w:hanging="425"/>
    </w:pPr>
    <w:rPr>
      <w:rFonts w:ascii="Arial" w:eastAsiaTheme="minorEastAsia" w:hAnsi="Arial" w:cs="Arial"/>
      <w:sz w:val="18"/>
      <w:szCs w:val="18"/>
      <w:lang w:val="en-GB"/>
    </w:rPr>
  </w:style>
  <w:style w:type="paragraph" w:customStyle="1" w:styleId="afourthlevel">
    <w:name w:val="a)_fourth_level"/>
    <w:basedOn w:val="Normal"/>
    <w:uiPriority w:val="99"/>
    <w:qFormat/>
    <w:rsid w:val="007A7F7E"/>
    <w:pPr>
      <w:spacing w:after="120" w:line="240" w:lineRule="auto"/>
      <w:ind w:left="1843" w:hanging="425"/>
    </w:pPr>
    <w:rPr>
      <w:rFonts w:ascii="Söhne Kräftig" w:eastAsiaTheme="minorEastAsia" w:hAnsi="Söhne Kräftig" w:cs="Arial"/>
      <w:sz w:val="18"/>
      <w:szCs w:val="20"/>
      <w:lang w:val="en-GB"/>
    </w:rPr>
  </w:style>
  <w:style w:type="paragraph" w:customStyle="1" w:styleId="afourthpara">
    <w:name w:val="a)_fourth_para"/>
    <w:basedOn w:val="Normal"/>
    <w:uiPriority w:val="99"/>
    <w:qFormat/>
    <w:rsid w:val="007A7F7E"/>
    <w:pPr>
      <w:spacing w:after="240" w:line="240" w:lineRule="auto"/>
      <w:ind w:left="1843"/>
      <w:jc w:val="both"/>
    </w:pPr>
    <w:rPr>
      <w:rFonts w:ascii="Söhne" w:eastAsiaTheme="minorEastAsia" w:hAnsi="Söhne" w:cs="Arial"/>
      <w:sz w:val="18"/>
      <w:szCs w:val="18"/>
      <w:lang w:val="en-GB"/>
    </w:rPr>
  </w:style>
  <w:style w:type="paragraph" w:customStyle="1" w:styleId="ififthlevel">
    <w:name w:val="i)_fifth_level"/>
    <w:basedOn w:val="Normal"/>
    <w:uiPriority w:val="99"/>
    <w:qFormat/>
    <w:rsid w:val="007A7F7E"/>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qFormat/>
    <w:rsid w:val="007A7F7E"/>
    <w:pPr>
      <w:spacing w:after="240" w:line="240" w:lineRule="auto"/>
      <w:ind w:left="1843"/>
      <w:jc w:val="both"/>
    </w:pPr>
    <w:rPr>
      <w:rFonts w:ascii="Söhne" w:eastAsiaTheme="minorEastAsia" w:hAnsi="Söhne" w:cs="Arial"/>
      <w:sz w:val="18"/>
      <w:szCs w:val="18"/>
      <w:lang w:val="en-GB"/>
    </w:rPr>
  </w:style>
  <w:style w:type="paragraph" w:customStyle="1" w:styleId="dotsixthlevel">
    <w:name w:val="dot_sixth_level"/>
    <w:basedOn w:val="Normal"/>
    <w:uiPriority w:val="99"/>
    <w:qFormat/>
    <w:rsid w:val="007A7F7E"/>
    <w:pPr>
      <w:spacing w:after="120" w:line="240" w:lineRule="auto"/>
      <w:ind w:left="2268" w:hanging="425"/>
      <w:jc w:val="both"/>
    </w:pPr>
    <w:rPr>
      <w:rFonts w:ascii="Söhne" w:eastAsiaTheme="minorEastAsia" w:hAnsi="Söhne" w:cs="Arial"/>
      <w:sz w:val="18"/>
      <w:szCs w:val="18"/>
      <w:lang w:val="en-GB"/>
    </w:rPr>
  </w:style>
  <w:style w:type="paragraph" w:customStyle="1" w:styleId="dotsixthpara">
    <w:name w:val="dot_sixth_para"/>
    <w:basedOn w:val="Normal"/>
    <w:uiPriority w:val="99"/>
    <w:qFormat/>
    <w:rsid w:val="007A7F7E"/>
    <w:pPr>
      <w:spacing w:after="240" w:line="240" w:lineRule="auto"/>
      <w:ind w:left="2268"/>
      <w:jc w:val="both"/>
    </w:pPr>
    <w:rPr>
      <w:rFonts w:ascii="Söhne" w:eastAsiaTheme="minorEastAsia" w:hAnsi="Söhne" w:cs="Arial"/>
      <w:sz w:val="18"/>
      <w:szCs w:val="18"/>
      <w:lang w:val="en-GB"/>
    </w:rPr>
  </w:style>
  <w:style w:type="paragraph" w:customStyle="1" w:styleId="ififthlevellist">
    <w:name w:val="i_fifth_level_list"/>
    <w:basedOn w:val="ififthpara"/>
    <w:uiPriority w:val="99"/>
    <w:qFormat/>
    <w:rsid w:val="007A7F7E"/>
    <w:pPr>
      <w:spacing w:after="120"/>
      <w:ind w:hanging="425"/>
    </w:pPr>
  </w:style>
  <w:style w:type="character" w:styleId="Hyperlink">
    <w:name w:val="Hyperlink"/>
    <w:basedOn w:val="DefaultParagraphFont"/>
    <w:unhideWhenUsed/>
    <w:rsid w:val="007A7F7E"/>
    <w:rPr>
      <w:color w:val="467886" w:themeColor="hyperlink"/>
      <w:u w:val="single"/>
    </w:rPr>
  </w:style>
  <w:style w:type="paragraph" w:customStyle="1" w:styleId="Default">
    <w:name w:val="Default"/>
    <w:rsid w:val="007A7F7E"/>
    <w:pPr>
      <w:autoSpaceDE w:val="0"/>
      <w:autoSpaceDN w:val="0"/>
      <w:adjustRightInd w:val="0"/>
      <w:spacing w:after="0" w:line="240" w:lineRule="auto"/>
    </w:pPr>
    <w:rPr>
      <w:rFonts w:ascii="Arial" w:hAnsi="Arial" w:cs="Arial"/>
      <w:color w:val="000000"/>
      <w:kern w:val="0"/>
      <w:sz w:val="24"/>
      <w:szCs w:val="24"/>
      <w:lang w:val="en-AU" w:eastAsia="en-GB"/>
      <w14:ligatures w14:val="none"/>
    </w:rPr>
  </w:style>
  <w:style w:type="paragraph" w:styleId="BodyText">
    <w:name w:val="Body Text"/>
    <w:basedOn w:val="Normal"/>
    <w:link w:val="BodyTextChar"/>
    <w:uiPriority w:val="99"/>
    <w:rsid w:val="007A7F7E"/>
    <w:pPr>
      <w:widowControl w:val="0"/>
      <w:spacing w:after="120" w:line="240" w:lineRule="auto"/>
    </w:pPr>
  </w:style>
  <w:style w:type="character" w:customStyle="1" w:styleId="BodyTextChar">
    <w:name w:val="Body Text Char"/>
    <w:basedOn w:val="DefaultParagraphFont"/>
    <w:link w:val="BodyText"/>
    <w:uiPriority w:val="99"/>
    <w:rsid w:val="007A7F7E"/>
    <w:rPr>
      <w:rFonts w:eastAsiaTheme="minorHAnsi"/>
      <w:kern w:val="0"/>
      <w:lang w:val="fr-FR"/>
      <w14:ligatures w14:val="none"/>
    </w:rPr>
  </w:style>
  <w:style w:type="paragraph" w:customStyle="1" w:styleId="1111">
    <w:name w:val="1.1.1.1"/>
    <w:basedOn w:val="Normal"/>
    <w:uiPriority w:val="99"/>
    <w:qFormat/>
    <w:rsid w:val="007A7F7E"/>
    <w:pPr>
      <w:spacing w:after="120" w:line="240" w:lineRule="auto"/>
      <w:ind w:left="1843" w:hanging="425"/>
    </w:pPr>
    <w:rPr>
      <w:rFonts w:ascii="Söhne Kräftig" w:eastAsiaTheme="minorEastAsia" w:hAnsi="Söhne Kräftig" w:cs="Arial"/>
      <w:sz w:val="18"/>
      <w:szCs w:val="18"/>
      <w:lang w:val="en-GB"/>
    </w:rPr>
  </w:style>
  <w:style w:type="paragraph" w:customStyle="1" w:styleId="11111">
    <w:name w:val="1.1.1.1.1"/>
    <w:basedOn w:val="Normal"/>
    <w:uiPriority w:val="99"/>
    <w:rsid w:val="007A7F7E"/>
    <w:pPr>
      <w:spacing w:after="120" w:line="240" w:lineRule="auto"/>
      <w:ind w:left="1588"/>
    </w:pPr>
    <w:rPr>
      <w:rFonts w:ascii="Söhne" w:eastAsiaTheme="minorEastAsia" w:hAnsi="Söhne" w:cs="Arial"/>
      <w:sz w:val="18"/>
      <w:szCs w:val="18"/>
      <w:lang w:val="en-GB"/>
    </w:rPr>
  </w:style>
  <w:style w:type="paragraph" w:customStyle="1" w:styleId="11ilist">
    <w:name w:val="1.1.i_list"/>
    <w:basedOn w:val="ListParagraph"/>
    <w:uiPriority w:val="99"/>
    <w:rsid w:val="007A7F7E"/>
    <w:pPr>
      <w:tabs>
        <w:tab w:val="left" w:pos="851"/>
      </w:tabs>
      <w:ind w:left="1276" w:hanging="425"/>
      <w:contextualSpacing w:val="0"/>
    </w:pPr>
    <w:rPr>
      <w:rFonts w:ascii="Söhne" w:eastAsiaTheme="minorEastAsia" w:hAnsi="Söhne" w:cs="Arial"/>
      <w:sz w:val="18"/>
      <w:szCs w:val="18"/>
    </w:rPr>
  </w:style>
  <w:style w:type="character" w:customStyle="1" w:styleId="paraACar0">
    <w:name w:val="paraA Car"/>
    <w:link w:val="paraA0"/>
    <w:uiPriority w:val="99"/>
    <w:locked/>
    <w:rsid w:val="007A7F7E"/>
    <w:rPr>
      <w:rFonts w:ascii="Söhne" w:hAnsi="Söhne" w:cs="Times New Roman"/>
      <w:kern w:val="0"/>
      <w:sz w:val="18"/>
      <w:szCs w:val="18"/>
      <w:lang w:eastAsia="fr-FR"/>
      <w14:ligatures w14:val="none"/>
    </w:rPr>
  </w:style>
  <w:style w:type="paragraph" w:customStyle="1" w:styleId="rfrences">
    <w:name w:val="références"/>
    <w:basedOn w:val="Normal"/>
    <w:link w:val="rfrencesChar"/>
    <w:rsid w:val="007A7F7E"/>
    <w:pPr>
      <w:spacing w:after="240" w:line="240" w:lineRule="auto"/>
      <w:jc w:val="both"/>
    </w:pPr>
    <w:rPr>
      <w:rFonts w:ascii="Söhne" w:eastAsia="Times New Roman" w:hAnsi="Söhne" w:cs="Times New Roman"/>
      <w:sz w:val="18"/>
      <w:lang w:eastAsia="fr-FR" w:bidi="en-US"/>
    </w:rPr>
  </w:style>
  <w:style w:type="character" w:customStyle="1" w:styleId="rfrencesChar">
    <w:name w:val="références Char"/>
    <w:link w:val="rfrences"/>
    <w:rsid w:val="007A7F7E"/>
    <w:rPr>
      <w:rFonts w:ascii="Söhne" w:hAnsi="Söhne" w:cs="Times New Roman"/>
      <w:kern w:val="0"/>
      <w:sz w:val="18"/>
      <w:lang w:val="fr-FR" w:eastAsia="fr-FR" w:bidi="en-US"/>
      <w14:ligatures w14:val="none"/>
    </w:rPr>
  </w:style>
  <w:style w:type="character" w:styleId="FollowedHyperlink">
    <w:name w:val="FollowedHyperlink"/>
    <w:basedOn w:val="DefaultParagraphFont"/>
    <w:uiPriority w:val="99"/>
    <w:unhideWhenUsed/>
    <w:rsid w:val="007A7F7E"/>
    <w:rPr>
      <w:color w:val="96607D" w:themeColor="followedHyperlink"/>
      <w:u w:val="single"/>
    </w:rPr>
  </w:style>
  <w:style w:type="character" w:styleId="UnresolvedMention">
    <w:name w:val="Unresolved Mention"/>
    <w:basedOn w:val="DefaultParagraphFont"/>
    <w:uiPriority w:val="99"/>
    <w:unhideWhenUsed/>
    <w:rsid w:val="007A7F7E"/>
    <w:rPr>
      <w:color w:val="605E5C"/>
      <w:shd w:val="clear" w:color="auto" w:fill="E1DFDD"/>
    </w:rPr>
  </w:style>
  <w:style w:type="paragraph" w:customStyle="1" w:styleId="RN-RefNos">
    <w:name w:val="RN - Ref Nos."/>
    <w:basedOn w:val="Normal"/>
    <w:next w:val="Normal"/>
    <w:qFormat/>
    <w:rsid w:val="007A7F7E"/>
    <w:pPr>
      <w:numPr>
        <w:numId w:val="1"/>
      </w:numPr>
      <w:spacing w:before="240" w:after="0" w:line="360" w:lineRule="atLeast"/>
      <w:jc w:val="both"/>
    </w:pPr>
    <w:rPr>
      <w:rFonts w:ascii="Times New Roman" w:eastAsia="Calibri" w:hAnsi="Times New Roman" w:cs="Times New Roman"/>
      <w:color w:val="000000"/>
      <w:sz w:val="24"/>
      <w:lang w:val="en-US"/>
    </w:rPr>
  </w:style>
  <w:style w:type="paragraph" w:styleId="Revision">
    <w:name w:val="Revision"/>
    <w:hidden/>
    <w:uiPriority w:val="99"/>
    <w:semiHidden/>
    <w:rsid w:val="007A7F7E"/>
    <w:pPr>
      <w:spacing w:after="0" w:line="240" w:lineRule="auto"/>
    </w:pPr>
    <w:rPr>
      <w:rFonts w:eastAsiaTheme="minorHAnsi"/>
      <w:kern w:val="0"/>
      <w:lang w:val="fr-FR"/>
      <w14:ligatures w14:val="none"/>
    </w:rPr>
  </w:style>
  <w:style w:type="paragraph" w:customStyle="1" w:styleId="1iPara">
    <w:name w:val="1i_Para"/>
    <w:basedOn w:val="1Para"/>
    <w:qFormat/>
    <w:rsid w:val="007A7F7E"/>
    <w:pPr>
      <w:spacing w:after="120"/>
      <w:ind w:left="425" w:hanging="425"/>
    </w:pPr>
  </w:style>
  <w:style w:type="character" w:styleId="Emphasis">
    <w:name w:val="Emphasis"/>
    <w:basedOn w:val="DefaultParagraphFont"/>
    <w:uiPriority w:val="20"/>
    <w:qFormat/>
    <w:rsid w:val="007A7F7E"/>
    <w:rPr>
      <w:i/>
      <w:iCs/>
    </w:rPr>
  </w:style>
  <w:style w:type="character" w:styleId="SubtleReference">
    <w:name w:val="Subtle Reference"/>
    <w:basedOn w:val="DefaultParagraphFont"/>
    <w:uiPriority w:val="31"/>
    <w:qFormat/>
    <w:rsid w:val="007A7F7E"/>
    <w:rPr>
      <w:rFonts w:ascii="Arial" w:hAnsi="Arial"/>
      <w:b w:val="0"/>
      <w:smallCaps/>
      <w:color w:val="000000" w:themeColor="text1"/>
      <w:sz w:val="18"/>
    </w:rPr>
  </w:style>
  <w:style w:type="paragraph" w:customStyle="1" w:styleId="paraA1">
    <w:name w:val="paraA_1"/>
    <w:basedOn w:val="paraA0"/>
    <w:qFormat/>
    <w:rsid w:val="007A7F7E"/>
    <w:pPr>
      <w:ind w:left="425" w:hanging="425"/>
    </w:pPr>
    <w:rPr>
      <w:rFonts w:eastAsiaTheme="minorEastAsia"/>
    </w:rPr>
  </w:style>
  <w:style w:type="paragraph" w:customStyle="1" w:styleId="paraA1para">
    <w:name w:val="paraA_1_para"/>
    <w:basedOn w:val="paraA1"/>
    <w:qFormat/>
    <w:rsid w:val="007A7F7E"/>
    <w:pPr>
      <w:ind w:firstLine="0"/>
    </w:pPr>
  </w:style>
  <w:style w:type="character" w:customStyle="1" w:styleId="highlight">
    <w:name w:val="highlight"/>
    <w:basedOn w:val="DefaultParagraphFont"/>
    <w:rsid w:val="007A7F7E"/>
  </w:style>
  <w:style w:type="paragraph" w:customStyle="1" w:styleId="Titre1">
    <w:name w:val="Titre1"/>
    <w:basedOn w:val="Normal"/>
    <w:rsid w:val="007A7F7E"/>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paragraph" w:customStyle="1" w:styleId="desc">
    <w:name w:val="desc"/>
    <w:basedOn w:val="Normal"/>
    <w:rsid w:val="007A7F7E"/>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paragraph" w:customStyle="1" w:styleId="details">
    <w:name w:val="details"/>
    <w:basedOn w:val="Normal"/>
    <w:rsid w:val="007A7F7E"/>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character" w:customStyle="1" w:styleId="jrnl">
    <w:name w:val="jrnl"/>
    <w:basedOn w:val="DefaultParagraphFont"/>
    <w:rsid w:val="007A7F7E"/>
  </w:style>
  <w:style w:type="character" w:customStyle="1" w:styleId="NormalWebChar">
    <w:name w:val="Normal (Web) Char"/>
    <w:aliases w:val=" webb Char,webb Char"/>
    <w:basedOn w:val="DefaultParagraphFont"/>
    <w:link w:val="NormalWeb"/>
    <w:uiPriority w:val="99"/>
    <w:rsid w:val="007A7F7E"/>
    <w:rPr>
      <w:rFonts w:eastAsiaTheme="minorHAnsi"/>
      <w:kern w:val="0"/>
      <w:sz w:val="24"/>
      <w:szCs w:val="24"/>
      <w:lang w:val="en-US"/>
      <w14:ligatures w14:val="none"/>
    </w:rPr>
  </w:style>
  <w:style w:type="character" w:customStyle="1" w:styleId="hps">
    <w:name w:val="hps"/>
    <w:basedOn w:val="DefaultParagraphFont"/>
    <w:rsid w:val="007A7F7E"/>
  </w:style>
  <w:style w:type="table" w:styleId="TableGrid">
    <w:name w:val="Table Grid"/>
    <w:basedOn w:val="TableNormal"/>
    <w:rsid w:val="007A7F7E"/>
    <w:pPr>
      <w:spacing w:after="0" w:line="240" w:lineRule="auto"/>
    </w:pPr>
    <w:rPr>
      <w:rFonts w:ascii="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7A7F7E"/>
    <w:rPr>
      <w:i/>
      <w:iCs/>
    </w:rPr>
  </w:style>
  <w:style w:type="paragraph" w:customStyle="1" w:styleId="Tabletitle">
    <w:name w:val="Table title"/>
    <w:basedOn w:val="Normal"/>
    <w:autoRedefine/>
    <w:rsid w:val="007A7F7E"/>
    <w:pPr>
      <w:spacing w:after="120" w:line="240" w:lineRule="auto"/>
      <w:ind w:left="851"/>
      <w:jc w:val="center"/>
    </w:pPr>
    <w:rPr>
      <w:rFonts w:ascii="Söhne Kräftig" w:eastAsiaTheme="minorEastAsia" w:hAnsi="Söhne Kräftig" w:cs="Ottawa"/>
      <w:i/>
      <w:iCs/>
      <w:sz w:val="18"/>
      <w:szCs w:val="18"/>
      <w:lang w:val="en-GB"/>
    </w:rPr>
  </w:style>
  <w:style w:type="paragraph" w:customStyle="1" w:styleId="StyleparaA1After0pt">
    <w:name w:val="Style paraA_1 + After:  0 pt"/>
    <w:basedOn w:val="paraA1"/>
    <w:rsid w:val="007A7F7E"/>
    <w:rPr>
      <w:szCs w:val="20"/>
    </w:rPr>
  </w:style>
  <w:style w:type="paragraph" w:customStyle="1" w:styleId="StyleparaA112pt">
    <w:name w:val="Style paraA_1 + 12 pt"/>
    <w:basedOn w:val="paraA1"/>
    <w:rsid w:val="007A7F7E"/>
  </w:style>
  <w:style w:type="character" w:customStyle="1" w:styleId="authors-list-item">
    <w:name w:val="authors-list-item"/>
    <w:basedOn w:val="DefaultParagraphFont"/>
    <w:rsid w:val="007A7F7E"/>
  </w:style>
  <w:style w:type="character" w:customStyle="1" w:styleId="comma">
    <w:name w:val="comma"/>
    <w:basedOn w:val="DefaultParagraphFont"/>
    <w:rsid w:val="007A7F7E"/>
  </w:style>
  <w:style w:type="paragraph" w:customStyle="1" w:styleId="Style11After0pt">
    <w:name w:val="Style 1.1 + After:  0 pt"/>
    <w:basedOn w:val="11"/>
    <w:rsid w:val="007A7F7E"/>
    <w:pPr>
      <w:jc w:val="both"/>
    </w:pPr>
    <w:rPr>
      <w:rFonts w:eastAsia="Times New Roman" w:cs="Times New Roman"/>
      <w:szCs w:val="20"/>
    </w:rPr>
  </w:style>
  <w:style w:type="paragraph" w:customStyle="1" w:styleId="pf0">
    <w:name w:val="pf0"/>
    <w:basedOn w:val="Normal"/>
    <w:rsid w:val="007A7F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A7F7E"/>
    <w:rPr>
      <w:rFonts w:ascii="Segoe UI" w:hAnsi="Segoe UI" w:cs="Segoe UI" w:hint="default"/>
      <w:sz w:val="18"/>
      <w:szCs w:val="18"/>
    </w:rPr>
  </w:style>
  <w:style w:type="paragraph" w:customStyle="1" w:styleId="ref0">
    <w:name w:val="ref"/>
    <w:basedOn w:val="Normal"/>
    <w:rsid w:val="007A7F7E"/>
    <w:pPr>
      <w:keepLines/>
      <w:tabs>
        <w:tab w:val="left" w:pos="964"/>
      </w:tabs>
      <w:spacing w:after="240" w:line="240" w:lineRule="auto"/>
      <w:jc w:val="both"/>
    </w:pPr>
    <w:rPr>
      <w:rFonts w:ascii="Söhne" w:hAnsi="Söhne"/>
      <w:sz w:val="18"/>
      <w:lang w:val="en-GB" w:eastAsia="sv-SE"/>
    </w:rPr>
  </w:style>
  <w:style w:type="paragraph" w:customStyle="1" w:styleId="Reflabnote">
    <w:name w:val="Ref_lab_note"/>
    <w:basedOn w:val="Normal"/>
    <w:link w:val="ReflabnoteCar"/>
    <w:rsid w:val="007A7F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basedOn w:val="DefaultParagraphFont"/>
    <w:link w:val="Reflabnote"/>
    <w:rsid w:val="007A7F7E"/>
    <w:rPr>
      <w:rFonts w:ascii="Arial" w:hAnsi="Arial" w:cs="Arial"/>
      <w:kern w:val="0"/>
      <w:sz w:val="18"/>
      <w:szCs w:val="18"/>
      <w:lang w:eastAsia="fr-FR"/>
      <w14:ligatures w14:val="none"/>
    </w:rPr>
  </w:style>
  <w:style w:type="paragraph" w:customStyle="1" w:styleId="Textedebulles2">
    <w:name w:val="Texte de bulles2"/>
    <w:basedOn w:val="Normal"/>
    <w:uiPriority w:val="99"/>
    <w:semiHidden/>
    <w:rsid w:val="007A7F7E"/>
    <w:rPr>
      <w:rFonts w:ascii="Tahoma" w:hAnsi="Tahoma" w:cs="Tahoma"/>
      <w:sz w:val="16"/>
      <w:szCs w:val="16"/>
    </w:rPr>
  </w:style>
  <w:style w:type="paragraph" w:customStyle="1" w:styleId="Textedebulles1">
    <w:name w:val="Texte de bulles1"/>
    <w:basedOn w:val="Normal"/>
    <w:semiHidden/>
    <w:rsid w:val="007A7F7E"/>
    <w:rPr>
      <w:rFonts w:ascii="Tahoma" w:hAnsi="Tahoma" w:cs="Tahoma"/>
      <w:sz w:val="16"/>
      <w:szCs w:val="16"/>
    </w:rPr>
  </w:style>
  <w:style w:type="paragraph" w:customStyle="1" w:styleId="texte">
    <w:name w:val="texte"/>
    <w:basedOn w:val="Normal"/>
    <w:uiPriority w:val="99"/>
    <w:rsid w:val="007A7F7E"/>
    <w:pPr>
      <w:spacing w:before="100" w:beforeAutospacing="1" w:after="100" w:afterAutospacing="1" w:line="240" w:lineRule="auto"/>
    </w:pPr>
    <w:rPr>
      <w:rFonts w:ascii="Arial Unicode MS" w:hAnsi="Arial Unicode MS" w:cs="Arial Unicode MS"/>
      <w:sz w:val="24"/>
      <w:szCs w:val="24"/>
      <w:lang w:val="en-US"/>
    </w:rPr>
  </w:style>
  <w:style w:type="paragraph" w:customStyle="1" w:styleId="Objetducommentaire1">
    <w:name w:val="Objet du commentaire1"/>
    <w:basedOn w:val="CommentText"/>
    <w:next w:val="CommentText"/>
    <w:uiPriority w:val="99"/>
    <w:semiHidden/>
    <w:rsid w:val="007A7F7E"/>
    <w:rPr>
      <w:b/>
      <w:bCs/>
      <w:lang w:val="en-US"/>
    </w:rPr>
  </w:style>
  <w:style w:type="paragraph" w:customStyle="1" w:styleId="BalloonText1">
    <w:name w:val="Balloon Text1"/>
    <w:basedOn w:val="Normal"/>
    <w:uiPriority w:val="99"/>
    <w:semiHidden/>
    <w:rsid w:val="007A7F7E"/>
    <w:rPr>
      <w:rFonts w:ascii="Tahoma" w:hAnsi="Tahoma" w:cs="Tahoma"/>
      <w:sz w:val="16"/>
      <w:szCs w:val="16"/>
    </w:rPr>
  </w:style>
  <w:style w:type="paragraph" w:customStyle="1" w:styleId="CommentSubject1">
    <w:name w:val="Comment Subject1"/>
    <w:basedOn w:val="CommentText"/>
    <w:next w:val="CommentText"/>
    <w:uiPriority w:val="99"/>
    <w:semiHidden/>
    <w:rsid w:val="007A7F7E"/>
    <w:rPr>
      <w:b/>
      <w:bCs/>
      <w:lang w:val="en-US"/>
    </w:rPr>
  </w:style>
  <w:style w:type="paragraph" w:customStyle="1" w:styleId="Para1i">
    <w:name w:val="Para1i"/>
    <w:basedOn w:val="para1"/>
    <w:uiPriority w:val="99"/>
    <w:rsid w:val="007A7F7E"/>
    <w:pPr>
      <w:ind w:left="425" w:hanging="425"/>
    </w:pPr>
  </w:style>
  <w:style w:type="paragraph" w:customStyle="1" w:styleId="Para1ii">
    <w:name w:val="Para1ii"/>
    <w:basedOn w:val="Para1i"/>
    <w:uiPriority w:val="99"/>
    <w:rsid w:val="007A7F7E"/>
    <w:pPr>
      <w:ind w:left="850"/>
    </w:pPr>
  </w:style>
  <w:style w:type="paragraph" w:styleId="TOC1">
    <w:name w:val="toc 1"/>
    <w:basedOn w:val="Normal"/>
    <w:next w:val="Normal"/>
    <w:autoRedefine/>
    <w:uiPriority w:val="39"/>
    <w:rsid w:val="007A7F7E"/>
  </w:style>
  <w:style w:type="paragraph" w:styleId="TOC2">
    <w:name w:val="toc 2"/>
    <w:basedOn w:val="Normal"/>
    <w:next w:val="Normal"/>
    <w:autoRedefine/>
    <w:uiPriority w:val="39"/>
    <w:rsid w:val="007A7F7E"/>
    <w:pPr>
      <w:ind w:left="200"/>
    </w:pPr>
  </w:style>
  <w:style w:type="paragraph" w:styleId="TOC3">
    <w:name w:val="toc 3"/>
    <w:basedOn w:val="Normal"/>
    <w:next w:val="Normal"/>
    <w:autoRedefine/>
    <w:uiPriority w:val="39"/>
    <w:rsid w:val="007A7F7E"/>
    <w:pPr>
      <w:ind w:left="400"/>
    </w:pPr>
  </w:style>
  <w:style w:type="paragraph" w:styleId="TOC4">
    <w:name w:val="toc 4"/>
    <w:basedOn w:val="Normal"/>
    <w:next w:val="Normal"/>
    <w:autoRedefine/>
    <w:uiPriority w:val="39"/>
    <w:rsid w:val="007A7F7E"/>
    <w:pPr>
      <w:ind w:left="600"/>
    </w:pPr>
  </w:style>
  <w:style w:type="paragraph" w:styleId="TOC5">
    <w:name w:val="toc 5"/>
    <w:basedOn w:val="Normal"/>
    <w:next w:val="Normal"/>
    <w:autoRedefine/>
    <w:uiPriority w:val="39"/>
    <w:rsid w:val="007A7F7E"/>
    <w:pPr>
      <w:ind w:left="800"/>
    </w:pPr>
  </w:style>
  <w:style w:type="paragraph" w:styleId="TOC6">
    <w:name w:val="toc 6"/>
    <w:basedOn w:val="Normal"/>
    <w:next w:val="Normal"/>
    <w:autoRedefine/>
    <w:uiPriority w:val="39"/>
    <w:rsid w:val="007A7F7E"/>
    <w:pPr>
      <w:ind w:left="1000"/>
    </w:pPr>
  </w:style>
  <w:style w:type="paragraph" w:styleId="TOC7">
    <w:name w:val="toc 7"/>
    <w:basedOn w:val="Normal"/>
    <w:next w:val="Normal"/>
    <w:autoRedefine/>
    <w:uiPriority w:val="39"/>
    <w:rsid w:val="007A7F7E"/>
    <w:pPr>
      <w:ind w:left="1200"/>
    </w:pPr>
  </w:style>
  <w:style w:type="paragraph" w:styleId="TOC8">
    <w:name w:val="toc 8"/>
    <w:basedOn w:val="Normal"/>
    <w:next w:val="Normal"/>
    <w:autoRedefine/>
    <w:uiPriority w:val="39"/>
    <w:rsid w:val="007A7F7E"/>
    <w:pPr>
      <w:ind w:left="1400"/>
    </w:pPr>
  </w:style>
  <w:style w:type="paragraph" w:styleId="TOC9">
    <w:name w:val="toc 9"/>
    <w:basedOn w:val="Normal"/>
    <w:next w:val="Normal"/>
    <w:autoRedefine/>
    <w:uiPriority w:val="39"/>
    <w:rsid w:val="007A7F7E"/>
    <w:pPr>
      <w:ind w:left="1600"/>
    </w:pPr>
  </w:style>
  <w:style w:type="character" w:styleId="PageNumber">
    <w:name w:val="page number"/>
    <w:basedOn w:val="DefaultParagraphFont"/>
    <w:uiPriority w:val="99"/>
    <w:rsid w:val="007A7F7E"/>
  </w:style>
  <w:style w:type="table" w:styleId="Table3Deffects1">
    <w:name w:val="Table 3D effects 1"/>
    <w:basedOn w:val="TableNormal"/>
    <w:uiPriority w:val="99"/>
    <w:rsid w:val="007A7F7E"/>
    <w:pPr>
      <w:tabs>
        <w:tab w:val="left" w:pos="-720"/>
      </w:tabs>
      <w:spacing w:after="0" w:line="360" w:lineRule="atLeast"/>
      <w:jc w:val="both"/>
    </w:pPr>
    <w:rPr>
      <w:rFonts w:ascii="Times New Roman"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Revision1">
    <w:name w:val="Revision1"/>
    <w:hidden/>
    <w:uiPriority w:val="99"/>
    <w:semiHidden/>
    <w:rsid w:val="007A7F7E"/>
    <w:pPr>
      <w:spacing w:after="0" w:line="240" w:lineRule="auto"/>
    </w:pPr>
    <w:rPr>
      <w:rFonts w:ascii="Times New Roman" w:hAnsi="Times New Roman" w:cs="Times New Roman"/>
      <w:kern w:val="0"/>
      <w:sz w:val="20"/>
      <w:szCs w:val="20"/>
      <w:lang w:eastAsia="fr-FR"/>
      <w14:ligatures w14:val="none"/>
    </w:rPr>
  </w:style>
  <w:style w:type="paragraph" w:styleId="BodyText2">
    <w:name w:val="Body Text 2"/>
    <w:basedOn w:val="Normal"/>
    <w:link w:val="BodyText2Char1"/>
    <w:rsid w:val="007A7F7E"/>
    <w:pPr>
      <w:spacing w:after="120"/>
      <w:ind w:left="283"/>
    </w:pPr>
    <w:rPr>
      <w:lang w:val="en-US"/>
    </w:rPr>
  </w:style>
  <w:style w:type="character" w:customStyle="1" w:styleId="BodyText2Char">
    <w:name w:val="Body Text 2 Char"/>
    <w:basedOn w:val="DefaultParagraphFont"/>
    <w:uiPriority w:val="99"/>
    <w:semiHidden/>
    <w:rsid w:val="007A7F7E"/>
    <w:rPr>
      <w:rFonts w:eastAsiaTheme="minorHAnsi"/>
      <w:kern w:val="0"/>
      <w:lang w:val="fr-FR"/>
      <w14:ligatures w14:val="none"/>
    </w:rPr>
  </w:style>
  <w:style w:type="character" w:customStyle="1" w:styleId="BodyText2Char1">
    <w:name w:val="Body Text 2 Char1"/>
    <w:link w:val="BodyText2"/>
    <w:rsid w:val="007A7F7E"/>
    <w:rPr>
      <w:rFonts w:eastAsiaTheme="minorHAnsi"/>
      <w:kern w:val="0"/>
      <w:lang w:val="en-US"/>
      <w14:ligatures w14:val="none"/>
    </w:rPr>
  </w:style>
  <w:style w:type="paragraph" w:customStyle="1" w:styleId="ListParagraph1">
    <w:name w:val="List Paragraph1"/>
    <w:basedOn w:val="Normal"/>
    <w:uiPriority w:val="99"/>
    <w:rsid w:val="007A7F7E"/>
    <w:pPr>
      <w:spacing w:line="240" w:lineRule="auto"/>
      <w:ind w:left="720"/>
      <w:contextualSpacing/>
    </w:pPr>
    <w:rPr>
      <w:rFonts w:ascii="Arial" w:hAnsi="Arial" w:cs="Arial"/>
      <w:lang w:val="en-US"/>
    </w:rPr>
  </w:style>
  <w:style w:type="paragraph" w:customStyle="1" w:styleId="StyleArial8ptCentrBasSimpleAutomatique05ptpais">
    <w:name w:val="Style Arial 8 pt Centré Bas: (Simple Automatique  05 pt Épais..."/>
    <w:basedOn w:val="Normal"/>
    <w:uiPriority w:val="99"/>
    <w:rsid w:val="007A7F7E"/>
    <w:pPr>
      <w:spacing w:line="240" w:lineRule="auto"/>
      <w:jc w:val="center"/>
    </w:pPr>
    <w:rPr>
      <w:rFonts w:ascii="Arial" w:hAnsi="Arial" w:cs="Arial"/>
      <w:sz w:val="16"/>
      <w:szCs w:val="16"/>
    </w:rPr>
  </w:style>
  <w:style w:type="paragraph" w:styleId="BodyTextIndent2">
    <w:name w:val="Body Text Indent 2"/>
    <w:basedOn w:val="Normal"/>
    <w:link w:val="BodyTextIndent2Char"/>
    <w:uiPriority w:val="99"/>
    <w:semiHidden/>
    <w:rsid w:val="007A7F7E"/>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7A7F7E"/>
    <w:rPr>
      <w:rFonts w:eastAsiaTheme="minorHAnsi"/>
      <w:kern w:val="0"/>
      <w:lang w:val="en-US"/>
      <w14:ligatures w14:val="none"/>
    </w:rPr>
  </w:style>
  <w:style w:type="paragraph" w:styleId="BlockText">
    <w:name w:val="Block Text"/>
    <w:basedOn w:val="Normal"/>
    <w:uiPriority w:val="99"/>
    <w:semiHidden/>
    <w:rsid w:val="007A7F7E"/>
    <w:pPr>
      <w:overflowPunct w:val="0"/>
      <w:autoSpaceDE w:val="0"/>
      <w:autoSpaceDN w:val="0"/>
      <w:adjustRightInd w:val="0"/>
      <w:spacing w:line="240" w:lineRule="auto"/>
      <w:ind w:left="1890" w:right="1890"/>
      <w:textAlignment w:val="baseline"/>
    </w:pPr>
    <w:rPr>
      <w:b/>
      <w:bCs/>
      <w:sz w:val="24"/>
      <w:szCs w:val="24"/>
      <w:lang w:val="en-US"/>
    </w:rPr>
  </w:style>
  <w:style w:type="character" w:customStyle="1" w:styleId="fmtalo-doi">
    <w:name w:val="fmtalo-doi"/>
    <w:basedOn w:val="DefaultParagraphFont"/>
    <w:rsid w:val="007A7F7E"/>
  </w:style>
  <w:style w:type="character" w:customStyle="1" w:styleId="EquationCaption">
    <w:name w:val="_Equation Caption"/>
    <w:rsid w:val="007A7F7E"/>
  </w:style>
  <w:style w:type="character" w:customStyle="1" w:styleId="iCar">
    <w:name w:val="i) Car"/>
    <w:link w:val="i"/>
    <w:uiPriority w:val="99"/>
    <w:rsid w:val="007A7F7E"/>
    <w:rPr>
      <w:rFonts w:ascii="Söhne" w:eastAsiaTheme="minorEastAsia" w:hAnsi="Söhne" w:cs="Arial"/>
      <w:kern w:val="0"/>
      <w:sz w:val="18"/>
      <w:szCs w:val="18"/>
      <w14:ligatures w14:val="none"/>
    </w:rPr>
  </w:style>
  <w:style w:type="character" w:customStyle="1" w:styleId="iparalastCar">
    <w:name w:val="i_para_last Car"/>
    <w:link w:val="iparalast"/>
    <w:rsid w:val="007A7F7E"/>
    <w:rPr>
      <w:rFonts w:ascii="Söhne" w:eastAsiaTheme="minorEastAsia" w:hAnsi="Söhne" w:cs="Arial"/>
      <w:kern w:val="0"/>
      <w:sz w:val="18"/>
      <w:szCs w:val="18"/>
      <w14:ligatures w14:val="none"/>
    </w:rPr>
  </w:style>
  <w:style w:type="paragraph" w:customStyle="1" w:styleId="Texte3">
    <w:name w:val="Texte 3"/>
    <w:basedOn w:val="Normal"/>
    <w:rsid w:val="007A7F7E"/>
    <w:pPr>
      <w:spacing w:line="240" w:lineRule="auto"/>
      <w:ind w:left="454"/>
    </w:pPr>
    <w:rPr>
      <w:rFonts w:ascii="Verdana" w:hAnsi="Verdana"/>
      <w:lang w:val="en-US"/>
    </w:rPr>
  </w:style>
  <w:style w:type="character" w:customStyle="1" w:styleId="paraaCar">
    <w:name w:val="paraa) Car"/>
    <w:link w:val="paraa"/>
    <w:rsid w:val="007A7F7E"/>
    <w:rPr>
      <w:rFonts w:ascii="Arial" w:eastAsiaTheme="minorHAnsi" w:hAnsi="Arial" w:cs="Arial"/>
      <w:kern w:val="0"/>
      <w:sz w:val="18"/>
      <w:szCs w:val="18"/>
      <w:lang w:val="fr-FR"/>
      <w14:ligatures w14:val="none"/>
    </w:rPr>
  </w:style>
  <w:style w:type="paragraph" w:customStyle="1" w:styleId="rprtbody1">
    <w:name w:val="rprtbody1"/>
    <w:basedOn w:val="Normal"/>
    <w:rsid w:val="007A7F7E"/>
    <w:pPr>
      <w:spacing w:before="34" w:after="34" w:line="240" w:lineRule="auto"/>
    </w:pPr>
    <w:rPr>
      <w:rFonts w:eastAsia="MS Mincho"/>
      <w:sz w:val="28"/>
      <w:szCs w:val="28"/>
      <w:lang w:eastAsia="ja-JP"/>
    </w:rPr>
  </w:style>
  <w:style w:type="paragraph" w:styleId="BodyText3">
    <w:name w:val="Body Text 3"/>
    <w:basedOn w:val="Normal"/>
    <w:link w:val="BodyText3Char"/>
    <w:uiPriority w:val="99"/>
    <w:rsid w:val="007A7F7E"/>
    <w:pPr>
      <w:widowControl w:val="0"/>
      <w:autoSpaceDE w:val="0"/>
      <w:autoSpaceDN w:val="0"/>
      <w:adjustRightInd w:val="0"/>
      <w:spacing w:line="240" w:lineRule="auto"/>
    </w:pPr>
    <w:rPr>
      <w:sz w:val="14"/>
      <w:szCs w:val="14"/>
    </w:rPr>
  </w:style>
  <w:style w:type="character" w:customStyle="1" w:styleId="BodyText3Char">
    <w:name w:val="Body Text 3 Char"/>
    <w:basedOn w:val="DefaultParagraphFont"/>
    <w:link w:val="BodyText3"/>
    <w:uiPriority w:val="99"/>
    <w:rsid w:val="007A7F7E"/>
    <w:rPr>
      <w:rFonts w:eastAsiaTheme="minorHAnsi"/>
      <w:kern w:val="0"/>
      <w:sz w:val="14"/>
      <w:szCs w:val="14"/>
      <w:lang w:val="fr-FR"/>
      <w14:ligatures w14:val="none"/>
    </w:rPr>
  </w:style>
  <w:style w:type="character" w:customStyle="1" w:styleId="citation-abbreviation">
    <w:name w:val="citation-abbreviation"/>
    <w:basedOn w:val="DefaultParagraphFont"/>
    <w:rsid w:val="007A7F7E"/>
  </w:style>
  <w:style w:type="character" w:customStyle="1" w:styleId="citation-volume">
    <w:name w:val="citation-volume"/>
    <w:basedOn w:val="DefaultParagraphFont"/>
    <w:rsid w:val="007A7F7E"/>
  </w:style>
  <w:style w:type="character" w:customStyle="1" w:styleId="citation-flpages">
    <w:name w:val="citation-flpages"/>
    <w:basedOn w:val="DefaultParagraphFont"/>
    <w:rsid w:val="007A7F7E"/>
  </w:style>
  <w:style w:type="paragraph" w:customStyle="1" w:styleId="authors">
    <w:name w:val="authors"/>
    <w:basedOn w:val="Normal"/>
    <w:rsid w:val="007A7F7E"/>
    <w:pPr>
      <w:spacing w:before="150" w:line="240" w:lineRule="auto"/>
    </w:pPr>
    <w:rPr>
      <w:b/>
      <w:bCs/>
      <w:sz w:val="26"/>
      <w:szCs w:val="26"/>
      <w:lang w:val="en-US"/>
    </w:rPr>
  </w:style>
  <w:style w:type="paragraph" w:customStyle="1" w:styleId="TableHead">
    <w:name w:val="Table Head"/>
    <w:basedOn w:val="Normal"/>
    <w:rsid w:val="007A7F7E"/>
    <w:pPr>
      <w:spacing w:before="120" w:after="120" w:line="240" w:lineRule="auto"/>
      <w:jc w:val="center"/>
    </w:pPr>
    <w:rPr>
      <w:rFonts w:ascii="Ottawa" w:hAnsi="Ottawa"/>
      <w:b/>
      <w:bCs/>
      <w:sz w:val="18"/>
      <w:lang w:val="en-IE" w:bidi="en-US"/>
    </w:rPr>
  </w:style>
  <w:style w:type="paragraph" w:customStyle="1" w:styleId="Tabletext">
    <w:name w:val="Table text"/>
    <w:basedOn w:val="Normal"/>
    <w:rsid w:val="007A7F7E"/>
    <w:pPr>
      <w:spacing w:before="120" w:after="120" w:line="240" w:lineRule="auto"/>
      <w:jc w:val="center"/>
    </w:pPr>
    <w:rPr>
      <w:rFonts w:ascii="Arial" w:hAnsi="Arial" w:cs="Arial"/>
      <w:bCs/>
      <w:sz w:val="18"/>
      <w:lang w:val="en-IE" w:bidi="en-US"/>
    </w:rPr>
  </w:style>
  <w:style w:type="paragraph" w:styleId="PlainText">
    <w:name w:val="Plain Text"/>
    <w:basedOn w:val="Normal"/>
    <w:link w:val="PlainTextChar"/>
    <w:uiPriority w:val="99"/>
    <w:unhideWhenUsed/>
    <w:rsid w:val="007A7F7E"/>
    <w:pPr>
      <w:spacing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7A7F7E"/>
    <w:rPr>
      <w:rFonts w:ascii="Calibri" w:eastAsia="Calibri" w:hAnsi="Calibri"/>
      <w:kern w:val="0"/>
      <w:szCs w:val="21"/>
      <w:lang w:val="fr-FR"/>
      <w14:ligatures w14:val="none"/>
    </w:rPr>
  </w:style>
  <w:style w:type="character" w:customStyle="1" w:styleId="dttext">
    <w:name w:val="dttext"/>
    <w:basedOn w:val="DefaultParagraphFont"/>
    <w:rsid w:val="007A7F7E"/>
  </w:style>
  <w:style w:type="character" w:customStyle="1" w:styleId="author-sup-separator">
    <w:name w:val="author-sup-separator"/>
    <w:basedOn w:val="DefaultParagraphFont"/>
    <w:rsid w:val="007A7F7E"/>
  </w:style>
  <w:style w:type="character" w:customStyle="1" w:styleId="UnresolvedMention1">
    <w:name w:val="Unresolved Mention1"/>
    <w:basedOn w:val="DefaultParagraphFont"/>
    <w:uiPriority w:val="99"/>
    <w:unhideWhenUsed/>
    <w:rsid w:val="007A7F7E"/>
    <w:rPr>
      <w:color w:val="605E5C"/>
      <w:shd w:val="clear" w:color="auto" w:fill="E1DFDD"/>
    </w:rPr>
  </w:style>
  <w:style w:type="character" w:customStyle="1" w:styleId="period">
    <w:name w:val="period"/>
    <w:basedOn w:val="DefaultParagraphFont"/>
    <w:rsid w:val="007A7F7E"/>
  </w:style>
  <w:style w:type="character" w:customStyle="1" w:styleId="cit">
    <w:name w:val="cit"/>
    <w:basedOn w:val="DefaultParagraphFont"/>
    <w:rsid w:val="007A7F7E"/>
  </w:style>
  <w:style w:type="character" w:customStyle="1" w:styleId="citation-doi">
    <w:name w:val="citation-doi"/>
    <w:basedOn w:val="DefaultParagraphFont"/>
    <w:rsid w:val="007A7F7E"/>
  </w:style>
  <w:style w:type="character" w:customStyle="1" w:styleId="Title1">
    <w:name w:val="Title1"/>
    <w:basedOn w:val="DefaultParagraphFont"/>
    <w:rsid w:val="007A7F7E"/>
  </w:style>
  <w:style w:type="character" w:customStyle="1" w:styleId="identifier">
    <w:name w:val="identifier"/>
    <w:basedOn w:val="DefaultParagraphFont"/>
    <w:rsid w:val="007A7F7E"/>
  </w:style>
  <w:style w:type="character" w:customStyle="1" w:styleId="id-label">
    <w:name w:val="id-label"/>
    <w:basedOn w:val="DefaultParagraphFont"/>
    <w:rsid w:val="007A7F7E"/>
  </w:style>
  <w:style w:type="character" w:styleId="Strong">
    <w:name w:val="Strong"/>
    <w:basedOn w:val="DefaultParagraphFont"/>
    <w:qFormat/>
    <w:rsid w:val="007A7F7E"/>
    <w:rPr>
      <w:b/>
      <w:bCs/>
    </w:rPr>
  </w:style>
  <w:style w:type="character" w:customStyle="1" w:styleId="free-label">
    <w:name w:val="free-label"/>
    <w:basedOn w:val="DefaultParagraphFont"/>
    <w:rsid w:val="007A7F7E"/>
  </w:style>
  <w:style w:type="character" w:customStyle="1" w:styleId="docsum-authors">
    <w:name w:val="docsum-authors"/>
    <w:basedOn w:val="DefaultParagraphFont"/>
    <w:rsid w:val="007A7F7E"/>
  </w:style>
  <w:style w:type="character" w:customStyle="1" w:styleId="docsum-journal-citation">
    <w:name w:val="docsum-journal-citation"/>
    <w:basedOn w:val="DefaultParagraphFont"/>
    <w:rsid w:val="007A7F7E"/>
  </w:style>
  <w:style w:type="character" w:customStyle="1" w:styleId="UnresolvedMention2">
    <w:name w:val="Unresolved Mention2"/>
    <w:basedOn w:val="DefaultParagraphFont"/>
    <w:uiPriority w:val="99"/>
    <w:semiHidden/>
    <w:unhideWhenUsed/>
    <w:rsid w:val="007A7F7E"/>
    <w:rPr>
      <w:color w:val="605E5C"/>
      <w:shd w:val="clear" w:color="auto" w:fill="E1DFDD"/>
    </w:rPr>
  </w:style>
  <w:style w:type="character" w:customStyle="1" w:styleId="cf11">
    <w:name w:val="cf11"/>
    <w:basedOn w:val="DefaultParagraphFont"/>
    <w:rsid w:val="007A7F7E"/>
    <w:rPr>
      <w:rFonts w:ascii="Segoe UI" w:hAnsi="Segoe UI" w:cs="Segoe UI" w:hint="default"/>
      <w:sz w:val="18"/>
      <w:szCs w:val="18"/>
    </w:rPr>
  </w:style>
  <w:style w:type="character" w:customStyle="1" w:styleId="ti">
    <w:name w:val="ti"/>
    <w:basedOn w:val="DefaultParagraphFont"/>
    <w:rsid w:val="007A7F7E"/>
  </w:style>
  <w:style w:type="character" w:customStyle="1" w:styleId="linkbar">
    <w:name w:val="linkbar"/>
    <w:basedOn w:val="DefaultParagraphFont"/>
    <w:rsid w:val="007A7F7E"/>
  </w:style>
  <w:style w:type="paragraph" w:customStyle="1" w:styleId="Normln">
    <w:name w:val="Norm?ln?"/>
    <w:rsid w:val="007A7F7E"/>
    <w:pPr>
      <w:spacing w:after="0" w:line="240" w:lineRule="auto"/>
    </w:pPr>
    <w:rPr>
      <w:rFonts w:ascii="Times New Roman" w:hAnsi="Times New Roman" w:cs="Times New Roman"/>
      <w:kern w:val="0"/>
      <w:sz w:val="20"/>
      <w:szCs w:val="20"/>
      <w:lang w:val="cs-CZ" w:eastAsia="cs-CZ"/>
      <w14:ligatures w14:val="none"/>
    </w:rPr>
  </w:style>
  <w:style w:type="character" w:customStyle="1" w:styleId="st">
    <w:name w:val="st"/>
    <w:rsid w:val="007A7F7E"/>
  </w:style>
  <w:style w:type="paragraph" w:customStyle="1" w:styleId="Normln0">
    <w:name w:val="Norm‡ln’"/>
    <w:rsid w:val="007A7F7E"/>
    <w:pPr>
      <w:spacing w:after="0" w:line="240" w:lineRule="auto"/>
    </w:pPr>
    <w:rPr>
      <w:rFonts w:ascii="Times New Roman" w:hAnsi="Times New Roman" w:cs="Times New Roman"/>
      <w:kern w:val="0"/>
      <w:sz w:val="20"/>
      <w:szCs w:val="20"/>
      <w:lang w:val="cs-CZ" w:eastAsia="cs-CZ"/>
      <w14:ligatures w14:val="none"/>
    </w:rPr>
  </w:style>
  <w:style w:type="paragraph" w:customStyle="1" w:styleId="Standard">
    <w:name w:val="Standard"/>
    <w:rsid w:val="007A7F7E"/>
    <w:pPr>
      <w:spacing w:after="0" w:line="240" w:lineRule="auto"/>
    </w:pPr>
    <w:rPr>
      <w:rFonts w:ascii="Arial" w:hAnsi="Arial" w:cs="Times New Roman"/>
      <w:kern w:val="0"/>
      <w:szCs w:val="20"/>
      <w:lang w:val="de-DE" w:eastAsia="cs-CZ"/>
      <w14:ligatures w14:val="none"/>
    </w:rPr>
  </w:style>
  <w:style w:type="paragraph" w:customStyle="1" w:styleId="EndNoteBibliographyTitle">
    <w:name w:val="EndNote Bibliography Title"/>
    <w:basedOn w:val="Normal"/>
    <w:link w:val="EndNoteBibliographyTitleChar"/>
    <w:rsid w:val="007A7F7E"/>
    <w:pPr>
      <w:spacing w:after="0"/>
      <w:jc w:val="center"/>
    </w:pPr>
    <w:rPr>
      <w:rFonts w:ascii="Arial" w:hAnsi="Arial" w:cs="Arial"/>
      <w:sz w:val="18"/>
      <w:szCs w:val="18"/>
      <w:lang w:val="en-US" w:eastAsia="fr-FR"/>
    </w:rPr>
  </w:style>
  <w:style w:type="character" w:customStyle="1" w:styleId="EndNoteBibliographyTitleChar">
    <w:name w:val="EndNote Bibliography Title Char"/>
    <w:basedOn w:val="paraACar0"/>
    <w:link w:val="EndNoteBibliographyTitle"/>
    <w:rsid w:val="007A7F7E"/>
    <w:rPr>
      <w:rFonts w:ascii="Arial" w:eastAsiaTheme="minorHAnsi" w:hAnsi="Arial" w:cs="Arial"/>
      <w:kern w:val="0"/>
      <w:sz w:val="18"/>
      <w:szCs w:val="18"/>
      <w:lang w:val="en-US" w:eastAsia="fr-FR"/>
      <w14:ligatures w14:val="none"/>
    </w:rPr>
  </w:style>
  <w:style w:type="paragraph" w:customStyle="1" w:styleId="EndNoteBibliography">
    <w:name w:val="EndNote Bibliography"/>
    <w:basedOn w:val="Normal"/>
    <w:link w:val="EndNoteBibliographyChar"/>
    <w:rsid w:val="007A7F7E"/>
    <w:pPr>
      <w:spacing w:line="240" w:lineRule="auto"/>
      <w:jc w:val="center"/>
    </w:pPr>
    <w:rPr>
      <w:rFonts w:ascii="Arial" w:hAnsi="Arial" w:cs="Arial"/>
      <w:sz w:val="18"/>
      <w:szCs w:val="18"/>
      <w:lang w:val="en-US" w:eastAsia="fr-FR"/>
    </w:rPr>
  </w:style>
  <w:style w:type="character" w:customStyle="1" w:styleId="EndNoteBibliographyChar">
    <w:name w:val="EndNote Bibliography Char"/>
    <w:basedOn w:val="paraACar0"/>
    <w:link w:val="EndNoteBibliography"/>
    <w:rsid w:val="007A7F7E"/>
    <w:rPr>
      <w:rFonts w:ascii="Arial" w:eastAsiaTheme="minorHAnsi" w:hAnsi="Arial" w:cs="Arial"/>
      <w:kern w:val="0"/>
      <w:sz w:val="18"/>
      <w:szCs w:val="18"/>
      <w:lang w:val="en-US" w:eastAsia="fr-FR"/>
      <w14:ligatures w14:val="none"/>
    </w:rPr>
  </w:style>
  <w:style w:type="character" w:customStyle="1" w:styleId="title-text">
    <w:name w:val="title-text"/>
    <w:basedOn w:val="DefaultParagraphFont"/>
    <w:rsid w:val="007A7F7E"/>
  </w:style>
  <w:style w:type="paragraph" w:customStyle="1" w:styleId="notebaspage">
    <w:name w:val="note bas page"/>
    <w:basedOn w:val="para1"/>
    <w:rsid w:val="007A7F7E"/>
    <w:pPr>
      <w:spacing w:after="0"/>
      <w:ind w:left="425" w:hanging="425"/>
    </w:pPr>
    <w:rPr>
      <w:rFonts w:cs="Times New Roman"/>
      <w:sz w:val="16"/>
      <w:szCs w:val="20"/>
    </w:rPr>
  </w:style>
  <w:style w:type="paragraph" w:styleId="EndnoteText">
    <w:name w:val="endnote text"/>
    <w:basedOn w:val="Normal"/>
    <w:link w:val="EndnoteTextChar"/>
    <w:uiPriority w:val="99"/>
    <w:semiHidden/>
    <w:rsid w:val="007A7F7E"/>
  </w:style>
  <w:style w:type="character" w:customStyle="1" w:styleId="EndnoteTextChar">
    <w:name w:val="Endnote Text Char"/>
    <w:basedOn w:val="DefaultParagraphFont"/>
    <w:link w:val="EndnoteText"/>
    <w:uiPriority w:val="99"/>
    <w:semiHidden/>
    <w:rsid w:val="007A7F7E"/>
    <w:rPr>
      <w:rFonts w:eastAsiaTheme="minorHAnsi"/>
      <w:kern w:val="0"/>
      <w:lang w:val="fr-FR"/>
      <w14:ligatures w14:val="none"/>
    </w:rPr>
  </w:style>
  <w:style w:type="character" w:styleId="EndnoteReference">
    <w:name w:val="endnote reference"/>
    <w:semiHidden/>
    <w:rsid w:val="007A7F7E"/>
    <w:rPr>
      <w:vertAlign w:val="superscript"/>
    </w:rPr>
  </w:style>
  <w:style w:type="paragraph" w:customStyle="1" w:styleId="paraa2">
    <w:name w:val="paraa"/>
    <w:basedOn w:val="Normal"/>
    <w:rsid w:val="007A7F7E"/>
    <w:pPr>
      <w:spacing w:before="100" w:beforeAutospacing="1" w:after="100" w:afterAutospacing="1" w:line="240" w:lineRule="auto"/>
    </w:pPr>
    <w:rPr>
      <w:lang w:val="en-US"/>
    </w:rPr>
  </w:style>
  <w:style w:type="paragraph" w:customStyle="1" w:styleId="Sectiontitle">
    <w:name w:val="Section_title"/>
    <w:basedOn w:val="Normal"/>
    <w:uiPriority w:val="99"/>
    <w:rsid w:val="007A7F7E"/>
    <w:pPr>
      <w:pBdr>
        <w:bottom w:val="single" w:sz="6" w:space="10" w:color="auto"/>
      </w:pBdr>
      <w:spacing w:after="480" w:line="240" w:lineRule="auto"/>
      <w:jc w:val="center"/>
    </w:pPr>
    <w:rPr>
      <w:rFonts w:ascii="Söhne Halbfett" w:hAnsi="Söhne Halbfett" w:cs="Ottawa"/>
      <w:bCs/>
      <w:caps/>
      <w:spacing w:val="40"/>
      <w:sz w:val="32"/>
      <w:szCs w:val="32"/>
    </w:rPr>
  </w:style>
  <w:style w:type="paragraph" w:customStyle="1" w:styleId="SectionNo">
    <w:name w:val="Section_No."/>
    <w:basedOn w:val="TITRE"/>
    <w:rsid w:val="007A7F7E"/>
    <w:rPr>
      <w:rFonts w:ascii="Ottawa" w:hAnsi="Ottawa"/>
      <w:b w:val="0"/>
      <w:bCs w:val="0"/>
      <w:spacing w:val="60"/>
    </w:rPr>
  </w:style>
  <w:style w:type="numbering" w:customStyle="1" w:styleId="Estilo1">
    <w:name w:val="Estilo1"/>
    <w:uiPriority w:val="99"/>
    <w:rsid w:val="007A7F7E"/>
    <w:pPr>
      <w:numPr>
        <w:numId w:val="2"/>
      </w:numPr>
    </w:pPr>
  </w:style>
  <w:style w:type="character" w:customStyle="1" w:styleId="shorttext">
    <w:name w:val="short_text"/>
    <w:basedOn w:val="DefaultParagraphFont"/>
    <w:rsid w:val="007A7F7E"/>
  </w:style>
  <w:style w:type="paragraph" w:styleId="NoSpacing">
    <w:name w:val="No Spacing"/>
    <w:uiPriority w:val="1"/>
    <w:qFormat/>
    <w:rsid w:val="007A7F7E"/>
    <w:pPr>
      <w:spacing w:after="0" w:line="240" w:lineRule="auto"/>
    </w:pPr>
    <w:rPr>
      <w:rFonts w:eastAsiaTheme="minorHAnsi"/>
      <w:lang w:val="en-US"/>
    </w:rPr>
  </w:style>
  <w:style w:type="paragraph" w:customStyle="1" w:styleId="Style10ptAllcapsCentered">
    <w:name w:val="Style 10 pt All caps Centered"/>
    <w:basedOn w:val="Normal"/>
    <w:uiPriority w:val="99"/>
    <w:rsid w:val="007A7F7E"/>
    <w:pPr>
      <w:spacing w:before="240" w:after="120" w:line="240" w:lineRule="auto"/>
      <w:jc w:val="center"/>
    </w:pPr>
    <w:rPr>
      <w:rFonts w:ascii="Verdana" w:hAnsi="Verdana"/>
      <w:caps/>
    </w:rPr>
  </w:style>
  <w:style w:type="paragraph" w:styleId="BodyTextIndent">
    <w:name w:val="Body Text Indent"/>
    <w:basedOn w:val="Normal"/>
    <w:link w:val="BodyTextIndentChar"/>
    <w:rsid w:val="007A7F7E"/>
    <w:pPr>
      <w:tabs>
        <w:tab w:val="left" w:pos="-1440"/>
        <w:tab w:val="left" w:pos="1152"/>
        <w:tab w:val="left" w:pos="1440"/>
      </w:tabs>
      <w:suppressAutoHyphens/>
      <w:spacing w:line="240" w:lineRule="auto"/>
      <w:ind w:left="1152" w:hanging="1152"/>
    </w:pPr>
    <w:rPr>
      <w:spacing w:val="-3"/>
      <w:sz w:val="24"/>
      <w:lang w:val="en-US" w:eastAsia="en-AU"/>
    </w:rPr>
  </w:style>
  <w:style w:type="character" w:customStyle="1" w:styleId="BodyTextIndentChar">
    <w:name w:val="Body Text Indent Char"/>
    <w:basedOn w:val="DefaultParagraphFont"/>
    <w:link w:val="BodyTextIndent"/>
    <w:rsid w:val="007A7F7E"/>
    <w:rPr>
      <w:rFonts w:eastAsiaTheme="minorHAnsi"/>
      <w:spacing w:val="-3"/>
      <w:kern w:val="0"/>
      <w:sz w:val="24"/>
      <w:lang w:val="en-US" w:eastAsia="en-AU"/>
      <w14:ligatures w14:val="none"/>
    </w:rPr>
  </w:style>
  <w:style w:type="paragraph" w:customStyle="1" w:styleId="dotsevenlevellist">
    <w:name w:val="dot_seven_level_list"/>
    <w:basedOn w:val="ififthlevellist"/>
    <w:qFormat/>
    <w:rsid w:val="007A7F7E"/>
    <w:pPr>
      <w:ind w:left="2693"/>
    </w:pPr>
  </w:style>
  <w:style w:type="paragraph" w:customStyle="1" w:styleId="doteightlevellist">
    <w:name w:val="dot_eight_level_list"/>
    <w:basedOn w:val="dotsevenlevellist"/>
    <w:qFormat/>
    <w:rsid w:val="007A7F7E"/>
    <w:pPr>
      <w:ind w:left="3118"/>
    </w:pPr>
  </w:style>
  <w:style w:type="paragraph" w:customStyle="1" w:styleId="Summary">
    <w:name w:val="Summary"/>
    <w:basedOn w:val="Normal"/>
    <w:rsid w:val="007A7F7E"/>
    <w:pPr>
      <w:spacing w:after="240" w:line="360" w:lineRule="atLeast"/>
      <w:jc w:val="center"/>
    </w:pPr>
    <w:rPr>
      <w:rFonts w:ascii="Times New Roman" w:eastAsia="Times New Roman" w:hAnsi="Times New Roman" w:cs="Times New Roman"/>
      <w:b/>
      <w:bCs/>
      <w:caps/>
      <w:sz w:val="20"/>
      <w:szCs w:val="20"/>
      <w:lang w:val="en-GB" w:eastAsia="fr-FR"/>
    </w:rPr>
  </w:style>
  <w:style w:type="paragraph" w:customStyle="1" w:styleId="Style1">
    <w:name w:val="Style1"/>
    <w:basedOn w:val="Ref"/>
    <w:rsid w:val="007A7F7E"/>
    <w:pPr>
      <w:numPr>
        <w:numId w:val="3"/>
      </w:numPr>
    </w:pPr>
    <w:rPr>
      <w:rFonts w:eastAsia="Times New Roman" w:cs="Times New Roman"/>
      <w:smallCaps/>
      <w:lang w:val="en-GB" w:eastAsia="fr-FR"/>
    </w:rPr>
  </w:style>
  <w:style w:type="character" w:customStyle="1" w:styleId="RefCar">
    <w:name w:val="Ref. Car"/>
    <w:link w:val="Ref"/>
    <w:rsid w:val="007A7F7E"/>
    <w:rPr>
      <w:rFonts w:ascii="Söhne" w:eastAsiaTheme="minorHAnsi" w:hAnsi="Söhne" w:cs="Arial"/>
      <w:kern w:val="0"/>
      <w:sz w:val="18"/>
      <w:szCs w:val="18"/>
      <w:lang w:val="fr-FR"/>
      <w14:ligatures w14:val="none"/>
    </w:rPr>
  </w:style>
  <w:style w:type="paragraph" w:customStyle="1" w:styleId="authlist">
    <w:name w:val="auth_list"/>
    <w:basedOn w:val="Normal"/>
    <w:rsid w:val="007A7F7E"/>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7A7F7E"/>
  </w:style>
  <w:style w:type="character" w:customStyle="1" w:styleId="Mentionnonrsolue1">
    <w:name w:val="Mention non résolue1"/>
    <w:basedOn w:val="DefaultParagraphFont"/>
    <w:uiPriority w:val="99"/>
    <w:semiHidden/>
    <w:unhideWhenUsed/>
    <w:rsid w:val="007A7F7E"/>
    <w:rPr>
      <w:color w:val="605E5C"/>
      <w:shd w:val="clear" w:color="auto" w:fill="E1DFDD"/>
    </w:rPr>
  </w:style>
  <w:style w:type="character" w:customStyle="1" w:styleId="react-xocs-alternative-link">
    <w:name w:val="react-xocs-alternative-link"/>
    <w:basedOn w:val="DefaultParagraphFont"/>
    <w:rsid w:val="007A7F7E"/>
  </w:style>
  <w:style w:type="character" w:customStyle="1" w:styleId="given-name">
    <w:name w:val="given-name"/>
    <w:basedOn w:val="DefaultParagraphFont"/>
    <w:rsid w:val="007A7F7E"/>
  </w:style>
  <w:style w:type="character" w:customStyle="1" w:styleId="text">
    <w:name w:val="text"/>
    <w:basedOn w:val="DefaultParagraphFont"/>
    <w:rsid w:val="007A7F7E"/>
  </w:style>
  <w:style w:type="character" w:customStyle="1" w:styleId="author-ref">
    <w:name w:val="author-ref"/>
    <w:basedOn w:val="DefaultParagraphFont"/>
    <w:rsid w:val="007A7F7E"/>
  </w:style>
  <w:style w:type="character" w:customStyle="1" w:styleId="button-link-text">
    <w:name w:val="button-link-text"/>
    <w:basedOn w:val="DefaultParagraphFont"/>
    <w:rsid w:val="007A7F7E"/>
  </w:style>
  <w:style w:type="paragraph" w:customStyle="1" w:styleId="CenterJustifiedTitle">
    <w:name w:val="Center Justified Title"/>
    <w:basedOn w:val="Normal"/>
    <w:link w:val="CenterJustifiedTitleChar"/>
    <w:rsid w:val="007A7F7E"/>
    <w:pPr>
      <w:spacing w:line="240" w:lineRule="auto"/>
      <w:jc w:val="center"/>
    </w:pPr>
    <w:rPr>
      <w:rFonts w:ascii="Arial" w:hAnsi="Arial"/>
      <w:b/>
      <w:sz w:val="28"/>
    </w:rPr>
  </w:style>
  <w:style w:type="character" w:customStyle="1" w:styleId="CenterJustifiedTitleChar">
    <w:name w:val="Center Justified Title Char"/>
    <w:link w:val="CenterJustifiedTitle"/>
    <w:rsid w:val="007A7F7E"/>
    <w:rPr>
      <w:rFonts w:ascii="Arial" w:eastAsiaTheme="minorHAnsi" w:hAnsi="Arial"/>
      <w:b/>
      <w:kern w:val="0"/>
      <w:sz w:val="28"/>
      <w:lang w:val="fr-FR"/>
      <w14:ligatures w14:val="none"/>
    </w:rPr>
  </w:style>
  <w:style w:type="character" w:customStyle="1" w:styleId="rwrro">
    <w:name w:val="rwrro"/>
    <w:basedOn w:val="DefaultParagraphFont"/>
    <w:rsid w:val="007A7F7E"/>
  </w:style>
  <w:style w:type="paragraph" w:customStyle="1" w:styleId="desc2">
    <w:name w:val="desc2"/>
    <w:basedOn w:val="Normal"/>
    <w:rsid w:val="007A7F7E"/>
    <w:pPr>
      <w:spacing w:line="240" w:lineRule="auto"/>
    </w:pPr>
    <w:rPr>
      <w:sz w:val="26"/>
      <w:szCs w:val="26"/>
      <w:lang w:val="en-IE" w:eastAsia="en-IE"/>
    </w:rPr>
  </w:style>
  <w:style w:type="table" w:customStyle="1" w:styleId="MDPI41threelinetable">
    <w:name w:val="MDPI_4.1_three_line_table"/>
    <w:basedOn w:val="TableNormal"/>
    <w:uiPriority w:val="99"/>
    <w:rsid w:val="007A7F7E"/>
    <w:pPr>
      <w:adjustRightInd w:val="0"/>
      <w:snapToGrid w:val="0"/>
      <w:spacing w:after="0" w:line="240" w:lineRule="auto"/>
      <w:jc w:val="center"/>
    </w:pPr>
    <w:rPr>
      <w:rFonts w:ascii="Palatino Linotype"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styleId="HTMLPreformatted">
    <w:name w:val="HTML Preformatted"/>
    <w:basedOn w:val="Normal"/>
    <w:link w:val="HTMLPreformattedChar"/>
    <w:unhideWhenUsed/>
    <w:rsid w:val="007A7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7A7F7E"/>
    <w:rPr>
      <w:rFonts w:ascii="Courier New" w:hAnsi="Courier New" w:cs="Courier New"/>
      <w:kern w:val="0"/>
      <w:sz w:val="20"/>
      <w:szCs w:val="20"/>
      <w:lang w:eastAsia="en-GB"/>
      <w14:ligatures w14:val="none"/>
    </w:rPr>
  </w:style>
  <w:style w:type="paragraph" w:customStyle="1" w:styleId="citation">
    <w:name w:val="citation"/>
    <w:basedOn w:val="Normal"/>
    <w:rsid w:val="007A7F7E"/>
    <w:pPr>
      <w:spacing w:before="100" w:beforeAutospacing="1" w:after="100" w:afterAutospacing="1" w:line="240" w:lineRule="auto"/>
    </w:pPr>
    <w:rPr>
      <w:sz w:val="24"/>
      <w:szCs w:val="24"/>
      <w:lang w:eastAsia="en-GB"/>
    </w:rPr>
  </w:style>
  <w:style w:type="paragraph" w:customStyle="1" w:styleId="paragraph">
    <w:name w:val="paragraph"/>
    <w:basedOn w:val="Normal"/>
    <w:rsid w:val="007A7F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A7F7E"/>
  </w:style>
  <w:style w:type="character" w:customStyle="1" w:styleId="eop">
    <w:name w:val="eop"/>
    <w:basedOn w:val="DefaultParagraphFont"/>
    <w:rsid w:val="007A7F7E"/>
  </w:style>
  <w:style w:type="character" w:customStyle="1" w:styleId="tabchar">
    <w:name w:val="tabchar"/>
    <w:basedOn w:val="DefaultParagraphFont"/>
    <w:rsid w:val="007A7F7E"/>
  </w:style>
  <w:style w:type="character" w:customStyle="1" w:styleId="cf21">
    <w:name w:val="cf21"/>
    <w:basedOn w:val="DefaultParagraphFont"/>
    <w:rsid w:val="007A7F7E"/>
    <w:rPr>
      <w:rFonts w:ascii="Segoe UI" w:hAnsi="Segoe UI" w:cs="Segoe UI" w:hint="default"/>
      <w:b/>
      <w:bCs/>
      <w:sz w:val="18"/>
      <w:szCs w:val="18"/>
      <w:shd w:val="clear" w:color="auto" w:fill="FFFFFF"/>
    </w:rPr>
  </w:style>
  <w:style w:type="character" w:customStyle="1" w:styleId="cf31">
    <w:name w:val="cf31"/>
    <w:basedOn w:val="DefaultParagraphFont"/>
    <w:rsid w:val="007A7F7E"/>
    <w:rPr>
      <w:rFonts w:ascii="Segoe UI" w:hAnsi="Segoe UI" w:cs="Segoe UI" w:hint="default"/>
      <w:sz w:val="18"/>
      <w:szCs w:val="18"/>
    </w:rPr>
  </w:style>
  <w:style w:type="character" w:customStyle="1" w:styleId="aChar">
    <w:name w:val="a) Char"/>
    <w:rsid w:val="007A7F7E"/>
    <w:rPr>
      <w:rFonts w:ascii="Ottawa" w:hAnsi="Ottawa"/>
      <w:b/>
      <w:lang w:val="en-GB" w:eastAsia="fr-FR"/>
    </w:rPr>
  </w:style>
  <w:style w:type="paragraph" w:customStyle="1" w:styleId="CharCharCharCharCharCarCharCharCarcterCarCarcterCharCharCar">
    <w:name w:val="Char Char Char Char Char Car Char Char Carácter Car Carácter Char Char Car"/>
    <w:basedOn w:val="Normal"/>
    <w:rsid w:val="007A7F7E"/>
    <w:pPr>
      <w:spacing w:line="240" w:lineRule="auto"/>
    </w:pPr>
    <w:rPr>
      <w:kern w:val="2"/>
      <w:sz w:val="24"/>
      <w:szCs w:val="24"/>
      <w:lang w:val="pl-PL" w:eastAsia="pl-PL"/>
      <w14:ligatures w14:val="standardContextual"/>
    </w:rPr>
  </w:style>
  <w:style w:type="paragraph" w:customStyle="1" w:styleId="111ilist">
    <w:name w:val="1.1.1i_list"/>
    <w:basedOn w:val="11ilist"/>
    <w:qFormat/>
    <w:rsid w:val="007A7F7E"/>
    <w:pPr>
      <w:tabs>
        <w:tab w:val="clear" w:pos="851"/>
      </w:tabs>
      <w:ind w:left="1843"/>
    </w:pPr>
    <w:rPr>
      <w:kern w:val="2"/>
      <w14:ligatures w14:val="standardContextual"/>
    </w:rPr>
  </w:style>
  <w:style w:type="paragraph" w:customStyle="1" w:styleId="ififthlist">
    <w:name w:val="i_fifth_list"/>
    <w:basedOn w:val="ififthpara"/>
    <w:qFormat/>
    <w:rsid w:val="007A7F7E"/>
    <w:pPr>
      <w:spacing w:after="120"/>
      <w:ind w:left="2693" w:hanging="425"/>
    </w:pPr>
    <w:rPr>
      <w:kern w:val="2"/>
      <w14:ligatures w14:val="standardContextual"/>
    </w:rPr>
  </w:style>
  <w:style w:type="paragraph" w:customStyle="1" w:styleId="StylePlainTextLatinArial9ptItalic">
    <w:name w:val="Style Plain Text + (Latin) Arial 9 pt Italic"/>
    <w:basedOn w:val="PlainText"/>
    <w:rsid w:val="007A7F7E"/>
    <w:rPr>
      <w:rFonts w:ascii="Söhne" w:eastAsiaTheme="minorHAnsi" w:hAnsi="Söhne" w:cs="Calibri"/>
      <w:i/>
      <w:iCs/>
      <w:kern w:val="2"/>
      <w:sz w:val="18"/>
      <w:szCs w:val="22"/>
      <w14:ligatures w14:val="standardContextual"/>
    </w:rPr>
  </w:style>
  <w:style w:type="paragraph" w:customStyle="1" w:styleId="isixthlevellist">
    <w:name w:val="i_sixth_level_list"/>
    <w:basedOn w:val="ififthlevellist"/>
    <w:qFormat/>
    <w:rsid w:val="007A7F7E"/>
    <w:pPr>
      <w:ind w:left="2693"/>
    </w:pPr>
    <w:rPr>
      <w:rFonts w:eastAsiaTheme="minorHAnsi"/>
      <w:kern w:val="2"/>
      <w14:ligatures w14:val="standardContextual"/>
    </w:rPr>
  </w:style>
  <w:style w:type="paragraph" w:customStyle="1" w:styleId="MDPI71References">
    <w:name w:val="MDPI_7.1_References"/>
    <w:qFormat/>
    <w:rsid w:val="007A7F7E"/>
    <w:pPr>
      <w:numPr>
        <w:numId w:val="4"/>
      </w:numPr>
      <w:adjustRightInd w:val="0"/>
      <w:snapToGrid w:val="0"/>
      <w:spacing w:after="0" w:line="228" w:lineRule="auto"/>
      <w:jc w:val="both"/>
    </w:pPr>
    <w:rPr>
      <w:rFonts w:ascii="Palatino Linotype" w:hAnsi="Palatino Linotype" w:cs="Times New Roman"/>
      <w:color w:val="000000"/>
      <w:kern w:val="0"/>
      <w:sz w:val="18"/>
      <w:szCs w:val="20"/>
      <w:lang w:val="en-US" w:eastAsia="de-DE" w:bidi="en-US"/>
      <w14:ligatures w14:val="none"/>
    </w:rPr>
  </w:style>
  <w:style w:type="paragraph" w:customStyle="1" w:styleId="afourthparai">
    <w:name w:val="a)_fourth_para_i"/>
    <w:basedOn w:val="afourthpara"/>
    <w:qFormat/>
    <w:rsid w:val="007A7F7E"/>
    <w:pPr>
      <w:spacing w:after="120"/>
      <w:ind w:left="2268" w:hanging="425"/>
    </w:pPr>
    <w:rPr>
      <w:kern w:val="2"/>
      <w:u w:val="double"/>
      <w14:ligatures w14:val="standardContextual"/>
    </w:rPr>
  </w:style>
  <w:style w:type="paragraph" w:customStyle="1" w:styleId="isixthlevelpara">
    <w:name w:val="i_sixth_level_para"/>
    <w:basedOn w:val="ififthpara"/>
    <w:qFormat/>
    <w:rsid w:val="007A7F7E"/>
    <w:pPr>
      <w:ind w:left="2268"/>
    </w:pPr>
    <w:rPr>
      <w:kern w:val="2"/>
      <w14:ligatures w14:val="standardContextual"/>
    </w:rPr>
  </w:style>
  <w:style w:type="paragraph" w:customStyle="1" w:styleId="iseventhlevelpara">
    <w:name w:val="i_seventh_level_para"/>
    <w:basedOn w:val="Normal"/>
    <w:qFormat/>
    <w:rsid w:val="007A7F7E"/>
    <w:pPr>
      <w:spacing w:after="240" w:line="240" w:lineRule="auto"/>
      <w:ind w:left="2552"/>
      <w:jc w:val="both"/>
    </w:pPr>
    <w:rPr>
      <w:rFonts w:ascii="Söhne" w:hAnsi="Söhne"/>
      <w:kern w:val="2"/>
      <w:sz w:val="18"/>
      <w:szCs w:val="18"/>
      <w:u w:val="double"/>
      <w:lang w:val="en-IE"/>
      <w14:ligatures w14:val="standardContextual"/>
    </w:rPr>
  </w:style>
  <w:style w:type="character" w:customStyle="1" w:styleId="maintitle">
    <w:name w:val="maintitle"/>
    <w:basedOn w:val="DefaultParagraphFont"/>
    <w:rsid w:val="007A7F7E"/>
  </w:style>
  <w:style w:type="character" w:customStyle="1" w:styleId="anchor-text">
    <w:name w:val="anchor-text"/>
    <w:basedOn w:val="DefaultParagraphFont"/>
    <w:rsid w:val="007A7F7E"/>
  </w:style>
  <w:style w:type="character" w:customStyle="1" w:styleId="secondary-date">
    <w:name w:val="secondary-date"/>
    <w:basedOn w:val="DefaultParagraphFont"/>
    <w:rsid w:val="007A7F7E"/>
  </w:style>
  <w:style w:type="character" w:customStyle="1" w:styleId="sumtexteChar">
    <w:name w:val="sumtexte Char"/>
    <w:basedOn w:val="DefaultParagraphFont"/>
    <w:link w:val="sumtexte"/>
    <w:rsid w:val="007A7F7E"/>
    <w:rPr>
      <w:rFonts w:ascii="Söhne" w:hAnsi="Söhne" w:cs="Arial"/>
      <w:i/>
      <w:iCs/>
      <w:kern w:val="0"/>
      <w:sz w:val="18"/>
      <w:szCs w:val="18"/>
      <w:lang w:eastAsia="fr-FR"/>
      <w14:ligatures w14:val="none"/>
    </w:rPr>
  </w:style>
  <w:style w:type="character" w:customStyle="1" w:styleId="EndNoteBibliographyTitleZchn">
    <w:name w:val="EndNote Bibliography Title Zchn"/>
    <w:basedOn w:val="paraACar0"/>
    <w:rsid w:val="007A7F7E"/>
    <w:rPr>
      <w:rFonts w:ascii="Arial" w:hAnsi="Arial" w:cs="Arial"/>
      <w:noProof/>
      <w:kern w:val="0"/>
      <w:sz w:val="18"/>
      <w:szCs w:val="18"/>
      <w:lang w:val="fr-FR" w:eastAsia="fr-FR"/>
      <w14:ligatures w14:val="none"/>
    </w:rPr>
  </w:style>
  <w:style w:type="character" w:customStyle="1" w:styleId="EndNoteBibliographyZchn">
    <w:name w:val="EndNote Bibliography Zchn"/>
    <w:basedOn w:val="paraACar0"/>
    <w:rsid w:val="007A7F7E"/>
    <w:rPr>
      <w:rFonts w:ascii="Arial" w:hAnsi="Arial" w:cs="Arial"/>
      <w:noProof/>
      <w:kern w:val="0"/>
      <w:sz w:val="18"/>
      <w:szCs w:val="18"/>
      <w:lang w:val="fr-FR" w:eastAsia="fr-FR"/>
      <w14:ligatures w14:val="none"/>
    </w:rPr>
  </w:style>
  <w:style w:type="paragraph" w:customStyle="1" w:styleId="m-7119382268076931783msolistparagraph">
    <w:name w:val="m_-7119382268076931783msolistparagraph"/>
    <w:basedOn w:val="Normal"/>
    <w:rsid w:val="007A7F7E"/>
    <w:pPr>
      <w:spacing w:before="100" w:beforeAutospacing="1" w:after="100" w:afterAutospacing="1" w:line="240" w:lineRule="auto"/>
    </w:pPr>
    <w:rPr>
      <w:rFonts w:ascii="Calibri" w:hAnsi="Calibri" w:cs="Calibri"/>
      <w:lang w:val="de-DE" w:eastAsia="de-DE"/>
    </w:rPr>
  </w:style>
  <w:style w:type="paragraph" w:customStyle="1" w:styleId="WOAHNormal">
    <w:name w:val="WOAH Normal"/>
    <w:basedOn w:val="Normal"/>
    <w:qFormat/>
    <w:rsid w:val="007A7F7E"/>
    <w:pPr>
      <w:spacing w:after="240" w:line="240" w:lineRule="auto"/>
      <w:jc w:val="both"/>
    </w:pPr>
    <w:rPr>
      <w:rFonts w:ascii="Arial" w:eastAsia="Calibri"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animal/health/laboratories/tests/worked-example-meas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9A74A30D-A7BF-4708-A435-472B90827E73}">
  <ds:schemaRefs>
    <ds:schemaRef ds:uri="http://schemas.openxmlformats.org/officeDocument/2006/bibliography"/>
  </ds:schemaRefs>
</ds:datastoreItem>
</file>

<file path=customXml/itemProps2.xml><?xml version="1.0" encoding="utf-8"?>
<ds:datastoreItem xmlns:ds="http://schemas.openxmlformats.org/officeDocument/2006/customXml" ds:itemID="{69A9966A-1A5B-4BDD-8626-B17C62C91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02170-A4C7-49A4-B57B-8C41B92E9222}">
  <ds:schemaRefs>
    <ds:schemaRef ds:uri="http://schemas.microsoft.com/sharepoint/v3/contenttype/forms"/>
  </ds:schemaRefs>
</ds:datastoreItem>
</file>

<file path=customXml/itemProps4.xml><?xml version="1.0" encoding="utf-8"?>
<ds:datastoreItem xmlns:ds="http://schemas.openxmlformats.org/officeDocument/2006/customXml" ds:itemID="{946D98F2-B840-4A0A-BF6C-CF62D91F33D2}">
  <ds:schemaRefs>
    <ds:schemaRef ds:uri="http://schemas.microsoft.com/office/2006/metadata/properties"/>
    <ds:schemaRef ds:uri="http://schemas.microsoft.com/office/infopath/2007/PartnerControls"/>
    <ds:schemaRef ds:uri="57e13f91-09d4-4dbe-a141-654782fe49f7"/>
    <ds:schemaRef ds:uri="0725ab1f-942d-4dac-877f-91695486d0b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Links>
    <vt:vector size="384" baseType="variant">
      <vt:variant>
        <vt:i4>5046341</vt:i4>
      </vt:variant>
      <vt:variant>
        <vt:i4>174</vt:i4>
      </vt:variant>
      <vt:variant>
        <vt:i4>0</vt:i4>
      </vt:variant>
      <vt:variant>
        <vt:i4>5</vt:i4>
      </vt:variant>
      <vt:variant>
        <vt:lpwstr>https://www.woah.org/en/what-we-offer/expertise-network/collaborating-centres/</vt:lpwstr>
      </vt:variant>
      <vt:variant>
        <vt:lpwstr>ui-id-3</vt:lpwstr>
      </vt:variant>
      <vt:variant>
        <vt:i4>3866667</vt:i4>
      </vt:variant>
      <vt:variant>
        <vt:i4>171</vt:i4>
      </vt:variant>
      <vt:variant>
        <vt:i4>0</vt:i4>
      </vt:variant>
      <vt:variant>
        <vt:i4>5</vt:i4>
      </vt:variant>
      <vt:variant>
        <vt:lpwstr>https://doi.org/10.20506/rst.40.1.3217</vt:lpwstr>
      </vt:variant>
      <vt:variant>
        <vt:lpwstr/>
      </vt:variant>
      <vt:variant>
        <vt:i4>655381</vt:i4>
      </vt:variant>
      <vt:variant>
        <vt:i4>168</vt:i4>
      </vt:variant>
      <vt:variant>
        <vt:i4>0</vt:i4>
      </vt:variant>
      <vt:variant>
        <vt:i4>5</vt:i4>
      </vt:variant>
      <vt:variant>
        <vt:lpwstr>https://www.woah.org/en/what-we-offer/veterinary-products/</vt:lpwstr>
      </vt:variant>
      <vt:variant>
        <vt:lpwstr>ui-id-4</vt:lpwstr>
      </vt:variant>
      <vt:variant>
        <vt:i4>5046341</vt:i4>
      </vt:variant>
      <vt:variant>
        <vt:i4>165</vt:i4>
      </vt:variant>
      <vt:variant>
        <vt:i4>0</vt:i4>
      </vt:variant>
      <vt:variant>
        <vt:i4>5</vt:i4>
      </vt:variant>
      <vt:variant>
        <vt:lpwstr>https://www.woah.org/en/what-we-offer/expertise-network/collaborating-centres/</vt:lpwstr>
      </vt:variant>
      <vt:variant>
        <vt:lpwstr>ui-id-3</vt:lpwstr>
      </vt:variant>
      <vt:variant>
        <vt:i4>5570635</vt:i4>
      </vt:variant>
      <vt:variant>
        <vt:i4>162</vt:i4>
      </vt:variant>
      <vt:variant>
        <vt:i4>0</vt:i4>
      </vt:variant>
      <vt:variant>
        <vt:i4>5</vt:i4>
      </vt:variant>
      <vt:variant>
        <vt:lpwstr>https://doc.woah.org/dyn/portal/index.xhtml?page=alo&amp;aloId=41245</vt:lpwstr>
      </vt:variant>
      <vt:variant>
        <vt:lpwstr/>
      </vt:variant>
      <vt:variant>
        <vt:i4>7798908</vt:i4>
      </vt:variant>
      <vt:variant>
        <vt:i4>159</vt:i4>
      </vt:variant>
      <vt:variant>
        <vt:i4>0</vt:i4>
      </vt:variant>
      <vt:variant>
        <vt:i4>5</vt:i4>
      </vt:variant>
      <vt:variant>
        <vt:lpwstr>http://www.scc.ca/</vt:lpwstr>
      </vt:variant>
      <vt:variant>
        <vt:lpwstr/>
      </vt:variant>
      <vt:variant>
        <vt:i4>2424959</vt:i4>
      </vt:variant>
      <vt:variant>
        <vt:i4>156</vt:i4>
      </vt:variant>
      <vt:variant>
        <vt:i4>0</vt:i4>
      </vt:variant>
      <vt:variant>
        <vt:i4>5</vt:i4>
      </vt:variant>
      <vt:variant>
        <vt:lpwstr>http://www.iso.org/</vt:lpwstr>
      </vt:variant>
      <vt:variant>
        <vt:lpwstr/>
      </vt:variant>
      <vt:variant>
        <vt:i4>2424959</vt:i4>
      </vt:variant>
      <vt:variant>
        <vt:i4>153</vt:i4>
      </vt:variant>
      <vt:variant>
        <vt:i4>0</vt:i4>
      </vt:variant>
      <vt:variant>
        <vt:i4>5</vt:i4>
      </vt:variant>
      <vt:variant>
        <vt:lpwstr>http://www.iso.org/</vt:lpwstr>
      </vt:variant>
      <vt:variant>
        <vt:lpwstr/>
      </vt:variant>
      <vt:variant>
        <vt:i4>2424959</vt:i4>
      </vt:variant>
      <vt:variant>
        <vt:i4>150</vt:i4>
      </vt:variant>
      <vt:variant>
        <vt:i4>0</vt:i4>
      </vt:variant>
      <vt:variant>
        <vt:i4>5</vt:i4>
      </vt:variant>
      <vt:variant>
        <vt:lpwstr>http://www.iso.org/</vt:lpwstr>
      </vt:variant>
      <vt:variant>
        <vt:lpwstr/>
      </vt:variant>
      <vt:variant>
        <vt:i4>1638462</vt:i4>
      </vt:variant>
      <vt:variant>
        <vt:i4>147</vt:i4>
      </vt:variant>
      <vt:variant>
        <vt:i4>0</vt:i4>
      </vt:variant>
      <vt:variant>
        <vt:i4>5</vt:i4>
      </vt:variant>
      <vt:variant>
        <vt:lpwstr>http://www.eurachem.org/images/stories/Guides/pdf/QUAM2012_P1.pdf</vt:lpwstr>
      </vt:variant>
      <vt:variant>
        <vt:lpwstr/>
      </vt:variant>
      <vt:variant>
        <vt:i4>4063271</vt:i4>
      </vt:variant>
      <vt:variant>
        <vt:i4>144</vt:i4>
      </vt:variant>
      <vt:variant>
        <vt:i4>0</vt:i4>
      </vt:variant>
      <vt:variant>
        <vt:i4>5</vt:i4>
      </vt:variant>
      <vt:variant>
        <vt:lpwstr>http://www.health.gov.au/internet/main/publishing.nsf/Content/B1074B732F32282DCA257BF0001FA218/$File/dhaeou.pdf</vt:lpwstr>
      </vt:variant>
      <vt:variant>
        <vt:lpwstr/>
      </vt:variant>
      <vt:variant>
        <vt:i4>5570582</vt:i4>
      </vt:variant>
      <vt:variant>
        <vt:i4>141</vt:i4>
      </vt:variant>
      <vt:variant>
        <vt:i4>0</vt:i4>
      </vt:variant>
      <vt:variant>
        <vt:i4>5</vt:i4>
      </vt:variant>
      <vt:variant>
        <vt:lpwstr>http://www.agriculture.gov.au/animal/health/laboratories/tests/worked-example-measurement</vt:lpwstr>
      </vt:variant>
      <vt:variant>
        <vt:lpwstr/>
      </vt:variant>
      <vt:variant>
        <vt:i4>1966178</vt:i4>
      </vt:variant>
      <vt:variant>
        <vt:i4>138</vt:i4>
      </vt:variant>
      <vt:variant>
        <vt:i4>0</vt:i4>
      </vt:variant>
      <vt:variant>
        <vt:i4>5</vt:i4>
      </vt:variant>
      <vt:variant>
        <vt:lpwstr>https://portal.a2la.org/policies/A2LA_P103b.pdf</vt:lpwstr>
      </vt:variant>
      <vt:variant>
        <vt:lpwstr/>
      </vt:variant>
      <vt:variant>
        <vt:i4>5570582</vt:i4>
      </vt:variant>
      <vt:variant>
        <vt:i4>135</vt:i4>
      </vt:variant>
      <vt:variant>
        <vt:i4>0</vt:i4>
      </vt:variant>
      <vt:variant>
        <vt:i4>5</vt:i4>
      </vt:variant>
      <vt:variant>
        <vt:lpwstr>http://www.agriculture.gov.au/animal/health/laboratories/tests/worked-example-measurement</vt:lpwstr>
      </vt:variant>
      <vt:variant>
        <vt:lpwstr/>
      </vt:variant>
      <vt:variant>
        <vt:i4>2883703</vt:i4>
      </vt:variant>
      <vt:variant>
        <vt:i4>132</vt:i4>
      </vt:variant>
      <vt:variant>
        <vt:i4>0</vt:i4>
      </vt:variant>
      <vt:variant>
        <vt:i4>5</vt:i4>
      </vt:variant>
      <vt:variant>
        <vt:lpwstr>https://cdn.who.int/media/docs/default-source/biologicals/cell-substrates/annex2__adventious_agent_in_marketed_vaccine_eng.pdf?sfvrsn=e5de04a_3&amp;download=true</vt:lpwstr>
      </vt:variant>
      <vt:variant>
        <vt:lpwstr/>
      </vt:variant>
      <vt:variant>
        <vt:i4>6225952</vt:i4>
      </vt:variant>
      <vt:variant>
        <vt:i4>129</vt:i4>
      </vt:variant>
      <vt:variant>
        <vt:i4>0</vt:i4>
      </vt:variant>
      <vt:variant>
        <vt:i4>5</vt:i4>
      </vt:variant>
      <vt:variant>
        <vt:lpwstr>https://apps.who.int/iris/bitstream/handle/10665/89142/9789241209779_eng.pdf</vt:lpwstr>
      </vt:variant>
      <vt:variant>
        <vt:lpwstr/>
      </vt:variant>
      <vt:variant>
        <vt:i4>2293806</vt:i4>
      </vt:variant>
      <vt:variant>
        <vt:i4>126</vt:i4>
      </vt:variant>
      <vt:variant>
        <vt:i4>0</vt:i4>
      </vt:variant>
      <vt:variant>
        <vt:i4>5</vt:i4>
      </vt:variant>
      <vt:variant>
        <vt:lpwstr>https://www.maff.go.jp/nval/english/regulatory/pdf/Outline_RegulatorySystem_VMPs.pdf</vt:lpwstr>
      </vt:variant>
      <vt:variant>
        <vt:lpwstr/>
      </vt:variant>
      <vt:variant>
        <vt:i4>6029406</vt:i4>
      </vt:variant>
      <vt:variant>
        <vt:i4>123</vt:i4>
      </vt:variant>
      <vt:variant>
        <vt:i4>0</vt:i4>
      </vt:variant>
      <vt:variant>
        <vt:i4>5</vt:i4>
      </vt:variant>
      <vt:variant>
        <vt:lpwstr>https://www.edqm.eu/en/european-pharmacopoeia</vt:lpwstr>
      </vt:variant>
      <vt:variant>
        <vt:lpwstr/>
      </vt:variant>
      <vt:variant>
        <vt:i4>6750330</vt:i4>
      </vt:variant>
      <vt:variant>
        <vt:i4>120</vt:i4>
      </vt:variant>
      <vt:variant>
        <vt:i4>0</vt:i4>
      </vt:variant>
      <vt:variant>
        <vt:i4>5</vt:i4>
      </vt:variant>
      <vt:variant>
        <vt:lpwstr>https://www.edqm.eu/en/web/edqm/european-pharmacopoeia-ph-eur-10th-edition-</vt:lpwstr>
      </vt:variant>
      <vt:variant>
        <vt:lpwstr/>
      </vt:variant>
      <vt:variant>
        <vt:i4>2818084</vt:i4>
      </vt:variant>
      <vt:variant>
        <vt:i4>117</vt:i4>
      </vt:variant>
      <vt:variant>
        <vt:i4>0</vt:i4>
      </vt:variant>
      <vt:variant>
        <vt:i4>5</vt:i4>
      </vt:variant>
      <vt:variant>
        <vt:lpwstr>http://online.edqm.eu/</vt:lpwstr>
      </vt:variant>
      <vt:variant>
        <vt:lpwstr/>
      </vt:variant>
      <vt:variant>
        <vt:i4>5832759</vt:i4>
      </vt:variant>
      <vt:variant>
        <vt:i4>114</vt:i4>
      </vt:variant>
      <vt:variant>
        <vt:i4>0</vt:i4>
      </vt:variant>
      <vt:variant>
        <vt:i4>5</vt:i4>
      </vt:variant>
      <vt:variant>
        <vt:lpwstr>https://www.edqm.eu/en/d/95422?p_l_back_url=%2Fen%2Fsearch-edqm%3Fq%3DEMA%252FCVMP%252FIWP%252F251741%252F2015%26delta%3D40%26category%3D302281</vt:lpwstr>
      </vt:variant>
      <vt:variant>
        <vt:lpwstr/>
      </vt:variant>
      <vt:variant>
        <vt:i4>5374073</vt:i4>
      </vt:variant>
      <vt:variant>
        <vt:i4>111</vt:i4>
      </vt:variant>
      <vt:variant>
        <vt:i4>0</vt:i4>
      </vt:variant>
      <vt:variant>
        <vt:i4>5</vt:i4>
      </vt:variant>
      <vt:variant>
        <vt:lpwstr>http://ec.europa.eu/health/documents/eudralex/index_en.htm</vt:lpwstr>
      </vt:variant>
      <vt:variant>
        <vt:lpwstr/>
      </vt:variant>
      <vt:variant>
        <vt:i4>5374073</vt:i4>
      </vt:variant>
      <vt:variant>
        <vt:i4>108</vt:i4>
      </vt:variant>
      <vt:variant>
        <vt:i4>0</vt:i4>
      </vt:variant>
      <vt:variant>
        <vt:i4>5</vt:i4>
      </vt:variant>
      <vt:variant>
        <vt:lpwstr>http://ec.europa.eu/health/documents/eudralex/index_en.htm</vt:lpwstr>
      </vt:variant>
      <vt:variant>
        <vt:lpwstr/>
      </vt:variant>
      <vt:variant>
        <vt:i4>1703963</vt:i4>
      </vt:variant>
      <vt:variant>
        <vt:i4>105</vt:i4>
      </vt:variant>
      <vt:variant>
        <vt:i4>0</vt:i4>
      </vt:variant>
      <vt:variant>
        <vt:i4>5</vt:i4>
      </vt:variant>
      <vt:variant>
        <vt:lpwstr>https://www.awe.gov.au/sites/default/files/sitecollectiondocuments/aqis/importing/bio-products/vet-vaccines/live-vet-vaccines.doc</vt:lpwstr>
      </vt:variant>
      <vt:variant>
        <vt:lpwstr/>
      </vt:variant>
      <vt:variant>
        <vt:i4>2752566</vt:i4>
      </vt:variant>
      <vt:variant>
        <vt:i4>102</vt:i4>
      </vt:variant>
      <vt:variant>
        <vt:i4>0</vt:i4>
      </vt:variant>
      <vt:variant>
        <vt:i4>5</vt:i4>
      </vt:variant>
      <vt:variant>
        <vt:lpwstr>https://www.agriculture.gov.au/sites/default/files/sitecollectiondocuments/aqis/importing/bio-products/vet-vaccines/inact-vet-vacs.pdf</vt:lpwstr>
      </vt:variant>
      <vt:variant>
        <vt:lpwstr/>
      </vt:variant>
      <vt:variant>
        <vt:i4>2687097</vt:i4>
      </vt:variant>
      <vt:variant>
        <vt:i4>99</vt:i4>
      </vt:variant>
      <vt:variant>
        <vt:i4>0</vt:i4>
      </vt:variant>
      <vt:variant>
        <vt:i4>5</vt:i4>
      </vt:variant>
      <vt:variant>
        <vt:lpwstr>https://www.agriculture.gov.au/biosecurity-trade/policy/risk-analysis/animal/review-of-published-tests-to-detect-pathogens</vt:lpwstr>
      </vt:variant>
      <vt:variant>
        <vt:lpwstr/>
      </vt:variant>
      <vt:variant>
        <vt:i4>7340138</vt:i4>
      </vt:variant>
      <vt:variant>
        <vt:i4>96</vt:i4>
      </vt:variant>
      <vt:variant>
        <vt:i4>0</vt:i4>
      </vt:variant>
      <vt:variant>
        <vt:i4>5</vt:i4>
      </vt:variant>
      <vt:variant>
        <vt:lpwstr>https://www.law.cornell.edu/cfr/text/9/part-113</vt:lpwstr>
      </vt:variant>
      <vt:variant>
        <vt:lpwstr/>
      </vt:variant>
      <vt:variant>
        <vt:i4>2621486</vt:i4>
      </vt:variant>
      <vt:variant>
        <vt:i4>93</vt:i4>
      </vt:variant>
      <vt:variant>
        <vt:i4>0</vt:i4>
      </vt:variant>
      <vt:variant>
        <vt:i4>5</vt:i4>
      </vt:variant>
      <vt:variant>
        <vt:lpwstr>https://www.agriculture.gov.au/sites/default/files/sitecollectiondocuments/ba/memos/1999/animal/99-085acleaned.pdf</vt:lpwstr>
      </vt:variant>
      <vt:variant>
        <vt:lpwstr/>
      </vt:variant>
      <vt:variant>
        <vt:i4>3538974</vt:i4>
      </vt:variant>
      <vt:variant>
        <vt:i4>90</vt:i4>
      </vt:variant>
      <vt:variant>
        <vt:i4>0</vt:i4>
      </vt:variant>
      <vt:variant>
        <vt:i4>5</vt:i4>
      </vt:variant>
      <vt:variant>
        <vt:lpwstr>http://www.ncbi.nlm.nih.gov/pubmed/?term=Thekisoe%20OM%5BAuthor%5D&amp;cauthor=true&amp;cauthor_uid=17216488</vt:lpwstr>
      </vt:variant>
      <vt:variant>
        <vt:lpwstr/>
      </vt:variant>
      <vt:variant>
        <vt:i4>6357054</vt:i4>
      </vt:variant>
      <vt:variant>
        <vt:i4>87</vt:i4>
      </vt:variant>
      <vt:variant>
        <vt:i4>0</vt:i4>
      </vt:variant>
      <vt:variant>
        <vt:i4>5</vt:i4>
      </vt:variant>
      <vt:variant>
        <vt:lpwstr>http://www.oie.int/eng/normes/mcode/en_chapitre_1.1.1.htm</vt:lpwstr>
      </vt:variant>
      <vt:variant>
        <vt:lpwstr>terme_autorite_veterinaire</vt:lpwstr>
      </vt:variant>
      <vt:variant>
        <vt:i4>1900614</vt:i4>
      </vt:variant>
      <vt:variant>
        <vt:i4>84</vt:i4>
      </vt:variant>
      <vt:variant>
        <vt:i4>0</vt:i4>
      </vt:variant>
      <vt:variant>
        <vt:i4>5</vt:i4>
      </vt:variant>
      <vt:variant>
        <vt:lpwstr>http://www.oie.int/eng/normes/mcode/en_chapitre_1.1.1.htm</vt:lpwstr>
      </vt:variant>
      <vt:variant>
        <vt:lpwstr>terme_code_terrestre</vt:lpwstr>
      </vt:variant>
      <vt:variant>
        <vt:i4>1900614</vt:i4>
      </vt:variant>
      <vt:variant>
        <vt:i4>81</vt:i4>
      </vt:variant>
      <vt:variant>
        <vt:i4>0</vt:i4>
      </vt:variant>
      <vt:variant>
        <vt:i4>5</vt:i4>
      </vt:variant>
      <vt:variant>
        <vt:lpwstr>http://www.oie.int/eng/normes/mcode/en_chapitre_1.1.1.htm</vt:lpwstr>
      </vt:variant>
      <vt:variant>
        <vt:lpwstr>terme_code_terrestre</vt:lpwstr>
      </vt:variant>
      <vt:variant>
        <vt:i4>7274535</vt:i4>
      </vt:variant>
      <vt:variant>
        <vt:i4>78</vt:i4>
      </vt:variant>
      <vt:variant>
        <vt:i4>0</vt:i4>
      </vt:variant>
      <vt:variant>
        <vt:i4>5</vt:i4>
      </vt:variant>
      <vt:variant>
        <vt:lpwstr>http://www.oie.int/eng/normes/mcode/en_chapitre_1.1.1.htm</vt:lpwstr>
      </vt:variant>
      <vt:variant>
        <vt:lpwstr>terme_manuel_terrestre</vt:lpwstr>
      </vt:variant>
      <vt:variant>
        <vt:i4>6357054</vt:i4>
      </vt:variant>
      <vt:variant>
        <vt:i4>72</vt:i4>
      </vt:variant>
      <vt:variant>
        <vt:i4>0</vt:i4>
      </vt:variant>
      <vt:variant>
        <vt:i4>5</vt:i4>
      </vt:variant>
      <vt:variant>
        <vt:lpwstr>http://www.oie.int/eng/normes/mcode/en_chapitre_1.1.1.htm</vt:lpwstr>
      </vt:variant>
      <vt:variant>
        <vt:lpwstr>terme_autorite_veterinaire</vt:lpwstr>
      </vt:variant>
      <vt:variant>
        <vt:i4>6684732</vt:i4>
      </vt:variant>
      <vt:variant>
        <vt:i4>69</vt:i4>
      </vt:variant>
      <vt:variant>
        <vt:i4>0</vt:i4>
      </vt:variant>
      <vt:variant>
        <vt:i4>5</vt:i4>
      </vt:variant>
      <vt:variant>
        <vt:lpwstr>http://www.oie.int/eng/normes/mcode/en_chapitre_1.1.1.htm</vt:lpwstr>
      </vt:variant>
      <vt:variant>
        <vt:lpwstr>terme_pays_exportateur</vt:lpwstr>
      </vt:variant>
      <vt:variant>
        <vt:i4>6357054</vt:i4>
      </vt:variant>
      <vt:variant>
        <vt:i4>66</vt:i4>
      </vt:variant>
      <vt:variant>
        <vt:i4>0</vt:i4>
      </vt:variant>
      <vt:variant>
        <vt:i4>5</vt:i4>
      </vt:variant>
      <vt:variant>
        <vt:lpwstr>http://www.oie.int/eng/normes/mcode/en_chapitre_1.1.1.htm</vt:lpwstr>
      </vt:variant>
      <vt:variant>
        <vt:lpwstr>terme_autorite_veterinaire</vt:lpwstr>
      </vt:variant>
      <vt:variant>
        <vt:i4>7274535</vt:i4>
      </vt:variant>
      <vt:variant>
        <vt:i4>63</vt:i4>
      </vt:variant>
      <vt:variant>
        <vt:i4>0</vt:i4>
      </vt:variant>
      <vt:variant>
        <vt:i4>5</vt:i4>
      </vt:variant>
      <vt:variant>
        <vt:lpwstr>http://www.oie.int/eng/normes/mcode/en_chapitre_1.1.1.htm</vt:lpwstr>
      </vt:variant>
      <vt:variant>
        <vt:lpwstr>terme_manuel_terrestre</vt:lpwstr>
      </vt:variant>
      <vt:variant>
        <vt:i4>6357054</vt:i4>
      </vt:variant>
      <vt:variant>
        <vt:i4>60</vt:i4>
      </vt:variant>
      <vt:variant>
        <vt:i4>0</vt:i4>
      </vt:variant>
      <vt:variant>
        <vt:i4>5</vt:i4>
      </vt:variant>
      <vt:variant>
        <vt:lpwstr>http://www.oie.int/eng/normes/mcode/en_chapitre_1.1.1.htm</vt:lpwstr>
      </vt:variant>
      <vt:variant>
        <vt:lpwstr>terme_autorite_veterinaire</vt:lpwstr>
      </vt:variant>
      <vt:variant>
        <vt:i4>1572871</vt:i4>
      </vt:variant>
      <vt:variant>
        <vt:i4>57</vt:i4>
      </vt:variant>
      <vt:variant>
        <vt:i4>0</vt:i4>
      </vt:variant>
      <vt:variant>
        <vt:i4>5</vt:i4>
      </vt:variant>
      <vt:variant>
        <vt:lpwstr>https://www.aphis.usda.gov/animal_health/vet_biologics/publications/910.pdf</vt:lpwstr>
      </vt:variant>
      <vt:variant>
        <vt:lpwstr/>
      </vt:variant>
      <vt:variant>
        <vt:i4>2490435</vt:i4>
      </vt:variant>
      <vt:variant>
        <vt:i4>54</vt:i4>
      </vt:variant>
      <vt:variant>
        <vt:i4>0</vt:i4>
      </vt:variant>
      <vt:variant>
        <vt:i4>5</vt:i4>
      </vt:variant>
      <vt:variant>
        <vt:lpwstr>http://www.ema.europa.eu/docs/en_GB/document_library/Scientific_guideline/2013/03/WC500140352.pdf</vt:lpwstr>
      </vt:variant>
      <vt:variant>
        <vt:lpwstr/>
      </vt:variant>
      <vt:variant>
        <vt:i4>2490435</vt:i4>
      </vt:variant>
      <vt:variant>
        <vt:i4>51</vt:i4>
      </vt:variant>
      <vt:variant>
        <vt:i4>0</vt:i4>
      </vt:variant>
      <vt:variant>
        <vt:i4>5</vt:i4>
      </vt:variant>
      <vt:variant>
        <vt:lpwstr>http://www.ema.europa.eu/docs/en_GB/document_library/Scientific_guideline/2013/03/WC500140352.pdf</vt:lpwstr>
      </vt:variant>
      <vt:variant>
        <vt:lpwstr/>
      </vt:variant>
      <vt:variant>
        <vt:i4>4980749</vt:i4>
      </vt:variant>
      <vt:variant>
        <vt:i4>48</vt:i4>
      </vt:variant>
      <vt:variant>
        <vt:i4>0</vt:i4>
      </vt:variant>
      <vt:variant>
        <vt:i4>5</vt:i4>
      </vt:variant>
      <vt:variant>
        <vt:lpwstr>https://www.aphis.usda.gov/animal_health/vet_biologics/publications</vt:lpwstr>
      </vt:variant>
      <vt:variant>
        <vt:lpwstr/>
      </vt:variant>
      <vt:variant>
        <vt:i4>5243007</vt:i4>
      </vt:variant>
      <vt:variant>
        <vt:i4>45</vt:i4>
      </vt:variant>
      <vt:variant>
        <vt:i4>0</vt:i4>
      </vt:variant>
      <vt:variant>
        <vt:i4>5</vt:i4>
      </vt:variant>
      <vt:variant>
        <vt:lpwstr>https://www.aphis.usda.gov/aphis/ourfocus/animalhealth/veterinary-biologics/biologics-regulations-and-guidance/SA_SAMS/CT_Vb_sams_900_series</vt:lpwstr>
      </vt:variant>
      <vt:variant>
        <vt:lpwstr/>
      </vt:variant>
      <vt:variant>
        <vt:i4>1966106</vt:i4>
      </vt:variant>
      <vt:variant>
        <vt:i4>42</vt:i4>
      </vt:variant>
      <vt:variant>
        <vt:i4>0</vt:i4>
      </vt:variant>
      <vt:variant>
        <vt:i4>5</vt:i4>
      </vt:variant>
      <vt:variant>
        <vt:lpwstr>https://www.aphis.usda.gov/animal_health/vet_biologics/publications/sam903.pdf</vt:lpwstr>
      </vt:variant>
      <vt:variant>
        <vt:lpwstr/>
      </vt:variant>
      <vt:variant>
        <vt:i4>7405621</vt:i4>
      </vt:variant>
      <vt:variant>
        <vt:i4>39</vt:i4>
      </vt:variant>
      <vt:variant>
        <vt:i4>0</vt:i4>
      </vt:variant>
      <vt:variant>
        <vt:i4>5</vt:i4>
      </vt:variant>
      <vt:variant>
        <vt:lpwstr>https://www.aphis.usda.gov/animal_health/vet_biologics/publications/memo_800_117.pdf</vt:lpwstr>
      </vt:variant>
      <vt:variant>
        <vt:lpwstr/>
      </vt:variant>
      <vt:variant>
        <vt:i4>2424959</vt:i4>
      </vt:variant>
      <vt:variant>
        <vt:i4>36</vt:i4>
      </vt:variant>
      <vt:variant>
        <vt:i4>0</vt:i4>
      </vt:variant>
      <vt:variant>
        <vt:i4>5</vt:i4>
      </vt:variant>
      <vt:variant>
        <vt:lpwstr>http://www.iso.org/</vt:lpwstr>
      </vt:variant>
      <vt:variant>
        <vt:lpwstr/>
      </vt:variant>
      <vt:variant>
        <vt:i4>2424959</vt:i4>
      </vt:variant>
      <vt:variant>
        <vt:i4>33</vt:i4>
      </vt:variant>
      <vt:variant>
        <vt:i4>0</vt:i4>
      </vt:variant>
      <vt:variant>
        <vt:i4>5</vt:i4>
      </vt:variant>
      <vt:variant>
        <vt:lpwstr>http://www.iso.org/</vt:lpwstr>
      </vt:variant>
      <vt:variant>
        <vt:lpwstr/>
      </vt:variant>
      <vt:variant>
        <vt:i4>2424959</vt:i4>
      </vt:variant>
      <vt:variant>
        <vt:i4>30</vt:i4>
      </vt:variant>
      <vt:variant>
        <vt:i4>0</vt:i4>
      </vt:variant>
      <vt:variant>
        <vt:i4>5</vt:i4>
      </vt:variant>
      <vt:variant>
        <vt:lpwstr>http://www.iso.org/</vt:lpwstr>
      </vt:variant>
      <vt:variant>
        <vt:lpwstr/>
      </vt:variant>
      <vt:variant>
        <vt:i4>2424959</vt:i4>
      </vt:variant>
      <vt:variant>
        <vt:i4>27</vt:i4>
      </vt:variant>
      <vt:variant>
        <vt:i4>0</vt:i4>
      </vt:variant>
      <vt:variant>
        <vt:i4>5</vt:i4>
      </vt:variant>
      <vt:variant>
        <vt:lpwstr>http://www.iso.org/</vt:lpwstr>
      </vt:variant>
      <vt:variant>
        <vt:lpwstr/>
      </vt:variant>
      <vt:variant>
        <vt:i4>2424959</vt:i4>
      </vt:variant>
      <vt:variant>
        <vt:i4>24</vt:i4>
      </vt:variant>
      <vt:variant>
        <vt:i4>0</vt:i4>
      </vt:variant>
      <vt:variant>
        <vt:i4>5</vt:i4>
      </vt:variant>
      <vt:variant>
        <vt:lpwstr>http://www.iso.org/</vt:lpwstr>
      </vt:variant>
      <vt:variant>
        <vt:lpwstr/>
      </vt:variant>
      <vt:variant>
        <vt:i4>2424959</vt:i4>
      </vt:variant>
      <vt:variant>
        <vt:i4>21</vt:i4>
      </vt:variant>
      <vt:variant>
        <vt:i4>0</vt:i4>
      </vt:variant>
      <vt:variant>
        <vt:i4>5</vt:i4>
      </vt:variant>
      <vt:variant>
        <vt:lpwstr>http://www.iso.org/</vt:lpwstr>
      </vt:variant>
      <vt:variant>
        <vt:lpwstr/>
      </vt:variant>
      <vt:variant>
        <vt:i4>4784201</vt:i4>
      </vt:variant>
      <vt:variant>
        <vt:i4>18</vt:i4>
      </vt:variant>
      <vt:variant>
        <vt:i4>0</vt:i4>
      </vt:variant>
      <vt:variant>
        <vt:i4>5</vt:i4>
      </vt:variant>
      <vt:variant>
        <vt:lpwstr>http://www.eurachem.org/</vt:lpwstr>
      </vt:variant>
      <vt:variant>
        <vt:lpwstr/>
      </vt:variant>
      <vt:variant>
        <vt:i4>4784201</vt:i4>
      </vt:variant>
      <vt:variant>
        <vt:i4>15</vt:i4>
      </vt:variant>
      <vt:variant>
        <vt:i4>0</vt:i4>
      </vt:variant>
      <vt:variant>
        <vt:i4>5</vt:i4>
      </vt:variant>
      <vt:variant>
        <vt:lpwstr>http://www.eurachem.org/</vt:lpwstr>
      </vt:variant>
      <vt:variant>
        <vt:lpwstr/>
      </vt:variant>
      <vt:variant>
        <vt:i4>5570635</vt:i4>
      </vt:variant>
      <vt:variant>
        <vt:i4>12</vt:i4>
      </vt:variant>
      <vt:variant>
        <vt:i4>0</vt:i4>
      </vt:variant>
      <vt:variant>
        <vt:i4>5</vt:i4>
      </vt:variant>
      <vt:variant>
        <vt:lpwstr>https://doc.woah.org/dyn/portal/index.xhtml?page=alo&amp;aloId=41245</vt:lpwstr>
      </vt:variant>
      <vt:variant>
        <vt:lpwstr/>
      </vt:variant>
      <vt:variant>
        <vt:i4>4849759</vt:i4>
      </vt:variant>
      <vt:variant>
        <vt:i4>9</vt:i4>
      </vt:variant>
      <vt:variant>
        <vt:i4>0</vt:i4>
      </vt:variant>
      <vt:variant>
        <vt:i4>5</vt:i4>
      </vt:variant>
      <vt:variant>
        <vt:lpwstr>http://www.ansi.org/</vt:lpwstr>
      </vt:variant>
      <vt:variant>
        <vt:lpwstr/>
      </vt:variant>
      <vt:variant>
        <vt:i4>5242967</vt:i4>
      </vt:variant>
      <vt:variant>
        <vt:i4>6</vt:i4>
      </vt:variant>
      <vt:variant>
        <vt:i4>0</vt:i4>
      </vt:variant>
      <vt:variant>
        <vt:i4>5</vt:i4>
      </vt:variant>
      <vt:variant>
        <vt:lpwstr>http://www.ilac.org/</vt:lpwstr>
      </vt:variant>
      <vt:variant>
        <vt:lpwstr/>
      </vt:variant>
      <vt:variant>
        <vt:i4>6815841</vt:i4>
      </vt:variant>
      <vt:variant>
        <vt:i4>3</vt:i4>
      </vt:variant>
      <vt:variant>
        <vt:i4>0</vt:i4>
      </vt:variant>
      <vt:variant>
        <vt:i4>5</vt:i4>
      </vt:variant>
      <vt:variant>
        <vt:lpwstr>https://nata.com.au/files/2021/05/Animal-Health-ISO-IEC-17025-Appendix-effective-March2021.pdf</vt:lpwstr>
      </vt:variant>
      <vt:variant>
        <vt:lpwstr/>
      </vt:variant>
      <vt:variant>
        <vt:i4>7602300</vt:i4>
      </vt:variant>
      <vt:variant>
        <vt:i4>0</vt:i4>
      </vt:variant>
      <vt:variant>
        <vt:i4>0</vt:i4>
      </vt:variant>
      <vt:variant>
        <vt:i4>5</vt:i4>
      </vt:variant>
      <vt:variant>
        <vt:lpwstr>https://www.nata.com.au/phocadownload/spec-criteria-guidance/animal-health/Animal-Health-ISO-IEC-17025-Appendix.pdf</vt:lpwstr>
      </vt:variant>
      <vt:variant>
        <vt:lpwstr/>
      </vt:variant>
      <vt:variant>
        <vt:i4>5898307</vt:i4>
      </vt:variant>
      <vt:variant>
        <vt:i4>12</vt:i4>
      </vt:variant>
      <vt:variant>
        <vt:i4>0</vt:i4>
      </vt:variant>
      <vt:variant>
        <vt:i4>5</vt:i4>
      </vt:variant>
      <vt:variant>
        <vt:lpwstr>https://www.techlab.fr/Commun/UK_Def_MRC.asp</vt:lpwstr>
      </vt:variant>
      <vt:variant>
        <vt:lpwstr/>
      </vt:variant>
      <vt:variant>
        <vt:i4>4325447</vt:i4>
      </vt:variant>
      <vt:variant>
        <vt:i4>9</vt:i4>
      </vt:variant>
      <vt:variant>
        <vt:i4>0</vt:i4>
      </vt:variant>
      <vt:variant>
        <vt:i4>5</vt:i4>
      </vt:variant>
      <vt:variant>
        <vt:lpwstr>https://www.agriculture.gov.au/agriculture-land/animal/health/laboratories/tests/measurement-uncertainty</vt:lpwstr>
      </vt:variant>
      <vt:variant>
        <vt:lpwstr/>
      </vt:variant>
      <vt:variant>
        <vt:i4>4325447</vt:i4>
      </vt:variant>
      <vt:variant>
        <vt:i4>6</vt:i4>
      </vt:variant>
      <vt:variant>
        <vt:i4>0</vt:i4>
      </vt:variant>
      <vt:variant>
        <vt:i4>5</vt:i4>
      </vt:variant>
      <vt:variant>
        <vt:lpwstr>https://www.agriculture.gov.au/agriculture-land/animal/health/laboratories/tests/measurement-uncertainty</vt:lpwstr>
      </vt:variant>
      <vt:variant>
        <vt:lpwstr/>
      </vt:variant>
      <vt:variant>
        <vt:i4>5570635</vt:i4>
      </vt:variant>
      <vt:variant>
        <vt:i4>3</vt:i4>
      </vt:variant>
      <vt:variant>
        <vt:i4>0</vt:i4>
      </vt:variant>
      <vt:variant>
        <vt:i4>5</vt:i4>
      </vt:variant>
      <vt:variant>
        <vt:lpwstr>https://doc.woah.org/dyn/portal/index.xhtml?page=alo&amp;aloId=41245</vt:lpwstr>
      </vt:variant>
      <vt:variant>
        <vt:lpwstr/>
      </vt:variant>
      <vt:variant>
        <vt:i4>5242894</vt:i4>
      </vt:variant>
      <vt:variant>
        <vt:i4>0</vt:i4>
      </vt:variant>
      <vt:variant>
        <vt:i4>0</vt:i4>
      </vt:variant>
      <vt:variant>
        <vt:i4>5</vt:i4>
      </vt:variant>
      <vt:variant>
        <vt:lpwstr>http://ilac.org/</vt:lpwstr>
      </vt:variant>
      <vt:variant>
        <vt:lpwstr/>
      </vt:variant>
      <vt:variant>
        <vt:i4>3211311</vt:i4>
      </vt:variant>
      <vt:variant>
        <vt:i4>0</vt:i4>
      </vt:variant>
      <vt:variant>
        <vt:i4>0</vt:i4>
      </vt:variant>
      <vt:variant>
        <vt:i4>5</vt:i4>
      </vt:variant>
      <vt:variant>
        <vt:lpwstr>https://www.ema.europa.eu/en/vich-gl34-biologicals-testing-detection-mycoplasma-contamination-scientific-guideline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Edwards</dc:creator>
  <cp:keywords>Chapter 2.2.04.  Measurement Uncertainty</cp:keywords>
  <dc:description/>
  <cp:lastModifiedBy>Forde Folle, Kimberly - MRP-APHIS</cp:lastModifiedBy>
  <cp:revision>45</cp:revision>
  <dcterms:created xsi:type="dcterms:W3CDTF">2024-02-10T15:35:00Z</dcterms:created>
  <dcterms:modified xsi:type="dcterms:W3CDTF">2024-04-02T16:57:00Z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