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FF8D" w14:textId="44FDE719" w:rsidR="00667CDB" w:rsidRPr="008E20C4" w:rsidRDefault="00667CDB" w:rsidP="00667CDB">
      <w:pPr>
        <w:pStyle w:val="Chatperno"/>
        <w:rPr>
          <w:lang w:val="en-IE"/>
        </w:rPr>
      </w:pPr>
      <w:bookmarkStart w:id="0" w:name="_Hlk104647969"/>
      <w:r w:rsidRPr="008E20C4">
        <w:rPr>
          <w:lang w:val="en-IE"/>
        </w:rPr>
        <w:t>Chapter 1.1.6.</w:t>
      </w:r>
    </w:p>
    <w:p w14:paraId="01988D82" w14:textId="77777777" w:rsidR="00667CDB" w:rsidRPr="008E20C4" w:rsidRDefault="00667CDB" w:rsidP="00667CDB">
      <w:pPr>
        <w:pStyle w:val="Chaptertitle"/>
        <w:rPr>
          <w:lang w:val="en-IE"/>
        </w:rPr>
      </w:pPr>
      <w:bookmarkStart w:id="1" w:name="_Hlk131998313"/>
      <w:r w:rsidRPr="008E20C4">
        <w:rPr>
          <w:lang w:val="en-IE"/>
        </w:rPr>
        <w:t xml:space="preserve">principles and methods of </w:t>
      </w:r>
      <w:r w:rsidRPr="008E20C4">
        <w:rPr>
          <w:lang w:val="en-IE"/>
        </w:rPr>
        <w:br/>
        <w:t xml:space="preserve">validation of diagnostic assays </w:t>
      </w:r>
      <w:r w:rsidRPr="008E20C4">
        <w:rPr>
          <w:lang w:val="en-IE"/>
        </w:rPr>
        <w:br/>
        <w:t>for infectious diseases</w:t>
      </w:r>
    </w:p>
    <w:bookmarkEnd w:id="0"/>
    <w:bookmarkEnd w:id="1"/>
    <w:p w14:paraId="54795A10" w14:textId="77777777" w:rsidR="00667CDB" w:rsidRPr="008E20C4" w:rsidRDefault="00667CDB" w:rsidP="00667CDB">
      <w:pPr>
        <w:pStyle w:val="A0"/>
        <w:spacing w:before="1200"/>
        <w:rPr>
          <w:lang w:val="en-IE"/>
        </w:rPr>
      </w:pPr>
      <w:r w:rsidRPr="008E20C4">
        <w:rPr>
          <w:lang w:val="en-IE"/>
        </w:rPr>
        <w:t>introduction</w:t>
      </w:r>
    </w:p>
    <w:p w14:paraId="4A616C68" w14:textId="26F8AEA6" w:rsidR="008F7AE3" w:rsidRPr="00FE0FE8" w:rsidRDefault="008F7AE3" w:rsidP="00667CDB">
      <w:pPr>
        <w:pStyle w:val="sumtexte"/>
        <w:tabs>
          <w:tab w:val="clear" w:pos="-720"/>
        </w:tabs>
        <w:ind w:left="562" w:right="562"/>
        <w:rPr>
          <w:strike/>
          <w:highlight w:val="yellow"/>
          <w:lang w:val="en-IE"/>
        </w:rPr>
      </w:pPr>
      <w:r w:rsidRPr="00592B6A">
        <w:rPr>
          <w:u w:val="double"/>
          <w:lang w:val="en-IE"/>
        </w:rPr>
        <w:t xml:space="preserve">Adequate validation and verification of the performance characteristics of diagnostic tests for infectious diseases are critical to ensuring that assays are applied and interpreted in a scientifically robust and defensible manner </w:t>
      </w:r>
      <w:r w:rsidRPr="00592B6A">
        <w:rPr>
          <w:i w:val="0"/>
          <w:iCs w:val="0"/>
          <w:u w:val="double"/>
          <w:lang w:val="en-IE"/>
        </w:rPr>
        <w:t>(</w:t>
      </w:r>
      <w:r w:rsidRPr="00592B6A">
        <w:rPr>
          <w:u w:val="double"/>
          <w:lang w:val="en-IE"/>
        </w:rPr>
        <w:t>Colling &amp; Gardner, 2021</w:t>
      </w:r>
      <w:r w:rsidRPr="00592B6A">
        <w:rPr>
          <w:i w:val="0"/>
          <w:iCs w:val="0"/>
          <w:u w:val="double"/>
          <w:lang w:val="en-IE"/>
        </w:rPr>
        <w:t>)</w:t>
      </w:r>
      <w:r w:rsidRPr="00592B6A">
        <w:rPr>
          <w:u w:val="double"/>
          <w:lang w:val="en-IE"/>
        </w:rPr>
        <w:t xml:space="preserve">. Since it was first adopted in 1996, the </w:t>
      </w:r>
      <w:r w:rsidR="00907D25" w:rsidRPr="00592B6A">
        <w:rPr>
          <w:u w:val="double"/>
          <w:lang w:val="en-IE"/>
        </w:rPr>
        <w:t>WOAH</w:t>
      </w:r>
      <w:r w:rsidRPr="00592B6A">
        <w:rPr>
          <w:u w:val="double"/>
          <w:lang w:val="en-IE"/>
        </w:rPr>
        <w:t xml:space="preserve"> Assay Development and Validation Pathway </w:t>
      </w:r>
      <w:r w:rsidRPr="00592B6A">
        <w:rPr>
          <w:i w:val="0"/>
          <w:iCs w:val="0"/>
          <w:u w:val="double"/>
          <w:lang w:val="en-IE"/>
        </w:rPr>
        <w:t>(</w:t>
      </w:r>
      <w:r w:rsidRPr="00592B6A">
        <w:rPr>
          <w:u w:val="double"/>
          <w:lang w:val="en-IE"/>
        </w:rPr>
        <w:t>Figure 1</w:t>
      </w:r>
      <w:r w:rsidRPr="00592B6A">
        <w:rPr>
          <w:i w:val="0"/>
          <w:iCs w:val="0"/>
          <w:u w:val="double"/>
          <w:lang w:val="en-IE"/>
        </w:rPr>
        <w:t>)</w:t>
      </w:r>
      <w:r w:rsidRPr="00592B6A">
        <w:rPr>
          <w:u w:val="double"/>
          <w:lang w:val="en-IE"/>
        </w:rPr>
        <w:t xml:space="preserve"> has acted as the internationally recognised standard for the validation of veterinary diagnostic tests for infectious diseases.</w:t>
      </w:r>
      <w:r w:rsidRPr="00FE0FE8">
        <w:rPr>
          <w:lang w:val="en-IE"/>
        </w:rPr>
        <w:t xml:space="preserve"> </w:t>
      </w:r>
      <w:r w:rsidRPr="00FE0FE8">
        <w:rPr>
          <w:strike/>
          <w:highlight w:val="yellow"/>
          <w:lang w:val="en-IE"/>
        </w:rPr>
        <w:t>Whilst principles and methods are almost identical for aquatic and terrestrial pathogens in both Manuals, historically there have been minor differences in their practical application, mainly due to different production systems and epidemiological circumstances.</w:t>
      </w:r>
    </w:p>
    <w:p w14:paraId="042FC631" w14:textId="5D651917" w:rsidR="008F7AE3" w:rsidRPr="00FE0FE8" w:rsidRDefault="008F7AE3" w:rsidP="00667CDB">
      <w:pPr>
        <w:pStyle w:val="sumtexte"/>
        <w:tabs>
          <w:tab w:val="clear" w:pos="-720"/>
        </w:tabs>
        <w:ind w:left="562" w:right="562"/>
        <w:rPr>
          <w:strike/>
          <w:highlight w:val="yellow"/>
          <w:lang w:val="en-IE"/>
        </w:rPr>
      </w:pPr>
      <w:r w:rsidRPr="00FE0FE8">
        <w:rPr>
          <w:strike/>
          <w:highlight w:val="yellow"/>
          <w:lang w:val="en-IE"/>
        </w:rPr>
        <w:t>For example, in aquatic animals, population-based surveillance of apparently healthy animals and presumptive diagnosis of clinically affected animals, followed by confirmatory tests for a pathogen are required for a confirmed case. This testing strategy is applied to different li</w:t>
      </w:r>
      <w:r w:rsidR="00EE008C" w:rsidRPr="00FE0FE8">
        <w:rPr>
          <w:strike/>
          <w:highlight w:val="yellow"/>
          <w:lang w:val="en-IE"/>
        </w:rPr>
        <w:t>f</w:t>
      </w:r>
      <w:r w:rsidRPr="00FE0FE8">
        <w:rPr>
          <w:strike/>
          <w:highlight w:val="yellow"/>
          <w:lang w:val="en-IE"/>
        </w:rPr>
        <w:t xml:space="preserve">e stages </w:t>
      </w:r>
      <w:r w:rsidRPr="00FE0FE8">
        <w:rPr>
          <w:i w:val="0"/>
          <w:iCs w:val="0"/>
          <w:strike/>
          <w:highlight w:val="yellow"/>
          <w:lang w:val="en-IE"/>
        </w:rPr>
        <w:t>(</w:t>
      </w:r>
      <w:r w:rsidRPr="00FE0FE8">
        <w:rPr>
          <w:strike/>
          <w:highlight w:val="yellow"/>
          <w:lang w:val="en-IE"/>
        </w:rPr>
        <w:t>early, juvenile, adults</w:t>
      </w:r>
      <w:r w:rsidRPr="00FE0FE8">
        <w:rPr>
          <w:i w:val="0"/>
          <w:iCs w:val="0"/>
          <w:strike/>
          <w:highlight w:val="yellow"/>
          <w:lang w:val="en-IE"/>
        </w:rPr>
        <w:t>)</w:t>
      </w:r>
      <w:r w:rsidRPr="00FE0FE8">
        <w:rPr>
          <w:strike/>
          <w:highlight w:val="yellow"/>
          <w:lang w:val="en-IE"/>
        </w:rPr>
        <w:t xml:space="preserve"> and information about the validation level of the specified tests </w:t>
      </w:r>
      <w:r w:rsidRPr="00FE0FE8">
        <w:rPr>
          <w:i w:val="0"/>
          <w:iCs w:val="0"/>
          <w:strike/>
          <w:highlight w:val="yellow"/>
          <w:lang w:val="en-IE"/>
        </w:rPr>
        <w:t>(</w:t>
      </w:r>
      <w:r w:rsidRPr="00FE0FE8">
        <w:rPr>
          <w:strike/>
          <w:highlight w:val="yellow"/>
          <w:lang w:val="en-IE"/>
        </w:rPr>
        <w:t>1 = analytical characteristics, 2 = diagnostic characteristics, 3 = reproducibility, 4 = implementation</w:t>
      </w:r>
      <w:r w:rsidRPr="00FE0FE8">
        <w:rPr>
          <w:i w:val="0"/>
          <w:iCs w:val="0"/>
          <w:strike/>
          <w:highlight w:val="yellow"/>
          <w:lang w:val="en-IE"/>
        </w:rPr>
        <w:t>)</w:t>
      </w:r>
      <w:r w:rsidRPr="00FE0FE8">
        <w:rPr>
          <w:strike/>
          <w:highlight w:val="yellow"/>
          <w:lang w:val="en-IE"/>
        </w:rPr>
        <w:t xml:space="preserve"> is provided in the respective disease chapters.</w:t>
      </w:r>
    </w:p>
    <w:p w14:paraId="5C86077C" w14:textId="20749ED7" w:rsidR="008F7AE3" w:rsidRPr="008F7AE3" w:rsidRDefault="008F7AE3" w:rsidP="00667CDB">
      <w:pPr>
        <w:pStyle w:val="sumtexte"/>
        <w:tabs>
          <w:tab w:val="clear" w:pos="-720"/>
        </w:tabs>
        <w:ind w:left="562" w:right="562"/>
        <w:rPr>
          <w:u w:val="double"/>
          <w:lang w:val="en-IE"/>
        </w:rPr>
      </w:pPr>
      <w:r w:rsidRPr="00FE0FE8">
        <w:rPr>
          <w:strike/>
          <w:highlight w:val="yellow"/>
          <w:lang w:val="en-IE"/>
        </w:rPr>
        <w:t xml:space="preserve">The scope and purposes of the </w:t>
      </w:r>
      <w:r w:rsidRPr="00FE0FE8">
        <w:rPr>
          <w:i w:val="0"/>
          <w:iCs w:val="0"/>
          <w:strike/>
          <w:highlight w:val="yellow"/>
          <w:lang w:val="en-IE"/>
        </w:rPr>
        <w:t>Terrestrial Manual</w:t>
      </w:r>
      <w:r w:rsidRPr="00FE0FE8">
        <w:rPr>
          <w:strike/>
          <w:highlight w:val="yellow"/>
          <w:lang w:val="en-IE"/>
        </w:rPr>
        <w:t xml:space="preserve"> describe validation requirements that are slightly broader and more detailed mainly because they cover expanded testing purposes for populations as well as individuals. Serology is also widely used in terrestrial animal diagnostics, to demonstrate active and previous infections, whereas similar serological tests are not broadly applicable to aquatic animal diagnostic testing. Where available, diagnostic sensitivity and specificity estimates as well as case definitions are provided in the disease chapters in the </w:t>
      </w:r>
      <w:r w:rsidRPr="00FE0FE8">
        <w:rPr>
          <w:i w:val="0"/>
          <w:iCs w:val="0"/>
          <w:strike/>
          <w:highlight w:val="yellow"/>
          <w:lang w:val="en-IE"/>
        </w:rPr>
        <w:t>Terrestrial Manual</w:t>
      </w:r>
      <w:r w:rsidRPr="00FE0FE8">
        <w:rPr>
          <w:strike/>
          <w:highlight w:val="yellow"/>
          <w:lang w:val="en-IE"/>
        </w:rPr>
        <w:t>.</w:t>
      </w:r>
    </w:p>
    <w:p w14:paraId="4E810D9A" w14:textId="3D569491" w:rsidR="00667CDB" w:rsidRPr="008E20C4" w:rsidRDefault="00667CDB" w:rsidP="00667CDB">
      <w:pPr>
        <w:pStyle w:val="sumtexte"/>
        <w:tabs>
          <w:tab w:val="clear" w:pos="-720"/>
        </w:tabs>
        <w:ind w:left="562" w:right="562"/>
        <w:rPr>
          <w:lang w:val="en-IE"/>
        </w:rPr>
      </w:pPr>
      <w:r w:rsidRPr="008E20C4">
        <w:rPr>
          <w:lang w:val="en-IE"/>
        </w:rPr>
        <w:t>Validation is a process that determines the fitness of an assay</w:t>
      </w:r>
      <w:r w:rsidRPr="008E20C4">
        <w:rPr>
          <w:rStyle w:val="FootnoteReference"/>
          <w:rFonts w:cs="Arial"/>
          <w:lang w:val="en-IE"/>
        </w:rPr>
        <w:footnoteReference w:id="2"/>
      </w:r>
      <w:r w:rsidRPr="008E20C4">
        <w:rPr>
          <w:vertAlign w:val="superscript"/>
          <w:lang w:val="en-IE"/>
        </w:rPr>
        <w:t>,</w:t>
      </w:r>
      <w:r w:rsidRPr="008E20C4">
        <w:rPr>
          <w:lang w:val="en-IE"/>
        </w:rPr>
        <w:t xml:space="preserve"> which has been properly developed, </w:t>
      </w:r>
      <w:proofErr w:type="gramStart"/>
      <w:r w:rsidRPr="008E20C4">
        <w:rPr>
          <w:lang w:val="en-IE"/>
        </w:rPr>
        <w:t>optimised</w:t>
      </w:r>
      <w:proofErr w:type="gramEnd"/>
      <w:r w:rsidRPr="008E20C4">
        <w:rPr>
          <w:lang w:val="en-IE"/>
        </w:rPr>
        <w:t xml:space="preserve"> and standardised, for an intended purpose. All diagnostic assays </w:t>
      </w:r>
      <w:r w:rsidR="0084586F" w:rsidRPr="008E20C4">
        <w:rPr>
          <w:i w:val="0"/>
          <w:strike/>
          <w:lang w:val="en-IE"/>
        </w:rPr>
        <w:t>(</w:t>
      </w:r>
      <w:r w:rsidRPr="008E20C4">
        <w:rPr>
          <w:u w:val="double"/>
          <w:lang w:val="en-IE"/>
        </w:rPr>
        <w:t>regardless of whether they are used in the</w:t>
      </w:r>
      <w:r w:rsidRPr="008E20C4">
        <w:rPr>
          <w:lang w:val="en-IE"/>
        </w:rPr>
        <w:t xml:space="preserve"> laboratory </w:t>
      </w:r>
      <w:r w:rsidR="0084586F" w:rsidRPr="008E20C4">
        <w:rPr>
          <w:strike/>
          <w:lang w:val="en-IE"/>
        </w:rPr>
        <w:t>and field assays</w:t>
      </w:r>
      <w:r w:rsidR="0084586F" w:rsidRPr="008E20C4">
        <w:rPr>
          <w:i w:val="0"/>
          <w:strike/>
          <w:lang w:val="en-IE"/>
        </w:rPr>
        <w:t>)</w:t>
      </w:r>
      <w:r w:rsidR="0089300E" w:rsidRPr="008E20C4">
        <w:rPr>
          <w:i w:val="0"/>
          <w:strike/>
          <w:lang w:val="en-IE"/>
        </w:rPr>
        <w:t xml:space="preserve"> </w:t>
      </w:r>
      <w:r w:rsidRPr="008E20C4">
        <w:rPr>
          <w:u w:val="double"/>
          <w:lang w:val="en-IE"/>
        </w:rPr>
        <w:t>or as point-of-care tests</w:t>
      </w:r>
      <w:r w:rsidRPr="008E20C4">
        <w:rPr>
          <w:lang w:val="en-IE"/>
        </w:rPr>
        <w:t xml:space="preserve"> should be validated for the species </w:t>
      </w:r>
      <w:r w:rsidR="009C7602" w:rsidRPr="008E20C4">
        <w:rPr>
          <w:u w:val="double"/>
          <w:lang w:val="en-IE"/>
        </w:rPr>
        <w:t>and specimen</w:t>
      </w:r>
      <w:r w:rsidR="009C7602" w:rsidRPr="008E20C4">
        <w:rPr>
          <w:lang w:val="en-IE"/>
        </w:rPr>
        <w:t xml:space="preserve"> </w:t>
      </w:r>
      <w:r w:rsidRPr="008E20C4">
        <w:rPr>
          <w:lang w:val="en-IE"/>
        </w:rPr>
        <w:t xml:space="preserve">in which they will be used. Validation includes estimates of the analytical and diagnostic performance characteristics of a test. In the context of this chapter, an assay that has completed the first three stages of the validation pathway </w:t>
      </w:r>
      <w:r w:rsidRPr="008E20C4">
        <w:rPr>
          <w:i w:val="0"/>
          <w:lang w:val="en-IE"/>
        </w:rPr>
        <w:t>(</w:t>
      </w:r>
      <w:r w:rsidRPr="008E20C4">
        <w:rPr>
          <w:lang w:val="en-IE"/>
        </w:rPr>
        <w:t>see Figure 1 below</w:t>
      </w:r>
      <w:r w:rsidRPr="008E20C4">
        <w:rPr>
          <w:i w:val="0"/>
          <w:lang w:val="en-IE"/>
        </w:rPr>
        <w:t>),</w:t>
      </w:r>
      <w:r w:rsidRPr="008E20C4">
        <w:rPr>
          <w:lang w:val="en-IE"/>
        </w:rPr>
        <w:t xml:space="preserve"> including performance characterisation, can be designated as “validated for the original intended purpose</w:t>
      </w:r>
      <w:r w:rsidRPr="008E20C4">
        <w:rPr>
          <w:i w:val="0"/>
          <w:lang w:val="en-IE"/>
        </w:rPr>
        <w:t>(</w:t>
      </w:r>
      <w:r w:rsidRPr="008E20C4">
        <w:rPr>
          <w:lang w:val="en-IE"/>
        </w:rPr>
        <w:t>s</w:t>
      </w:r>
      <w:r w:rsidRPr="008E20C4">
        <w:rPr>
          <w:i w:val="0"/>
          <w:lang w:val="en-IE"/>
        </w:rPr>
        <w:t>)</w:t>
      </w:r>
      <w:r w:rsidRPr="008E20C4">
        <w:rPr>
          <w:lang w:val="en-IE"/>
        </w:rPr>
        <w:t xml:space="preserve">”. To maintain a validated assay status, however, </w:t>
      </w:r>
      <w:r w:rsidR="0084586F" w:rsidRPr="008E20C4">
        <w:rPr>
          <w:strike/>
          <w:lang w:val="en-IE"/>
        </w:rPr>
        <w:t>it is necessary to carefully monitor</w:t>
      </w:r>
      <w:r w:rsidR="0084586F" w:rsidRPr="008E20C4">
        <w:rPr>
          <w:lang w:val="en-IE"/>
        </w:rPr>
        <w:t xml:space="preserve"> </w:t>
      </w:r>
      <w:r w:rsidRPr="008E20C4">
        <w:rPr>
          <w:lang w:val="en-IE"/>
        </w:rPr>
        <w:t xml:space="preserve">the assay’s performance </w:t>
      </w:r>
      <w:r w:rsidR="00582FCC" w:rsidRPr="008E20C4">
        <w:rPr>
          <w:u w:val="double"/>
          <w:lang w:val="en-IE"/>
        </w:rPr>
        <w:t>should be carefully monitored</w:t>
      </w:r>
      <w:r w:rsidR="00582FCC" w:rsidRPr="008E20C4">
        <w:rPr>
          <w:lang w:val="en-IE"/>
        </w:rPr>
        <w:t xml:space="preserve"> </w:t>
      </w:r>
      <w:r w:rsidRPr="008E20C4">
        <w:rPr>
          <w:lang w:val="en-IE"/>
        </w:rPr>
        <w:t xml:space="preserve">under conditions of routine use, often by tracking the behaviour of assay controls </w:t>
      </w:r>
      <w:r w:rsidRPr="000F1FC4">
        <w:rPr>
          <w:strike/>
          <w:highlight w:val="yellow"/>
          <w:lang w:val="en-IE"/>
        </w:rPr>
        <w:t>over time</w:t>
      </w:r>
      <w:r w:rsidR="00C1696D" w:rsidRPr="000F1FC4">
        <w:rPr>
          <w:strike/>
          <w:lang w:val="en-IE"/>
        </w:rPr>
        <w:t xml:space="preserve"> </w:t>
      </w:r>
      <w:r w:rsidR="00C1696D" w:rsidRPr="008E20C4">
        <w:rPr>
          <w:u w:val="double"/>
          <w:lang w:val="en-IE"/>
        </w:rPr>
        <w:t>within each run and</w:t>
      </w:r>
      <w:r w:rsidR="00C1696D" w:rsidRPr="008E20C4">
        <w:rPr>
          <w:rFonts w:ascii="Times New Roman" w:hAnsi="Times New Roman" w:cs="Times New Roman"/>
          <w:i w:val="0"/>
          <w:iCs w:val="0"/>
          <w:sz w:val="20"/>
          <w:szCs w:val="20"/>
          <w:u w:val="double"/>
          <w:lang w:val="en-IE"/>
        </w:rPr>
        <w:t xml:space="preserve"> </w:t>
      </w:r>
      <w:r w:rsidR="00C1696D" w:rsidRPr="008E20C4">
        <w:rPr>
          <w:u w:val="double"/>
          <w:lang w:val="en-IE"/>
        </w:rPr>
        <w:t xml:space="preserve">through on-going assessment during routine diagnostic use in the targeted </w:t>
      </w:r>
      <w:r w:rsidR="00C1696D" w:rsidRPr="000F1FC4">
        <w:rPr>
          <w:u w:val="double"/>
          <w:lang w:val="en-IE"/>
        </w:rPr>
        <w:t>population</w:t>
      </w:r>
      <w:r w:rsidR="00400B2A" w:rsidRPr="000F1FC4">
        <w:rPr>
          <w:rFonts w:cstheme="minorHAnsi"/>
          <w:u w:val="double"/>
        </w:rPr>
        <w:t xml:space="preserve"> </w:t>
      </w:r>
      <w:r w:rsidR="00400B2A" w:rsidRPr="000F1FC4">
        <w:rPr>
          <w:rFonts w:cstheme="minorHAnsi"/>
          <w:highlight w:val="yellow"/>
          <w:u w:val="double"/>
        </w:rPr>
        <w:t xml:space="preserve">over </w:t>
      </w:r>
      <w:r w:rsidR="00400B2A" w:rsidRPr="00FE0FE8">
        <w:rPr>
          <w:rFonts w:cstheme="minorHAnsi"/>
          <w:highlight w:val="yellow"/>
          <w:u w:val="double"/>
        </w:rPr>
        <w:t>time</w:t>
      </w:r>
      <w:r w:rsidRPr="00FE0FE8">
        <w:rPr>
          <w:highlight w:val="yellow"/>
          <w:lang w:val="en-IE"/>
        </w:rPr>
        <w:t xml:space="preserve">. </w:t>
      </w:r>
      <w:r w:rsidRPr="00FE0FE8">
        <w:rPr>
          <w:strike/>
          <w:highlight w:val="yellow"/>
          <w:lang w:val="en-IE"/>
        </w:rPr>
        <w:t>This ensures that the assay, as originally validated, consistently maintains its performance characteristics.</w:t>
      </w:r>
      <w:r w:rsidRPr="00FE0FE8">
        <w:rPr>
          <w:strike/>
          <w:lang w:val="en-IE"/>
        </w:rPr>
        <w:t xml:space="preserve"> </w:t>
      </w:r>
      <w:r w:rsidRPr="008E20C4">
        <w:rPr>
          <w:lang w:val="en-IE"/>
        </w:rPr>
        <w:t>Should it no longer produce results consistent with the original validation data, the assay may be rendered unfit for its intended purpose</w:t>
      </w:r>
      <w:r w:rsidRPr="008E20C4">
        <w:rPr>
          <w:i w:val="0"/>
          <w:lang w:val="en-IE"/>
        </w:rPr>
        <w:t>(</w:t>
      </w:r>
      <w:r w:rsidRPr="008E20C4">
        <w:rPr>
          <w:lang w:val="en-IE"/>
        </w:rPr>
        <w:t>s</w:t>
      </w:r>
      <w:r w:rsidRPr="008E20C4">
        <w:rPr>
          <w:i w:val="0"/>
          <w:lang w:val="en-IE"/>
        </w:rPr>
        <w:t>).</w:t>
      </w:r>
      <w:r w:rsidRPr="008E20C4">
        <w:rPr>
          <w:lang w:val="en-IE"/>
        </w:rPr>
        <w:t xml:space="preserve"> </w:t>
      </w:r>
      <w:r w:rsidR="0084586F" w:rsidRPr="008E20C4">
        <w:rPr>
          <w:strike/>
          <w:lang w:val="en-IE"/>
        </w:rPr>
        <w:t>Thus, a validated assay is continuously assessed to assure it maintains its fitness for purpose through both the assessment of results of the assay controls included with each run and through on-going assessment during routine use in the targeted population.</w:t>
      </w:r>
      <w:r w:rsidR="009A65DA" w:rsidRPr="009A65DA">
        <w:rPr>
          <w:rFonts w:cstheme="minorHAnsi"/>
        </w:rPr>
        <w:t xml:space="preserve"> </w:t>
      </w:r>
    </w:p>
    <w:p w14:paraId="47F3A091" w14:textId="76CAE3A3" w:rsidR="00667CDB" w:rsidRPr="008E20C4" w:rsidRDefault="00667CDB" w:rsidP="740E9764">
      <w:pPr>
        <w:pStyle w:val="sumtexte"/>
        <w:rPr>
          <w:lang w:val="en-IE"/>
        </w:rPr>
      </w:pPr>
      <w:r w:rsidRPr="740E9764">
        <w:rPr>
          <w:lang w:val="en-IE"/>
        </w:rPr>
        <w:t xml:space="preserve">Assays applied to individuals or populations have many purposes, such as aiding in: documenting freedom from disease in a country or region, preventing spread of disease through trade, contributing to eradication of an infection from a region or country, confirming diagnosis of clinical cases, estimating infection prevalence to facilitate risk analysis, identifying infected animals toward implementation of control measures, and classifying animals for herd health or immune status post-vaccination. A single assay may be validated for one or more intended purposes by optimising its performance characteristics for each purpose, </w:t>
      </w:r>
      <w:proofErr w:type="gramStart"/>
      <w:r w:rsidRPr="740E9764">
        <w:rPr>
          <w:lang w:val="en-IE"/>
        </w:rPr>
        <w:t>e.g.</w:t>
      </w:r>
      <w:proofErr w:type="gramEnd"/>
      <w:r w:rsidRPr="740E9764">
        <w:rPr>
          <w:lang w:val="en-IE"/>
        </w:rPr>
        <w:t xml:space="preserve"> setting </w:t>
      </w:r>
      <w:r w:rsidRPr="740E9764">
        <w:rPr>
          <w:lang w:val="en-IE"/>
        </w:rPr>
        <w:lastRenderedPageBreak/>
        <w:t xml:space="preserve">diagnostic sensitivity </w:t>
      </w:r>
      <w:r w:rsidRPr="740E9764">
        <w:rPr>
          <w:i w:val="0"/>
          <w:iCs w:val="0"/>
          <w:lang w:val="en-IE"/>
        </w:rPr>
        <w:t>(</w:t>
      </w:r>
      <w:proofErr w:type="spellStart"/>
      <w:r w:rsidRPr="740E9764">
        <w:rPr>
          <w:lang w:val="en-IE"/>
        </w:rPr>
        <w:t>DSe</w:t>
      </w:r>
      <w:proofErr w:type="spellEnd"/>
      <w:r w:rsidRPr="740E9764">
        <w:rPr>
          <w:i w:val="0"/>
          <w:iCs w:val="0"/>
          <w:lang w:val="en-IE"/>
        </w:rPr>
        <w:t>)</w:t>
      </w:r>
      <w:r w:rsidRPr="740E9764">
        <w:rPr>
          <w:lang w:val="en-IE"/>
        </w:rPr>
        <w:t xml:space="preserve"> high, with associated lower diagnostic specificity </w:t>
      </w:r>
      <w:r w:rsidRPr="740E9764">
        <w:rPr>
          <w:i w:val="0"/>
          <w:iCs w:val="0"/>
          <w:lang w:val="en-IE"/>
        </w:rPr>
        <w:t>(</w:t>
      </w:r>
      <w:proofErr w:type="spellStart"/>
      <w:r w:rsidRPr="740E9764">
        <w:rPr>
          <w:lang w:val="en-IE"/>
        </w:rPr>
        <w:t>DSp</w:t>
      </w:r>
      <w:proofErr w:type="spellEnd"/>
      <w:r w:rsidRPr="740E9764">
        <w:rPr>
          <w:i w:val="0"/>
          <w:iCs w:val="0"/>
          <w:lang w:val="en-IE"/>
        </w:rPr>
        <w:t>)</w:t>
      </w:r>
      <w:r w:rsidRPr="740E9764">
        <w:rPr>
          <w:lang w:val="en-IE"/>
        </w:rPr>
        <w:t xml:space="preserve"> for a screening assay, or conversely, setting </w:t>
      </w:r>
      <w:proofErr w:type="spellStart"/>
      <w:r w:rsidRPr="740E9764">
        <w:rPr>
          <w:lang w:val="en-IE"/>
        </w:rPr>
        <w:t>DSp</w:t>
      </w:r>
      <w:proofErr w:type="spellEnd"/>
      <w:r w:rsidRPr="740E9764">
        <w:rPr>
          <w:lang w:val="en-IE"/>
        </w:rPr>
        <w:t xml:space="preserve"> high with associated lower </w:t>
      </w:r>
      <w:proofErr w:type="spellStart"/>
      <w:r w:rsidRPr="740E9764">
        <w:rPr>
          <w:lang w:val="en-IE"/>
        </w:rPr>
        <w:t>DSe</w:t>
      </w:r>
      <w:proofErr w:type="spellEnd"/>
      <w:r w:rsidRPr="740E9764">
        <w:rPr>
          <w:lang w:val="en-IE"/>
        </w:rPr>
        <w:t xml:space="preserve"> for a confirmatory assay</w:t>
      </w:r>
      <w:r w:rsidR="0089300E" w:rsidRPr="740E9764">
        <w:rPr>
          <w:lang w:val="en-IE"/>
        </w:rPr>
        <w:t xml:space="preserve"> </w:t>
      </w:r>
      <w:r w:rsidR="00B756D2" w:rsidRPr="740E9764">
        <w:rPr>
          <w:i w:val="0"/>
          <w:iCs w:val="0"/>
          <w:u w:val="double"/>
          <w:lang w:val="en-IE"/>
        </w:rPr>
        <w:t>(</w:t>
      </w:r>
      <w:r w:rsidR="00B756D2" w:rsidRPr="740E9764">
        <w:rPr>
          <w:u w:val="double"/>
          <w:lang w:val="en-IE"/>
        </w:rPr>
        <w:t xml:space="preserve">see </w:t>
      </w:r>
      <w:r w:rsidR="0049527E" w:rsidRPr="740E9764">
        <w:rPr>
          <w:u w:val="double"/>
          <w:lang w:val="en-IE"/>
        </w:rPr>
        <w:t>Section A.</w:t>
      </w:r>
      <w:r w:rsidR="00CF4BF3" w:rsidRPr="740E9764">
        <w:rPr>
          <w:u w:val="double"/>
          <w:lang w:val="en-IE"/>
        </w:rPr>
        <w:t xml:space="preserve">1 </w:t>
      </w:r>
      <w:r w:rsidR="00CF4BF3" w:rsidRPr="740E9764">
        <w:rPr>
          <w:i w:val="0"/>
          <w:iCs w:val="0"/>
          <w:u w:val="double"/>
          <w:lang w:val="en-IE"/>
        </w:rPr>
        <w:t>Definition of</w:t>
      </w:r>
      <w:r w:rsidR="0094799B" w:rsidRPr="740E9764">
        <w:rPr>
          <w:i w:val="0"/>
          <w:iCs w:val="0"/>
          <w:u w:val="double"/>
          <w:lang w:val="en-IE"/>
        </w:rPr>
        <w:t xml:space="preserve"> the intended </w:t>
      </w:r>
      <w:r w:rsidR="00CF4BF3" w:rsidRPr="740E9764">
        <w:rPr>
          <w:i w:val="0"/>
          <w:iCs w:val="0"/>
          <w:u w:val="double"/>
          <w:lang w:val="en-IE"/>
        </w:rPr>
        <w:t>purpose</w:t>
      </w:r>
      <w:r w:rsidR="0049527E" w:rsidRPr="740E9764">
        <w:rPr>
          <w:i w:val="0"/>
          <w:iCs w:val="0"/>
          <w:u w:val="double"/>
          <w:lang w:val="en-IE"/>
        </w:rPr>
        <w:t>(s)</w:t>
      </w:r>
      <w:r w:rsidR="0094799B" w:rsidRPr="740E9764">
        <w:rPr>
          <w:i w:val="0"/>
          <w:iCs w:val="0"/>
          <w:u w:val="double"/>
          <w:lang w:val="en-IE"/>
        </w:rPr>
        <w:t xml:space="preserve"> of an assay</w:t>
      </w:r>
      <w:r w:rsidR="00B756D2" w:rsidRPr="740E9764">
        <w:rPr>
          <w:i w:val="0"/>
          <w:iCs w:val="0"/>
          <w:u w:val="double"/>
          <w:lang w:val="en-IE"/>
        </w:rPr>
        <w:t>)</w:t>
      </w:r>
      <w:r w:rsidRPr="740E9764">
        <w:rPr>
          <w:lang w:val="en-IE"/>
        </w:rPr>
        <w:t>.</w:t>
      </w:r>
    </w:p>
    <w:p w14:paraId="29729BDE" w14:textId="313A47F9" w:rsidR="002A2317" w:rsidRPr="008E20C4" w:rsidRDefault="0084586F" w:rsidP="0089300E">
      <w:pPr>
        <w:pStyle w:val="sumtexte"/>
        <w:rPr>
          <w:lang w:val="en-IE"/>
        </w:rPr>
      </w:pPr>
      <w:r w:rsidRPr="008E20C4">
        <w:rPr>
          <w:strike/>
          <w:lang w:val="en-IE"/>
        </w:rPr>
        <w:t>The ever-changing repertoire of new and unique diagnostic reagents coupled with many novel assay platforms and protocols has precipitated discussions about how to properly validate these assays. It is no longer sufficient to offer simple examples from serological assays, such as the enzyme-linked immunosorbent assay, to guide assay developers in validating the more complex assays, such as nucleic acid detection tests. In order to bring coherence to the validation process for all types of assays,</w:t>
      </w:r>
      <w:r w:rsidR="0089300E" w:rsidRPr="008E20C4">
        <w:rPr>
          <w:strike/>
          <w:lang w:val="en-IE"/>
        </w:rPr>
        <w:t xml:space="preserve"> </w:t>
      </w:r>
      <w:proofErr w:type="gramStart"/>
      <w:r w:rsidR="00667CDB" w:rsidRPr="008E20C4">
        <w:rPr>
          <w:lang w:val="en-IE"/>
        </w:rPr>
        <w:t>This</w:t>
      </w:r>
      <w:proofErr w:type="gramEnd"/>
      <w:r w:rsidR="00667CDB" w:rsidRPr="008E20C4">
        <w:rPr>
          <w:lang w:val="en-IE"/>
        </w:rPr>
        <w:t xml:space="preserve"> chapter focuses on the criteria that must be fulfilled during assay development and validation of all assay types </w:t>
      </w:r>
      <w:r w:rsidR="00667CDB" w:rsidRPr="008E20C4">
        <w:rPr>
          <w:u w:val="double"/>
          <w:lang w:val="en-IE"/>
        </w:rPr>
        <w:t>and the metrics used to characterise test performance</w:t>
      </w:r>
      <w:r w:rsidR="006B0215" w:rsidRPr="008E20C4">
        <w:rPr>
          <w:lang w:val="en-IE"/>
        </w:rPr>
        <w:t>.</w:t>
      </w:r>
      <w:r w:rsidR="00667CDB" w:rsidRPr="008E20C4">
        <w:rPr>
          <w:lang w:val="en-IE"/>
        </w:rPr>
        <w:t xml:space="preserve"> The inclusion of assay development as part of the assay validation process may seem counterintuitive, </w:t>
      </w:r>
      <w:proofErr w:type="gramStart"/>
      <w:r w:rsidR="00667CDB" w:rsidRPr="008E20C4">
        <w:rPr>
          <w:lang w:val="en-IE"/>
        </w:rPr>
        <w:t>but in</w:t>
      </w:r>
      <w:r w:rsidR="005C1C41" w:rsidRPr="008E20C4">
        <w:rPr>
          <w:lang w:val="en-IE"/>
        </w:rPr>
        <w:t xml:space="preserve"> </w:t>
      </w:r>
      <w:r w:rsidR="00667CDB" w:rsidRPr="008E20C4">
        <w:rPr>
          <w:lang w:val="en-IE"/>
        </w:rPr>
        <w:t>reality, three</w:t>
      </w:r>
      <w:proofErr w:type="gramEnd"/>
      <w:r w:rsidR="00667CDB" w:rsidRPr="008E20C4">
        <w:rPr>
          <w:lang w:val="en-IE"/>
        </w:rPr>
        <w:t xml:space="preserve"> of the required validation criteria </w:t>
      </w:r>
      <w:r w:rsidR="00667CDB" w:rsidRPr="008E20C4">
        <w:rPr>
          <w:i w:val="0"/>
          <w:iCs w:val="0"/>
          <w:lang w:val="en-IE"/>
        </w:rPr>
        <w:t>(</w:t>
      </w:r>
      <w:r w:rsidR="00667CDB" w:rsidRPr="008E20C4">
        <w:rPr>
          <w:lang w:val="en-IE"/>
        </w:rPr>
        <w:t>definition of intended purpose</w:t>
      </w:r>
      <w:r w:rsidR="00667CDB" w:rsidRPr="008E20C4">
        <w:rPr>
          <w:i w:val="0"/>
          <w:iCs w:val="0"/>
          <w:lang w:val="en-IE"/>
        </w:rPr>
        <w:t>[</w:t>
      </w:r>
      <w:r w:rsidR="00667CDB" w:rsidRPr="008E20C4">
        <w:rPr>
          <w:lang w:val="en-IE"/>
        </w:rPr>
        <w:t>s</w:t>
      </w:r>
      <w:r w:rsidR="00667CDB" w:rsidRPr="008E20C4">
        <w:rPr>
          <w:i w:val="0"/>
          <w:iCs w:val="0"/>
          <w:lang w:val="en-IE"/>
        </w:rPr>
        <w:t>]</w:t>
      </w:r>
      <w:r w:rsidR="00667CDB" w:rsidRPr="008E20C4">
        <w:rPr>
          <w:lang w:val="en-IE"/>
        </w:rPr>
        <w:t>, optimisation, and standardisation</w:t>
      </w:r>
      <w:r w:rsidR="00667CDB" w:rsidRPr="008E20C4">
        <w:rPr>
          <w:i w:val="0"/>
          <w:iCs w:val="0"/>
          <w:lang w:val="en-IE"/>
        </w:rPr>
        <w:t>)</w:t>
      </w:r>
      <w:r w:rsidR="00667CDB" w:rsidRPr="008E20C4">
        <w:rPr>
          <w:lang w:val="en-IE"/>
        </w:rPr>
        <w:t xml:space="preserve"> that must be assessed in order to achieve a validated assay, comprise steps in the assay development process.</w:t>
      </w:r>
      <w:r w:rsidR="00AF2F8A" w:rsidRPr="008E20C4">
        <w:rPr>
          <w:lang w:val="en-IE"/>
        </w:rPr>
        <w:t xml:space="preserve"> </w:t>
      </w:r>
      <w:proofErr w:type="gramStart"/>
      <w:r w:rsidR="00667CDB" w:rsidRPr="008E20C4">
        <w:rPr>
          <w:lang w:val="en-IE"/>
        </w:rPr>
        <w:t>Accordingly</w:t>
      </w:r>
      <w:proofErr w:type="gramEnd"/>
      <w:r w:rsidR="00667CDB" w:rsidRPr="008E20C4">
        <w:rPr>
          <w:lang w:val="en-IE"/>
        </w:rPr>
        <w:t xml:space="preserve"> the assay development process seamlessly leads into an assay validation pathway, both of which require fulfilment of validation criteria. </w:t>
      </w:r>
      <w:r w:rsidR="00A03041" w:rsidRPr="008E20C4">
        <w:rPr>
          <w:strike/>
          <w:lang w:val="en-IE"/>
        </w:rPr>
        <w:t>Further, more</w:t>
      </w:r>
      <w:r w:rsidR="0089300E" w:rsidRPr="008E20C4">
        <w:rPr>
          <w:strike/>
          <w:lang w:val="en-IE"/>
        </w:rPr>
        <w:t xml:space="preserve"> </w:t>
      </w:r>
      <w:proofErr w:type="gramStart"/>
      <w:r w:rsidR="00667CDB" w:rsidRPr="008E20C4">
        <w:rPr>
          <w:u w:val="double"/>
          <w:lang w:val="en-IE"/>
        </w:rPr>
        <w:t>The</w:t>
      </w:r>
      <w:proofErr w:type="gramEnd"/>
      <w:r w:rsidR="00667CDB" w:rsidRPr="008E20C4">
        <w:rPr>
          <w:u w:val="double"/>
          <w:lang w:val="en-IE"/>
        </w:rPr>
        <w:t xml:space="preserve"> guiding principles described herein also apply to infectious diseases that are not </w:t>
      </w:r>
      <w:r w:rsidR="00907D25">
        <w:rPr>
          <w:u w:val="double"/>
          <w:lang w:val="en-IE"/>
        </w:rPr>
        <w:t>WOAH</w:t>
      </w:r>
      <w:r w:rsidR="00667CDB" w:rsidRPr="008E20C4">
        <w:rPr>
          <w:u w:val="double"/>
          <w:lang w:val="en-IE"/>
        </w:rPr>
        <w:t xml:space="preserve"> listed.</w:t>
      </w:r>
      <w:r w:rsidR="008C6A65" w:rsidRPr="008E20C4">
        <w:rPr>
          <w:u w:val="double"/>
          <w:lang w:val="en-IE"/>
        </w:rPr>
        <w:t xml:space="preserve"> </w:t>
      </w:r>
      <w:r w:rsidR="00667CDB" w:rsidRPr="008E20C4">
        <w:rPr>
          <w:u w:val="double"/>
          <w:lang w:val="en-IE"/>
        </w:rPr>
        <w:t>More</w:t>
      </w:r>
      <w:r w:rsidR="00667CDB" w:rsidRPr="008E20C4">
        <w:rPr>
          <w:lang w:val="en-IE"/>
        </w:rPr>
        <w:t xml:space="preserve"> detailed guidance is provided in a series of </w:t>
      </w:r>
      <w:r w:rsidR="00EB2CBC" w:rsidRPr="008E20C4">
        <w:rPr>
          <w:lang w:val="en-IE"/>
        </w:rPr>
        <w:t>r</w:t>
      </w:r>
      <w:r w:rsidR="00667CDB" w:rsidRPr="008E20C4">
        <w:rPr>
          <w:lang w:val="en-IE"/>
        </w:rPr>
        <w:t xml:space="preserve">ecommendations for validation of diagnostic tests </w:t>
      </w:r>
      <w:r w:rsidR="00667CDB" w:rsidRPr="008E20C4">
        <w:rPr>
          <w:i w:val="0"/>
          <w:iCs w:val="0"/>
          <w:lang w:val="en-IE"/>
        </w:rPr>
        <w:t>(</w:t>
      </w:r>
      <w:r w:rsidR="00667CDB" w:rsidRPr="008E20C4">
        <w:rPr>
          <w:lang w:val="en-IE"/>
        </w:rPr>
        <w:t>chapters 2.2.1 to 2.2.8</w:t>
      </w:r>
      <w:r w:rsidR="00667CDB" w:rsidRPr="008E20C4">
        <w:rPr>
          <w:i w:val="0"/>
          <w:iCs w:val="0"/>
          <w:lang w:val="en-IE"/>
        </w:rPr>
        <w:t>)</w:t>
      </w:r>
      <w:r w:rsidR="00667CDB" w:rsidRPr="008E20C4">
        <w:rPr>
          <w:lang w:val="en-IE"/>
        </w:rPr>
        <w:t xml:space="preserve"> that are tailored for several fundamentally different types of </w:t>
      </w:r>
      <w:proofErr w:type="gramStart"/>
      <w:r w:rsidR="00667CDB" w:rsidRPr="008E20C4">
        <w:rPr>
          <w:lang w:val="en-IE"/>
        </w:rPr>
        <w:t>assay</w:t>
      </w:r>
      <w:proofErr w:type="gramEnd"/>
      <w:r w:rsidR="00667CDB" w:rsidRPr="008E20C4">
        <w:rPr>
          <w:lang w:val="en-IE"/>
        </w:rPr>
        <w:t xml:space="preserve"> </w:t>
      </w:r>
      <w:r w:rsidR="00667CDB" w:rsidRPr="008E20C4">
        <w:rPr>
          <w:i w:val="0"/>
          <w:iCs w:val="0"/>
          <w:lang w:val="en-IE"/>
        </w:rPr>
        <w:t>(</w:t>
      </w:r>
      <w:r w:rsidR="00667CDB" w:rsidRPr="008E20C4">
        <w:rPr>
          <w:lang w:val="en-IE"/>
        </w:rPr>
        <w:t>e.g. detection of</w:t>
      </w:r>
      <w:r w:rsidR="009927E2" w:rsidRPr="008E20C4">
        <w:rPr>
          <w:lang w:val="en-IE"/>
        </w:rPr>
        <w:t xml:space="preserve"> </w:t>
      </w:r>
      <w:r w:rsidR="005C1C41" w:rsidRPr="008E20C4">
        <w:rPr>
          <w:u w:val="double"/>
          <w:lang w:val="en-IE"/>
        </w:rPr>
        <w:t>antibodies, antigen and</w:t>
      </w:r>
      <w:r w:rsidR="009927E2" w:rsidRPr="008E20C4">
        <w:rPr>
          <w:lang w:val="en-IE"/>
        </w:rPr>
        <w:t xml:space="preserve"> </w:t>
      </w:r>
      <w:r w:rsidR="00667CDB" w:rsidRPr="008E20C4">
        <w:rPr>
          <w:lang w:val="en-IE"/>
        </w:rPr>
        <w:t>nucleic acids</w:t>
      </w:r>
      <w:r w:rsidR="005C1C41" w:rsidRPr="008E20C4">
        <w:rPr>
          <w:i w:val="0"/>
          <w:iCs w:val="0"/>
          <w:u w:val="double"/>
          <w:lang w:val="en-IE"/>
        </w:rPr>
        <w:t>)</w:t>
      </w:r>
      <w:r w:rsidR="00537533" w:rsidRPr="008E20C4">
        <w:rPr>
          <w:strike/>
          <w:lang w:val="en-IE"/>
        </w:rPr>
        <w:t>,</w:t>
      </w:r>
      <w:r w:rsidR="00667CDB" w:rsidRPr="008E20C4">
        <w:rPr>
          <w:strike/>
          <w:lang w:val="en-IE"/>
        </w:rPr>
        <w:t xml:space="preserve"> antibodies, or antigens)</w:t>
      </w:r>
      <w:r w:rsidR="00667CDB" w:rsidRPr="008E20C4">
        <w:rPr>
          <w:lang w:val="en-IE"/>
        </w:rPr>
        <w:t xml:space="preserve"> and provide more information on specific issues related to the validation of diagnostic assa</w:t>
      </w:r>
      <w:r w:rsidR="000D5948" w:rsidRPr="008E20C4">
        <w:rPr>
          <w:lang w:val="en-IE"/>
        </w:rPr>
        <w:t xml:space="preserve">ys </w:t>
      </w:r>
      <w:r w:rsidR="000D5948" w:rsidRPr="008E20C4">
        <w:rPr>
          <w:i w:val="0"/>
          <w:iCs w:val="0"/>
          <w:lang w:val="en-IE"/>
        </w:rPr>
        <w:t>(</w:t>
      </w:r>
      <w:r w:rsidR="000D5948" w:rsidRPr="008E20C4">
        <w:rPr>
          <w:lang w:val="en-IE"/>
        </w:rPr>
        <w:t xml:space="preserve">Halpin </w:t>
      </w:r>
      <w:r w:rsidR="000D5948" w:rsidRPr="008E20C4">
        <w:rPr>
          <w:i w:val="0"/>
          <w:iCs w:val="0"/>
          <w:lang w:val="en-IE"/>
        </w:rPr>
        <w:t>et al.,</w:t>
      </w:r>
      <w:r w:rsidR="000D5948" w:rsidRPr="008E20C4">
        <w:rPr>
          <w:lang w:val="en-IE"/>
        </w:rPr>
        <w:t xml:space="preserve"> 2021</w:t>
      </w:r>
      <w:r w:rsidR="000D5948" w:rsidRPr="008E20C4">
        <w:rPr>
          <w:i w:val="0"/>
          <w:iCs w:val="0"/>
          <w:lang w:val="en-IE"/>
        </w:rPr>
        <w:t>)</w:t>
      </w:r>
      <w:r w:rsidR="00667CDB" w:rsidRPr="008E20C4">
        <w:rPr>
          <w:lang w:val="en-IE"/>
        </w:rPr>
        <w:t xml:space="preserve">. For specific information for wildlife species, refer to Chapter 2.2.7 </w:t>
      </w:r>
      <w:r w:rsidR="00667CDB" w:rsidRPr="008E20C4">
        <w:rPr>
          <w:rFonts w:eastAsiaTheme="majorEastAsia"/>
          <w:lang w:val="en-IE"/>
        </w:rPr>
        <w:t>Principles and methods for the validation of diagnostic tests for infectious diseases applicable to wildlife</w:t>
      </w:r>
      <w:r w:rsidR="0089300E" w:rsidRPr="008E20C4">
        <w:rPr>
          <w:lang w:val="en-IE"/>
        </w:rPr>
        <w:t xml:space="preserve"> </w:t>
      </w:r>
      <w:r w:rsidR="00C1696D" w:rsidRPr="008E20C4">
        <w:rPr>
          <w:rFonts w:eastAsiaTheme="majorEastAsia"/>
          <w:i w:val="0"/>
          <w:iCs w:val="0"/>
          <w:u w:val="double"/>
          <w:lang w:val="en-IE"/>
        </w:rPr>
        <w:t>(</w:t>
      </w:r>
      <w:r w:rsidR="00176AE4" w:rsidRPr="008E20C4">
        <w:rPr>
          <w:rFonts w:eastAsiaTheme="majorEastAsia"/>
          <w:u w:val="double"/>
          <w:lang w:val="en-IE"/>
        </w:rPr>
        <w:t xml:space="preserve">Jia </w:t>
      </w:r>
      <w:r w:rsidR="00176AE4" w:rsidRPr="008E20C4">
        <w:rPr>
          <w:rFonts w:eastAsiaTheme="majorEastAsia"/>
          <w:i w:val="0"/>
          <w:iCs w:val="0"/>
          <w:u w:val="double"/>
          <w:lang w:val="en-IE"/>
        </w:rPr>
        <w:t>et al</w:t>
      </w:r>
      <w:r w:rsidR="0089300E" w:rsidRPr="008E20C4">
        <w:rPr>
          <w:rFonts w:eastAsiaTheme="majorEastAsia"/>
          <w:i w:val="0"/>
          <w:iCs w:val="0"/>
          <w:u w:val="double"/>
          <w:lang w:val="en-IE"/>
        </w:rPr>
        <w:t>.,</w:t>
      </w:r>
      <w:r w:rsidR="00176AE4" w:rsidRPr="008E20C4">
        <w:rPr>
          <w:rFonts w:eastAsiaTheme="majorEastAsia"/>
          <w:u w:val="double"/>
          <w:lang w:val="en-IE"/>
        </w:rPr>
        <w:t xml:space="preserve"> 2020</w:t>
      </w:r>
      <w:r w:rsidR="0089300E" w:rsidRPr="008E20C4">
        <w:rPr>
          <w:rFonts w:eastAsiaTheme="majorEastAsia"/>
          <w:u w:val="double"/>
          <w:lang w:val="en-IE"/>
        </w:rPr>
        <w:t>;</w:t>
      </w:r>
      <w:r w:rsidR="00483FA4" w:rsidRPr="008E20C4">
        <w:rPr>
          <w:rFonts w:eastAsiaTheme="majorEastAsia"/>
          <w:u w:val="double"/>
          <w:lang w:val="en-IE"/>
        </w:rPr>
        <w:t xml:space="preserve"> Michel </w:t>
      </w:r>
      <w:r w:rsidR="00483FA4" w:rsidRPr="008E20C4">
        <w:rPr>
          <w:rFonts w:eastAsiaTheme="majorEastAsia"/>
          <w:i w:val="0"/>
          <w:iCs w:val="0"/>
          <w:u w:val="double"/>
          <w:lang w:val="en-IE"/>
        </w:rPr>
        <w:t>et al.</w:t>
      </w:r>
      <w:r w:rsidR="0089300E" w:rsidRPr="008E20C4">
        <w:rPr>
          <w:rFonts w:eastAsiaTheme="majorEastAsia"/>
          <w:i w:val="0"/>
          <w:iCs w:val="0"/>
          <w:u w:val="double"/>
          <w:lang w:val="en-IE"/>
        </w:rPr>
        <w:t>,</w:t>
      </w:r>
      <w:r w:rsidR="00483FA4" w:rsidRPr="008E20C4">
        <w:rPr>
          <w:rFonts w:eastAsiaTheme="majorEastAsia"/>
          <w:u w:val="double"/>
          <w:lang w:val="en-IE"/>
        </w:rPr>
        <w:t xml:space="preserve"> 2021</w:t>
      </w:r>
      <w:r w:rsidR="00C1696D" w:rsidRPr="008E20C4">
        <w:rPr>
          <w:rFonts w:eastAsiaTheme="majorEastAsia"/>
          <w:i w:val="0"/>
          <w:iCs w:val="0"/>
          <w:u w:val="double"/>
          <w:lang w:val="en-IE"/>
        </w:rPr>
        <w:t>)</w:t>
      </w:r>
      <w:r w:rsidR="0089300E" w:rsidRPr="008E20C4">
        <w:rPr>
          <w:i w:val="0"/>
          <w:iCs w:val="0"/>
          <w:lang w:val="en-IE"/>
        </w:rPr>
        <w:t xml:space="preserve">. </w:t>
      </w:r>
      <w:r w:rsidR="00667CDB" w:rsidRPr="008E20C4">
        <w:rPr>
          <w:lang w:val="en-IE"/>
        </w:rPr>
        <w:t>The information provided in chapter 2.2.7, which is specific to wildlife species, might also be useful for domestic animal test validation, for example, where the number or availability of samples is limited.</w:t>
      </w:r>
    </w:p>
    <w:p w14:paraId="51C69B59" w14:textId="79C6BDDC" w:rsidR="004C5C06" w:rsidRPr="008E20C4" w:rsidRDefault="00667CDB" w:rsidP="00282994">
      <w:pPr>
        <w:pStyle w:val="sumtextelastpara"/>
        <w:rPr>
          <w:u w:val="double"/>
          <w:lang w:val="en-IE"/>
        </w:rPr>
      </w:pPr>
      <w:r w:rsidRPr="008E20C4">
        <w:rPr>
          <w:u w:val="double"/>
          <w:lang w:val="en-IE" w:eastAsia="de-DE"/>
        </w:rPr>
        <w:t xml:space="preserve">An up-to-date compilation of the relevant validation standards </w:t>
      </w:r>
      <w:r w:rsidRPr="008E20C4">
        <w:rPr>
          <w:i w:val="0"/>
          <w:iCs w:val="0"/>
          <w:u w:val="double"/>
          <w:lang w:val="en-IE" w:eastAsia="de-DE"/>
        </w:rPr>
        <w:t>(</w:t>
      </w:r>
      <w:r w:rsidR="00907D25">
        <w:rPr>
          <w:u w:val="double"/>
          <w:lang w:val="en-IE" w:eastAsia="de-DE"/>
        </w:rPr>
        <w:t>WOAH</w:t>
      </w:r>
      <w:r w:rsidRPr="008E20C4">
        <w:rPr>
          <w:u w:val="double"/>
          <w:lang w:val="en-IE" w:eastAsia="de-DE"/>
        </w:rPr>
        <w:t xml:space="preserve"> and non-</w:t>
      </w:r>
      <w:r w:rsidR="00907D25">
        <w:rPr>
          <w:u w:val="double"/>
          <w:lang w:val="en-IE" w:eastAsia="de-DE"/>
        </w:rPr>
        <w:t>WOAH</w:t>
      </w:r>
      <w:r w:rsidRPr="008E20C4">
        <w:rPr>
          <w:i w:val="0"/>
          <w:iCs w:val="0"/>
          <w:u w:val="double"/>
          <w:lang w:val="en-IE" w:eastAsia="de-DE"/>
        </w:rPr>
        <w:t>)</w:t>
      </w:r>
      <w:r w:rsidRPr="008E20C4">
        <w:rPr>
          <w:u w:val="double"/>
          <w:lang w:val="en-IE" w:eastAsia="de-DE"/>
        </w:rPr>
        <w:t xml:space="preserve"> and guidance documents for all stages of diagnostic test validation and proficiency testing, including design, analysis</w:t>
      </w:r>
      <w:r w:rsidR="00E141AB">
        <w:rPr>
          <w:u w:val="double"/>
          <w:lang w:val="en-IE" w:eastAsia="de-DE"/>
        </w:rPr>
        <w:t xml:space="preserve">, </w:t>
      </w:r>
      <w:r w:rsidR="00E141AB" w:rsidRPr="00E141AB">
        <w:rPr>
          <w:highlight w:val="yellow"/>
          <w:u w:val="double"/>
          <w:lang w:val="en-IE" w:eastAsia="de-DE"/>
        </w:rPr>
        <w:t>interpretation</w:t>
      </w:r>
      <w:r w:rsidRPr="008E20C4">
        <w:rPr>
          <w:u w:val="double"/>
          <w:lang w:val="en-IE" w:eastAsia="de-DE"/>
        </w:rPr>
        <w:t xml:space="preserve"> as well as clear</w:t>
      </w:r>
      <w:r w:rsidR="00E141AB">
        <w:rPr>
          <w:u w:val="double"/>
          <w:lang w:val="en-IE" w:eastAsia="de-DE"/>
        </w:rPr>
        <w:t xml:space="preserve"> </w:t>
      </w:r>
      <w:r w:rsidR="00E141AB" w:rsidRPr="00E141AB">
        <w:rPr>
          <w:highlight w:val="yellow"/>
          <w:u w:val="double"/>
          <w:lang w:val="en-IE" w:eastAsia="de-DE"/>
        </w:rPr>
        <w:t>reporting and</w:t>
      </w:r>
      <w:r w:rsidRPr="008E20C4">
        <w:rPr>
          <w:u w:val="double"/>
          <w:lang w:val="en-IE" w:eastAsia="de-DE"/>
        </w:rPr>
        <w:t xml:space="preserve"> case studies </w:t>
      </w:r>
      <w:r w:rsidR="00E141AB">
        <w:rPr>
          <w:u w:val="double"/>
          <w:lang w:val="en-IE" w:eastAsia="de-DE"/>
        </w:rPr>
        <w:t>are</w:t>
      </w:r>
      <w:r w:rsidRPr="008E20C4">
        <w:rPr>
          <w:u w:val="double"/>
          <w:lang w:val="en-IE" w:eastAsia="de-DE"/>
        </w:rPr>
        <w:t xml:space="preserve"> provided in </w:t>
      </w:r>
      <w:r w:rsidR="00F73786" w:rsidRPr="008E20C4">
        <w:rPr>
          <w:u w:val="double"/>
          <w:lang w:val="en-IE" w:eastAsia="de-DE"/>
        </w:rPr>
        <w:t xml:space="preserve">the </w:t>
      </w:r>
      <w:r w:rsidR="00907D25">
        <w:rPr>
          <w:i w:val="0"/>
          <w:iCs w:val="0"/>
          <w:u w:val="double"/>
          <w:lang w:val="en-IE" w:eastAsia="de-DE"/>
        </w:rPr>
        <w:t>WOAH</w:t>
      </w:r>
      <w:r w:rsidR="00F73786" w:rsidRPr="008E20C4">
        <w:rPr>
          <w:i w:val="0"/>
          <w:iCs w:val="0"/>
          <w:u w:val="double"/>
          <w:lang w:val="en-IE" w:eastAsia="de-DE"/>
        </w:rPr>
        <w:t xml:space="preserve"> Scientific and Technical Review</w:t>
      </w:r>
      <w:r w:rsidR="00F73786" w:rsidRPr="008E20C4">
        <w:rPr>
          <w:u w:val="double"/>
          <w:lang w:val="en-IE" w:eastAsia="de-DE"/>
        </w:rPr>
        <w:t xml:space="preserve"> issue </w:t>
      </w:r>
      <w:r w:rsidRPr="008E20C4">
        <w:rPr>
          <w:u w:val="double"/>
          <w:lang w:val="en-IE" w:eastAsia="de-DE"/>
        </w:rPr>
        <w:t>Diagnostic Test Validation Science</w:t>
      </w:r>
      <w:r w:rsidR="00F73786" w:rsidRPr="008E20C4">
        <w:rPr>
          <w:u w:val="double"/>
          <w:lang w:val="en-IE" w:eastAsia="de-DE"/>
        </w:rPr>
        <w:t xml:space="preserve"> </w:t>
      </w:r>
      <w:r w:rsidR="00F73786" w:rsidRPr="008E20C4">
        <w:rPr>
          <w:i w:val="0"/>
          <w:iCs w:val="0"/>
          <w:u w:val="double"/>
          <w:lang w:val="en-IE" w:eastAsia="de-DE"/>
        </w:rPr>
        <w:t>(</w:t>
      </w:r>
      <w:r w:rsidRPr="008E20C4">
        <w:rPr>
          <w:u w:val="double"/>
          <w:lang w:val="en-IE" w:eastAsia="de-DE"/>
        </w:rPr>
        <w:t>Vol</w:t>
      </w:r>
      <w:r w:rsidR="00F73786" w:rsidRPr="008E20C4">
        <w:rPr>
          <w:u w:val="double"/>
          <w:lang w:val="en-IE" w:eastAsia="de-DE"/>
        </w:rPr>
        <w:t>.</w:t>
      </w:r>
      <w:r w:rsidRPr="008E20C4">
        <w:rPr>
          <w:u w:val="double"/>
          <w:lang w:val="en-IE" w:eastAsia="de-DE"/>
        </w:rPr>
        <w:t xml:space="preserve"> 40</w:t>
      </w:r>
      <w:r w:rsidR="00F73786" w:rsidRPr="008E20C4">
        <w:rPr>
          <w:u w:val="double"/>
          <w:lang w:val="en-IE" w:eastAsia="de-DE"/>
        </w:rPr>
        <w:t>, April 2021</w:t>
      </w:r>
      <w:r w:rsidRPr="008E20C4">
        <w:rPr>
          <w:i w:val="0"/>
          <w:iCs w:val="0"/>
          <w:u w:val="double"/>
          <w:lang w:val="en-IE" w:eastAsia="de-DE"/>
        </w:rPr>
        <w:t>)</w:t>
      </w:r>
      <w:r w:rsidRPr="008E20C4">
        <w:rPr>
          <w:u w:val="double"/>
          <w:lang w:val="en-IE" w:eastAsia="de-DE"/>
        </w:rPr>
        <w:t>.</w:t>
      </w:r>
      <w:r w:rsidR="00CD3F15" w:rsidRPr="008E20C4">
        <w:rPr>
          <w:u w:val="double"/>
          <w:lang w:val="en-IE" w:eastAsia="de-DE"/>
        </w:rPr>
        <w:t xml:space="preserve"> </w:t>
      </w:r>
      <w:r w:rsidR="00773F27" w:rsidRPr="008E20C4">
        <w:rPr>
          <w:u w:val="double"/>
          <w:lang w:val="en-IE" w:eastAsia="de-DE"/>
        </w:rPr>
        <w:t>Published s</w:t>
      </w:r>
      <w:r w:rsidR="00CD3F15" w:rsidRPr="008E20C4">
        <w:rPr>
          <w:u w:val="double"/>
          <w:lang w:val="en-IE" w:eastAsia="de-DE"/>
        </w:rPr>
        <w:t xml:space="preserve">tandards </w:t>
      </w:r>
      <w:r w:rsidR="00103F66" w:rsidRPr="008E20C4">
        <w:rPr>
          <w:u w:val="double"/>
          <w:lang w:val="en-IE" w:eastAsia="de-DE"/>
        </w:rPr>
        <w:t xml:space="preserve">for </w:t>
      </w:r>
      <w:r w:rsidR="00AF2F8A" w:rsidRPr="008E20C4">
        <w:rPr>
          <w:u w:val="double"/>
          <w:lang w:val="en-IE" w:eastAsia="de-DE"/>
        </w:rPr>
        <w:t xml:space="preserve">peer-reviewed </w:t>
      </w:r>
      <w:r w:rsidR="00103F66" w:rsidRPr="008E20C4">
        <w:rPr>
          <w:u w:val="double"/>
          <w:lang w:val="en-IE" w:eastAsia="de-DE"/>
        </w:rPr>
        <w:t xml:space="preserve">reporting of accuracy studies </w:t>
      </w:r>
      <w:r w:rsidR="00103F66" w:rsidRPr="008E20C4">
        <w:rPr>
          <w:i w:val="0"/>
          <w:iCs w:val="0"/>
          <w:u w:val="double"/>
          <w:lang w:val="en-IE" w:eastAsia="de-DE"/>
        </w:rPr>
        <w:t>(</w:t>
      </w:r>
      <w:r w:rsidR="00103F66" w:rsidRPr="008E20C4">
        <w:rPr>
          <w:u w:val="double"/>
          <w:lang w:val="en-IE" w:eastAsia="de-DE"/>
        </w:rPr>
        <w:t>STARD</w:t>
      </w:r>
      <w:r w:rsidR="00103F66" w:rsidRPr="008E20C4">
        <w:rPr>
          <w:i w:val="0"/>
          <w:iCs w:val="0"/>
          <w:u w:val="double"/>
          <w:lang w:val="en-IE" w:eastAsia="de-DE"/>
        </w:rPr>
        <w:t>)</w:t>
      </w:r>
      <w:r w:rsidR="00103F66" w:rsidRPr="008E20C4">
        <w:rPr>
          <w:u w:val="double"/>
          <w:lang w:val="en-IE" w:eastAsia="de-DE"/>
        </w:rPr>
        <w:t xml:space="preserve"> </w:t>
      </w:r>
      <w:r w:rsidR="00773F27" w:rsidRPr="008E20C4">
        <w:rPr>
          <w:u w:val="double"/>
          <w:lang w:val="en-IE" w:eastAsia="de-DE"/>
        </w:rPr>
        <w:t xml:space="preserve">are available </w:t>
      </w:r>
      <w:r w:rsidR="00103F66" w:rsidRPr="008E20C4">
        <w:rPr>
          <w:u w:val="double"/>
          <w:lang w:val="en-IE" w:eastAsia="de-DE"/>
        </w:rPr>
        <w:t xml:space="preserve">for infectious diseases of human, terrestrial </w:t>
      </w:r>
      <w:r w:rsidR="00103F66" w:rsidRPr="008E20C4">
        <w:rPr>
          <w:i w:val="0"/>
          <w:iCs w:val="0"/>
          <w:u w:val="double"/>
          <w:lang w:val="en-IE" w:eastAsia="de-DE"/>
        </w:rPr>
        <w:t>(</w:t>
      </w:r>
      <w:r w:rsidR="004066AF" w:rsidRPr="008E20C4">
        <w:rPr>
          <w:u w:val="double"/>
          <w:lang w:val="en-IE" w:eastAsia="de-DE"/>
        </w:rPr>
        <w:t>paratuberculosis</w:t>
      </w:r>
      <w:r w:rsidR="00103F66" w:rsidRPr="008E20C4">
        <w:rPr>
          <w:u w:val="double"/>
          <w:lang w:val="en-IE" w:eastAsia="de-DE"/>
        </w:rPr>
        <w:t xml:space="preserve">, </w:t>
      </w:r>
      <w:r w:rsidR="00F73786" w:rsidRPr="008E20C4">
        <w:rPr>
          <w:u w:val="double"/>
          <w:lang w:val="en-IE"/>
        </w:rPr>
        <w:t>Bayesian latent class model</w:t>
      </w:r>
      <w:r w:rsidR="00103F66" w:rsidRPr="008E20C4">
        <w:rPr>
          <w:i w:val="0"/>
          <w:iCs w:val="0"/>
          <w:u w:val="double"/>
          <w:lang w:val="en-IE" w:eastAsia="de-DE"/>
        </w:rPr>
        <w:t>)</w:t>
      </w:r>
      <w:r w:rsidR="00103F66" w:rsidRPr="008E20C4">
        <w:rPr>
          <w:u w:val="double"/>
          <w:lang w:val="en-IE" w:eastAsia="de-DE"/>
        </w:rPr>
        <w:t xml:space="preserve"> </w:t>
      </w:r>
      <w:r w:rsidR="00A96DF4" w:rsidRPr="008E20C4">
        <w:rPr>
          <w:i w:val="0"/>
          <w:iCs w:val="0"/>
          <w:u w:val="double"/>
          <w:lang w:val="en-IE" w:eastAsia="de-DE"/>
        </w:rPr>
        <w:t>(</w:t>
      </w:r>
      <w:proofErr w:type="spellStart"/>
      <w:r w:rsidR="00A96DF4" w:rsidRPr="008E20C4">
        <w:rPr>
          <w:u w:val="double"/>
          <w:lang w:val="en-IE"/>
        </w:rPr>
        <w:t>Bossuyt</w:t>
      </w:r>
      <w:proofErr w:type="spellEnd"/>
      <w:r w:rsidR="00A96DF4" w:rsidRPr="008E20C4">
        <w:rPr>
          <w:u w:val="double"/>
          <w:lang w:val="en-IE" w:eastAsia="de-DE"/>
        </w:rPr>
        <w:t xml:space="preserve"> </w:t>
      </w:r>
      <w:r w:rsidR="00A96DF4" w:rsidRPr="008E20C4">
        <w:rPr>
          <w:i w:val="0"/>
          <w:iCs w:val="0"/>
          <w:u w:val="double"/>
          <w:lang w:val="en-IE" w:eastAsia="de-DE"/>
        </w:rPr>
        <w:t>et al.,</w:t>
      </w:r>
      <w:r w:rsidR="00A96DF4" w:rsidRPr="008E20C4">
        <w:rPr>
          <w:u w:val="double"/>
          <w:lang w:val="en-IE" w:eastAsia="de-DE"/>
        </w:rPr>
        <w:t xml:space="preserve"> 2015; Gardner </w:t>
      </w:r>
      <w:r w:rsidR="00A96DF4" w:rsidRPr="008E20C4">
        <w:rPr>
          <w:i w:val="0"/>
          <w:iCs w:val="0"/>
          <w:u w:val="double"/>
          <w:lang w:val="en-IE" w:eastAsia="de-DE"/>
        </w:rPr>
        <w:t>et al.,</w:t>
      </w:r>
      <w:r w:rsidR="00A96DF4" w:rsidRPr="008E20C4">
        <w:rPr>
          <w:u w:val="double"/>
          <w:lang w:val="en-IE" w:eastAsia="de-DE"/>
        </w:rPr>
        <w:t xml:space="preserve"> 2011; </w:t>
      </w:r>
      <w:proofErr w:type="spellStart"/>
      <w:r w:rsidR="00474AF9" w:rsidRPr="008E20C4">
        <w:rPr>
          <w:u w:val="double"/>
          <w:shd w:val="clear" w:color="auto" w:fill="FFFFFF" w:themeFill="background1"/>
          <w:lang w:val="en-IE"/>
        </w:rPr>
        <w:t>Kostoulas</w:t>
      </w:r>
      <w:proofErr w:type="spellEnd"/>
      <w:r w:rsidR="00474AF9" w:rsidRPr="008E20C4">
        <w:rPr>
          <w:i w:val="0"/>
          <w:iCs w:val="0"/>
          <w:u w:val="double"/>
          <w:lang w:val="en-IE" w:eastAsia="de-DE"/>
        </w:rPr>
        <w:t xml:space="preserve"> et al., </w:t>
      </w:r>
      <w:r w:rsidR="00474AF9" w:rsidRPr="008E20C4">
        <w:rPr>
          <w:u w:val="double"/>
          <w:lang w:val="en-IE" w:eastAsia="de-DE"/>
        </w:rPr>
        <w:t>2017</w:t>
      </w:r>
      <w:r w:rsidR="00A96DF4" w:rsidRPr="008E20C4">
        <w:rPr>
          <w:i w:val="0"/>
          <w:iCs w:val="0"/>
          <w:u w:val="double"/>
          <w:lang w:val="en-IE" w:eastAsia="de-DE"/>
        </w:rPr>
        <w:t xml:space="preserve">) </w:t>
      </w:r>
      <w:r w:rsidR="00103F66" w:rsidRPr="008E20C4">
        <w:rPr>
          <w:u w:val="double"/>
          <w:lang w:val="en-IE" w:eastAsia="de-DE"/>
        </w:rPr>
        <w:t xml:space="preserve">and aquatic animals </w:t>
      </w:r>
      <w:r w:rsidR="00103F66" w:rsidRPr="008E20C4">
        <w:rPr>
          <w:i w:val="0"/>
          <w:iCs w:val="0"/>
          <w:u w:val="double"/>
          <w:lang w:val="en-IE" w:eastAsia="de-DE"/>
        </w:rPr>
        <w:t>(</w:t>
      </w:r>
      <w:r w:rsidR="00B51830" w:rsidRPr="008E20C4">
        <w:rPr>
          <w:u w:val="double"/>
          <w:lang w:val="en-IE" w:eastAsia="de-DE"/>
        </w:rPr>
        <w:t xml:space="preserve">Gardner </w:t>
      </w:r>
      <w:r w:rsidR="00B51830" w:rsidRPr="008E20C4">
        <w:rPr>
          <w:i w:val="0"/>
          <w:iCs w:val="0"/>
          <w:u w:val="double"/>
          <w:lang w:val="en-IE" w:eastAsia="de-DE"/>
        </w:rPr>
        <w:t>et al</w:t>
      </w:r>
      <w:r w:rsidR="00A96DF4" w:rsidRPr="008E20C4">
        <w:rPr>
          <w:i w:val="0"/>
          <w:iCs w:val="0"/>
          <w:u w:val="double"/>
          <w:lang w:val="en-IE" w:eastAsia="de-DE"/>
        </w:rPr>
        <w:t>.,</w:t>
      </w:r>
      <w:r w:rsidR="00B51830" w:rsidRPr="008E20C4">
        <w:rPr>
          <w:u w:val="double"/>
          <w:lang w:val="en-IE" w:eastAsia="de-DE"/>
        </w:rPr>
        <w:t xml:space="preserve"> 2019; </w:t>
      </w:r>
      <w:proofErr w:type="spellStart"/>
      <w:r w:rsidR="00103F66" w:rsidRPr="008E20C4">
        <w:rPr>
          <w:u w:val="double"/>
          <w:lang w:val="en-IE" w:eastAsia="de-DE"/>
        </w:rPr>
        <w:t>Kostoulas</w:t>
      </w:r>
      <w:proofErr w:type="spellEnd"/>
      <w:r w:rsidR="00103F66" w:rsidRPr="008E20C4">
        <w:rPr>
          <w:u w:val="double"/>
          <w:lang w:val="en-IE" w:eastAsia="de-DE"/>
        </w:rPr>
        <w:t xml:space="preserve"> </w:t>
      </w:r>
      <w:r w:rsidR="00103F66" w:rsidRPr="008E20C4">
        <w:rPr>
          <w:i w:val="0"/>
          <w:iCs w:val="0"/>
          <w:u w:val="double"/>
          <w:lang w:val="en-IE" w:eastAsia="de-DE"/>
        </w:rPr>
        <w:t>et al.</w:t>
      </w:r>
      <w:r w:rsidR="00D64890" w:rsidRPr="008E20C4">
        <w:rPr>
          <w:i w:val="0"/>
          <w:iCs w:val="0"/>
          <w:u w:val="double"/>
          <w:lang w:val="en-IE" w:eastAsia="de-DE"/>
        </w:rPr>
        <w:t>,</w:t>
      </w:r>
      <w:r w:rsidR="00D64890" w:rsidRPr="008E20C4">
        <w:rPr>
          <w:u w:val="double"/>
          <w:lang w:val="en-IE" w:eastAsia="de-DE"/>
        </w:rPr>
        <w:t xml:space="preserve"> </w:t>
      </w:r>
      <w:r w:rsidR="00103F66" w:rsidRPr="008E20C4">
        <w:rPr>
          <w:u w:val="double"/>
          <w:lang w:val="en-IE" w:eastAsia="de-DE"/>
        </w:rPr>
        <w:t>2021</w:t>
      </w:r>
      <w:r w:rsidR="00103F66" w:rsidRPr="008E20C4">
        <w:rPr>
          <w:i w:val="0"/>
          <w:iCs w:val="0"/>
          <w:u w:val="double"/>
          <w:lang w:val="en-IE" w:eastAsia="de-DE"/>
        </w:rPr>
        <w:t>)</w:t>
      </w:r>
      <w:r w:rsidR="00103F66" w:rsidRPr="008E20C4">
        <w:rPr>
          <w:u w:val="double"/>
          <w:lang w:val="en-IE" w:eastAsia="de-DE"/>
        </w:rPr>
        <w:t xml:space="preserve">. </w:t>
      </w:r>
      <w:r w:rsidR="00AA2DC8" w:rsidRPr="008E20C4">
        <w:rPr>
          <w:u w:val="double"/>
          <w:lang w:val="en-IE" w:eastAsia="de-DE"/>
        </w:rPr>
        <w:t xml:space="preserve">Verification </w:t>
      </w:r>
      <w:r w:rsidR="0094799B" w:rsidRPr="008E20C4">
        <w:rPr>
          <w:i w:val="0"/>
          <w:iCs w:val="0"/>
          <w:u w:val="double"/>
          <w:lang w:val="en-IE" w:eastAsia="de-DE"/>
        </w:rPr>
        <w:t>(</w:t>
      </w:r>
      <w:r w:rsidR="0094799B" w:rsidRPr="008E20C4">
        <w:rPr>
          <w:u w:val="double"/>
          <w:lang w:val="en-IE" w:eastAsia="de-DE"/>
        </w:rPr>
        <w:t xml:space="preserve">Kirkland </w:t>
      </w:r>
      <w:r w:rsidR="00CE12A0" w:rsidRPr="008E20C4">
        <w:rPr>
          <w:u w:val="double"/>
          <w:lang w:val="en-IE" w:eastAsia="en-AU"/>
        </w:rPr>
        <w:t>&amp; Newberry</w:t>
      </w:r>
      <w:r w:rsidR="00D64890" w:rsidRPr="008E20C4">
        <w:rPr>
          <w:i w:val="0"/>
          <w:iCs w:val="0"/>
          <w:u w:val="double"/>
          <w:lang w:val="en-IE" w:eastAsia="de-DE"/>
        </w:rPr>
        <w:t>,</w:t>
      </w:r>
      <w:r w:rsidR="0094799B" w:rsidRPr="008E20C4">
        <w:rPr>
          <w:u w:val="double"/>
          <w:lang w:val="en-IE" w:eastAsia="de-DE"/>
        </w:rPr>
        <w:t xml:space="preserve"> 2021</w:t>
      </w:r>
      <w:r w:rsidR="0094799B" w:rsidRPr="008E20C4">
        <w:rPr>
          <w:i w:val="0"/>
          <w:iCs w:val="0"/>
          <w:u w:val="double"/>
          <w:lang w:val="en-IE" w:eastAsia="de-DE"/>
        </w:rPr>
        <w:t>)</w:t>
      </w:r>
      <w:r w:rsidR="0094799B" w:rsidRPr="008E20C4">
        <w:rPr>
          <w:u w:val="double"/>
          <w:lang w:val="en-IE" w:eastAsia="de-DE"/>
        </w:rPr>
        <w:t xml:space="preserve"> </w:t>
      </w:r>
      <w:r w:rsidR="00AA2DC8" w:rsidRPr="008E20C4">
        <w:rPr>
          <w:u w:val="double"/>
          <w:lang w:val="en-IE" w:eastAsia="de-DE"/>
        </w:rPr>
        <w:t xml:space="preserve">and comparability studies </w:t>
      </w:r>
      <w:r w:rsidR="0094799B" w:rsidRPr="008E20C4">
        <w:rPr>
          <w:i w:val="0"/>
          <w:iCs w:val="0"/>
          <w:u w:val="double"/>
          <w:lang w:val="en-IE" w:eastAsia="de-DE"/>
        </w:rPr>
        <w:t>(</w:t>
      </w:r>
      <w:proofErr w:type="spellStart"/>
      <w:r w:rsidR="0094799B" w:rsidRPr="008E20C4">
        <w:rPr>
          <w:u w:val="double"/>
          <w:lang w:val="en-IE" w:eastAsia="de-DE"/>
        </w:rPr>
        <w:t>Reising</w:t>
      </w:r>
      <w:proofErr w:type="spellEnd"/>
      <w:r w:rsidR="0094799B" w:rsidRPr="008E20C4">
        <w:rPr>
          <w:u w:val="double"/>
          <w:lang w:val="en-IE" w:eastAsia="de-DE"/>
        </w:rPr>
        <w:t xml:space="preserve"> </w:t>
      </w:r>
      <w:r w:rsidR="0094799B" w:rsidRPr="008E20C4">
        <w:rPr>
          <w:i w:val="0"/>
          <w:iCs w:val="0"/>
          <w:u w:val="double"/>
          <w:lang w:val="en-IE" w:eastAsia="de-DE"/>
        </w:rPr>
        <w:t>et al.</w:t>
      </w:r>
      <w:r w:rsidR="00D64890" w:rsidRPr="008E20C4">
        <w:rPr>
          <w:i w:val="0"/>
          <w:iCs w:val="0"/>
          <w:u w:val="double"/>
          <w:lang w:val="en-IE" w:eastAsia="de-DE"/>
        </w:rPr>
        <w:t>,</w:t>
      </w:r>
      <w:r w:rsidR="00D64890" w:rsidRPr="008E20C4">
        <w:rPr>
          <w:u w:val="double"/>
          <w:lang w:val="en-IE" w:eastAsia="de-DE"/>
        </w:rPr>
        <w:t xml:space="preserve"> </w:t>
      </w:r>
      <w:r w:rsidR="0081113A" w:rsidRPr="008E20C4">
        <w:rPr>
          <w:u w:val="double"/>
          <w:lang w:val="en-IE" w:eastAsia="de-DE"/>
        </w:rPr>
        <w:t>2021</w:t>
      </w:r>
      <w:r w:rsidR="0094799B" w:rsidRPr="008E20C4">
        <w:rPr>
          <w:i w:val="0"/>
          <w:iCs w:val="0"/>
          <w:u w:val="double"/>
          <w:lang w:val="en-IE" w:eastAsia="de-DE"/>
        </w:rPr>
        <w:t>)</w:t>
      </w:r>
      <w:r w:rsidR="0094799B" w:rsidRPr="008E20C4">
        <w:rPr>
          <w:u w:val="double"/>
          <w:lang w:val="en-IE" w:eastAsia="de-DE"/>
        </w:rPr>
        <w:t xml:space="preserve"> </w:t>
      </w:r>
      <w:r w:rsidR="00AA2DC8" w:rsidRPr="008E20C4">
        <w:rPr>
          <w:u w:val="double"/>
          <w:lang w:val="en-IE" w:eastAsia="de-DE"/>
        </w:rPr>
        <w:t xml:space="preserve">are </w:t>
      </w:r>
      <w:r w:rsidR="00AF2F8A" w:rsidRPr="008E20C4">
        <w:rPr>
          <w:u w:val="double"/>
          <w:lang w:val="en-IE" w:eastAsia="de-DE"/>
        </w:rPr>
        <w:t>briefly</w:t>
      </w:r>
      <w:r w:rsidR="00AA2DC8" w:rsidRPr="008E20C4">
        <w:rPr>
          <w:u w:val="double"/>
          <w:lang w:val="en-IE" w:eastAsia="de-DE"/>
        </w:rPr>
        <w:t xml:space="preserve"> described </w:t>
      </w:r>
      <w:r w:rsidR="00AF2F8A" w:rsidRPr="008E20C4">
        <w:rPr>
          <w:u w:val="double"/>
          <w:lang w:val="en-IE" w:eastAsia="de-DE"/>
        </w:rPr>
        <w:t>at the end of</w:t>
      </w:r>
      <w:r w:rsidR="00AA2DC8" w:rsidRPr="008E20C4">
        <w:rPr>
          <w:u w:val="double"/>
          <w:lang w:val="en-IE" w:eastAsia="de-DE"/>
        </w:rPr>
        <w:t xml:space="preserve"> this chapter </w:t>
      </w:r>
      <w:r w:rsidR="00AF2F8A" w:rsidRPr="008E20C4">
        <w:rPr>
          <w:u w:val="double"/>
          <w:lang w:val="en-IE" w:eastAsia="de-DE"/>
        </w:rPr>
        <w:t>for</w:t>
      </w:r>
      <w:r w:rsidR="00AA2DC8" w:rsidRPr="008E20C4">
        <w:rPr>
          <w:u w:val="double"/>
          <w:lang w:val="en-IE" w:eastAsia="de-DE"/>
        </w:rPr>
        <w:t xml:space="preserve"> assay</w:t>
      </w:r>
      <w:r w:rsidR="00AF2F8A" w:rsidRPr="008E20C4">
        <w:rPr>
          <w:u w:val="double"/>
          <w:lang w:val="en-IE" w:eastAsia="de-DE"/>
        </w:rPr>
        <w:t>s</w:t>
      </w:r>
      <w:r w:rsidR="00AA2DC8" w:rsidRPr="008E20C4">
        <w:rPr>
          <w:u w:val="double"/>
          <w:lang w:val="en-IE" w:eastAsia="de-DE"/>
        </w:rPr>
        <w:t xml:space="preserve"> </w:t>
      </w:r>
      <w:r w:rsidR="004131CE" w:rsidRPr="008E20C4">
        <w:rPr>
          <w:u w:val="double"/>
          <w:lang w:val="en-IE" w:eastAsia="de-DE"/>
        </w:rPr>
        <w:t xml:space="preserve">that </w:t>
      </w:r>
      <w:r w:rsidR="00AA2DC8" w:rsidRPr="008E20C4">
        <w:rPr>
          <w:u w:val="double"/>
          <w:lang w:val="en-IE" w:eastAsia="de-DE"/>
        </w:rPr>
        <w:t>ha</w:t>
      </w:r>
      <w:r w:rsidR="00AF2F8A" w:rsidRPr="008E20C4">
        <w:rPr>
          <w:u w:val="double"/>
          <w:lang w:val="en-IE" w:eastAsia="de-DE"/>
        </w:rPr>
        <w:t>ve completed</w:t>
      </w:r>
      <w:r w:rsidR="004C26C0" w:rsidRPr="008E20C4">
        <w:rPr>
          <w:u w:val="double"/>
          <w:lang w:val="en-IE" w:eastAsia="de-DE"/>
        </w:rPr>
        <w:t xml:space="preserve"> at least stage 2 of the </w:t>
      </w:r>
      <w:r w:rsidR="00907D25">
        <w:rPr>
          <w:u w:val="double"/>
          <w:lang w:val="en-IE" w:eastAsia="de-DE"/>
        </w:rPr>
        <w:t>WOAH</w:t>
      </w:r>
      <w:r w:rsidR="004C26C0" w:rsidRPr="008E20C4">
        <w:rPr>
          <w:u w:val="double"/>
          <w:lang w:val="en-IE" w:eastAsia="de-DE"/>
        </w:rPr>
        <w:t xml:space="preserve"> pathway. </w:t>
      </w:r>
      <w:r w:rsidR="00E67EF3" w:rsidRPr="008E20C4">
        <w:rPr>
          <w:u w:val="double"/>
        </w:rPr>
        <w:t xml:space="preserve">There is a pressing need </w:t>
      </w:r>
      <w:r w:rsidR="004C5C06" w:rsidRPr="008E20C4">
        <w:rPr>
          <w:u w:val="double"/>
        </w:rPr>
        <w:t xml:space="preserve">to develop validation guidelines </w:t>
      </w:r>
      <w:r w:rsidR="00537533" w:rsidRPr="008E20C4">
        <w:rPr>
          <w:u w:val="double"/>
        </w:rPr>
        <w:t xml:space="preserve">and </w:t>
      </w:r>
      <w:r w:rsidR="004C5C06" w:rsidRPr="008E20C4">
        <w:rPr>
          <w:u w:val="double"/>
        </w:rPr>
        <w:t xml:space="preserve">standards for the rapidly increasing use of </w:t>
      </w:r>
      <w:r w:rsidR="00D153E0" w:rsidRPr="008E20C4">
        <w:rPr>
          <w:rFonts w:eastAsiaTheme="minorEastAsia"/>
          <w:u w:val="double"/>
        </w:rPr>
        <w:t>point-of-care</w:t>
      </w:r>
      <w:r w:rsidR="00540E85" w:rsidRPr="008E20C4">
        <w:rPr>
          <w:rFonts w:eastAsiaTheme="minorEastAsia"/>
          <w:u w:val="double"/>
        </w:rPr>
        <w:t xml:space="preserve"> </w:t>
      </w:r>
      <w:r w:rsidR="00D153E0" w:rsidRPr="008E20C4">
        <w:rPr>
          <w:rFonts w:eastAsiaTheme="minorEastAsia"/>
          <w:u w:val="double"/>
        </w:rPr>
        <w:t xml:space="preserve">tests </w:t>
      </w:r>
      <w:r w:rsidR="00D153E0" w:rsidRPr="008E20C4">
        <w:rPr>
          <w:rFonts w:eastAsiaTheme="minorEastAsia"/>
          <w:i w:val="0"/>
          <w:iCs w:val="0"/>
          <w:u w:val="double"/>
        </w:rPr>
        <w:t>(</w:t>
      </w:r>
      <w:r w:rsidR="004C5C06" w:rsidRPr="008E20C4">
        <w:rPr>
          <w:u w:val="double"/>
        </w:rPr>
        <w:t>POCTs</w:t>
      </w:r>
      <w:r w:rsidR="00D153E0" w:rsidRPr="008E20C4">
        <w:rPr>
          <w:i w:val="0"/>
          <w:iCs w:val="0"/>
          <w:u w:val="double"/>
        </w:rPr>
        <w:t>)</w:t>
      </w:r>
      <w:r w:rsidR="004C5C06" w:rsidRPr="008E20C4">
        <w:rPr>
          <w:i w:val="0"/>
          <w:iCs w:val="0"/>
          <w:u w:val="double"/>
        </w:rPr>
        <w:t>.</w:t>
      </w:r>
      <w:r w:rsidR="004C5C06" w:rsidRPr="008E20C4">
        <w:rPr>
          <w:u w:val="double"/>
        </w:rPr>
        <w:t xml:space="preserve"> </w:t>
      </w:r>
      <w:r w:rsidR="004C5C06" w:rsidRPr="008E20C4">
        <w:rPr>
          <w:rFonts w:eastAsiaTheme="minorEastAsia"/>
          <w:u w:val="double"/>
        </w:rPr>
        <w:t xml:space="preserve">Typically, POCTs are used in the field under varying environmental conditions, on a range of sample types collected in non-sterile settings, by operators with a diverse range of experience, </w:t>
      </w:r>
      <w:proofErr w:type="gramStart"/>
      <w:r w:rsidR="004C5C06" w:rsidRPr="008E20C4">
        <w:rPr>
          <w:rFonts w:eastAsiaTheme="minorEastAsia"/>
          <w:u w:val="double"/>
        </w:rPr>
        <w:t>training</w:t>
      </w:r>
      <w:proofErr w:type="gramEnd"/>
      <w:r w:rsidR="004C5C06" w:rsidRPr="008E20C4">
        <w:rPr>
          <w:rFonts w:eastAsiaTheme="minorEastAsia"/>
          <w:u w:val="double"/>
        </w:rPr>
        <w:t xml:space="preserve"> and proficiency. Field-testing</w:t>
      </w:r>
      <w:r w:rsidR="00A22FF2" w:rsidRPr="008E20C4">
        <w:rPr>
          <w:rFonts w:eastAsiaTheme="minorEastAsia"/>
          <w:u w:val="double"/>
        </w:rPr>
        <w:t xml:space="preserve"> </w:t>
      </w:r>
      <w:r w:rsidR="004C5C06" w:rsidRPr="008E20C4">
        <w:rPr>
          <w:rFonts w:eastAsiaTheme="minorEastAsia"/>
          <w:u w:val="double"/>
        </w:rPr>
        <w:t xml:space="preserve">conditions, including extreme variations in temperature and humidity, as well as other variables such as water and reagent quality, an inadequate cold chain, operator ability, and poor or non-existent </w:t>
      </w:r>
      <w:r w:rsidR="00D153E0" w:rsidRPr="008E20C4">
        <w:rPr>
          <w:rFonts w:eastAsiaTheme="minorEastAsia"/>
          <w:u w:val="double"/>
        </w:rPr>
        <w:t>quality assurance</w:t>
      </w:r>
      <w:r w:rsidR="004C5C06" w:rsidRPr="008E20C4">
        <w:rPr>
          <w:rFonts w:eastAsiaTheme="minorEastAsia"/>
          <w:u w:val="double"/>
        </w:rPr>
        <w:t xml:space="preserve"> systems, can all contribute to lower test accuracies than those reported by POCT manufacturers or obtained in an accredited laboratory</w:t>
      </w:r>
      <w:r w:rsidR="0049527E" w:rsidRPr="008E20C4">
        <w:rPr>
          <w:rFonts w:eastAsiaTheme="minorEastAsia"/>
          <w:u w:val="double"/>
        </w:rPr>
        <w:t xml:space="preserve"> </w:t>
      </w:r>
      <w:r w:rsidR="0049527E" w:rsidRPr="008E20C4">
        <w:rPr>
          <w:rFonts w:eastAsiaTheme="minorEastAsia"/>
          <w:i w:val="0"/>
          <w:iCs w:val="0"/>
          <w:u w:val="double"/>
        </w:rPr>
        <w:t>(</w:t>
      </w:r>
      <w:r w:rsidR="0049527E" w:rsidRPr="008E20C4">
        <w:rPr>
          <w:rFonts w:eastAsiaTheme="minorEastAsia"/>
          <w:u w:val="double"/>
        </w:rPr>
        <w:t xml:space="preserve">see Figure 1 </w:t>
      </w:r>
      <w:r w:rsidR="0068407A" w:rsidRPr="008E20C4">
        <w:rPr>
          <w:rFonts w:eastAsiaTheme="minorEastAsia"/>
          <w:u w:val="double"/>
        </w:rPr>
        <w:t xml:space="preserve">Stage </w:t>
      </w:r>
      <w:r w:rsidR="0049527E" w:rsidRPr="008E20C4">
        <w:rPr>
          <w:rFonts w:eastAsiaTheme="minorEastAsia"/>
          <w:u w:val="double"/>
        </w:rPr>
        <w:t>5</w:t>
      </w:r>
      <w:r w:rsidR="0049527E" w:rsidRPr="008E20C4">
        <w:rPr>
          <w:rFonts w:eastAsiaTheme="minorEastAsia"/>
          <w:i w:val="0"/>
          <w:iCs w:val="0"/>
          <w:u w:val="double"/>
        </w:rPr>
        <w:t>)</w:t>
      </w:r>
      <w:r w:rsidR="002E49D8" w:rsidRPr="008E20C4">
        <w:rPr>
          <w:rFonts w:eastAsiaTheme="minorEastAsia"/>
          <w:i w:val="0"/>
          <w:iCs w:val="0"/>
          <w:u w:val="double"/>
        </w:rPr>
        <w:t>.</w:t>
      </w:r>
      <w:r w:rsidR="002E49D8" w:rsidRPr="008E20C4">
        <w:rPr>
          <w:rFonts w:eastAsiaTheme="minorEastAsia"/>
          <w:u w:val="double"/>
        </w:rPr>
        <w:t xml:space="preserve"> The consequences of a positive test result and the need for confirmatory testing </w:t>
      </w:r>
      <w:r w:rsidR="00282994" w:rsidRPr="008E20C4">
        <w:rPr>
          <w:rFonts w:eastAsiaTheme="minorEastAsia"/>
          <w:u w:val="double"/>
        </w:rPr>
        <w:t xml:space="preserve">and reporting </w:t>
      </w:r>
      <w:r w:rsidR="002E49D8" w:rsidRPr="008E20C4">
        <w:rPr>
          <w:rFonts w:eastAsiaTheme="minorEastAsia"/>
          <w:u w:val="double"/>
        </w:rPr>
        <w:t xml:space="preserve">by an accredited laboratory </w:t>
      </w:r>
      <w:proofErr w:type="gramStart"/>
      <w:r w:rsidR="00282994" w:rsidRPr="008E20C4">
        <w:rPr>
          <w:rFonts w:eastAsiaTheme="minorEastAsia"/>
          <w:u w:val="double"/>
        </w:rPr>
        <w:t>in particular when</w:t>
      </w:r>
      <w:proofErr w:type="gramEnd"/>
      <w:r w:rsidR="00282994" w:rsidRPr="008E20C4">
        <w:rPr>
          <w:rFonts w:eastAsiaTheme="minorEastAsia"/>
          <w:u w:val="double"/>
        </w:rPr>
        <w:t xml:space="preserve"> performing a test for an exotic disease need to be embedded in existing testing policies and guidelines. POCT-specific standards and recommendations</w:t>
      </w:r>
      <w:r w:rsidR="00D153E0" w:rsidRPr="008E20C4">
        <w:rPr>
          <w:rFonts w:eastAsiaTheme="minorEastAsia"/>
          <w:u w:val="double"/>
        </w:rPr>
        <w:t>,</w:t>
      </w:r>
      <w:r w:rsidR="00282994" w:rsidRPr="008E20C4">
        <w:rPr>
          <w:rFonts w:eastAsiaTheme="minorEastAsia"/>
          <w:u w:val="double"/>
        </w:rPr>
        <w:t xml:space="preserve"> </w:t>
      </w:r>
      <w:r w:rsidR="00A22FF2" w:rsidRPr="008E20C4">
        <w:rPr>
          <w:rFonts w:eastAsiaTheme="minorEastAsia"/>
          <w:u w:val="double"/>
        </w:rPr>
        <w:t xml:space="preserve">such as </w:t>
      </w:r>
      <w:r w:rsidR="00282994" w:rsidRPr="008E20C4">
        <w:rPr>
          <w:rFonts w:eastAsiaTheme="minorEastAsia"/>
          <w:u w:val="double"/>
        </w:rPr>
        <w:t>the point-of-care key evidence tool (POCKET)</w:t>
      </w:r>
      <w:r w:rsidR="00A22FF2" w:rsidRPr="008E20C4">
        <w:rPr>
          <w:rFonts w:eastAsiaTheme="minorEastAsia"/>
          <w:u w:val="double"/>
        </w:rPr>
        <w:t xml:space="preserve"> </w:t>
      </w:r>
      <w:r w:rsidR="00282994" w:rsidRPr="008E20C4">
        <w:rPr>
          <w:rFonts w:eastAsiaTheme="minorEastAsia"/>
          <w:u w:val="double"/>
        </w:rPr>
        <w:t>checklist for multi-dimensional evidence reporting;</w:t>
      </w:r>
      <w:r w:rsidR="00A22FF2" w:rsidRPr="008E20C4">
        <w:rPr>
          <w:rFonts w:eastAsiaTheme="minorEastAsia"/>
          <w:u w:val="double"/>
        </w:rPr>
        <w:t xml:space="preserve"> </w:t>
      </w:r>
      <w:r w:rsidR="00282994" w:rsidRPr="008E20C4">
        <w:rPr>
          <w:rFonts w:eastAsiaTheme="minorEastAsia"/>
          <w:u w:val="double"/>
        </w:rPr>
        <w:t>scorecards and guidelines for POCT evaluation; and</w:t>
      </w:r>
      <w:r w:rsidR="00A22FF2" w:rsidRPr="008E20C4">
        <w:rPr>
          <w:rFonts w:eastAsiaTheme="minorEastAsia"/>
          <w:u w:val="double"/>
        </w:rPr>
        <w:t xml:space="preserve"> </w:t>
      </w:r>
      <w:r w:rsidR="00282994" w:rsidRPr="008E20C4">
        <w:rPr>
          <w:rFonts w:eastAsiaTheme="minorEastAsia"/>
          <w:u w:val="double"/>
        </w:rPr>
        <w:t>guidelines on quality practices in non-instrumented POCTs</w:t>
      </w:r>
      <w:r w:rsidR="00A22FF2" w:rsidRPr="008E20C4">
        <w:rPr>
          <w:rFonts w:eastAsiaTheme="minorEastAsia"/>
          <w:u w:val="double"/>
        </w:rPr>
        <w:t xml:space="preserve"> </w:t>
      </w:r>
      <w:r w:rsidR="00282994" w:rsidRPr="008E20C4">
        <w:rPr>
          <w:rFonts w:eastAsiaTheme="minorEastAsia"/>
          <w:i w:val="0"/>
          <w:iCs w:val="0"/>
          <w:u w:val="double"/>
        </w:rPr>
        <w:t>(</w:t>
      </w:r>
      <w:proofErr w:type="gramStart"/>
      <w:r w:rsidR="00282994" w:rsidRPr="008E20C4">
        <w:rPr>
          <w:rFonts w:eastAsiaTheme="minorEastAsia"/>
          <w:u w:val="double"/>
        </w:rPr>
        <w:t>i.e.</w:t>
      </w:r>
      <w:proofErr w:type="gramEnd"/>
      <w:r w:rsidR="00282994" w:rsidRPr="008E20C4">
        <w:rPr>
          <w:rFonts w:eastAsiaTheme="minorEastAsia"/>
          <w:u w:val="double"/>
        </w:rPr>
        <w:t xml:space="preserve"> those that do not require a specific piece of equipment</w:t>
      </w:r>
      <w:r w:rsidR="00282994" w:rsidRPr="008E20C4">
        <w:rPr>
          <w:rFonts w:eastAsiaTheme="minorEastAsia"/>
          <w:i w:val="0"/>
          <w:iCs w:val="0"/>
          <w:u w:val="double"/>
        </w:rPr>
        <w:t>)</w:t>
      </w:r>
      <w:r w:rsidR="00A22FF2" w:rsidRPr="008E20C4">
        <w:rPr>
          <w:rFonts w:eastAsiaTheme="minorEastAsia"/>
          <w:i w:val="0"/>
          <w:iCs w:val="0"/>
          <w:u w:val="double"/>
        </w:rPr>
        <w:t xml:space="preserve"> </w:t>
      </w:r>
      <w:r w:rsidR="0076610B" w:rsidRPr="008E20C4">
        <w:rPr>
          <w:rFonts w:eastAsiaTheme="minorEastAsia"/>
          <w:u w:val="double"/>
        </w:rPr>
        <w:t>and ISO/TS</w:t>
      </w:r>
      <w:r w:rsidR="006A7382" w:rsidRPr="008E20C4">
        <w:rPr>
          <w:rFonts w:eastAsiaTheme="minorEastAsia"/>
          <w:u w:val="double"/>
        </w:rPr>
        <w:t xml:space="preserve"> </w:t>
      </w:r>
      <w:r w:rsidR="0076610B" w:rsidRPr="008E20C4">
        <w:rPr>
          <w:rFonts w:eastAsiaTheme="minorEastAsia"/>
          <w:u w:val="double"/>
        </w:rPr>
        <w:t>22583</w:t>
      </w:r>
      <w:r w:rsidR="006A7382" w:rsidRPr="008E20C4">
        <w:rPr>
          <w:rFonts w:eastAsiaTheme="minorEastAsia"/>
          <w:u w:val="double"/>
        </w:rPr>
        <w:t>:</w:t>
      </w:r>
      <w:r w:rsidR="0076610B" w:rsidRPr="008E20C4">
        <w:rPr>
          <w:rFonts w:eastAsiaTheme="minorEastAsia"/>
          <w:u w:val="double"/>
        </w:rPr>
        <w:t xml:space="preserve">2019 </w:t>
      </w:r>
      <w:r w:rsidR="006A7382" w:rsidRPr="008E20C4">
        <w:rPr>
          <w:rFonts w:eastAsiaTheme="minorEastAsia"/>
          <w:u w:val="double"/>
        </w:rPr>
        <w:t xml:space="preserve">Guidance for supervisors and operators for POCT devices </w:t>
      </w:r>
      <w:r w:rsidR="00321703" w:rsidRPr="008E20C4">
        <w:rPr>
          <w:rFonts w:eastAsiaTheme="minorEastAsia"/>
          <w:u w:val="double"/>
        </w:rPr>
        <w:t xml:space="preserve">provide guidance </w:t>
      </w:r>
      <w:r w:rsidR="00282994" w:rsidRPr="008E20C4">
        <w:rPr>
          <w:rFonts w:eastAsiaTheme="minorEastAsia"/>
          <w:u w:val="double"/>
        </w:rPr>
        <w:t>for healthcare workers</w:t>
      </w:r>
      <w:r w:rsidR="00270DD5" w:rsidRPr="008E20C4">
        <w:rPr>
          <w:rFonts w:eastAsiaTheme="minorEastAsia"/>
          <w:u w:val="double"/>
        </w:rPr>
        <w:t>.</w:t>
      </w:r>
      <w:r w:rsidR="00282994" w:rsidRPr="008E20C4">
        <w:rPr>
          <w:rFonts w:eastAsiaTheme="minorEastAsia"/>
          <w:u w:val="double"/>
        </w:rPr>
        <w:t xml:space="preserve"> In some countries, such as</w:t>
      </w:r>
      <w:r w:rsidR="00A22FF2" w:rsidRPr="008E20C4">
        <w:rPr>
          <w:rFonts w:eastAsiaTheme="minorEastAsia"/>
          <w:u w:val="double"/>
        </w:rPr>
        <w:t xml:space="preserve"> </w:t>
      </w:r>
      <w:r w:rsidR="00282994" w:rsidRPr="008E20C4">
        <w:rPr>
          <w:rFonts w:eastAsiaTheme="minorEastAsia"/>
          <w:u w:val="double"/>
        </w:rPr>
        <w:t>Germany, POCTs that detect notifiable and reportable</w:t>
      </w:r>
      <w:r w:rsidR="00A22FF2" w:rsidRPr="008E20C4">
        <w:rPr>
          <w:rFonts w:eastAsiaTheme="minorEastAsia"/>
          <w:u w:val="double"/>
        </w:rPr>
        <w:t xml:space="preserve"> </w:t>
      </w:r>
      <w:r w:rsidR="00282994" w:rsidRPr="008E20C4">
        <w:rPr>
          <w:rFonts w:eastAsiaTheme="minorEastAsia"/>
          <w:u w:val="double"/>
        </w:rPr>
        <w:t>animal diseases require formal authorisation by the national</w:t>
      </w:r>
      <w:r w:rsidR="00A22FF2" w:rsidRPr="008E20C4">
        <w:rPr>
          <w:rFonts w:eastAsiaTheme="minorEastAsia"/>
          <w:u w:val="double"/>
        </w:rPr>
        <w:t xml:space="preserve"> </w:t>
      </w:r>
      <w:r w:rsidR="00282994" w:rsidRPr="008E20C4">
        <w:rPr>
          <w:rFonts w:eastAsiaTheme="minorEastAsia"/>
          <w:u w:val="double"/>
        </w:rPr>
        <w:t>licensing authority. In other countries, POCT accreditation</w:t>
      </w:r>
      <w:r w:rsidR="00A22FF2" w:rsidRPr="008E20C4">
        <w:rPr>
          <w:rFonts w:eastAsiaTheme="minorEastAsia"/>
          <w:u w:val="double"/>
        </w:rPr>
        <w:t xml:space="preserve"> </w:t>
      </w:r>
      <w:r w:rsidR="00282994" w:rsidRPr="008E20C4">
        <w:rPr>
          <w:rFonts w:eastAsiaTheme="minorEastAsia"/>
          <w:u w:val="double"/>
        </w:rPr>
        <w:t>with organisations such as the World Organisation for Animal</w:t>
      </w:r>
      <w:r w:rsidR="00A22FF2" w:rsidRPr="008E20C4">
        <w:rPr>
          <w:rFonts w:eastAsiaTheme="minorEastAsia"/>
          <w:u w:val="double"/>
        </w:rPr>
        <w:t xml:space="preserve"> </w:t>
      </w:r>
      <w:r w:rsidR="00282994" w:rsidRPr="008E20C4">
        <w:rPr>
          <w:rFonts w:eastAsiaTheme="minorEastAsia"/>
          <w:u w:val="double"/>
        </w:rPr>
        <w:t xml:space="preserve">Health </w:t>
      </w:r>
      <w:r w:rsidR="00282994" w:rsidRPr="008E20C4">
        <w:rPr>
          <w:rFonts w:eastAsiaTheme="minorEastAsia"/>
          <w:i w:val="0"/>
          <w:iCs w:val="0"/>
          <w:u w:val="double"/>
        </w:rPr>
        <w:t>(</w:t>
      </w:r>
      <w:r w:rsidR="00D153E0" w:rsidRPr="008E20C4">
        <w:rPr>
          <w:rFonts w:eastAsiaTheme="minorEastAsia"/>
          <w:u w:val="double"/>
        </w:rPr>
        <w:t>founded as the OIE</w:t>
      </w:r>
      <w:r w:rsidR="00282994" w:rsidRPr="008E20C4">
        <w:rPr>
          <w:rFonts w:eastAsiaTheme="minorEastAsia"/>
          <w:i w:val="0"/>
          <w:iCs w:val="0"/>
          <w:u w:val="double"/>
        </w:rPr>
        <w:t>)</w:t>
      </w:r>
      <w:r w:rsidR="00282994" w:rsidRPr="008E20C4">
        <w:rPr>
          <w:rFonts w:eastAsiaTheme="minorEastAsia"/>
          <w:u w:val="double"/>
        </w:rPr>
        <w:t xml:space="preserve"> and national testing authorities is encouraged</w:t>
      </w:r>
      <w:r w:rsidR="00A22FF2" w:rsidRPr="008E20C4">
        <w:rPr>
          <w:rFonts w:eastAsiaTheme="minorEastAsia"/>
          <w:u w:val="double"/>
        </w:rPr>
        <w:t xml:space="preserve"> </w:t>
      </w:r>
      <w:r w:rsidR="00282994" w:rsidRPr="008E20C4">
        <w:rPr>
          <w:rFonts w:eastAsiaTheme="minorEastAsia"/>
          <w:u w:val="double"/>
        </w:rPr>
        <w:t xml:space="preserve">but not mandatory </w:t>
      </w:r>
      <w:r w:rsidR="002E49D8" w:rsidRPr="008E20C4">
        <w:rPr>
          <w:rFonts w:eastAsiaTheme="minorEastAsia"/>
          <w:u w:val="double"/>
        </w:rPr>
        <w:t>(</w:t>
      </w:r>
      <w:r w:rsidR="00321703" w:rsidRPr="008E20C4">
        <w:rPr>
          <w:u w:val="double"/>
        </w:rPr>
        <w:t xml:space="preserve">Halpin </w:t>
      </w:r>
      <w:r w:rsidR="00321703" w:rsidRPr="008E20C4">
        <w:rPr>
          <w:i w:val="0"/>
          <w:iCs w:val="0"/>
          <w:u w:val="double"/>
        </w:rPr>
        <w:t>et al.,</w:t>
      </w:r>
      <w:r w:rsidR="00321703" w:rsidRPr="008E20C4">
        <w:rPr>
          <w:u w:val="double"/>
        </w:rPr>
        <w:t xml:space="preserve"> 2021</w:t>
      </w:r>
      <w:r w:rsidR="00FE2BEF" w:rsidRPr="008E20C4">
        <w:rPr>
          <w:u w:val="double"/>
        </w:rPr>
        <w:t>;</w:t>
      </w:r>
      <w:r w:rsidR="00321703" w:rsidRPr="008E20C4">
        <w:rPr>
          <w:u w:val="double"/>
        </w:rPr>
        <w:t xml:space="preserve"> </w:t>
      </w:r>
      <w:r w:rsidR="002E49D8" w:rsidRPr="008E20C4">
        <w:rPr>
          <w:rFonts w:eastAsiaTheme="minorEastAsia"/>
          <w:u w:val="double"/>
        </w:rPr>
        <w:t xml:space="preserve">Hobbs </w:t>
      </w:r>
      <w:r w:rsidR="00321703" w:rsidRPr="008E20C4">
        <w:rPr>
          <w:rFonts w:eastAsiaTheme="minorEastAsia"/>
          <w:i w:val="0"/>
          <w:iCs w:val="0"/>
          <w:u w:val="double"/>
        </w:rPr>
        <w:t>et al.</w:t>
      </w:r>
      <w:r w:rsidR="00D153E0" w:rsidRPr="008E20C4">
        <w:rPr>
          <w:rFonts w:eastAsiaTheme="minorEastAsia"/>
          <w:i w:val="0"/>
          <w:iCs w:val="0"/>
          <w:u w:val="double"/>
        </w:rPr>
        <w:t>,</w:t>
      </w:r>
      <w:r w:rsidR="00321703" w:rsidRPr="008E20C4">
        <w:rPr>
          <w:rFonts w:eastAsiaTheme="minorEastAsia"/>
          <w:u w:val="double"/>
        </w:rPr>
        <w:t xml:space="preserve"> </w:t>
      </w:r>
      <w:r w:rsidR="002E49D8" w:rsidRPr="008E20C4">
        <w:rPr>
          <w:rFonts w:eastAsiaTheme="minorEastAsia"/>
          <w:u w:val="double"/>
        </w:rPr>
        <w:t>2020</w:t>
      </w:r>
      <w:r w:rsidR="00FE2BEF" w:rsidRPr="008E20C4">
        <w:rPr>
          <w:rFonts w:eastAsiaTheme="minorEastAsia"/>
          <w:u w:val="double"/>
        </w:rPr>
        <w:t>;</w:t>
      </w:r>
      <w:r w:rsidR="002E49D8" w:rsidRPr="008E20C4">
        <w:rPr>
          <w:rFonts w:eastAsiaTheme="minorEastAsia"/>
          <w:u w:val="double"/>
        </w:rPr>
        <w:t xml:space="preserve"> and </w:t>
      </w:r>
      <w:r w:rsidR="00D153E0" w:rsidRPr="008E20C4">
        <w:rPr>
          <w:rFonts w:eastAsiaTheme="minorEastAsia"/>
          <w:u w:val="double"/>
        </w:rPr>
        <w:t xml:space="preserve">Section </w:t>
      </w:r>
      <w:r w:rsidR="002E49D8" w:rsidRPr="008E20C4">
        <w:rPr>
          <w:rFonts w:eastAsiaTheme="minorEastAsia"/>
          <w:u w:val="double"/>
        </w:rPr>
        <w:t xml:space="preserve">2.5 </w:t>
      </w:r>
      <w:r w:rsidR="002E49D8" w:rsidRPr="008E20C4">
        <w:rPr>
          <w:rFonts w:eastAsiaTheme="minorEastAsia"/>
          <w:i w:val="0"/>
          <w:iCs w:val="0"/>
          <w:u w:val="double"/>
        </w:rPr>
        <w:t xml:space="preserve">Robustness </w:t>
      </w:r>
      <w:r w:rsidR="00A22FF2" w:rsidRPr="008E20C4">
        <w:rPr>
          <w:rFonts w:eastAsiaTheme="minorEastAsia"/>
          <w:i w:val="0"/>
          <w:iCs w:val="0"/>
          <w:u w:val="double"/>
        </w:rPr>
        <w:t>and ruggedness</w:t>
      </w:r>
      <w:r w:rsidR="00A22FF2" w:rsidRPr="008E20C4">
        <w:rPr>
          <w:rFonts w:eastAsiaTheme="minorEastAsia"/>
          <w:u w:val="double"/>
        </w:rPr>
        <w:t xml:space="preserve"> </w:t>
      </w:r>
      <w:r w:rsidR="002E49D8" w:rsidRPr="008E20C4">
        <w:rPr>
          <w:rFonts w:eastAsiaTheme="minorEastAsia"/>
          <w:u w:val="double"/>
        </w:rPr>
        <w:t>below</w:t>
      </w:r>
      <w:r w:rsidR="002E49D8" w:rsidRPr="008E20C4">
        <w:rPr>
          <w:rFonts w:eastAsiaTheme="minorEastAsia"/>
          <w:i w:val="0"/>
          <w:iCs w:val="0"/>
          <w:u w:val="double"/>
        </w:rPr>
        <w:t>).</w:t>
      </w:r>
    </w:p>
    <w:p w14:paraId="6A2984B2" w14:textId="53D22B23" w:rsidR="00667CDB" w:rsidRPr="008E20C4" w:rsidRDefault="00667CDB" w:rsidP="0089300E">
      <w:pPr>
        <w:pStyle w:val="A0"/>
        <w:rPr>
          <w:lang w:val="en-IE"/>
        </w:rPr>
      </w:pPr>
      <w:r w:rsidRPr="008E20C4">
        <w:rPr>
          <w:lang w:val="en-IE"/>
        </w:rPr>
        <w:t xml:space="preserve">Preliminary Considerations in </w:t>
      </w:r>
      <w:r w:rsidRPr="008E20C4">
        <w:rPr>
          <w:lang w:val="en-IE"/>
        </w:rPr>
        <w:br/>
        <w:t>Assay Development and Validation</w:t>
      </w:r>
    </w:p>
    <w:p w14:paraId="55D4842B" w14:textId="53D1D935" w:rsidR="00667CDB" w:rsidRPr="008E20C4" w:rsidRDefault="00667CDB" w:rsidP="00CF5558">
      <w:pPr>
        <w:pStyle w:val="paraA0"/>
        <w:rPr>
          <w:lang w:val="en-IE"/>
        </w:rPr>
      </w:pPr>
      <w:r w:rsidRPr="008E20C4">
        <w:rPr>
          <w:lang w:val="en-IE"/>
        </w:rPr>
        <w:t>All laboratories should comply with the requirements of Chapter</w:t>
      </w:r>
      <w:r w:rsidRPr="00E141AB">
        <w:rPr>
          <w:strike/>
          <w:highlight w:val="yellow"/>
          <w:lang w:val="en-IE"/>
        </w:rPr>
        <w:t>s</w:t>
      </w:r>
      <w:r w:rsidRPr="008E20C4">
        <w:rPr>
          <w:lang w:val="en-IE"/>
        </w:rPr>
        <w:t xml:space="preserve"> </w:t>
      </w:r>
      <w:r w:rsidRPr="00E141AB">
        <w:rPr>
          <w:strike/>
          <w:highlight w:val="yellow"/>
          <w:lang w:val="en-IE"/>
        </w:rPr>
        <w:t>1.1.2 (</w:t>
      </w:r>
      <w:r w:rsidRPr="00E141AB">
        <w:rPr>
          <w:i/>
          <w:strike/>
          <w:highlight w:val="yellow"/>
          <w:lang w:val="en-IE"/>
        </w:rPr>
        <w:t>Aquatic Manual</w:t>
      </w:r>
      <w:r w:rsidRPr="00E141AB">
        <w:rPr>
          <w:strike/>
          <w:highlight w:val="yellow"/>
          <w:lang w:val="en-IE"/>
        </w:rPr>
        <w:t>)</w:t>
      </w:r>
      <w:r w:rsidRPr="00E141AB">
        <w:rPr>
          <w:i/>
          <w:strike/>
          <w:highlight w:val="yellow"/>
          <w:lang w:val="en-IE"/>
        </w:rPr>
        <w:t xml:space="preserve"> </w:t>
      </w:r>
      <w:r w:rsidRPr="00E141AB">
        <w:rPr>
          <w:strike/>
          <w:highlight w:val="yellow"/>
          <w:lang w:val="en-IE"/>
        </w:rPr>
        <w:t>or</w:t>
      </w:r>
      <w:r w:rsidRPr="008E20C4">
        <w:rPr>
          <w:lang w:val="en-IE"/>
        </w:rPr>
        <w:t xml:space="preserve"> 1.1.5 </w:t>
      </w:r>
      <w:r w:rsidRPr="00E141AB">
        <w:rPr>
          <w:strike/>
          <w:highlight w:val="yellow"/>
          <w:lang w:val="en-IE"/>
        </w:rPr>
        <w:t>(</w:t>
      </w:r>
      <w:r w:rsidRPr="00E141AB">
        <w:rPr>
          <w:i/>
          <w:strike/>
          <w:highlight w:val="yellow"/>
          <w:lang w:val="en-IE"/>
        </w:rPr>
        <w:t>Terrestrial Manual</w:t>
      </w:r>
      <w:r w:rsidRPr="00E141AB">
        <w:rPr>
          <w:strike/>
          <w:highlight w:val="yellow"/>
          <w:lang w:val="en-IE"/>
        </w:rPr>
        <w:t>)</w:t>
      </w:r>
      <w:r w:rsidRPr="00834DD7">
        <w:rPr>
          <w:strike/>
          <w:lang w:val="en-IE"/>
        </w:rPr>
        <w:t xml:space="preserve"> </w:t>
      </w:r>
      <w:r w:rsidRPr="008E20C4">
        <w:rPr>
          <w:i/>
          <w:lang w:val="en-IE"/>
        </w:rPr>
        <w:t>Quality management in veterinary testing laboratories</w:t>
      </w:r>
      <w:r w:rsidR="0089300E" w:rsidRPr="008E20C4">
        <w:rPr>
          <w:i/>
          <w:lang w:val="en-IE"/>
        </w:rPr>
        <w:t xml:space="preserve"> </w:t>
      </w:r>
      <w:r w:rsidR="00BE0624" w:rsidRPr="008E20C4">
        <w:rPr>
          <w:iCs/>
          <w:u w:val="double"/>
          <w:lang w:val="en-IE"/>
        </w:rPr>
        <w:t>(Newberry &amp; Colling</w:t>
      </w:r>
      <w:r w:rsidR="00CF5558" w:rsidRPr="008E20C4">
        <w:rPr>
          <w:iCs/>
          <w:u w:val="double"/>
          <w:lang w:val="en-IE"/>
        </w:rPr>
        <w:t>,</w:t>
      </w:r>
      <w:r w:rsidR="00BE0624" w:rsidRPr="008E20C4">
        <w:rPr>
          <w:iCs/>
          <w:u w:val="double"/>
          <w:lang w:val="en-IE"/>
        </w:rPr>
        <w:t xml:space="preserve"> 2021)</w:t>
      </w:r>
      <w:r w:rsidRPr="008E20C4">
        <w:rPr>
          <w:iCs/>
          <w:lang w:val="en-IE"/>
        </w:rPr>
        <w:t>.</w:t>
      </w:r>
      <w:r w:rsidRPr="008E20C4">
        <w:rPr>
          <w:lang w:val="en-IE"/>
        </w:rPr>
        <w:t xml:space="preserve"> This will minimise the influence of factors that do </w:t>
      </w:r>
      <w:r w:rsidRPr="008E20C4">
        <w:rPr>
          <w:lang w:val="en-IE"/>
        </w:rPr>
        <w:lastRenderedPageBreak/>
        <w:t xml:space="preserve">not depend on the test itself such as instrumentation, operator error, reagent choice (both chemical and biological) and calibration, reaction vessels and platforms, water quality, pH and ionicity of buffers and diluents, incubation temperatures and durations, and errors in the technical performance of the assay. </w:t>
      </w:r>
      <w:r w:rsidRPr="008E20C4">
        <w:rPr>
          <w:u w:val="double"/>
          <w:lang w:val="en-IE" w:eastAsia="de-DE"/>
        </w:rPr>
        <w:t>Comprehensive and well-designed experiments are required to develop and optimise assays with favourable analytical characteristics. The underlying principles are broadly applicable to all assay types and, when conducted with appropriate rigour, provide the foundations for high-quality diagnostic tests that are fit for their intended purpose(s)</w:t>
      </w:r>
      <w:r w:rsidR="0043132D" w:rsidRPr="008E20C4">
        <w:rPr>
          <w:u w:val="double"/>
          <w:lang w:val="en-IE" w:eastAsia="de-DE"/>
        </w:rPr>
        <w:t xml:space="preserve"> Bowden </w:t>
      </w:r>
      <w:r w:rsidR="0043132D" w:rsidRPr="008E20C4">
        <w:rPr>
          <w:i/>
          <w:iCs/>
          <w:u w:val="double"/>
          <w:lang w:val="en-IE" w:eastAsia="de-DE"/>
        </w:rPr>
        <w:t>et al</w:t>
      </w:r>
      <w:r w:rsidR="008D19A7" w:rsidRPr="008E20C4">
        <w:rPr>
          <w:i/>
          <w:iCs/>
          <w:u w:val="double"/>
          <w:lang w:val="en-IE" w:eastAsia="de-DE"/>
        </w:rPr>
        <w:t>.</w:t>
      </w:r>
      <w:r w:rsidR="0043132D" w:rsidRPr="008E20C4">
        <w:rPr>
          <w:u w:val="double"/>
          <w:lang w:val="en-IE" w:eastAsia="de-DE"/>
        </w:rPr>
        <w:t xml:space="preserve"> </w:t>
      </w:r>
      <w:r w:rsidR="003B339E" w:rsidRPr="008E20C4">
        <w:rPr>
          <w:u w:val="double"/>
          <w:lang w:val="en-IE" w:eastAsia="de-DE"/>
        </w:rPr>
        <w:t>(</w:t>
      </w:r>
      <w:r w:rsidR="0043132D" w:rsidRPr="008E20C4">
        <w:rPr>
          <w:u w:val="double"/>
          <w:lang w:val="en-IE" w:eastAsia="de-DE"/>
        </w:rPr>
        <w:t>2021</w:t>
      </w:r>
      <w:r w:rsidR="003B339E" w:rsidRPr="008E20C4">
        <w:rPr>
          <w:u w:val="double"/>
          <w:lang w:val="en-IE" w:eastAsia="de-DE"/>
        </w:rPr>
        <w:t>)</w:t>
      </w:r>
      <w:r w:rsidRPr="008E20C4">
        <w:rPr>
          <w:u w:val="double"/>
          <w:lang w:val="en-IE" w:eastAsia="de-DE"/>
        </w:rPr>
        <w:t>.</w:t>
      </w:r>
      <w:r w:rsidR="00CF2763" w:rsidRPr="008E20C4">
        <w:rPr>
          <w:u w:val="double"/>
          <w:lang w:val="en-IE" w:eastAsia="de-DE"/>
        </w:rPr>
        <w:t xml:space="preserve"> In their review of </w:t>
      </w:r>
      <w:r w:rsidR="00D15DC5" w:rsidRPr="008E20C4">
        <w:rPr>
          <w:u w:val="double"/>
          <w:lang w:val="en-IE" w:eastAsia="de-DE"/>
        </w:rPr>
        <w:t>WOAH</w:t>
      </w:r>
      <w:r w:rsidR="00CF2763" w:rsidRPr="008E20C4">
        <w:rPr>
          <w:u w:val="double"/>
          <w:lang w:val="en-IE" w:eastAsia="de-DE"/>
        </w:rPr>
        <w:t xml:space="preserve"> recommended diagnostic tests</w:t>
      </w:r>
      <w:r w:rsidR="004C26C0" w:rsidRPr="008E20C4">
        <w:rPr>
          <w:u w:val="double"/>
          <w:lang w:val="en-IE" w:eastAsia="de-DE"/>
        </w:rPr>
        <w:t>,</w:t>
      </w:r>
      <w:r w:rsidR="00CF2763" w:rsidRPr="008E20C4">
        <w:rPr>
          <w:u w:val="double"/>
          <w:lang w:val="en-IE" w:eastAsia="de-DE"/>
        </w:rPr>
        <w:t xml:space="preserve"> Cullinane &amp; Garvey </w:t>
      </w:r>
      <w:r w:rsidR="00430619" w:rsidRPr="008E20C4">
        <w:rPr>
          <w:u w:val="double"/>
          <w:lang w:val="en-IE" w:eastAsia="de-DE"/>
        </w:rPr>
        <w:t>(</w:t>
      </w:r>
      <w:r w:rsidR="00CF2763" w:rsidRPr="008E20C4">
        <w:rPr>
          <w:u w:val="double"/>
          <w:lang w:val="en-IE" w:eastAsia="de-DE"/>
        </w:rPr>
        <w:t>2021</w:t>
      </w:r>
      <w:r w:rsidR="00430619" w:rsidRPr="008E20C4">
        <w:rPr>
          <w:u w:val="double"/>
          <w:lang w:val="en-IE" w:eastAsia="de-DE"/>
        </w:rPr>
        <w:t>)</w:t>
      </w:r>
      <w:r w:rsidR="00CF2763" w:rsidRPr="008E20C4">
        <w:rPr>
          <w:u w:val="double"/>
          <w:lang w:val="en-IE" w:eastAsia="de-DE"/>
        </w:rPr>
        <w:t xml:space="preserve"> concluded that </w:t>
      </w:r>
      <w:r w:rsidR="00B30592" w:rsidRPr="008E20C4">
        <w:rPr>
          <w:u w:val="double"/>
          <w:lang w:val="en-IE" w:eastAsia="de-DE"/>
        </w:rPr>
        <w:t>enzyme-linked immunosorbent assay (</w:t>
      </w:r>
      <w:r w:rsidR="00CF2763" w:rsidRPr="008E20C4">
        <w:rPr>
          <w:u w:val="double"/>
          <w:lang w:val="en-IE" w:eastAsia="de-DE"/>
        </w:rPr>
        <w:t>ELISA</w:t>
      </w:r>
      <w:r w:rsidR="00B30592" w:rsidRPr="008E20C4">
        <w:rPr>
          <w:u w:val="double"/>
          <w:lang w:val="en-IE" w:eastAsia="de-DE"/>
        </w:rPr>
        <w:t>)</w:t>
      </w:r>
      <w:r w:rsidR="00CF2763" w:rsidRPr="008E20C4">
        <w:rPr>
          <w:u w:val="double"/>
          <w:lang w:val="en-IE" w:eastAsia="de-DE"/>
        </w:rPr>
        <w:t xml:space="preserve"> and molecular assays were the </w:t>
      </w:r>
      <w:proofErr w:type="gramStart"/>
      <w:r w:rsidR="00CF2763" w:rsidRPr="008E20C4">
        <w:rPr>
          <w:u w:val="double"/>
          <w:lang w:val="en-IE" w:eastAsia="de-DE"/>
        </w:rPr>
        <w:t xml:space="preserve">most </w:t>
      </w:r>
      <w:r w:rsidR="00242901" w:rsidRPr="00C64763">
        <w:rPr>
          <w:highlight w:val="yellow"/>
          <w:u w:val="double"/>
          <w:lang w:val="en-IE" w:eastAsia="de-DE"/>
        </w:rPr>
        <w:t xml:space="preserve">commonly </w:t>
      </w:r>
      <w:r w:rsidR="0064657D" w:rsidRPr="00C64763">
        <w:rPr>
          <w:highlight w:val="yellow"/>
          <w:u w:val="double"/>
          <w:lang w:val="en-IE" w:eastAsia="de-DE"/>
        </w:rPr>
        <w:t>used</w:t>
      </w:r>
      <w:proofErr w:type="gramEnd"/>
      <w:r w:rsidR="0064657D">
        <w:rPr>
          <w:u w:val="double"/>
          <w:lang w:val="en-IE" w:eastAsia="de-DE"/>
        </w:rPr>
        <w:t xml:space="preserve"> </w:t>
      </w:r>
      <w:r w:rsidR="007311A8">
        <w:rPr>
          <w:u w:val="double"/>
          <w:lang w:val="en-IE" w:eastAsia="de-DE"/>
        </w:rPr>
        <w:t>WOAH</w:t>
      </w:r>
      <w:r w:rsidR="004C0C78" w:rsidRPr="008E20C4">
        <w:rPr>
          <w:u w:val="double"/>
          <w:lang w:val="en-IE" w:eastAsia="de-DE"/>
        </w:rPr>
        <w:t>-</w:t>
      </w:r>
      <w:r w:rsidR="00CF2763" w:rsidRPr="008E20C4">
        <w:rPr>
          <w:u w:val="double"/>
          <w:lang w:val="en-IE" w:eastAsia="de-DE"/>
        </w:rPr>
        <w:t>recommended tests</w:t>
      </w:r>
      <w:r w:rsidR="00CF2763" w:rsidRPr="004A565C">
        <w:rPr>
          <w:strike/>
          <w:lang w:val="en-IE" w:eastAsia="de-DE"/>
        </w:rPr>
        <w:t xml:space="preserve"> </w:t>
      </w:r>
      <w:r w:rsidR="00CF2763" w:rsidRPr="004A565C">
        <w:rPr>
          <w:strike/>
          <w:highlight w:val="yellow"/>
          <w:lang w:val="en-IE" w:eastAsia="de-DE"/>
        </w:rPr>
        <w:t>for the six purposes</w:t>
      </w:r>
      <w:r w:rsidR="00CF2763" w:rsidRPr="008E20C4">
        <w:rPr>
          <w:u w:val="double"/>
          <w:lang w:val="en-IE" w:eastAsia="de-DE"/>
        </w:rPr>
        <w:t>, which is why examples in the following sections focus on these methods</w:t>
      </w:r>
      <w:r w:rsidR="00D61A59" w:rsidRPr="008E20C4">
        <w:rPr>
          <w:u w:val="double"/>
          <w:lang w:val="en-IE" w:eastAsia="de-DE"/>
        </w:rPr>
        <w:t xml:space="preserve"> (Mayo </w:t>
      </w:r>
      <w:r w:rsidR="00D61A59" w:rsidRPr="008E20C4">
        <w:rPr>
          <w:i/>
          <w:iCs/>
          <w:u w:val="double"/>
          <w:lang w:val="en-IE" w:eastAsia="de-DE"/>
        </w:rPr>
        <w:t>et al</w:t>
      </w:r>
      <w:r w:rsidR="00CF5558" w:rsidRPr="008E20C4">
        <w:rPr>
          <w:i/>
          <w:iCs/>
          <w:u w:val="double"/>
          <w:lang w:val="en-IE" w:eastAsia="de-DE"/>
        </w:rPr>
        <w:t>.,</w:t>
      </w:r>
      <w:r w:rsidR="00D61A59" w:rsidRPr="008E20C4">
        <w:rPr>
          <w:u w:val="double"/>
          <w:lang w:val="en-IE" w:eastAsia="de-DE"/>
        </w:rPr>
        <w:t xml:space="preserve"> 2021)</w:t>
      </w:r>
      <w:r w:rsidR="00CF2763" w:rsidRPr="008E20C4">
        <w:rPr>
          <w:u w:val="double"/>
          <w:lang w:val="en-IE" w:eastAsia="de-DE"/>
        </w:rPr>
        <w:t>.</w:t>
      </w:r>
    </w:p>
    <w:p w14:paraId="54DF47DA" w14:textId="7818D9B0" w:rsidR="00667CDB" w:rsidRPr="008E20C4" w:rsidRDefault="00667CDB" w:rsidP="00CF5558">
      <w:pPr>
        <w:pStyle w:val="paraA0"/>
        <w:rPr>
          <w:lang w:val="en-IE"/>
        </w:rPr>
      </w:pPr>
      <w:r w:rsidRPr="008E20C4">
        <w:rPr>
          <w:lang w:val="en-IE"/>
        </w:rPr>
        <w:t xml:space="preserve">The first step in assay development is to define the purpose of the assay, because this guides all subsequent steps in the validation process. </w:t>
      </w:r>
      <w:r w:rsidRPr="008E20C4">
        <w:rPr>
          <w:bCs/>
          <w:lang w:val="en-IE"/>
        </w:rPr>
        <w:t>Assay validation criteria</w:t>
      </w:r>
      <w:r w:rsidRPr="008E20C4">
        <w:rPr>
          <w:lang w:val="en-IE"/>
        </w:rPr>
        <w:t xml:space="preserve"> are the characterising traits of an assay that represent decisive factors, </w:t>
      </w:r>
      <w:proofErr w:type="gramStart"/>
      <w:r w:rsidRPr="008E20C4">
        <w:rPr>
          <w:lang w:val="en-IE"/>
        </w:rPr>
        <w:t>measures</w:t>
      </w:r>
      <w:proofErr w:type="gramEnd"/>
      <w:r w:rsidRPr="008E20C4">
        <w:rPr>
          <w:lang w:val="en-IE"/>
        </w:rPr>
        <w:t xml:space="preserve"> or standards upon which a judgment or decision may be based. By considering the variables that affect an assay’s performance, the criteria that must be addressed in assay validation become clearer. The variables can be grouped into categories such as the: </w:t>
      </w:r>
      <w:r w:rsidRPr="008E20C4">
        <w:rPr>
          <w:iCs/>
          <w:lang w:val="en-IE"/>
        </w:rPr>
        <w:t>(</w:t>
      </w:r>
      <w:r w:rsidRPr="008E20C4">
        <w:rPr>
          <w:lang w:val="en-IE"/>
        </w:rPr>
        <w:t>a</w:t>
      </w:r>
      <w:r w:rsidRPr="008E20C4">
        <w:rPr>
          <w:iCs/>
          <w:lang w:val="en-IE"/>
        </w:rPr>
        <w:t>)</w:t>
      </w:r>
      <w:r w:rsidRPr="008E20C4">
        <w:rPr>
          <w:lang w:val="en-IE"/>
        </w:rPr>
        <w:t xml:space="preserve"> sample – individual or pooled, matrix composition, and host/organism interactions affecting the target analyte quantitatively or qualitatively; </w:t>
      </w:r>
      <w:r w:rsidRPr="008E20C4">
        <w:rPr>
          <w:iCs/>
          <w:lang w:val="en-IE"/>
        </w:rPr>
        <w:t>(</w:t>
      </w:r>
      <w:r w:rsidRPr="008E20C4">
        <w:rPr>
          <w:lang w:val="en-IE"/>
        </w:rPr>
        <w:t>b</w:t>
      </w:r>
      <w:r w:rsidRPr="008E20C4">
        <w:rPr>
          <w:iCs/>
          <w:lang w:val="en-IE"/>
        </w:rPr>
        <w:t>)</w:t>
      </w:r>
      <w:r w:rsidR="008C6A65" w:rsidRPr="008E20C4">
        <w:rPr>
          <w:lang w:val="en-IE"/>
        </w:rPr>
        <w:t xml:space="preserve"> </w:t>
      </w:r>
      <w:r w:rsidRPr="008E20C4">
        <w:rPr>
          <w:lang w:val="en-IE"/>
        </w:rPr>
        <w:t xml:space="preserve">assay system – physical, chemical, biological and operator-related factors affecting the capacity of the assay to detect a specific analyte in the sample; and </w:t>
      </w:r>
      <w:r w:rsidRPr="008E20C4">
        <w:rPr>
          <w:iCs/>
          <w:lang w:val="en-IE"/>
        </w:rPr>
        <w:t>(</w:t>
      </w:r>
      <w:r w:rsidRPr="008E20C4">
        <w:rPr>
          <w:lang w:val="en-IE"/>
        </w:rPr>
        <w:t>c</w:t>
      </w:r>
      <w:r w:rsidRPr="008E20C4">
        <w:rPr>
          <w:iCs/>
          <w:lang w:val="en-IE"/>
        </w:rPr>
        <w:t>)</w:t>
      </w:r>
      <w:r w:rsidRPr="008E20C4">
        <w:rPr>
          <w:lang w:val="en-IE"/>
        </w:rPr>
        <w:t xml:space="preserve"> test result interpretation – the capacity of a test result, derived from the assay system, to predict accurately the status of the individual or population relative to the purpose for which the assay is applied.</w:t>
      </w:r>
    </w:p>
    <w:p w14:paraId="14D4550F" w14:textId="64E57966" w:rsidR="00667CDB" w:rsidRPr="008E20C4" w:rsidRDefault="00667CDB" w:rsidP="0003795B">
      <w:pPr>
        <w:pStyle w:val="paraA0"/>
        <w:rPr>
          <w:lang w:val="en-IE"/>
        </w:rPr>
      </w:pPr>
      <w:r w:rsidRPr="008E20C4">
        <w:rPr>
          <w:lang w:val="en-IE"/>
        </w:rPr>
        <w:t xml:space="preserve">Selection, collection, preparation, </w:t>
      </w:r>
      <w:proofErr w:type="gramStart"/>
      <w:r w:rsidRPr="008E20C4">
        <w:rPr>
          <w:lang w:val="en-IE"/>
        </w:rPr>
        <w:t>preservation</w:t>
      </w:r>
      <w:proofErr w:type="gramEnd"/>
      <w:r w:rsidRPr="008E20C4">
        <w:rPr>
          <w:lang w:val="en-IE"/>
        </w:rPr>
        <w:t xml:space="preserve"> and management of samples are critical variables in design and development of an assay to ensure valid test results. Other variables such as transport, chain of custody, tracking of samples, and the laboratory information management system are also key sources of variation/error that become especially important when the assay is </w:t>
      </w:r>
      <w:r w:rsidR="0084586F" w:rsidRPr="008E20C4">
        <w:rPr>
          <w:strike/>
          <w:lang w:val="en-IE"/>
        </w:rPr>
        <w:t>implemented</w:t>
      </w:r>
      <w:r w:rsidR="00CF5558" w:rsidRPr="008E20C4">
        <w:rPr>
          <w:strike/>
          <w:lang w:val="en-IE"/>
        </w:rPr>
        <w:t xml:space="preserve"> </w:t>
      </w:r>
      <w:r w:rsidRPr="008E20C4">
        <w:rPr>
          <w:u w:val="double"/>
          <w:lang w:val="en-IE"/>
        </w:rPr>
        <w:t>used</w:t>
      </w:r>
      <w:r w:rsidRPr="008E20C4">
        <w:rPr>
          <w:lang w:val="en-IE"/>
        </w:rPr>
        <w:t xml:space="preserve"> for routine testing. Integrity of </w:t>
      </w:r>
      <w:r w:rsidRPr="008E20C4">
        <w:rPr>
          <w:u w:val="double"/>
          <w:lang w:val="en-IE"/>
        </w:rPr>
        <w:t>lab</w:t>
      </w:r>
      <w:r w:rsidR="00FC6AE7" w:rsidRPr="008E20C4">
        <w:rPr>
          <w:u w:val="double"/>
          <w:lang w:val="en-IE"/>
        </w:rPr>
        <w:t>oratory</w:t>
      </w:r>
      <w:r w:rsidRPr="008E20C4">
        <w:rPr>
          <w:u w:val="double"/>
          <w:lang w:val="en-IE"/>
        </w:rPr>
        <w:t>-based</w:t>
      </w:r>
      <w:r w:rsidRPr="008E20C4">
        <w:rPr>
          <w:lang w:val="en-IE"/>
        </w:rPr>
        <w:t xml:space="preserve"> experimental outcomes during assay development and validation is only as good as the quality of the samples used. Anticipating factors that can negatively impact sample quality must precede launching an assay validation effort. Reference samples used in assay development and validation should be in the same matrix that is to be used in the assay (</w:t>
      </w:r>
      <w:proofErr w:type="gramStart"/>
      <w:r w:rsidRPr="008E20C4">
        <w:rPr>
          <w:lang w:val="en-IE"/>
        </w:rPr>
        <w:t>e.g.</w:t>
      </w:r>
      <w:proofErr w:type="gramEnd"/>
      <w:r w:rsidRPr="008E20C4">
        <w:rPr>
          <w:lang w:val="en-IE"/>
        </w:rPr>
        <w:t xml:space="preserve"> serum, tissue, whole blood) and representative of the species to be tested by the assay. The reference materials should appropriately represent the range of analyte concentration to be detected by the assay. </w:t>
      </w:r>
      <w:r w:rsidRPr="008E20C4">
        <w:rPr>
          <w:u w:val="double"/>
          <w:lang w:val="en-IE"/>
        </w:rPr>
        <w:t>Virtual biobanks have become relevant resources with respect to reagents and samples during test development and validation</w:t>
      </w:r>
      <w:r w:rsidR="00513C9E">
        <w:rPr>
          <w:u w:val="double"/>
          <w:lang w:val="en-IE"/>
        </w:rPr>
        <w:t>.</w:t>
      </w:r>
      <w:r w:rsidR="00AF4534">
        <w:rPr>
          <w:u w:val="double"/>
          <w:lang w:val="en-IE"/>
        </w:rPr>
        <w:t xml:space="preserve"> For example,</w:t>
      </w:r>
      <w:r w:rsidRPr="008E20C4">
        <w:rPr>
          <w:u w:val="double"/>
          <w:lang w:val="en-IE"/>
        </w:rPr>
        <w:t xml:space="preserve"> o</w:t>
      </w:r>
      <w:r w:rsidRPr="008E20C4">
        <w:rPr>
          <w:u w:val="double"/>
          <w:lang w:val="en-IE" w:eastAsia="de-DE"/>
        </w:rPr>
        <w:t>nce the genomic sequence of severe acute respiratory syndrome coronavirus 2 (SARS-CoV-2) became available,</w:t>
      </w:r>
      <w:r w:rsidR="00834089" w:rsidRPr="008E20C4">
        <w:rPr>
          <w:u w:val="double"/>
          <w:lang w:val="en-IE" w:eastAsia="de-DE"/>
        </w:rPr>
        <w:t xml:space="preserve"> European Virus Archive Global</w:t>
      </w:r>
      <w:r w:rsidRPr="008E20C4">
        <w:rPr>
          <w:u w:val="double"/>
          <w:lang w:val="en-IE" w:eastAsia="de-DE"/>
        </w:rPr>
        <w:t xml:space="preserve"> </w:t>
      </w:r>
      <w:r w:rsidR="00834089" w:rsidRPr="008E20C4">
        <w:rPr>
          <w:u w:val="double"/>
          <w:lang w:val="en-IE" w:eastAsia="de-DE"/>
        </w:rPr>
        <w:t>(</w:t>
      </w:r>
      <w:proofErr w:type="spellStart"/>
      <w:r w:rsidRPr="008E20C4">
        <w:rPr>
          <w:u w:val="double"/>
          <w:lang w:val="en-IE" w:eastAsia="de-DE"/>
        </w:rPr>
        <w:t>EVAg</w:t>
      </w:r>
      <w:proofErr w:type="spellEnd"/>
      <w:r w:rsidR="00834089" w:rsidRPr="008E20C4">
        <w:rPr>
          <w:u w:val="double"/>
          <w:lang w:val="en-IE" w:eastAsia="de-DE"/>
        </w:rPr>
        <w:t>)</w:t>
      </w:r>
      <w:r w:rsidRPr="008E20C4">
        <w:rPr>
          <w:u w:val="double"/>
          <w:lang w:val="en-IE" w:eastAsia="de-DE"/>
        </w:rPr>
        <w:t xml:space="preserve"> Members rapidly developed virus stocks, diagnostic </w:t>
      </w:r>
      <w:proofErr w:type="gramStart"/>
      <w:r w:rsidRPr="008E20C4">
        <w:rPr>
          <w:u w:val="double"/>
          <w:lang w:val="en-IE" w:eastAsia="de-DE"/>
        </w:rPr>
        <w:t>tests</w:t>
      </w:r>
      <w:proofErr w:type="gramEnd"/>
      <w:r w:rsidRPr="008E20C4">
        <w:rPr>
          <w:u w:val="double"/>
          <w:lang w:val="en-IE" w:eastAsia="de-DE"/>
        </w:rPr>
        <w:t xml:space="preserve"> and positive controls and, within </w:t>
      </w:r>
      <w:r w:rsidR="00FC6AE7" w:rsidRPr="008E20C4">
        <w:rPr>
          <w:u w:val="double"/>
          <w:lang w:val="en-IE" w:eastAsia="de-DE"/>
        </w:rPr>
        <w:t>10</w:t>
      </w:r>
      <w:r w:rsidRPr="008E20C4">
        <w:rPr>
          <w:u w:val="double"/>
          <w:lang w:val="en-IE" w:eastAsia="de-DE"/>
        </w:rPr>
        <w:t xml:space="preserve"> weeks, over 1500 products had been distributed worldwide for diagnostic or research purposes</w:t>
      </w:r>
      <w:r w:rsidR="0043132D" w:rsidRPr="008E20C4">
        <w:rPr>
          <w:u w:val="double"/>
          <w:lang w:val="en-IE" w:eastAsia="de-DE"/>
        </w:rPr>
        <w:t xml:space="preserve"> (Watson </w:t>
      </w:r>
      <w:r w:rsidR="0043132D" w:rsidRPr="008E20C4">
        <w:rPr>
          <w:i/>
          <w:iCs/>
          <w:u w:val="double"/>
          <w:lang w:val="en-IE" w:eastAsia="de-DE"/>
        </w:rPr>
        <w:t>et al</w:t>
      </w:r>
      <w:r w:rsidR="00CF5558" w:rsidRPr="008E20C4">
        <w:rPr>
          <w:i/>
          <w:iCs/>
          <w:u w:val="double"/>
          <w:lang w:val="en-IE" w:eastAsia="de-DE"/>
        </w:rPr>
        <w:t>.,</w:t>
      </w:r>
      <w:r w:rsidR="0043132D" w:rsidRPr="008E20C4">
        <w:rPr>
          <w:u w:val="double"/>
          <w:lang w:val="en-IE" w:eastAsia="de-DE"/>
        </w:rPr>
        <w:t xml:space="preserve"> 2021)</w:t>
      </w:r>
      <w:r w:rsidRPr="008E20C4">
        <w:rPr>
          <w:u w:val="double"/>
          <w:lang w:val="en-IE" w:eastAsia="de-DE"/>
        </w:rPr>
        <w:t xml:space="preserve">. </w:t>
      </w:r>
      <w:r w:rsidRPr="008E20C4">
        <w:rPr>
          <w:u w:val="double"/>
          <w:lang w:val="en-IE"/>
        </w:rPr>
        <w:t>Chapter 2.2.6</w:t>
      </w:r>
      <w:r w:rsidR="00CA2930" w:rsidRPr="008E20C4">
        <w:rPr>
          <w:i/>
          <w:iCs/>
          <w:u w:val="double"/>
          <w:lang w:val="en-IE"/>
        </w:rPr>
        <w:t xml:space="preserve"> Selection and use of reference samples and panels</w:t>
      </w:r>
      <w:r w:rsidRPr="008E20C4">
        <w:rPr>
          <w:u w:val="double"/>
          <w:lang w:val="en-IE"/>
        </w:rPr>
        <w:t xml:space="preserve"> provides an overview about selection and use of reference samples and panels to address relevant validation parameters such as repeatability, reproducibility, </w:t>
      </w:r>
      <w:proofErr w:type="spellStart"/>
      <w:r w:rsidRPr="008E20C4">
        <w:rPr>
          <w:u w:val="double"/>
          <w:lang w:val="en-IE"/>
        </w:rPr>
        <w:t>DSe</w:t>
      </w:r>
      <w:proofErr w:type="spellEnd"/>
      <w:r w:rsidRPr="008E20C4">
        <w:rPr>
          <w:u w:val="double"/>
          <w:lang w:val="en-IE"/>
        </w:rPr>
        <w:t xml:space="preserve"> and </w:t>
      </w:r>
      <w:proofErr w:type="spellStart"/>
      <w:r w:rsidRPr="008E20C4">
        <w:rPr>
          <w:u w:val="double"/>
          <w:lang w:val="en-IE"/>
        </w:rPr>
        <w:t>DSp</w:t>
      </w:r>
      <w:proofErr w:type="spellEnd"/>
      <w:r w:rsidRPr="008E20C4">
        <w:rPr>
          <w:u w:val="double"/>
          <w:lang w:val="en-IE"/>
        </w:rPr>
        <w:t xml:space="preserve"> etc.</w:t>
      </w:r>
      <w:r w:rsidRPr="008E20C4">
        <w:rPr>
          <w:lang w:val="en-IE"/>
        </w:rPr>
        <w:t xml:space="preserve"> Information on sample collection, preparation, preservation, management, and transport is available in chapters 1.1.2 and 1.1.3 of the </w:t>
      </w:r>
      <w:r w:rsidRPr="008E20C4">
        <w:rPr>
          <w:i/>
          <w:lang w:val="en-IE"/>
        </w:rPr>
        <w:t>Terrestrial Manual</w:t>
      </w:r>
      <w:r w:rsidRPr="008E20C4">
        <w:rPr>
          <w:lang w:val="en-IE"/>
        </w:rPr>
        <w:t>.</w:t>
      </w:r>
    </w:p>
    <w:p w14:paraId="30CFD247" w14:textId="57769F54" w:rsidR="00667CDB" w:rsidRPr="008E20C4" w:rsidRDefault="00667CDB" w:rsidP="0003795B">
      <w:pPr>
        <w:pStyle w:val="paraA0"/>
        <w:spacing w:after="480"/>
        <w:rPr>
          <w:lang w:val="en-IE"/>
        </w:rPr>
      </w:pPr>
      <w:r w:rsidRPr="008E20C4">
        <w:rPr>
          <w:lang w:val="en-IE"/>
        </w:rPr>
        <w:t xml:space="preserve">The matrix in which the targeted analyte is found (serum, faeces, tissue, etc.) may contain endogenous or exogenous inhibitors that </w:t>
      </w:r>
      <w:r w:rsidR="00083AE8" w:rsidRPr="008E20C4">
        <w:rPr>
          <w:u w:val="double"/>
          <w:lang w:val="en-IE"/>
        </w:rPr>
        <w:t>may interfere with the performance of the assay</w:t>
      </w:r>
      <w:r w:rsidR="00FE2BEF" w:rsidRPr="008E20C4">
        <w:rPr>
          <w:strike/>
          <w:lang w:val="en-IE"/>
        </w:rPr>
        <w:t xml:space="preserve"> </w:t>
      </w:r>
      <w:r w:rsidRPr="008E20C4">
        <w:rPr>
          <w:strike/>
          <w:lang w:val="en-IE"/>
        </w:rPr>
        <w:t>prevent some assays from working</w:t>
      </w:r>
      <w:r w:rsidRPr="008E20C4">
        <w:rPr>
          <w:lang w:val="en-IE"/>
        </w:rPr>
        <w:t xml:space="preserve">. This is of particular concern for enzyme-dependent tests such as polymerase chain reaction (PCR) or ELISA. Other factors that affect the concentration and composition of the target analyte (particularly antibody) in the sample may be mainly attributable to the host and are either inherent </w:t>
      </w:r>
      <w:r w:rsidRPr="008E20C4">
        <w:rPr>
          <w:iCs/>
          <w:lang w:val="en-IE"/>
        </w:rPr>
        <w:t>(</w:t>
      </w:r>
      <w:proofErr w:type="gramStart"/>
      <w:r w:rsidRPr="008E20C4">
        <w:rPr>
          <w:lang w:val="en-IE"/>
        </w:rPr>
        <w:t>e.g.</w:t>
      </w:r>
      <w:proofErr w:type="gramEnd"/>
      <w:r w:rsidRPr="008E20C4">
        <w:rPr>
          <w:lang w:val="en-IE"/>
        </w:rPr>
        <w:t xml:space="preserve"> age, sex, breed, nutritional status, pregnancy, immunological responsiveness</w:t>
      </w:r>
      <w:r w:rsidRPr="008E20C4">
        <w:rPr>
          <w:iCs/>
          <w:lang w:val="en-IE"/>
        </w:rPr>
        <w:t>)</w:t>
      </w:r>
      <w:r w:rsidRPr="008E20C4">
        <w:rPr>
          <w:lang w:val="en-IE"/>
        </w:rPr>
        <w:t xml:space="preserve"> or acquired </w:t>
      </w:r>
      <w:r w:rsidRPr="008E20C4">
        <w:rPr>
          <w:iCs/>
          <w:lang w:val="en-IE"/>
        </w:rPr>
        <w:t>(</w:t>
      </w:r>
      <w:r w:rsidRPr="008E20C4">
        <w:rPr>
          <w:lang w:val="en-IE"/>
        </w:rPr>
        <w:t>e.g. passively acquired antibody, active immunity elicited by vaccination or infection</w:t>
      </w:r>
      <w:r w:rsidRPr="008E20C4">
        <w:rPr>
          <w:iCs/>
          <w:lang w:val="en-IE"/>
        </w:rPr>
        <w:t>)</w:t>
      </w:r>
      <w:r w:rsidRPr="008E20C4">
        <w:rPr>
          <w:lang w:val="en-IE"/>
        </w:rPr>
        <w:t>. Non-host factors, such as contamination or deterioration of the sample, also potentially affect the ability of the assay to detect the specific targeted analyte in the sample. It is also important that biological reagents are free of extraneous agents that might otherwise lead to erroneous results.</w:t>
      </w:r>
    </w:p>
    <w:p w14:paraId="2FC2BF9E" w14:textId="77777777" w:rsidR="00667CDB" w:rsidRPr="008E20C4" w:rsidRDefault="00667CDB" w:rsidP="00667CDB">
      <w:pPr>
        <w:pStyle w:val="A0"/>
        <w:tabs>
          <w:tab w:val="clear" w:pos="-720"/>
        </w:tabs>
        <w:spacing w:after="280"/>
        <w:rPr>
          <w:lang w:val="en-IE"/>
        </w:rPr>
      </w:pPr>
      <w:r w:rsidRPr="008E20C4">
        <w:rPr>
          <w:lang w:val="en-IE"/>
        </w:rPr>
        <w:t>The Criteria of Assay Development and Validation</w:t>
      </w:r>
    </w:p>
    <w:p w14:paraId="5D3DD15C" w14:textId="245DF903" w:rsidR="00667CDB" w:rsidRPr="008E20C4" w:rsidRDefault="000E0B7C" w:rsidP="00CF5558">
      <w:pPr>
        <w:pStyle w:val="paraA0"/>
        <w:tabs>
          <w:tab w:val="clear" w:pos="-720"/>
        </w:tabs>
        <w:spacing w:after="480"/>
        <w:rPr>
          <w:lang w:val="en-IE"/>
        </w:rPr>
      </w:pPr>
      <w:r w:rsidRPr="008E20C4">
        <w:rPr>
          <w:noProof/>
          <w:u w:val="double"/>
          <w:lang w:val="en-IE"/>
        </w:rPr>
        <w:lastRenderedPageBreak/>
        <mc:AlternateContent>
          <mc:Choice Requires="wps">
            <w:drawing>
              <wp:anchor distT="45720" distB="45720" distL="114300" distR="114300" simplePos="0" relativeHeight="251658240" behindDoc="0" locked="0" layoutInCell="1" allowOverlap="1" wp14:anchorId="467A14AB" wp14:editId="48AD1ACF">
                <wp:simplePos x="0" y="0"/>
                <wp:positionH relativeFrom="margin">
                  <wp:posOffset>2699455</wp:posOffset>
                </wp:positionH>
                <wp:positionV relativeFrom="paragraph">
                  <wp:posOffset>249382</wp:posOffset>
                </wp:positionV>
                <wp:extent cx="2910840" cy="1404620"/>
                <wp:effectExtent l="0" t="0" r="22860" b="13970"/>
                <wp:wrapThrough wrapText="bothSides">
                  <wp:wrapPolygon edited="0">
                    <wp:start x="0" y="0"/>
                    <wp:lineTo x="0" y="21541"/>
                    <wp:lineTo x="21628" y="21541"/>
                    <wp:lineTo x="21628"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0840" cy="1404620"/>
                        </a:xfrm>
                        <a:prstGeom prst="rect">
                          <a:avLst/>
                        </a:prstGeom>
                        <a:solidFill>
                          <a:srgbClr val="FFFFFF"/>
                        </a:solidFill>
                        <a:ln w="9525">
                          <a:solidFill>
                            <a:srgbClr val="000000"/>
                          </a:solidFill>
                          <a:miter lim="800000"/>
                          <a:headEnd/>
                          <a:tailEnd/>
                        </a:ln>
                      </wps:spPr>
                      <wps:txbx>
                        <w:txbxContent>
                          <w:p w14:paraId="57216957" w14:textId="77777777" w:rsidR="00F73786" w:rsidRDefault="00667CDB" w:rsidP="00E665D0">
                            <w:pPr>
                              <w:shd w:val="clear" w:color="auto" w:fill="FFFFFF" w:themeFill="background1"/>
                              <w:spacing w:line="240" w:lineRule="auto"/>
                              <w:rPr>
                                <w:rFonts w:ascii="Söhne" w:hAnsi="Söhne" w:cs="Arial"/>
                                <w:b/>
                                <w:bCs/>
                                <w:sz w:val="18"/>
                                <w:szCs w:val="18"/>
                                <w:u w:val="double"/>
                              </w:rPr>
                            </w:pPr>
                            <w:r w:rsidRPr="007150F8">
                              <w:rPr>
                                <w:rFonts w:ascii="Söhne" w:hAnsi="Söhne" w:cs="Arial"/>
                                <w:b/>
                                <w:bCs/>
                                <w:sz w:val="18"/>
                                <w:szCs w:val="18"/>
                                <w:u w:val="double"/>
                              </w:rPr>
                              <w:t>Criteria for Assay Development and Validation</w:t>
                            </w:r>
                          </w:p>
                          <w:p w14:paraId="001AC469" w14:textId="6BF6496E"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 Definition of the intended purpose(s)</w:t>
                            </w:r>
                          </w:p>
                          <w:p w14:paraId="1DEDAB57" w14:textId="30760FCC"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ii) Optimi</w:t>
                            </w:r>
                            <w:r w:rsidR="00CF5558" w:rsidRPr="007150F8">
                              <w:rPr>
                                <w:rFonts w:ascii="Söhne" w:hAnsi="Söhne" w:cs="Arial"/>
                                <w:sz w:val="18"/>
                                <w:szCs w:val="18"/>
                                <w:u w:val="double"/>
                              </w:rPr>
                              <w:t>s</w:t>
                            </w:r>
                            <w:r w:rsidRPr="007150F8">
                              <w:rPr>
                                <w:rFonts w:ascii="Söhne" w:hAnsi="Söhne" w:cs="Arial"/>
                                <w:sz w:val="18"/>
                                <w:szCs w:val="18"/>
                                <w:u w:val="double"/>
                              </w:rPr>
                              <w:t>ation</w:t>
                            </w:r>
                          </w:p>
                          <w:p w14:paraId="41D2EF1D" w14:textId="24A92BCF"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iii) Standardi</w:t>
                            </w:r>
                            <w:r w:rsidR="00CF5558" w:rsidRPr="007150F8">
                              <w:rPr>
                                <w:rFonts w:ascii="Söhne" w:hAnsi="Söhne" w:cs="Arial"/>
                                <w:sz w:val="18"/>
                                <w:szCs w:val="18"/>
                                <w:u w:val="double"/>
                              </w:rPr>
                              <w:t>s</w:t>
                            </w:r>
                            <w:r w:rsidRPr="007150F8">
                              <w:rPr>
                                <w:rFonts w:ascii="Söhne" w:hAnsi="Söhne" w:cs="Arial"/>
                                <w:sz w:val="18"/>
                                <w:szCs w:val="18"/>
                                <w:u w:val="double"/>
                              </w:rPr>
                              <w:t>ation</w:t>
                            </w:r>
                          </w:p>
                          <w:p w14:paraId="542C10D6"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iv) Repeatability</w:t>
                            </w:r>
                          </w:p>
                          <w:p w14:paraId="398ED1C3"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 Analytical sensitivity</w:t>
                            </w:r>
                          </w:p>
                          <w:p w14:paraId="3711EE85"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vi) Analytical specificity</w:t>
                            </w:r>
                          </w:p>
                          <w:p w14:paraId="45F84580"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vii) Thresholds (cut-offs)</w:t>
                            </w:r>
                          </w:p>
                          <w:p w14:paraId="608F0987"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viii) Diagnostic sensitivity</w:t>
                            </w:r>
                          </w:p>
                          <w:p w14:paraId="6A6D6B90"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ix) Diagnostic specificity</w:t>
                            </w:r>
                          </w:p>
                          <w:p w14:paraId="02C46642"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x) Reproducibility</w:t>
                            </w:r>
                          </w:p>
                          <w:p w14:paraId="43939784"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 xml:space="preserve">xi) Fitness for the intended purpose(s)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7A14AB" id="_x0000_t202" coordsize="21600,21600" o:spt="202" path="m,l,21600r21600,l21600,xe">
                <v:stroke joinstyle="miter"/>
                <v:path gradientshapeok="t" o:connecttype="rect"/>
              </v:shapetype>
              <v:shape id="Text Box 2" o:spid="_x0000_s1026" type="#_x0000_t202" style="position:absolute;left:0;text-align:left;margin-left:212.55pt;margin-top:19.65pt;width:229.2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">
                <v:textbox style="mso-fit-shape-to-text:t">
                  <w:txbxContent>
                    <w:p w14:paraId="57216957" w14:textId="77777777" w:rsidR="00F73786" w:rsidRDefault="00667CDB" w:rsidP="00E665D0">
                      <w:pPr>
                        <w:shd w:val="clear" w:color="auto" w:fill="FFFFFF" w:themeFill="background1"/>
                        <w:spacing w:line="240" w:lineRule="auto"/>
                        <w:rPr>
                          <w:rFonts w:ascii="Söhne" w:hAnsi="Söhne" w:cs="Arial"/>
                          <w:b/>
                          <w:bCs/>
                          <w:sz w:val="18"/>
                          <w:szCs w:val="18"/>
                          <w:u w:val="double"/>
                        </w:rPr>
                      </w:pPr>
                      <w:r w:rsidRPr="007150F8">
                        <w:rPr>
                          <w:rFonts w:ascii="Söhne" w:hAnsi="Söhne" w:cs="Arial"/>
                          <w:b/>
                          <w:bCs/>
                          <w:sz w:val="18"/>
                          <w:szCs w:val="18"/>
                          <w:u w:val="double"/>
                        </w:rPr>
                        <w:t>Criteria for Assay Development and Validation</w:t>
                      </w:r>
                    </w:p>
                    <w:p w14:paraId="001AC469" w14:textId="6BF6496E"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 Definition of the intended purpose(s)</w:t>
                      </w:r>
                    </w:p>
                    <w:p w14:paraId="1DEDAB57" w14:textId="30760FCC"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ii) Optimi</w:t>
                      </w:r>
                      <w:r w:rsidR="00CF5558" w:rsidRPr="007150F8">
                        <w:rPr>
                          <w:rFonts w:ascii="Söhne" w:hAnsi="Söhne" w:cs="Arial"/>
                          <w:sz w:val="18"/>
                          <w:szCs w:val="18"/>
                          <w:u w:val="double"/>
                        </w:rPr>
                        <w:t>s</w:t>
                      </w:r>
                      <w:r w:rsidRPr="007150F8">
                        <w:rPr>
                          <w:rFonts w:ascii="Söhne" w:hAnsi="Söhne" w:cs="Arial"/>
                          <w:sz w:val="18"/>
                          <w:szCs w:val="18"/>
                          <w:u w:val="double"/>
                        </w:rPr>
                        <w:t>ation</w:t>
                      </w:r>
                    </w:p>
                    <w:p w14:paraId="41D2EF1D" w14:textId="24A92BCF"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iii) Standardi</w:t>
                      </w:r>
                      <w:r w:rsidR="00CF5558" w:rsidRPr="007150F8">
                        <w:rPr>
                          <w:rFonts w:ascii="Söhne" w:hAnsi="Söhne" w:cs="Arial"/>
                          <w:sz w:val="18"/>
                          <w:szCs w:val="18"/>
                          <w:u w:val="double"/>
                        </w:rPr>
                        <w:t>s</w:t>
                      </w:r>
                      <w:r w:rsidRPr="007150F8">
                        <w:rPr>
                          <w:rFonts w:ascii="Söhne" w:hAnsi="Söhne" w:cs="Arial"/>
                          <w:sz w:val="18"/>
                          <w:szCs w:val="18"/>
                          <w:u w:val="double"/>
                        </w:rPr>
                        <w:t>ation</w:t>
                      </w:r>
                    </w:p>
                    <w:p w14:paraId="542C10D6"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iv) Repeatability</w:t>
                      </w:r>
                    </w:p>
                    <w:p w14:paraId="398ED1C3"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 Analytical sensitivity</w:t>
                      </w:r>
                    </w:p>
                    <w:p w14:paraId="3711EE85"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vi) Analytical specificity</w:t>
                      </w:r>
                    </w:p>
                    <w:p w14:paraId="45F84580"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vii) Thresholds (cut-offs)</w:t>
                      </w:r>
                    </w:p>
                    <w:p w14:paraId="608F0987"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viii) Diagnostic sensitivity</w:t>
                      </w:r>
                    </w:p>
                    <w:p w14:paraId="6A6D6B90"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ix) Diagnostic specificity</w:t>
                      </w:r>
                    </w:p>
                    <w:p w14:paraId="02C46642"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x) Reproducibility</w:t>
                      </w:r>
                    </w:p>
                    <w:p w14:paraId="43939784" w14:textId="77777777" w:rsidR="00667CDB" w:rsidRPr="007150F8" w:rsidRDefault="00667CDB" w:rsidP="00E665D0">
                      <w:pPr>
                        <w:shd w:val="clear" w:color="auto" w:fill="FFFFFF" w:themeFill="background1"/>
                        <w:spacing w:line="240" w:lineRule="auto"/>
                        <w:rPr>
                          <w:rFonts w:ascii="Söhne" w:hAnsi="Söhne" w:cs="Arial"/>
                          <w:sz w:val="18"/>
                          <w:szCs w:val="18"/>
                          <w:u w:val="double"/>
                        </w:rPr>
                      </w:pPr>
                      <w:r w:rsidRPr="007150F8">
                        <w:rPr>
                          <w:rFonts w:ascii="Söhne" w:hAnsi="Söhne" w:cs="Arial"/>
                          <w:sz w:val="18"/>
                          <w:szCs w:val="18"/>
                          <w:u w:val="double"/>
                        </w:rPr>
                        <w:t xml:space="preserve">xi) Fitness for the intended purpose(s) </w:t>
                      </w:r>
                    </w:p>
                  </w:txbxContent>
                </v:textbox>
                <w10:wrap type="through" anchorx="margin"/>
              </v:shape>
            </w:pict>
          </mc:Fallback>
        </mc:AlternateContent>
      </w:r>
      <w:r w:rsidR="00667CDB" w:rsidRPr="008E20C4">
        <w:rPr>
          <w:u w:val="double"/>
          <w:lang w:val="en-IE"/>
        </w:rPr>
        <w:t>Accuracy and precision are two independent parameters which ultimately define the performance of a diagnostic test. Sensitivity</w:t>
      </w:r>
      <w:r w:rsidR="00847003" w:rsidRPr="008E20C4">
        <w:rPr>
          <w:u w:val="double"/>
          <w:lang w:val="en-IE"/>
        </w:rPr>
        <w:t xml:space="preserve">, </w:t>
      </w:r>
      <w:r w:rsidR="00667CDB" w:rsidRPr="008E20C4">
        <w:rPr>
          <w:u w:val="double"/>
          <w:lang w:val="en-IE"/>
        </w:rPr>
        <w:t xml:space="preserve">specificity </w:t>
      </w:r>
      <w:r w:rsidR="00847003" w:rsidRPr="008E20C4">
        <w:rPr>
          <w:u w:val="double"/>
          <w:lang w:val="en-IE"/>
        </w:rPr>
        <w:t xml:space="preserve">and functions of these </w:t>
      </w:r>
      <w:r w:rsidR="00350B17" w:rsidRPr="008E20C4">
        <w:rPr>
          <w:u w:val="double"/>
          <w:lang w:val="en-IE"/>
        </w:rPr>
        <w:t>variables</w:t>
      </w:r>
      <w:r w:rsidR="00847003" w:rsidRPr="008E20C4">
        <w:rPr>
          <w:u w:val="double"/>
          <w:lang w:val="en-IE"/>
        </w:rPr>
        <w:t xml:space="preserve"> (</w:t>
      </w:r>
      <w:proofErr w:type="gramStart"/>
      <w:r w:rsidR="00847003" w:rsidRPr="008E20C4">
        <w:rPr>
          <w:u w:val="double"/>
          <w:lang w:val="en-IE"/>
        </w:rPr>
        <w:t>e.g.</w:t>
      </w:r>
      <w:proofErr w:type="gramEnd"/>
      <w:r w:rsidR="00847003" w:rsidRPr="008E20C4">
        <w:rPr>
          <w:u w:val="double"/>
          <w:lang w:val="en-IE"/>
        </w:rPr>
        <w:t xml:space="preserve"> likelihood ratios)</w:t>
      </w:r>
      <w:r w:rsidR="00C1696D" w:rsidRPr="008E20C4">
        <w:rPr>
          <w:u w:val="double"/>
          <w:lang w:val="en-IE"/>
        </w:rPr>
        <w:t>,</w:t>
      </w:r>
      <w:r w:rsidR="00847003" w:rsidRPr="008E20C4">
        <w:rPr>
          <w:u w:val="double"/>
          <w:lang w:val="en-IE"/>
        </w:rPr>
        <w:t xml:space="preserve"> </w:t>
      </w:r>
      <w:r w:rsidR="00667CDB" w:rsidRPr="008E20C4">
        <w:rPr>
          <w:u w:val="double"/>
          <w:lang w:val="en-IE"/>
        </w:rPr>
        <w:t>change with the cut-off and represent accuracy</w:t>
      </w:r>
      <w:r w:rsidR="00C1696D" w:rsidRPr="008E20C4">
        <w:rPr>
          <w:u w:val="double"/>
          <w:lang w:val="en-IE"/>
        </w:rPr>
        <w:t xml:space="preserve"> while </w:t>
      </w:r>
      <w:r w:rsidR="00667CDB" w:rsidRPr="008E20C4">
        <w:rPr>
          <w:u w:val="double"/>
          <w:lang w:val="en-IE"/>
        </w:rPr>
        <w:t>repeatability and reproducibility are measures of precision. A reliable test is accurate and precise.</w:t>
      </w:r>
      <w:r w:rsidR="000D6245" w:rsidRPr="008E20C4">
        <w:rPr>
          <w:lang w:val="en-IE"/>
        </w:rPr>
        <w:t xml:space="preserve"> </w:t>
      </w:r>
      <w:r w:rsidR="00667CDB" w:rsidRPr="008E20C4">
        <w:rPr>
          <w:lang w:val="en-IE"/>
        </w:rPr>
        <w:t>Assay performance is affected by many factors beginning with optimisation of the assay. After initial optimisation for an intended purpose, characteristics of the performance of the assay will be tested</w:t>
      </w:r>
      <w:r w:rsidR="00B67990" w:rsidRPr="008E20C4">
        <w:rPr>
          <w:lang w:val="en-IE"/>
        </w:rPr>
        <w:t xml:space="preserve"> </w:t>
      </w:r>
      <w:r w:rsidR="00B67990" w:rsidRPr="008E20C4">
        <w:rPr>
          <w:u w:val="double"/>
          <w:lang w:val="en-IE"/>
        </w:rPr>
        <w:t>(</w:t>
      </w:r>
      <w:r w:rsidR="00CF5558" w:rsidRPr="008E20C4">
        <w:rPr>
          <w:u w:val="double"/>
          <w:lang w:val="en-IE"/>
        </w:rPr>
        <w:t xml:space="preserve">box </w:t>
      </w:r>
      <w:r w:rsidR="00B67990" w:rsidRPr="008E20C4">
        <w:rPr>
          <w:u w:val="double"/>
          <w:lang w:val="en-IE"/>
        </w:rPr>
        <w:t>with criteria for assay development and validation)</w:t>
      </w:r>
      <w:r w:rsidR="00667CDB" w:rsidRPr="008E20C4">
        <w:rPr>
          <w:lang w:val="en-IE"/>
        </w:rPr>
        <w:t>. The assay may need additional optimisation or may be found to be fit for purpose based on the results of the validation work.</w:t>
      </w:r>
      <w:r w:rsidR="007A6E53" w:rsidRPr="008E20C4">
        <w:rPr>
          <w:lang w:val="en-IE"/>
        </w:rPr>
        <w:t xml:space="preserve"> </w:t>
      </w:r>
      <w:r w:rsidR="00907D25">
        <w:rPr>
          <w:u w:val="double"/>
          <w:lang w:val="en-IE"/>
        </w:rPr>
        <w:t>WOAH</w:t>
      </w:r>
      <w:r w:rsidR="007D23C7" w:rsidRPr="008E20C4">
        <w:rPr>
          <w:u w:val="double"/>
          <w:lang w:val="en-IE"/>
        </w:rPr>
        <w:t>’s Secretariat for Registration of Diagnostic Kits</w:t>
      </w:r>
      <w:r w:rsidR="008C6A65" w:rsidRPr="008E20C4">
        <w:rPr>
          <w:u w:val="double"/>
          <w:lang w:val="en-IE"/>
        </w:rPr>
        <w:t xml:space="preserve"> </w:t>
      </w:r>
      <w:r w:rsidR="007D23C7" w:rsidRPr="008E20C4">
        <w:rPr>
          <w:u w:val="double"/>
          <w:lang w:val="en-IE"/>
        </w:rPr>
        <w:t xml:space="preserve">(SRDK) </w:t>
      </w:r>
      <w:r w:rsidR="007A6E53" w:rsidRPr="008E20C4">
        <w:rPr>
          <w:u w:val="double"/>
          <w:lang w:val="en-IE"/>
        </w:rPr>
        <w:t>has a test validation</w:t>
      </w:r>
      <w:r w:rsidR="003D4F05" w:rsidRPr="008E20C4">
        <w:rPr>
          <w:u w:val="double"/>
          <w:lang w:val="en-IE"/>
        </w:rPr>
        <w:t xml:space="preserve"> and </w:t>
      </w:r>
      <w:r w:rsidR="007A6E53" w:rsidRPr="008E20C4">
        <w:rPr>
          <w:u w:val="double"/>
          <w:lang w:val="en-IE"/>
        </w:rPr>
        <w:t xml:space="preserve">certification </w:t>
      </w:r>
      <w:r w:rsidR="003D4F05" w:rsidRPr="008E20C4">
        <w:rPr>
          <w:u w:val="double"/>
          <w:lang w:val="en-IE"/>
        </w:rPr>
        <w:t xml:space="preserve">process where new </w:t>
      </w:r>
      <w:r w:rsidR="007A6E53" w:rsidRPr="008E20C4">
        <w:rPr>
          <w:u w:val="double"/>
          <w:lang w:val="en-IE"/>
        </w:rPr>
        <w:t>tests</w:t>
      </w:r>
      <w:r w:rsidR="003D4F05" w:rsidRPr="008E20C4">
        <w:rPr>
          <w:u w:val="double"/>
          <w:lang w:val="en-IE"/>
        </w:rPr>
        <w:t>, which are deemed to be fit for purpose(s) can be registered</w:t>
      </w:r>
      <w:r w:rsidR="000D6245" w:rsidRPr="008E20C4">
        <w:rPr>
          <w:rStyle w:val="FootnoteReference"/>
          <w:u w:val="double"/>
          <w:lang w:val="en-IE"/>
        </w:rPr>
        <w:footnoteReference w:id="3"/>
      </w:r>
      <w:r w:rsidR="003D4F05" w:rsidRPr="008E20C4">
        <w:rPr>
          <w:u w:val="double"/>
          <w:lang w:val="en-IE"/>
        </w:rPr>
        <w:t>.</w:t>
      </w:r>
      <w:r w:rsidR="008C6A65" w:rsidRPr="008E20C4">
        <w:rPr>
          <w:u w:val="double"/>
          <w:lang w:val="en-IE"/>
        </w:rPr>
        <w:t xml:space="preserve"> </w:t>
      </w:r>
    </w:p>
    <w:p w14:paraId="717D1E1F" w14:textId="77777777" w:rsidR="0084586F" w:rsidRPr="008E20C4" w:rsidRDefault="0084586F" w:rsidP="00612E79">
      <w:pPr>
        <w:pStyle w:val="Heading1"/>
        <w:spacing w:before="0" w:after="80" w:line="240" w:lineRule="auto"/>
        <w:rPr>
          <w:rFonts w:ascii="Söhne" w:hAnsi="Söhne"/>
          <w:strike/>
          <w:sz w:val="18"/>
          <w:szCs w:val="18"/>
          <w:u w:val="none"/>
          <w:lang w:val="en-IE"/>
        </w:rPr>
      </w:pPr>
      <w:r w:rsidRPr="008E20C4">
        <w:rPr>
          <w:rFonts w:ascii="Söhne" w:hAnsi="Söhne"/>
          <w:strike/>
          <w:sz w:val="18"/>
          <w:szCs w:val="18"/>
          <w:u w:val="none"/>
          <w:lang w:val="en-IE"/>
        </w:rPr>
        <w:t>Criteria for Assay Development and Validation</w:t>
      </w:r>
    </w:p>
    <w:p w14:paraId="67F987A4"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i)</w:t>
      </w:r>
      <w:r w:rsidRPr="008E20C4">
        <w:rPr>
          <w:rFonts w:ascii="Söhne" w:hAnsi="Söhne" w:cs="Arial"/>
          <w:strike/>
          <w:sz w:val="18"/>
          <w:szCs w:val="18"/>
          <w:lang w:val="en-IE"/>
        </w:rPr>
        <w:tab/>
      </w:r>
      <w:r w:rsidR="0084586F" w:rsidRPr="008E20C4">
        <w:rPr>
          <w:rFonts w:ascii="Söhne" w:hAnsi="Söhne" w:cs="Arial"/>
          <w:strike/>
          <w:sz w:val="18"/>
          <w:szCs w:val="18"/>
          <w:lang w:val="en-IE"/>
        </w:rPr>
        <w:t>Definition of the intended purpose(s)</w:t>
      </w:r>
    </w:p>
    <w:p w14:paraId="6AD58C7F"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ii)</w:t>
      </w:r>
      <w:r w:rsidRPr="008E20C4">
        <w:rPr>
          <w:rFonts w:ascii="Söhne" w:hAnsi="Söhne" w:cs="Arial"/>
          <w:strike/>
          <w:sz w:val="18"/>
          <w:szCs w:val="18"/>
          <w:lang w:val="en-IE"/>
        </w:rPr>
        <w:tab/>
      </w:r>
      <w:r w:rsidR="0084586F" w:rsidRPr="008E20C4">
        <w:rPr>
          <w:rFonts w:ascii="Söhne" w:hAnsi="Söhne" w:cs="Arial"/>
          <w:strike/>
          <w:sz w:val="18"/>
          <w:szCs w:val="18"/>
          <w:lang w:val="en-IE"/>
        </w:rPr>
        <w:t>Optimisation</w:t>
      </w:r>
    </w:p>
    <w:p w14:paraId="1D7BCFE3"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iii)</w:t>
      </w:r>
      <w:r w:rsidRPr="008E20C4">
        <w:rPr>
          <w:rFonts w:ascii="Söhne" w:hAnsi="Söhne" w:cs="Arial"/>
          <w:strike/>
          <w:sz w:val="18"/>
          <w:szCs w:val="18"/>
          <w:lang w:val="en-IE"/>
        </w:rPr>
        <w:tab/>
      </w:r>
      <w:r w:rsidR="0084586F" w:rsidRPr="008E20C4">
        <w:rPr>
          <w:rFonts w:ascii="Söhne" w:hAnsi="Söhne" w:cs="Arial"/>
          <w:strike/>
          <w:sz w:val="18"/>
          <w:szCs w:val="18"/>
          <w:lang w:val="en-IE"/>
        </w:rPr>
        <w:t>Standardisation</w:t>
      </w:r>
    </w:p>
    <w:p w14:paraId="31E2F2BC"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iv)</w:t>
      </w:r>
      <w:r w:rsidRPr="008E20C4">
        <w:rPr>
          <w:rFonts w:ascii="Söhne" w:hAnsi="Söhne" w:cs="Arial"/>
          <w:strike/>
          <w:sz w:val="18"/>
          <w:szCs w:val="18"/>
          <w:lang w:val="en-IE"/>
        </w:rPr>
        <w:tab/>
      </w:r>
      <w:r w:rsidR="0084586F" w:rsidRPr="008E20C4">
        <w:rPr>
          <w:rFonts w:ascii="Söhne" w:hAnsi="Söhne" w:cs="Arial"/>
          <w:strike/>
          <w:sz w:val="18"/>
          <w:szCs w:val="18"/>
          <w:lang w:val="en-IE"/>
        </w:rPr>
        <w:t>Repeatability</w:t>
      </w:r>
    </w:p>
    <w:p w14:paraId="6A86E3C5"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v)</w:t>
      </w:r>
      <w:r w:rsidRPr="008E20C4">
        <w:rPr>
          <w:rFonts w:ascii="Söhne" w:hAnsi="Söhne" w:cs="Arial"/>
          <w:strike/>
          <w:sz w:val="18"/>
          <w:szCs w:val="18"/>
          <w:lang w:val="en-IE"/>
        </w:rPr>
        <w:tab/>
      </w:r>
      <w:r w:rsidR="0084586F" w:rsidRPr="008E20C4">
        <w:rPr>
          <w:rFonts w:ascii="Söhne" w:hAnsi="Söhne" w:cs="Arial"/>
          <w:strike/>
          <w:sz w:val="18"/>
          <w:szCs w:val="18"/>
          <w:lang w:val="en-IE"/>
        </w:rPr>
        <w:t>Analytical sensitivity</w:t>
      </w:r>
    </w:p>
    <w:p w14:paraId="53DCF5B9"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vi)</w:t>
      </w:r>
      <w:r w:rsidRPr="008E20C4">
        <w:rPr>
          <w:rFonts w:ascii="Söhne" w:hAnsi="Söhne" w:cs="Arial"/>
          <w:strike/>
          <w:sz w:val="18"/>
          <w:szCs w:val="18"/>
          <w:lang w:val="en-IE"/>
        </w:rPr>
        <w:tab/>
      </w:r>
      <w:r w:rsidR="0084586F" w:rsidRPr="008E20C4">
        <w:rPr>
          <w:rFonts w:ascii="Söhne" w:hAnsi="Söhne" w:cs="Arial"/>
          <w:strike/>
          <w:sz w:val="18"/>
          <w:szCs w:val="18"/>
          <w:lang w:val="en-IE"/>
        </w:rPr>
        <w:t>Analytical specificity</w:t>
      </w:r>
    </w:p>
    <w:p w14:paraId="5ECBAF65"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vii)</w:t>
      </w:r>
      <w:r w:rsidRPr="008E20C4">
        <w:rPr>
          <w:rFonts w:ascii="Söhne" w:hAnsi="Söhne" w:cs="Arial"/>
          <w:strike/>
          <w:sz w:val="18"/>
          <w:szCs w:val="18"/>
          <w:lang w:val="en-IE"/>
        </w:rPr>
        <w:tab/>
      </w:r>
      <w:r w:rsidR="0084586F" w:rsidRPr="008E20C4">
        <w:rPr>
          <w:rFonts w:ascii="Söhne" w:hAnsi="Söhne" w:cs="Arial"/>
          <w:strike/>
          <w:sz w:val="18"/>
          <w:szCs w:val="18"/>
          <w:lang w:val="en-IE"/>
        </w:rPr>
        <w:t>Thresholds (cut-offs)</w:t>
      </w:r>
    </w:p>
    <w:p w14:paraId="471492D4"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viii)</w:t>
      </w:r>
      <w:r w:rsidRPr="008E20C4">
        <w:rPr>
          <w:rFonts w:ascii="Söhne" w:hAnsi="Söhne" w:cs="Arial"/>
          <w:strike/>
          <w:sz w:val="18"/>
          <w:szCs w:val="18"/>
          <w:lang w:val="en-IE"/>
        </w:rPr>
        <w:tab/>
      </w:r>
      <w:r w:rsidR="0084586F" w:rsidRPr="008E20C4">
        <w:rPr>
          <w:rFonts w:ascii="Söhne" w:hAnsi="Söhne" w:cs="Arial"/>
          <w:strike/>
          <w:sz w:val="18"/>
          <w:szCs w:val="18"/>
          <w:lang w:val="en-IE"/>
        </w:rPr>
        <w:t>Diagnostic sensitivity</w:t>
      </w:r>
    </w:p>
    <w:p w14:paraId="7B51A062"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ix)</w:t>
      </w:r>
      <w:r w:rsidRPr="008E20C4">
        <w:rPr>
          <w:rFonts w:ascii="Söhne" w:hAnsi="Söhne" w:cs="Arial"/>
          <w:strike/>
          <w:sz w:val="18"/>
          <w:szCs w:val="18"/>
          <w:lang w:val="en-IE"/>
        </w:rPr>
        <w:tab/>
      </w:r>
      <w:r w:rsidR="0084586F" w:rsidRPr="008E20C4">
        <w:rPr>
          <w:rFonts w:ascii="Söhne" w:hAnsi="Söhne" w:cs="Arial"/>
          <w:strike/>
          <w:sz w:val="18"/>
          <w:szCs w:val="18"/>
          <w:lang w:val="en-IE"/>
        </w:rPr>
        <w:t>Diagnostic specificity</w:t>
      </w:r>
    </w:p>
    <w:p w14:paraId="0582D9D9" w14:textId="77777777" w:rsidR="0084586F" w:rsidRPr="008E20C4" w:rsidRDefault="00612E79" w:rsidP="00612E79">
      <w:pPr>
        <w:pStyle w:val="BalloonText1"/>
        <w:tabs>
          <w:tab w:val="clear" w:pos="-720"/>
        </w:tabs>
        <w:spacing w:line="240" w:lineRule="auto"/>
        <w:ind w:left="426" w:hanging="426"/>
        <w:jc w:val="left"/>
        <w:rPr>
          <w:rFonts w:ascii="Söhne" w:hAnsi="Söhne" w:cs="Arial"/>
          <w:strike/>
          <w:sz w:val="18"/>
          <w:szCs w:val="18"/>
          <w:lang w:val="en-IE"/>
        </w:rPr>
      </w:pPr>
      <w:r w:rsidRPr="008E20C4">
        <w:rPr>
          <w:rFonts w:ascii="Söhne" w:hAnsi="Söhne" w:cs="Arial"/>
          <w:strike/>
          <w:sz w:val="18"/>
          <w:szCs w:val="18"/>
          <w:lang w:val="en-IE"/>
        </w:rPr>
        <w:t>x)</w:t>
      </w:r>
      <w:r w:rsidRPr="008E20C4">
        <w:rPr>
          <w:rFonts w:ascii="Söhne" w:hAnsi="Söhne" w:cs="Arial"/>
          <w:strike/>
          <w:sz w:val="18"/>
          <w:szCs w:val="18"/>
          <w:lang w:val="en-IE"/>
        </w:rPr>
        <w:tab/>
      </w:r>
      <w:r w:rsidR="0084586F" w:rsidRPr="008E20C4">
        <w:rPr>
          <w:rFonts w:ascii="Söhne" w:hAnsi="Söhne" w:cs="Arial"/>
          <w:strike/>
          <w:sz w:val="18"/>
          <w:szCs w:val="18"/>
          <w:lang w:val="en-IE"/>
        </w:rPr>
        <w:t>Reproducibility</w:t>
      </w:r>
    </w:p>
    <w:p w14:paraId="07EC1242" w14:textId="77777777" w:rsidR="0084586F" w:rsidRPr="008E20C4" w:rsidRDefault="00612E79" w:rsidP="00612E79">
      <w:pPr>
        <w:pStyle w:val="ListParagraph"/>
        <w:spacing w:after="480" w:line="240" w:lineRule="auto"/>
        <w:ind w:left="426" w:hanging="426"/>
        <w:contextualSpacing w:val="0"/>
        <w:rPr>
          <w:rFonts w:ascii="Söhne" w:hAnsi="Söhne" w:cs="Arial"/>
          <w:strike/>
          <w:sz w:val="18"/>
          <w:szCs w:val="18"/>
          <w:lang w:val="en-IE"/>
        </w:rPr>
      </w:pPr>
      <w:r w:rsidRPr="008E20C4">
        <w:rPr>
          <w:rFonts w:ascii="Söhne" w:hAnsi="Söhne" w:cs="Arial"/>
          <w:strike/>
          <w:sz w:val="18"/>
          <w:szCs w:val="18"/>
          <w:lang w:val="en-IE"/>
        </w:rPr>
        <w:t>xi)</w:t>
      </w:r>
      <w:r w:rsidRPr="008E20C4">
        <w:rPr>
          <w:rFonts w:ascii="Söhne" w:hAnsi="Söhne" w:cs="Arial"/>
          <w:strike/>
          <w:sz w:val="18"/>
          <w:szCs w:val="18"/>
          <w:lang w:val="en-IE"/>
        </w:rPr>
        <w:tab/>
      </w:r>
      <w:r w:rsidR="0084586F" w:rsidRPr="008E20C4">
        <w:rPr>
          <w:rFonts w:ascii="Söhne" w:hAnsi="Söhne" w:cs="Arial"/>
          <w:strike/>
          <w:sz w:val="18"/>
          <w:szCs w:val="18"/>
          <w:lang w:val="en-IE"/>
        </w:rPr>
        <w:t>Fitness for intended purpose(s)</w:t>
      </w:r>
    </w:p>
    <w:p w14:paraId="32922C12" w14:textId="0ED09DF1" w:rsidR="00667CDB" w:rsidRPr="008E20C4" w:rsidRDefault="00667CDB" w:rsidP="00667CDB">
      <w:pPr>
        <w:pStyle w:val="A0"/>
        <w:tabs>
          <w:tab w:val="clear" w:pos="-720"/>
        </w:tabs>
        <w:spacing w:after="280"/>
        <w:rPr>
          <w:lang w:val="en-IE"/>
        </w:rPr>
      </w:pPr>
      <w:r w:rsidRPr="008E20C4">
        <w:rPr>
          <w:lang w:val="en-IE"/>
        </w:rPr>
        <w:t>A.</w:t>
      </w:r>
      <w:r w:rsidR="008C6A65" w:rsidRPr="008E20C4">
        <w:rPr>
          <w:lang w:val="en-IE"/>
        </w:rPr>
        <w:t xml:space="preserve">  </w:t>
      </w:r>
      <w:r w:rsidRPr="008E20C4">
        <w:rPr>
          <w:lang w:val="en-IE"/>
        </w:rPr>
        <w:t>Assay Development Pathway</w:t>
      </w:r>
    </w:p>
    <w:p w14:paraId="2CB17379" w14:textId="77777777" w:rsidR="00667CDB" w:rsidRPr="008E20C4" w:rsidRDefault="00667CDB" w:rsidP="00667CDB">
      <w:pPr>
        <w:pStyle w:val="1"/>
        <w:rPr>
          <w:lang w:val="en-IE"/>
        </w:rPr>
      </w:pPr>
      <w:r w:rsidRPr="008E20C4">
        <w:rPr>
          <w:lang w:val="en-IE"/>
        </w:rPr>
        <w:t>1.</w:t>
      </w:r>
      <w:r w:rsidRPr="008E20C4">
        <w:rPr>
          <w:lang w:val="en-IE"/>
        </w:rPr>
        <w:tab/>
        <w:t>Definition of the intended purpose(s) for an assay</w:t>
      </w:r>
    </w:p>
    <w:p w14:paraId="75289713" w14:textId="6425565F" w:rsidR="00B76405" w:rsidRPr="008E20C4" w:rsidRDefault="00CF5558" w:rsidP="00765F44">
      <w:pPr>
        <w:pStyle w:val="11Para"/>
        <w:spacing w:after="200"/>
        <w:ind w:left="0"/>
        <w:rPr>
          <w:b/>
          <w:lang w:val="en-IE"/>
        </w:rPr>
      </w:pPr>
      <w:r w:rsidRPr="008E20C4">
        <w:rPr>
          <w:strike/>
          <w:noProof/>
          <w:lang w:val="en-IE"/>
        </w:rPr>
        <mc:AlternateContent>
          <mc:Choice Requires="wps">
            <w:drawing>
              <wp:anchor distT="45720" distB="45720" distL="114300" distR="114300" simplePos="0" relativeHeight="251658241" behindDoc="0" locked="0" layoutInCell="1" allowOverlap="1" wp14:anchorId="10B3D88F" wp14:editId="3E54B08F">
                <wp:simplePos x="0" y="0"/>
                <wp:positionH relativeFrom="column">
                  <wp:posOffset>3489960</wp:posOffset>
                </wp:positionH>
                <wp:positionV relativeFrom="paragraph">
                  <wp:posOffset>31750</wp:posOffset>
                </wp:positionV>
                <wp:extent cx="2212340" cy="1000125"/>
                <wp:effectExtent l="0" t="0" r="16510" b="28575"/>
                <wp:wrapSquare wrapText="bothSides"/>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340" cy="1000125"/>
                        </a:xfrm>
                        <a:prstGeom prst="rect">
                          <a:avLst/>
                        </a:prstGeom>
                        <a:solidFill>
                          <a:srgbClr val="FFFFFF"/>
                        </a:solidFill>
                        <a:ln w="9525">
                          <a:solidFill>
                            <a:srgbClr val="000000"/>
                          </a:solidFill>
                          <a:miter lim="800000"/>
                          <a:headEnd/>
                          <a:tailEnd/>
                        </a:ln>
                      </wps:spPr>
                      <wps:txbx>
                        <w:txbxContent>
                          <w:p w14:paraId="14A3B2DB" w14:textId="77777777" w:rsidR="00CF5558" w:rsidRPr="007150F8" w:rsidRDefault="004B0D49" w:rsidP="00667CDB">
                            <w:pPr>
                              <w:spacing w:line="240" w:lineRule="auto"/>
                              <w:rPr>
                                <w:rFonts w:ascii="Söhne" w:hAnsi="Söhne" w:cs="Arial"/>
                                <w:b/>
                                <w:bCs/>
                                <w:color w:val="000000"/>
                                <w:kern w:val="24"/>
                                <w:sz w:val="18"/>
                                <w:szCs w:val="18"/>
                                <w:u w:val="double"/>
                              </w:rPr>
                            </w:pPr>
                            <w:r w:rsidRPr="007150F8">
                              <w:rPr>
                                <w:rFonts w:ascii="Söhne" w:hAnsi="Söhne" w:cs="Arial"/>
                                <w:b/>
                                <w:bCs/>
                                <w:color w:val="000000"/>
                                <w:kern w:val="24"/>
                                <w:sz w:val="18"/>
                                <w:szCs w:val="18"/>
                                <w:u w:val="double"/>
                              </w:rPr>
                              <w:t xml:space="preserve">Criteria </w:t>
                            </w:r>
                            <w:r w:rsidR="00667CDB" w:rsidRPr="007150F8">
                              <w:rPr>
                                <w:rFonts w:ascii="Söhne" w:hAnsi="Söhne" w:cs="Arial"/>
                                <w:b/>
                                <w:bCs/>
                                <w:color w:val="000000"/>
                                <w:kern w:val="24"/>
                                <w:sz w:val="18"/>
                                <w:szCs w:val="18"/>
                                <w:u w:val="double"/>
                              </w:rPr>
                              <w:t>for interpretation</w:t>
                            </w:r>
                            <w:r w:rsidR="00E3205C" w:rsidRPr="007150F8">
                              <w:rPr>
                                <w:rFonts w:ascii="Söhne" w:hAnsi="Söhne" w:cs="Arial"/>
                                <w:b/>
                                <w:bCs/>
                                <w:color w:val="000000"/>
                                <w:kern w:val="24"/>
                                <w:sz w:val="18"/>
                                <w:szCs w:val="18"/>
                                <w:u w:val="double"/>
                              </w:rPr>
                              <w:t xml:space="preserve"> of results</w:t>
                            </w:r>
                          </w:p>
                          <w:p w14:paraId="6960018B" w14:textId="77777777" w:rsidR="00CF5558" w:rsidRPr="007150F8" w:rsidRDefault="00667CDB" w:rsidP="00667CDB">
                            <w:pPr>
                              <w:spacing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Positive predictive value</w:t>
                            </w:r>
                            <w:r w:rsidRPr="007150F8">
                              <w:rPr>
                                <w:rFonts w:ascii="Söhne" w:hAnsi="Söhne" w:cs="Arial"/>
                                <w:color w:val="000000"/>
                                <w:kern w:val="24"/>
                                <w:sz w:val="18"/>
                                <w:szCs w:val="18"/>
                                <w:u w:val="double"/>
                              </w:rPr>
                              <w:tab/>
                              <w:t>(PV+)</w:t>
                            </w:r>
                          </w:p>
                          <w:p w14:paraId="16DF80F5" w14:textId="25694EB1" w:rsidR="00CF5558" w:rsidRPr="007150F8" w:rsidRDefault="00667CDB" w:rsidP="000D6245">
                            <w:pPr>
                              <w:spacing w:after="240"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Negative predictive value</w:t>
                            </w:r>
                            <w:r w:rsidRPr="007150F8">
                              <w:rPr>
                                <w:rFonts w:ascii="Söhne" w:hAnsi="Söhne" w:cs="Arial"/>
                                <w:color w:val="000000"/>
                                <w:kern w:val="24"/>
                                <w:sz w:val="18"/>
                                <w:szCs w:val="18"/>
                                <w:u w:val="double"/>
                              </w:rPr>
                              <w:tab/>
                              <w:t>(PV</w:t>
                            </w:r>
                            <w:r w:rsidR="00F25638">
                              <w:rPr>
                                <w:rFonts w:ascii="Söhne" w:hAnsi="Söhne" w:cs="Arial"/>
                                <w:color w:val="000000"/>
                                <w:kern w:val="24"/>
                                <w:sz w:val="18"/>
                                <w:szCs w:val="18"/>
                                <w:u w:val="double"/>
                              </w:rPr>
                              <w:t>–</w:t>
                            </w:r>
                            <w:r w:rsidRPr="007150F8">
                              <w:rPr>
                                <w:rFonts w:ascii="Söhne" w:hAnsi="Söhne" w:cs="Arial"/>
                                <w:color w:val="000000"/>
                                <w:kern w:val="24"/>
                                <w:sz w:val="18"/>
                                <w:szCs w:val="18"/>
                                <w:u w:val="double"/>
                              </w:rPr>
                              <w:t>)</w:t>
                            </w:r>
                          </w:p>
                          <w:p w14:paraId="2B098932" w14:textId="77777777" w:rsidR="00CF5558" w:rsidRPr="007150F8" w:rsidRDefault="00667CDB" w:rsidP="00667CDB">
                            <w:pPr>
                              <w:spacing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Positive likelihood ratio</w:t>
                            </w:r>
                            <w:r w:rsidRPr="007150F8">
                              <w:rPr>
                                <w:rFonts w:ascii="Söhne" w:hAnsi="Söhne" w:cs="Arial"/>
                                <w:color w:val="000000"/>
                                <w:kern w:val="24"/>
                                <w:sz w:val="18"/>
                                <w:szCs w:val="18"/>
                                <w:u w:val="double"/>
                              </w:rPr>
                              <w:tab/>
                              <w:t>(LR+)</w:t>
                            </w:r>
                          </w:p>
                          <w:p w14:paraId="7C4B404A" w14:textId="21B25A3A" w:rsidR="00667CDB" w:rsidRPr="007150F8" w:rsidRDefault="00667CDB" w:rsidP="00667CDB">
                            <w:pPr>
                              <w:spacing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Negative likelihood ratio</w:t>
                            </w:r>
                            <w:r w:rsidRPr="007150F8">
                              <w:rPr>
                                <w:rFonts w:ascii="Söhne" w:hAnsi="Söhne" w:cs="Arial"/>
                                <w:color w:val="000000"/>
                                <w:kern w:val="24"/>
                                <w:sz w:val="18"/>
                                <w:szCs w:val="18"/>
                                <w:u w:val="double"/>
                              </w:rPr>
                              <w:tab/>
                              <w:t>(LR</w:t>
                            </w:r>
                            <w:r w:rsidR="00F25638">
                              <w:rPr>
                                <w:rFonts w:ascii="Söhne" w:hAnsi="Söhne" w:cs="Arial"/>
                                <w:color w:val="000000"/>
                                <w:kern w:val="24"/>
                                <w:sz w:val="18"/>
                                <w:szCs w:val="18"/>
                                <w:u w:val="double"/>
                              </w:rPr>
                              <w:t>–</w:t>
                            </w:r>
                            <w:r w:rsidRPr="007150F8">
                              <w:rPr>
                                <w:rFonts w:ascii="Söhne" w:hAnsi="Söhne" w:cs="Arial"/>
                                <w:color w:val="000000"/>
                                <w:kern w:val="24"/>
                                <w:sz w:val="18"/>
                                <w:szCs w:val="18"/>
                                <w:u w:val="doub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B3D88F" id="Text Box 135" o:spid="_x0000_s1027" type="#_x0000_t202" style="position:absolute;left:0;text-align:left;margin-left:274.8pt;margin-top:2.5pt;width:174.2pt;height:78.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">
                <v:textbox>
                  <w:txbxContent>
                    <w:p w14:paraId="14A3B2DB" w14:textId="77777777" w:rsidR="00CF5558" w:rsidRPr="007150F8" w:rsidRDefault="004B0D49" w:rsidP="00667CDB">
                      <w:pPr>
                        <w:spacing w:line="240" w:lineRule="auto"/>
                        <w:rPr>
                          <w:rFonts w:ascii="Söhne" w:hAnsi="Söhne" w:cs="Arial"/>
                          <w:b/>
                          <w:bCs/>
                          <w:color w:val="000000"/>
                          <w:kern w:val="24"/>
                          <w:sz w:val="18"/>
                          <w:szCs w:val="18"/>
                          <w:u w:val="double"/>
                        </w:rPr>
                      </w:pPr>
                      <w:r w:rsidRPr="007150F8">
                        <w:rPr>
                          <w:rFonts w:ascii="Söhne" w:hAnsi="Söhne" w:cs="Arial"/>
                          <w:b/>
                          <w:bCs/>
                          <w:color w:val="000000"/>
                          <w:kern w:val="24"/>
                          <w:sz w:val="18"/>
                          <w:szCs w:val="18"/>
                          <w:u w:val="double"/>
                        </w:rPr>
                        <w:t xml:space="preserve">Criteria </w:t>
                      </w:r>
                      <w:r w:rsidR="00667CDB" w:rsidRPr="007150F8">
                        <w:rPr>
                          <w:rFonts w:ascii="Söhne" w:hAnsi="Söhne" w:cs="Arial"/>
                          <w:b/>
                          <w:bCs/>
                          <w:color w:val="000000"/>
                          <w:kern w:val="24"/>
                          <w:sz w:val="18"/>
                          <w:szCs w:val="18"/>
                          <w:u w:val="double"/>
                        </w:rPr>
                        <w:t>for interpretation</w:t>
                      </w:r>
                      <w:r w:rsidR="00E3205C" w:rsidRPr="007150F8">
                        <w:rPr>
                          <w:rFonts w:ascii="Söhne" w:hAnsi="Söhne" w:cs="Arial"/>
                          <w:b/>
                          <w:bCs/>
                          <w:color w:val="000000"/>
                          <w:kern w:val="24"/>
                          <w:sz w:val="18"/>
                          <w:szCs w:val="18"/>
                          <w:u w:val="double"/>
                        </w:rPr>
                        <w:t xml:space="preserve"> of results</w:t>
                      </w:r>
                    </w:p>
                    <w:p w14:paraId="6960018B" w14:textId="77777777" w:rsidR="00CF5558" w:rsidRPr="007150F8" w:rsidRDefault="00667CDB" w:rsidP="00667CDB">
                      <w:pPr>
                        <w:spacing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Positive predictive value</w:t>
                      </w:r>
                      <w:r w:rsidRPr="007150F8">
                        <w:rPr>
                          <w:rFonts w:ascii="Söhne" w:hAnsi="Söhne" w:cs="Arial"/>
                          <w:color w:val="000000"/>
                          <w:kern w:val="24"/>
                          <w:sz w:val="18"/>
                          <w:szCs w:val="18"/>
                          <w:u w:val="double"/>
                        </w:rPr>
                        <w:tab/>
                        <w:t>(PV+)</w:t>
                      </w:r>
                    </w:p>
                    <w:p w14:paraId="16DF80F5" w14:textId="25694EB1" w:rsidR="00CF5558" w:rsidRPr="007150F8" w:rsidRDefault="00667CDB" w:rsidP="000D6245">
                      <w:pPr>
                        <w:spacing w:after="240"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Negative predictive value</w:t>
                      </w:r>
                      <w:r w:rsidRPr="007150F8">
                        <w:rPr>
                          <w:rFonts w:ascii="Söhne" w:hAnsi="Söhne" w:cs="Arial"/>
                          <w:color w:val="000000"/>
                          <w:kern w:val="24"/>
                          <w:sz w:val="18"/>
                          <w:szCs w:val="18"/>
                          <w:u w:val="double"/>
                        </w:rPr>
                        <w:tab/>
                        <w:t>(PV</w:t>
                      </w:r>
                      <w:r w:rsidR="00F25638">
                        <w:rPr>
                          <w:rFonts w:ascii="Söhne" w:hAnsi="Söhne" w:cs="Arial"/>
                          <w:color w:val="000000"/>
                          <w:kern w:val="24"/>
                          <w:sz w:val="18"/>
                          <w:szCs w:val="18"/>
                          <w:u w:val="double"/>
                        </w:rPr>
                        <w:t>–</w:t>
                      </w:r>
                      <w:r w:rsidRPr="007150F8">
                        <w:rPr>
                          <w:rFonts w:ascii="Söhne" w:hAnsi="Söhne" w:cs="Arial"/>
                          <w:color w:val="000000"/>
                          <w:kern w:val="24"/>
                          <w:sz w:val="18"/>
                          <w:szCs w:val="18"/>
                          <w:u w:val="double"/>
                        </w:rPr>
                        <w:t>)</w:t>
                      </w:r>
                    </w:p>
                    <w:p w14:paraId="2B098932" w14:textId="77777777" w:rsidR="00CF5558" w:rsidRPr="007150F8" w:rsidRDefault="00667CDB" w:rsidP="00667CDB">
                      <w:pPr>
                        <w:spacing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Positive likelihood ratio</w:t>
                      </w:r>
                      <w:r w:rsidRPr="007150F8">
                        <w:rPr>
                          <w:rFonts w:ascii="Söhne" w:hAnsi="Söhne" w:cs="Arial"/>
                          <w:color w:val="000000"/>
                          <w:kern w:val="24"/>
                          <w:sz w:val="18"/>
                          <w:szCs w:val="18"/>
                          <w:u w:val="double"/>
                        </w:rPr>
                        <w:tab/>
                        <w:t>(LR+)</w:t>
                      </w:r>
                    </w:p>
                    <w:p w14:paraId="7C4B404A" w14:textId="21B25A3A" w:rsidR="00667CDB" w:rsidRPr="007150F8" w:rsidRDefault="00667CDB" w:rsidP="00667CDB">
                      <w:pPr>
                        <w:spacing w:line="240" w:lineRule="auto"/>
                        <w:rPr>
                          <w:rFonts w:ascii="Söhne" w:hAnsi="Söhne" w:cs="Arial"/>
                          <w:color w:val="000000"/>
                          <w:kern w:val="24"/>
                          <w:sz w:val="18"/>
                          <w:szCs w:val="18"/>
                          <w:u w:val="double"/>
                        </w:rPr>
                      </w:pPr>
                      <w:r w:rsidRPr="007150F8">
                        <w:rPr>
                          <w:rFonts w:ascii="Söhne" w:hAnsi="Söhne" w:cs="Arial"/>
                          <w:color w:val="000000"/>
                          <w:kern w:val="24"/>
                          <w:sz w:val="18"/>
                          <w:szCs w:val="18"/>
                          <w:u w:val="double"/>
                        </w:rPr>
                        <w:t>Negative likelihood ratio</w:t>
                      </w:r>
                      <w:r w:rsidRPr="007150F8">
                        <w:rPr>
                          <w:rFonts w:ascii="Söhne" w:hAnsi="Söhne" w:cs="Arial"/>
                          <w:color w:val="000000"/>
                          <w:kern w:val="24"/>
                          <w:sz w:val="18"/>
                          <w:szCs w:val="18"/>
                          <w:u w:val="double"/>
                        </w:rPr>
                        <w:tab/>
                        <w:t>(LR</w:t>
                      </w:r>
                      <w:r w:rsidR="00F25638">
                        <w:rPr>
                          <w:rFonts w:ascii="Söhne" w:hAnsi="Söhne" w:cs="Arial"/>
                          <w:color w:val="000000"/>
                          <w:kern w:val="24"/>
                          <w:sz w:val="18"/>
                          <w:szCs w:val="18"/>
                          <w:u w:val="double"/>
                        </w:rPr>
                        <w:t>–</w:t>
                      </w:r>
                      <w:r w:rsidRPr="007150F8">
                        <w:rPr>
                          <w:rFonts w:ascii="Söhne" w:hAnsi="Söhne" w:cs="Arial"/>
                          <w:color w:val="000000"/>
                          <w:kern w:val="24"/>
                          <w:sz w:val="18"/>
                          <w:szCs w:val="18"/>
                          <w:u w:val="double"/>
                        </w:rPr>
                        <w:t>)</w:t>
                      </w:r>
                    </w:p>
                  </w:txbxContent>
                </v:textbox>
                <w10:wrap type="square"/>
              </v:shape>
            </w:pict>
          </mc:Fallback>
        </mc:AlternateContent>
      </w:r>
      <w:r w:rsidR="0084586F" w:rsidRPr="008E20C4">
        <w:rPr>
          <w:strike/>
          <w:lang w:val="en-IE"/>
        </w:rPr>
        <w:t xml:space="preserve">The OIE </w:t>
      </w:r>
      <w:r w:rsidR="0084586F" w:rsidRPr="008E20C4">
        <w:rPr>
          <w:i/>
          <w:strike/>
          <w:lang w:val="en-IE"/>
        </w:rPr>
        <w:t>Standard</w:t>
      </w:r>
      <w:r w:rsidRPr="008E20C4">
        <w:rPr>
          <w:i/>
          <w:strike/>
          <w:lang w:val="en-IE"/>
        </w:rPr>
        <w:t xml:space="preserve"> </w:t>
      </w:r>
      <w:r w:rsidR="00667CDB" w:rsidRPr="008E20C4">
        <w:rPr>
          <w:u w:val="double"/>
          <w:lang w:val="en-IE"/>
        </w:rPr>
        <w:t>ISO/IEC 17025 (2017)</w:t>
      </w:r>
      <w:r w:rsidR="00667CDB" w:rsidRPr="008E20C4">
        <w:rPr>
          <w:lang w:val="en-IE"/>
        </w:rPr>
        <w:t xml:space="preserve"> for </w:t>
      </w:r>
      <w:r w:rsidR="0084586F" w:rsidRPr="008E20C4">
        <w:rPr>
          <w:i/>
          <w:strike/>
          <w:lang w:val="en-IE"/>
        </w:rPr>
        <w:t>Management</w:t>
      </w:r>
      <w:r w:rsidRPr="008E20C4">
        <w:rPr>
          <w:i/>
          <w:strike/>
          <w:lang w:val="en-IE"/>
        </w:rPr>
        <w:t xml:space="preserve"> </w:t>
      </w:r>
      <w:r w:rsidR="00667CDB" w:rsidRPr="008E20C4">
        <w:rPr>
          <w:u w:val="double"/>
          <w:lang w:val="en-IE"/>
        </w:rPr>
        <w:t>testing</w:t>
      </w:r>
      <w:r w:rsidR="00667CDB" w:rsidRPr="008E20C4">
        <w:rPr>
          <w:lang w:val="en-IE"/>
        </w:rPr>
        <w:t xml:space="preserve"> and </w:t>
      </w:r>
      <w:r w:rsidR="0084586F" w:rsidRPr="008E20C4">
        <w:rPr>
          <w:i/>
          <w:strike/>
          <w:lang w:val="en-IE"/>
        </w:rPr>
        <w:t>Technical Requirements for Laboratories Conducting Tests for Infectious Diseases</w:t>
      </w:r>
      <w:r w:rsidR="0084586F" w:rsidRPr="008E20C4">
        <w:rPr>
          <w:strike/>
          <w:lang w:val="en-IE"/>
        </w:rPr>
        <w:t xml:space="preserve"> (World Organisation for Animal Health, 2008)</w:t>
      </w:r>
      <w:r w:rsidR="0084586F" w:rsidRPr="008E20C4">
        <w:rPr>
          <w:rStyle w:val="FootnoteReference"/>
          <w:rFonts w:cs="Arial"/>
          <w:strike/>
          <w:lang w:val="en-IE"/>
        </w:rPr>
        <w:footnoteReference w:id="4"/>
      </w:r>
      <w:r w:rsidRPr="008E20C4">
        <w:rPr>
          <w:strike/>
          <w:lang w:val="en-IE"/>
        </w:rPr>
        <w:t xml:space="preserve"> </w:t>
      </w:r>
      <w:r w:rsidR="00667CDB" w:rsidRPr="008E20C4">
        <w:rPr>
          <w:u w:val="double"/>
          <w:lang w:val="en-IE"/>
        </w:rPr>
        <w:t>calibration laboratories</w:t>
      </w:r>
      <w:r w:rsidR="00667CDB" w:rsidRPr="008E20C4">
        <w:rPr>
          <w:lang w:val="en-IE"/>
        </w:rPr>
        <w:t xml:space="preserve"> states that </w:t>
      </w:r>
      <w:r w:rsidR="0084586F" w:rsidRPr="008E20C4">
        <w:rPr>
          <w:strike/>
          <w:lang w:val="en-IE"/>
        </w:rPr>
        <w:t xml:space="preserve">test </w:t>
      </w:r>
      <w:r w:rsidR="00667CDB" w:rsidRPr="008E20C4">
        <w:rPr>
          <w:u w:val="double"/>
          <w:lang w:val="en-IE"/>
        </w:rPr>
        <w:t>the laboratory shall use appropriate</w:t>
      </w:r>
      <w:r w:rsidR="00667CDB" w:rsidRPr="008E20C4">
        <w:rPr>
          <w:lang w:val="en-IE"/>
        </w:rPr>
        <w:t xml:space="preserve"> methods and </w:t>
      </w:r>
      <w:r w:rsidR="0084586F" w:rsidRPr="008E20C4">
        <w:rPr>
          <w:strike/>
          <w:lang w:val="en-IE"/>
        </w:rPr>
        <w:t xml:space="preserve">related </w:t>
      </w:r>
      <w:r w:rsidR="00667CDB" w:rsidRPr="008E20C4">
        <w:rPr>
          <w:lang w:val="en-IE"/>
        </w:rPr>
        <w:t xml:space="preserve">procedures </w:t>
      </w:r>
      <w:r w:rsidR="0084586F" w:rsidRPr="008E20C4">
        <w:rPr>
          <w:strike/>
          <w:lang w:val="en-IE"/>
        </w:rPr>
        <w:t xml:space="preserve">must be appropriate for specific diagnostic applications </w:t>
      </w:r>
      <w:proofErr w:type="gramStart"/>
      <w:r w:rsidR="0084586F" w:rsidRPr="008E20C4">
        <w:rPr>
          <w:strike/>
          <w:lang w:val="en-IE"/>
        </w:rPr>
        <w:t>in order for</w:t>
      </w:r>
      <w:proofErr w:type="gramEnd"/>
      <w:r w:rsidR="0084586F" w:rsidRPr="008E20C4">
        <w:rPr>
          <w:strike/>
          <w:lang w:val="en-IE"/>
        </w:rPr>
        <w:t xml:space="preserve"> the test results to be of relevance. </w:t>
      </w:r>
      <w:r w:rsidR="00667CDB" w:rsidRPr="008E20C4">
        <w:rPr>
          <w:u w:val="double"/>
          <w:lang w:val="en-IE"/>
        </w:rPr>
        <w:t>for all laboratory activities</w:t>
      </w:r>
      <w:r w:rsidR="00234D73" w:rsidRPr="008E20C4">
        <w:rPr>
          <w:u w:val="double"/>
          <w:lang w:val="en-IE"/>
        </w:rPr>
        <w:t xml:space="preserve"> (Newberry &amp; Colling</w:t>
      </w:r>
      <w:r w:rsidRPr="008E20C4">
        <w:rPr>
          <w:u w:val="double"/>
          <w:lang w:val="en-IE"/>
        </w:rPr>
        <w:t>,</w:t>
      </w:r>
      <w:r w:rsidR="00234D73" w:rsidRPr="008E20C4">
        <w:rPr>
          <w:u w:val="double"/>
          <w:lang w:val="en-IE"/>
        </w:rPr>
        <w:t xml:space="preserve"> 2021)</w:t>
      </w:r>
      <w:r w:rsidR="00667CDB" w:rsidRPr="008E20C4">
        <w:rPr>
          <w:lang w:val="en-IE"/>
        </w:rPr>
        <w:t xml:space="preserve">. In other words, the assay must be ‘fit for purpose’. </w:t>
      </w:r>
      <w:r w:rsidR="00B76405" w:rsidRPr="008E20C4">
        <w:rPr>
          <w:bCs/>
          <w:u w:val="double"/>
          <w:lang w:val="en-IE"/>
        </w:rPr>
        <w:t>Failure to define the purpose of testing</w:t>
      </w:r>
      <w:r w:rsidR="00350B17" w:rsidRPr="008E20C4">
        <w:rPr>
          <w:bCs/>
          <w:u w:val="double"/>
          <w:lang w:val="en-IE"/>
        </w:rPr>
        <w:t xml:space="preserve"> </w:t>
      </w:r>
      <w:r w:rsidR="00350B17" w:rsidRPr="008E20C4">
        <w:rPr>
          <w:bCs/>
          <w:i/>
          <w:iCs/>
          <w:u w:val="double"/>
          <w:lang w:val="en-IE"/>
        </w:rPr>
        <w:t>a priori</w:t>
      </w:r>
      <w:r w:rsidR="00B76405" w:rsidRPr="008E20C4">
        <w:rPr>
          <w:bCs/>
          <w:u w:val="double"/>
          <w:lang w:val="en-IE"/>
        </w:rPr>
        <w:t xml:space="preserve"> will likely lead to errors in both the design of the assay and in the determination of critical test parameters</w:t>
      </w:r>
      <w:r w:rsidR="00C61FCA" w:rsidRPr="008E20C4">
        <w:rPr>
          <w:bCs/>
          <w:u w:val="double"/>
          <w:lang w:val="en-IE"/>
        </w:rPr>
        <w:t xml:space="preserve"> with the potential to invalidate the entire assay development and validation process and ultimately result in a test that does not meet the user’s needs</w:t>
      </w:r>
      <w:r w:rsidR="00B76405" w:rsidRPr="008E20C4">
        <w:rPr>
          <w:bCs/>
          <w:u w:val="double"/>
          <w:lang w:val="en-IE"/>
        </w:rPr>
        <w:t xml:space="preserve">. Such errors may occur when, for example, an inappropriate reference population is selected that is heterologous to the population for which the test is being developed. </w:t>
      </w:r>
    </w:p>
    <w:p w14:paraId="2EA7C6FE" w14:textId="65871D6B" w:rsidR="00667CDB" w:rsidRPr="008E20C4" w:rsidRDefault="00667CDB" w:rsidP="005F5894">
      <w:pPr>
        <w:pStyle w:val="paraA0"/>
        <w:rPr>
          <w:lang w:val="en-IE"/>
        </w:rPr>
      </w:pPr>
      <w:r w:rsidRPr="008E20C4">
        <w:rPr>
          <w:lang w:val="en-IE"/>
        </w:rPr>
        <w:t>The qualitative and quantitative assessment of capacity of a positive or negative test result</w:t>
      </w:r>
      <w:r w:rsidR="00B67990" w:rsidRPr="008E20C4">
        <w:rPr>
          <w:u w:val="double"/>
          <w:lang w:val="en-IE"/>
        </w:rPr>
        <w:t xml:space="preserve">, </w:t>
      </w:r>
      <w:proofErr w:type="gramStart"/>
      <w:r w:rsidR="00B67990" w:rsidRPr="008E20C4">
        <w:rPr>
          <w:u w:val="double"/>
          <w:lang w:val="en-IE"/>
        </w:rPr>
        <w:t>e.g.</w:t>
      </w:r>
      <w:proofErr w:type="gramEnd"/>
      <w:r w:rsidR="00B67990" w:rsidRPr="008E20C4">
        <w:rPr>
          <w:u w:val="double"/>
          <w:lang w:val="en-IE"/>
        </w:rPr>
        <w:t xml:space="preserve"> </w:t>
      </w:r>
      <w:r w:rsidRPr="008E20C4">
        <w:rPr>
          <w:u w:val="double"/>
          <w:lang w:val="en-IE"/>
        </w:rPr>
        <w:t>predictive value</w:t>
      </w:r>
      <w:r w:rsidR="00B67990" w:rsidRPr="008E20C4">
        <w:rPr>
          <w:u w:val="double"/>
          <w:lang w:val="en-IE"/>
        </w:rPr>
        <w:t xml:space="preserve"> and </w:t>
      </w:r>
      <w:r w:rsidRPr="008E20C4">
        <w:rPr>
          <w:u w:val="double"/>
          <w:lang w:val="en-IE"/>
        </w:rPr>
        <w:t>likelihood ratio</w:t>
      </w:r>
      <w:r w:rsidRPr="008E20C4">
        <w:rPr>
          <w:lang w:val="en-IE"/>
        </w:rPr>
        <w:t xml:space="preserve"> to predict </w:t>
      </w:r>
      <w:r w:rsidR="0084586F" w:rsidRPr="008E20C4">
        <w:rPr>
          <w:strike/>
          <w:lang w:val="en-IE"/>
        </w:rPr>
        <w:t>accurately</w:t>
      </w:r>
      <w:r w:rsidR="00CF5558" w:rsidRPr="008E20C4">
        <w:rPr>
          <w:strike/>
          <w:lang w:val="en-IE"/>
        </w:rPr>
        <w:t xml:space="preserve"> </w:t>
      </w:r>
      <w:r w:rsidRPr="008E20C4">
        <w:rPr>
          <w:u w:val="double"/>
          <w:lang w:val="en-IE"/>
        </w:rPr>
        <w:t>with high confidence</w:t>
      </w:r>
      <w:r w:rsidRPr="008E20C4">
        <w:rPr>
          <w:lang w:val="en-IE"/>
        </w:rPr>
        <w:t xml:space="preserve"> the infection or exposure status of the animal or population of animals is the ultimate consideration of assay validation</w:t>
      </w:r>
      <w:r w:rsidR="00CF5558" w:rsidRPr="008E20C4">
        <w:rPr>
          <w:lang w:val="en-IE"/>
        </w:rPr>
        <w:t xml:space="preserve"> </w:t>
      </w:r>
      <w:r w:rsidRPr="008E20C4">
        <w:rPr>
          <w:u w:val="double"/>
          <w:lang w:val="en-IE"/>
        </w:rPr>
        <w:t xml:space="preserve">(Section </w:t>
      </w:r>
      <w:r w:rsidR="005F401B" w:rsidRPr="008E20C4">
        <w:rPr>
          <w:u w:val="double"/>
          <w:lang w:val="en-IE"/>
        </w:rPr>
        <w:t>B</w:t>
      </w:r>
      <w:r w:rsidR="00F73786" w:rsidRPr="008E20C4">
        <w:rPr>
          <w:u w:val="double"/>
          <w:lang w:val="en-IE"/>
        </w:rPr>
        <w:t>.</w:t>
      </w:r>
      <w:r w:rsidRPr="008E20C4">
        <w:rPr>
          <w:u w:val="double"/>
          <w:lang w:val="en-IE"/>
        </w:rPr>
        <w:t>4.2)</w:t>
      </w:r>
      <w:r w:rsidR="00CF5558" w:rsidRPr="008E20C4">
        <w:rPr>
          <w:lang w:val="en-IE"/>
        </w:rPr>
        <w:t xml:space="preserve">. </w:t>
      </w:r>
      <w:r w:rsidRPr="008E20C4">
        <w:rPr>
          <w:lang w:val="en-IE"/>
        </w:rPr>
        <w:t xml:space="preserve">This capacity is dependent on development of a carefully optimised and standardised (Section A.2.3) assay that, through </w:t>
      </w:r>
      <w:r w:rsidR="00C51A0B" w:rsidRPr="008E20C4">
        <w:rPr>
          <w:lang w:val="en-IE"/>
        </w:rPr>
        <w:t>accrual</w:t>
      </w:r>
      <w:r w:rsidRPr="008E20C4">
        <w:rPr>
          <w:lang w:val="en-IE"/>
        </w:rPr>
        <w:t xml:space="preserve"> of validation data, provides confidence in the assay’s ability to perform according to the intended purpose</w:t>
      </w:r>
      <w:r w:rsidR="00FE2BEF" w:rsidRPr="008E20C4">
        <w:rPr>
          <w:lang w:val="en-IE"/>
        </w:rPr>
        <w:t xml:space="preserve"> </w:t>
      </w:r>
      <w:r w:rsidR="004E6F08" w:rsidRPr="008E20C4">
        <w:rPr>
          <w:u w:val="double"/>
          <w:lang w:val="en-IE"/>
        </w:rPr>
        <w:t>(Table 1)</w:t>
      </w:r>
      <w:r w:rsidRPr="008E20C4">
        <w:rPr>
          <w:lang w:val="en-IE"/>
        </w:rPr>
        <w:t xml:space="preserve">. </w:t>
      </w:r>
    </w:p>
    <w:p w14:paraId="7589D689" w14:textId="0B99C445" w:rsidR="00667CDB" w:rsidRPr="008E20C4" w:rsidRDefault="00667CDB" w:rsidP="005F5894">
      <w:pPr>
        <w:pStyle w:val="paraA0"/>
        <w:rPr>
          <w:lang w:val="en-IE"/>
        </w:rPr>
      </w:pPr>
      <w:proofErr w:type="gramStart"/>
      <w:r w:rsidRPr="008E20C4">
        <w:rPr>
          <w:lang w:val="en-IE"/>
        </w:rPr>
        <w:lastRenderedPageBreak/>
        <w:t>In order to</w:t>
      </w:r>
      <w:proofErr w:type="gramEnd"/>
      <w:r w:rsidRPr="008E20C4">
        <w:rPr>
          <w:lang w:val="en-IE"/>
        </w:rPr>
        <w:t xml:space="preserve"> ensure that test results provide useful diagnostic inferences about animals or populations with regard to the intended purpose, the validation process encompasses initial development and assay performance documentation, as well as on-going assessment of quality control and quality assurance. </w:t>
      </w:r>
    </w:p>
    <w:p w14:paraId="43F844EC" w14:textId="5DD225D0" w:rsidR="00667CDB" w:rsidRPr="008E20C4" w:rsidRDefault="00667CDB" w:rsidP="0003795B">
      <w:pPr>
        <w:pStyle w:val="paraA0"/>
        <w:rPr>
          <w:lang w:val="en-IE"/>
        </w:rPr>
      </w:pPr>
      <w:r w:rsidRPr="008E20C4">
        <w:rPr>
          <w:lang w:val="en-IE"/>
        </w:rPr>
        <w:t>Figure 1 shows the assay validation process, from assay design through the development and validation pathways to implementation, deployment, and maintenance of the assay</w:t>
      </w:r>
      <w:r w:rsidR="00B94C06">
        <w:rPr>
          <w:lang w:val="en-IE"/>
        </w:rPr>
        <w:t>.</w:t>
      </w:r>
    </w:p>
    <w:p w14:paraId="2678F504" w14:textId="6FD290C1" w:rsidR="00667CDB" w:rsidRPr="008E20C4" w:rsidRDefault="00667CDB" w:rsidP="0003795B">
      <w:pPr>
        <w:pStyle w:val="paraA0"/>
        <w:rPr>
          <w:lang w:val="en-IE"/>
        </w:rPr>
      </w:pPr>
      <w:r w:rsidRPr="008E20C4">
        <w:rPr>
          <w:lang w:val="en-IE"/>
        </w:rPr>
        <w:t xml:space="preserve">The first step of assay development is selection of an assay type that is appropriate and that likely can be validated for a particular use (fitness for purpose). </w:t>
      </w:r>
    </w:p>
    <w:p w14:paraId="50C8E4EF" w14:textId="32BFC876" w:rsidR="00E5686D" w:rsidRPr="008E20C4" w:rsidRDefault="00E5686D" w:rsidP="00E5686D">
      <w:pPr>
        <w:pStyle w:val="paraA0"/>
        <w:rPr>
          <w:lang w:val="en-IE"/>
        </w:rPr>
      </w:pPr>
      <w:r w:rsidRPr="008E20C4">
        <w:rPr>
          <w:lang w:val="en-IE"/>
        </w:rPr>
        <w:t xml:space="preserve">The most common purposes </w:t>
      </w:r>
      <w:r w:rsidRPr="008E20C4">
        <w:rPr>
          <w:u w:val="double"/>
          <w:lang w:val="en-IE"/>
        </w:rPr>
        <w:t xml:space="preserve">listed in the </w:t>
      </w:r>
      <w:r w:rsidR="00907D25">
        <w:rPr>
          <w:u w:val="double"/>
          <w:lang w:val="en-IE"/>
        </w:rPr>
        <w:t>WOAH</w:t>
      </w:r>
      <w:r w:rsidRPr="008E20C4">
        <w:rPr>
          <w:u w:val="double"/>
          <w:lang w:val="en-IE"/>
        </w:rPr>
        <w:t xml:space="preserve"> </w:t>
      </w:r>
      <w:r w:rsidRPr="008E20C4">
        <w:rPr>
          <w:i/>
          <w:iCs/>
          <w:u w:val="double"/>
          <w:lang w:val="en-IE"/>
        </w:rPr>
        <w:t>Terrestrial Manual</w:t>
      </w:r>
      <w:r w:rsidRPr="008E20C4">
        <w:rPr>
          <w:u w:val="double"/>
          <w:lang w:val="en-IE"/>
        </w:rPr>
        <w:t xml:space="preserve"> </w:t>
      </w:r>
      <w:r w:rsidRPr="008E20C4">
        <w:rPr>
          <w:lang w:val="en-IE"/>
        </w:rPr>
        <w:t>are to:</w:t>
      </w:r>
    </w:p>
    <w:p w14:paraId="39062884" w14:textId="0DB3F246" w:rsidR="00667CDB" w:rsidRPr="008E20C4" w:rsidRDefault="00667CDB" w:rsidP="00A62700">
      <w:pPr>
        <w:pStyle w:val="Para1i"/>
        <w:tabs>
          <w:tab w:val="clear" w:pos="-720"/>
        </w:tabs>
        <w:spacing w:after="120"/>
        <w:jc w:val="left"/>
        <w:rPr>
          <w:lang w:val="en-IE"/>
        </w:rPr>
      </w:pPr>
      <w:r w:rsidRPr="008E20C4">
        <w:rPr>
          <w:lang w:val="en-IE"/>
        </w:rPr>
        <w:t>1)</w:t>
      </w:r>
      <w:r w:rsidRPr="008E20C4">
        <w:rPr>
          <w:lang w:val="en-IE"/>
        </w:rPr>
        <w:tab/>
        <w:t>Contribute to the demonstration of freedom from infection in a defined population (country/zone/compartment/herd) (prevalence apparently zero):</w:t>
      </w:r>
    </w:p>
    <w:p w14:paraId="3C4D2705" w14:textId="07D8AD89" w:rsidR="00667CDB" w:rsidRPr="008E20C4" w:rsidRDefault="00667CDB" w:rsidP="00A62700">
      <w:pPr>
        <w:pStyle w:val="Para1ii"/>
        <w:tabs>
          <w:tab w:val="clear" w:pos="-720"/>
        </w:tabs>
        <w:spacing w:after="120"/>
        <w:ind w:left="992" w:hanging="567"/>
        <w:rPr>
          <w:lang w:val="en-IE"/>
        </w:rPr>
      </w:pPr>
      <w:r w:rsidRPr="008E20C4">
        <w:rPr>
          <w:lang w:val="en-IE"/>
        </w:rPr>
        <w:t>1a)</w:t>
      </w:r>
      <w:r w:rsidRPr="008E20C4">
        <w:rPr>
          <w:lang w:val="en-IE"/>
        </w:rPr>
        <w:tab/>
        <w:t>‘Free’ with and/or without vaccination,</w:t>
      </w:r>
    </w:p>
    <w:p w14:paraId="76DEC733" w14:textId="1F4826CA" w:rsidR="00667CDB" w:rsidRPr="008E20C4" w:rsidRDefault="00667CDB" w:rsidP="00A62700">
      <w:pPr>
        <w:pStyle w:val="Para1ii"/>
        <w:tabs>
          <w:tab w:val="clear" w:pos="-720"/>
        </w:tabs>
        <w:spacing w:after="120"/>
        <w:ind w:left="992" w:hanging="567"/>
        <w:rPr>
          <w:lang w:val="en-IE"/>
        </w:rPr>
      </w:pPr>
      <w:r w:rsidRPr="008E20C4">
        <w:rPr>
          <w:lang w:val="en-IE"/>
        </w:rPr>
        <w:t>1b)</w:t>
      </w:r>
      <w:r w:rsidRPr="008E20C4">
        <w:rPr>
          <w:lang w:val="en-IE"/>
        </w:rPr>
        <w:tab/>
        <w:t>Re-establishment of freedom after outbreaks</w:t>
      </w:r>
    </w:p>
    <w:p w14:paraId="5B8CEE4E" w14:textId="37611E19" w:rsidR="00667CDB" w:rsidRPr="008E20C4" w:rsidRDefault="00667CDB" w:rsidP="00A62700">
      <w:pPr>
        <w:pStyle w:val="Para1i"/>
        <w:tabs>
          <w:tab w:val="clear" w:pos="-720"/>
        </w:tabs>
        <w:spacing w:after="120"/>
        <w:jc w:val="left"/>
        <w:rPr>
          <w:lang w:val="en-IE"/>
        </w:rPr>
      </w:pPr>
      <w:r w:rsidRPr="008E20C4">
        <w:rPr>
          <w:lang w:val="en-IE"/>
        </w:rPr>
        <w:t>2)</w:t>
      </w:r>
      <w:r w:rsidRPr="008E20C4">
        <w:rPr>
          <w:lang w:val="en-IE"/>
        </w:rPr>
        <w:tab/>
        <w:t>Certify freedom from infection or presence of the agent in individual animals or products for trade/movement purposes.</w:t>
      </w:r>
    </w:p>
    <w:p w14:paraId="489F0D10" w14:textId="3F22524A" w:rsidR="00667CDB" w:rsidRPr="008E20C4" w:rsidRDefault="00667CDB" w:rsidP="00A62700">
      <w:pPr>
        <w:pStyle w:val="Para1i"/>
        <w:tabs>
          <w:tab w:val="clear" w:pos="-720"/>
        </w:tabs>
        <w:spacing w:after="120"/>
        <w:jc w:val="left"/>
        <w:rPr>
          <w:lang w:val="en-IE"/>
        </w:rPr>
      </w:pPr>
      <w:r w:rsidRPr="008E20C4">
        <w:rPr>
          <w:lang w:val="en-IE"/>
        </w:rPr>
        <w:t>3)</w:t>
      </w:r>
      <w:r w:rsidRPr="008E20C4">
        <w:rPr>
          <w:lang w:val="en-IE"/>
        </w:rPr>
        <w:tab/>
        <w:t>Contribute to the eradication of disease or elimination of infection from defined populations.</w:t>
      </w:r>
    </w:p>
    <w:p w14:paraId="18C4F9C7" w14:textId="52AB952B" w:rsidR="00667CDB" w:rsidRPr="008E20C4" w:rsidRDefault="00667CDB" w:rsidP="00A62700">
      <w:pPr>
        <w:pStyle w:val="Para1i"/>
        <w:tabs>
          <w:tab w:val="clear" w:pos="-720"/>
        </w:tabs>
        <w:spacing w:after="120"/>
        <w:jc w:val="left"/>
        <w:rPr>
          <w:lang w:val="en-IE"/>
        </w:rPr>
      </w:pPr>
      <w:r w:rsidRPr="008E20C4">
        <w:rPr>
          <w:lang w:val="en-IE"/>
        </w:rPr>
        <w:t>4)</w:t>
      </w:r>
      <w:r w:rsidRPr="008E20C4">
        <w:rPr>
          <w:lang w:val="en-IE"/>
        </w:rPr>
        <w:tab/>
        <w:t>Confirm diagnosis of suspect or clinical cases (includes confirmation of positive screening test).</w:t>
      </w:r>
    </w:p>
    <w:p w14:paraId="57AF0E66" w14:textId="2B7C1C99" w:rsidR="00667CDB" w:rsidRPr="008E20C4" w:rsidRDefault="00667CDB" w:rsidP="00A62700">
      <w:pPr>
        <w:pStyle w:val="Para1i"/>
        <w:tabs>
          <w:tab w:val="clear" w:pos="-720"/>
        </w:tabs>
        <w:spacing w:after="120"/>
        <w:jc w:val="left"/>
        <w:rPr>
          <w:lang w:val="en-IE"/>
        </w:rPr>
      </w:pPr>
      <w:r w:rsidRPr="008E20C4">
        <w:rPr>
          <w:lang w:val="en-IE"/>
        </w:rPr>
        <w:t>5)</w:t>
      </w:r>
      <w:r w:rsidRPr="008E20C4">
        <w:rPr>
          <w:lang w:val="en-IE"/>
        </w:rPr>
        <w:tab/>
        <w:t>Estimate prevalence of infection or exposure to facilitate risk analysis (surveys, herd health status, disease control measures).</w:t>
      </w:r>
    </w:p>
    <w:p w14:paraId="71C8475A" w14:textId="743CD481" w:rsidR="00667CDB" w:rsidRPr="008E20C4" w:rsidRDefault="00667CDB" w:rsidP="00A62700">
      <w:pPr>
        <w:pStyle w:val="Para1i"/>
        <w:tabs>
          <w:tab w:val="clear" w:pos="-720"/>
        </w:tabs>
        <w:spacing w:after="120"/>
        <w:jc w:val="left"/>
        <w:rPr>
          <w:lang w:val="en-IE"/>
        </w:rPr>
      </w:pPr>
      <w:r w:rsidRPr="008E20C4">
        <w:rPr>
          <w:lang w:val="en-IE"/>
        </w:rPr>
        <w:t>6)</w:t>
      </w:r>
      <w:r w:rsidRPr="008E20C4">
        <w:rPr>
          <w:lang w:val="en-IE"/>
        </w:rPr>
        <w:tab/>
        <w:t>Determine immune status of individual animals or populations (post-vaccination).</w:t>
      </w:r>
    </w:p>
    <w:p w14:paraId="7D70E9B2" w14:textId="77777777" w:rsidR="0084586F" w:rsidRPr="008E20C4" w:rsidRDefault="0084586F" w:rsidP="00CB46FC">
      <w:pPr>
        <w:pStyle w:val="para1"/>
        <w:tabs>
          <w:tab w:val="clear" w:pos="-720"/>
        </w:tabs>
        <w:spacing w:after="280"/>
        <w:rPr>
          <w:strike/>
          <w:lang w:val="en-IE"/>
        </w:rPr>
      </w:pPr>
      <w:r w:rsidRPr="008E20C4">
        <w:rPr>
          <w:strike/>
          <w:lang w:val="en-IE"/>
        </w:rPr>
        <w:t xml:space="preserve">These purposes are broadly inclusive of many narrower and more specific applications of assays (see the </w:t>
      </w:r>
      <w:r w:rsidR="00174D2E" w:rsidRPr="008E20C4">
        <w:rPr>
          <w:strike/>
          <w:lang w:val="en-IE"/>
        </w:rPr>
        <w:t xml:space="preserve">Recommendations </w:t>
      </w:r>
      <w:r w:rsidR="00040933" w:rsidRPr="008E20C4">
        <w:rPr>
          <w:strike/>
          <w:lang w:val="en-IE"/>
        </w:rPr>
        <w:t>for</w:t>
      </w:r>
      <w:r w:rsidR="00174D2E" w:rsidRPr="008E20C4">
        <w:rPr>
          <w:strike/>
          <w:lang w:val="en-IE"/>
        </w:rPr>
        <w:t xml:space="preserve"> v</w:t>
      </w:r>
      <w:r w:rsidRPr="008E20C4">
        <w:rPr>
          <w:strike/>
          <w:lang w:val="en-IE"/>
        </w:rPr>
        <w:t>alidation</w:t>
      </w:r>
      <w:r w:rsidR="00040933" w:rsidRPr="008E20C4">
        <w:rPr>
          <w:strike/>
          <w:lang w:val="en-IE"/>
        </w:rPr>
        <w:t xml:space="preserve"> of diagnostic tests</w:t>
      </w:r>
      <w:r w:rsidR="00107FAC" w:rsidRPr="008E20C4">
        <w:rPr>
          <w:strike/>
          <w:lang w:val="en-IE"/>
        </w:rPr>
        <w:t>: footnote 2</w:t>
      </w:r>
      <w:r w:rsidRPr="008E20C4">
        <w:rPr>
          <w:strike/>
          <w:lang w:val="en-IE"/>
        </w:rPr>
        <w:t xml:space="preserve">) for each assay type for details). Such specific applications and their unique purposes need to be clearly defined within the context of a fully validated assay. </w:t>
      </w:r>
    </w:p>
    <w:p w14:paraId="21502E17" w14:textId="1F2A1726" w:rsidR="00D15DC5" w:rsidRPr="008E20C4" w:rsidRDefault="0073302A" w:rsidP="00980E79">
      <w:pPr>
        <w:pStyle w:val="para1"/>
        <w:spacing w:after="280"/>
        <w:rPr>
          <w:smallCaps/>
          <w:u w:val="double"/>
          <w:lang w:val="en-IE"/>
        </w:rPr>
      </w:pPr>
      <w:r w:rsidRPr="008E20C4">
        <w:rPr>
          <w:strike/>
          <w:lang w:val="en-IE"/>
        </w:rPr>
        <w:t>Further to the intended purpose, the assay needs to be defined in terms of target animal species, target pathogen(s) or condition</w:t>
      </w:r>
      <w:r w:rsidR="007B5974" w:rsidRPr="008E20C4">
        <w:rPr>
          <w:strike/>
          <w:lang w:val="en-IE"/>
        </w:rPr>
        <w:t>,</w:t>
      </w:r>
      <w:r w:rsidRPr="008E20C4">
        <w:rPr>
          <w:strike/>
          <w:lang w:val="en-IE"/>
        </w:rPr>
        <w:t xml:space="preserve"> and sampling matrix.</w:t>
      </w:r>
      <w:bookmarkStart w:id="2" w:name="_Hlk109635922"/>
    </w:p>
    <w:p w14:paraId="1C04DED5" w14:textId="77777777" w:rsidR="00D15DC5" w:rsidRPr="008E20C4" w:rsidRDefault="00D15DC5" w:rsidP="00D15DC5">
      <w:pPr>
        <w:spacing w:after="240" w:line="240" w:lineRule="auto"/>
        <w:jc w:val="center"/>
        <w:rPr>
          <w:lang w:val="en-IE"/>
        </w:rPr>
        <w:sectPr w:rsidR="00D15DC5" w:rsidRPr="008E20C4" w:rsidSect="00C64763">
          <w:headerReference w:type="even" r:id="rId11"/>
          <w:headerReference w:type="default" r:id="rId12"/>
          <w:footerReference w:type="even" r:id="rId13"/>
          <w:footerReference w:type="default" r:id="rId14"/>
          <w:headerReference w:type="first" r:id="rId15"/>
          <w:footerReference w:type="first" r:id="rId16"/>
          <w:type w:val="oddPage"/>
          <w:pgSz w:w="11907" w:h="16840" w:code="9"/>
          <w:pgMar w:top="1418" w:right="1418" w:bottom="1418" w:left="1418" w:header="567" w:footer="567" w:gutter="0"/>
          <w:paperSrc w:first="7" w:other="7"/>
          <w:pgBorders w:offsetFrom="page">
            <w:top w:val="none" w:sz="0" w:space="13" w:color="000000"/>
            <w:left w:val="none" w:sz="0" w:space="19" w:color="000000"/>
            <w:bottom w:val="none" w:sz="0" w:space="0" w:color="000000"/>
            <w:right w:val="none" w:sz="0" w:space="13" w:color="000000"/>
          </w:pgBorders>
          <w:lnNumType w:countBy="1" w:restart="continuous"/>
          <w:pgNumType w:start="1"/>
          <w:cols w:space="720"/>
          <w:titlePg/>
          <w:docGrid w:linePitch="272"/>
        </w:sectPr>
      </w:pPr>
    </w:p>
    <w:p w14:paraId="01E546E2" w14:textId="020122A4" w:rsidR="00D15DC5" w:rsidRPr="008E20C4" w:rsidRDefault="00D15DC5" w:rsidP="00CE2C66">
      <w:pPr>
        <w:pStyle w:val="Tabletitle"/>
        <w:rPr>
          <w:lang w:val="en-IE"/>
        </w:rPr>
      </w:pPr>
      <w:r w:rsidRPr="008E20C4">
        <w:rPr>
          <w:lang w:val="en-IE"/>
        </w:rPr>
        <w:lastRenderedPageBreak/>
        <w:t xml:space="preserve">Table 1: Test purposes and relative importance of diagnostic sensitivity </w:t>
      </w:r>
      <w:r w:rsidRPr="001414B4">
        <w:rPr>
          <w:i w:val="0"/>
          <w:iCs w:val="0"/>
          <w:lang w:val="en-IE"/>
        </w:rPr>
        <w:t>(</w:t>
      </w:r>
      <w:proofErr w:type="spellStart"/>
      <w:r w:rsidRPr="008E20C4">
        <w:rPr>
          <w:lang w:val="en-IE"/>
        </w:rPr>
        <w:t>DSe</w:t>
      </w:r>
      <w:proofErr w:type="spellEnd"/>
      <w:r w:rsidRPr="001414B4">
        <w:rPr>
          <w:i w:val="0"/>
          <w:iCs w:val="0"/>
          <w:lang w:val="en-IE"/>
        </w:rPr>
        <w:t>)</w:t>
      </w:r>
      <w:r w:rsidRPr="008E20C4">
        <w:rPr>
          <w:lang w:val="en-IE"/>
        </w:rPr>
        <w:t xml:space="preserve">, diagnostic specificity </w:t>
      </w:r>
      <w:r w:rsidRPr="001414B4">
        <w:rPr>
          <w:i w:val="0"/>
          <w:iCs w:val="0"/>
          <w:lang w:val="en-IE"/>
        </w:rPr>
        <w:t>(</w:t>
      </w:r>
      <w:proofErr w:type="spellStart"/>
      <w:r w:rsidRPr="008E20C4">
        <w:rPr>
          <w:lang w:val="en-IE"/>
        </w:rPr>
        <w:t>DSp</w:t>
      </w:r>
      <w:proofErr w:type="spellEnd"/>
      <w:r w:rsidRPr="001414B4">
        <w:rPr>
          <w:i w:val="0"/>
          <w:iCs w:val="0"/>
          <w:lang w:val="en-IE"/>
        </w:rPr>
        <w:t>)</w:t>
      </w:r>
      <w:r w:rsidRPr="008E20C4">
        <w:rPr>
          <w:lang w:val="en-IE"/>
        </w:rPr>
        <w:t xml:space="preserve">, positive predictive value </w:t>
      </w:r>
      <w:r w:rsidRPr="001414B4">
        <w:rPr>
          <w:i w:val="0"/>
          <w:iCs w:val="0"/>
          <w:lang w:val="en-IE"/>
        </w:rPr>
        <w:t>(</w:t>
      </w:r>
      <w:r w:rsidRPr="008E20C4">
        <w:rPr>
          <w:lang w:val="en-IE"/>
        </w:rPr>
        <w:t>PV+</w:t>
      </w:r>
      <w:r w:rsidRPr="001414B4">
        <w:rPr>
          <w:i w:val="0"/>
          <w:iCs w:val="0"/>
          <w:lang w:val="en-IE"/>
        </w:rPr>
        <w:t>)</w:t>
      </w:r>
      <w:r w:rsidRPr="008E20C4">
        <w:rPr>
          <w:lang w:val="en-IE"/>
        </w:rPr>
        <w:t xml:space="preserve">, negative predictive value </w:t>
      </w:r>
      <w:r w:rsidRPr="001414B4">
        <w:rPr>
          <w:i w:val="0"/>
          <w:iCs w:val="0"/>
          <w:lang w:val="en-IE"/>
        </w:rPr>
        <w:t>(</w:t>
      </w:r>
      <w:r w:rsidRPr="008E20C4">
        <w:rPr>
          <w:lang w:val="en-IE"/>
        </w:rPr>
        <w:t>PV–</w:t>
      </w:r>
      <w:r w:rsidRPr="001414B4">
        <w:rPr>
          <w:i w:val="0"/>
          <w:iCs w:val="0"/>
          <w:lang w:val="en-IE"/>
        </w:rPr>
        <w:t>)</w:t>
      </w:r>
      <w:r w:rsidRPr="008E20C4">
        <w:rPr>
          <w:lang w:val="en-IE"/>
        </w:rPr>
        <w:t xml:space="preserve">, likelihood ratio of a positive test result </w:t>
      </w:r>
      <w:r w:rsidRPr="001414B4">
        <w:rPr>
          <w:i w:val="0"/>
          <w:iCs w:val="0"/>
          <w:lang w:val="en-IE"/>
        </w:rPr>
        <w:t>(</w:t>
      </w:r>
      <w:r w:rsidRPr="008E20C4">
        <w:rPr>
          <w:lang w:val="en-IE"/>
        </w:rPr>
        <w:t>LR+</w:t>
      </w:r>
      <w:r w:rsidRPr="001414B4">
        <w:rPr>
          <w:i w:val="0"/>
          <w:iCs w:val="0"/>
          <w:lang w:val="en-IE"/>
        </w:rPr>
        <w:t xml:space="preserve">) </w:t>
      </w:r>
      <w:r w:rsidRPr="008E20C4">
        <w:rPr>
          <w:lang w:val="en-IE"/>
        </w:rPr>
        <w:t xml:space="preserve">and likelihood ratio of a negative test result </w:t>
      </w:r>
      <w:r w:rsidRPr="001414B4">
        <w:rPr>
          <w:i w:val="0"/>
          <w:iCs w:val="0"/>
          <w:lang w:val="en-IE"/>
        </w:rPr>
        <w:t>(</w:t>
      </w:r>
      <w:r w:rsidRPr="008E20C4">
        <w:rPr>
          <w:lang w:val="en-IE"/>
        </w:rPr>
        <w:t>LR–</w:t>
      </w:r>
      <w:r w:rsidRPr="001414B4">
        <w:rPr>
          <w:i w:val="0"/>
          <w:iCs w:val="0"/>
          <w:lang w:val="en-IE"/>
        </w:rPr>
        <w:t>)</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10626"/>
      </w:tblGrid>
      <w:tr w:rsidR="00D15DC5" w:rsidRPr="008E20C4" w14:paraId="5B00385B" w14:textId="77777777" w:rsidTr="00980E79">
        <w:tc>
          <w:tcPr>
            <w:tcW w:w="3261" w:type="dxa"/>
            <w:shd w:val="clear" w:color="auto" w:fill="auto"/>
          </w:tcPr>
          <w:p w14:paraId="53DCF3BD" w14:textId="77777777" w:rsidR="00D15DC5" w:rsidRPr="008E20C4" w:rsidRDefault="00D15DC5">
            <w:pPr>
              <w:pStyle w:val="Default"/>
              <w:spacing w:before="120" w:after="120"/>
              <w:rPr>
                <w:rFonts w:ascii="Söhne Kräftig" w:hAnsi="Söhne Kräftig"/>
                <w:bCs/>
                <w:sz w:val="18"/>
                <w:szCs w:val="18"/>
                <w:u w:val="double"/>
                <w:lang w:val="en-IE"/>
              </w:rPr>
            </w:pPr>
            <w:r w:rsidRPr="008E20C4">
              <w:rPr>
                <w:rFonts w:ascii="Söhne Kräftig" w:hAnsi="Söhne Kräftig"/>
                <w:bCs/>
                <w:sz w:val="18"/>
                <w:szCs w:val="18"/>
                <w:u w:val="double"/>
                <w:lang w:val="en-IE"/>
              </w:rPr>
              <w:t>Purpose</w:t>
            </w:r>
          </w:p>
        </w:tc>
        <w:tc>
          <w:tcPr>
            <w:tcW w:w="10626" w:type="dxa"/>
            <w:shd w:val="clear" w:color="auto" w:fill="auto"/>
          </w:tcPr>
          <w:p w14:paraId="5E7F76DF" w14:textId="5627188A" w:rsidR="00D15DC5" w:rsidRPr="008E20C4" w:rsidRDefault="00980E79">
            <w:pPr>
              <w:pStyle w:val="Default"/>
              <w:spacing w:before="120" w:after="120"/>
              <w:rPr>
                <w:rFonts w:ascii="Söhne Kräftig" w:hAnsi="Söhne Kräftig"/>
                <w:bCs/>
                <w:sz w:val="18"/>
                <w:szCs w:val="18"/>
                <w:u w:val="double"/>
                <w:lang w:val="en-IE"/>
              </w:rPr>
            </w:pPr>
            <w:r w:rsidRPr="008E20C4">
              <w:rPr>
                <w:rFonts w:ascii="Söhne Kräftig" w:hAnsi="Söhne Kräftig"/>
                <w:sz w:val="18"/>
                <w:szCs w:val="18"/>
                <w:u w:val="double"/>
                <w:lang w:val="en-IE"/>
              </w:rPr>
              <w:t xml:space="preserve">Examples and measures of diagnostic accuracy depending on test purpose (Reid </w:t>
            </w:r>
            <w:r w:rsidRPr="008E20C4">
              <w:rPr>
                <w:rFonts w:ascii="Söhne Kräftig" w:hAnsi="Söhne Kräftig"/>
                <w:i/>
                <w:iCs/>
                <w:sz w:val="18"/>
                <w:szCs w:val="18"/>
                <w:u w:val="double"/>
                <w:lang w:val="en-IE"/>
              </w:rPr>
              <w:t>et al.,</w:t>
            </w:r>
            <w:r w:rsidRPr="008E20C4">
              <w:rPr>
                <w:rFonts w:ascii="Söhne Kräftig" w:hAnsi="Söhne Kräftig"/>
                <w:sz w:val="18"/>
                <w:szCs w:val="18"/>
                <w:u w:val="double"/>
                <w:lang w:val="en-IE"/>
              </w:rPr>
              <w:t xml:space="preserve"> 2022) </w:t>
            </w:r>
          </w:p>
        </w:tc>
      </w:tr>
      <w:tr w:rsidR="00D15DC5" w:rsidRPr="008E20C4" w14:paraId="5CA4240D" w14:textId="77777777" w:rsidTr="00980E79">
        <w:tc>
          <w:tcPr>
            <w:tcW w:w="3261" w:type="dxa"/>
            <w:shd w:val="clear" w:color="auto" w:fill="auto"/>
          </w:tcPr>
          <w:p w14:paraId="327ED1C0"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1a</w:t>
            </w:r>
            <w:r w:rsidRPr="008E20C4">
              <w:rPr>
                <w:rFonts w:ascii="Söhne" w:hAnsi="Söhne"/>
                <w:iCs/>
                <w:sz w:val="16"/>
                <w:szCs w:val="16"/>
                <w:u w:val="double"/>
                <w:lang w:val="en-IE"/>
              </w:rPr>
              <w:t>)</w:t>
            </w:r>
            <w:r w:rsidRPr="008E20C4">
              <w:rPr>
                <w:rFonts w:ascii="Söhne" w:hAnsi="Söhne"/>
                <w:i/>
                <w:sz w:val="16"/>
                <w:szCs w:val="16"/>
                <w:u w:val="double"/>
                <w:lang w:val="en-IE"/>
              </w:rPr>
              <w:t xml:space="preserve"> Historical freedom</w:t>
            </w:r>
            <w:r w:rsidRPr="008E20C4">
              <w:rPr>
                <w:rFonts w:ascii="Söhne" w:hAnsi="Söhne"/>
                <w:sz w:val="16"/>
                <w:szCs w:val="16"/>
                <w:u w:val="double"/>
                <w:lang w:val="en-IE"/>
              </w:rPr>
              <w:t xml:space="preserve"> (with or without vaccination) </w:t>
            </w:r>
          </w:p>
        </w:tc>
        <w:tc>
          <w:tcPr>
            <w:tcW w:w="10626" w:type="dxa"/>
            <w:shd w:val="clear" w:color="auto" w:fill="auto"/>
          </w:tcPr>
          <w:p w14:paraId="464192A8"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sz w:val="16"/>
                <w:szCs w:val="16"/>
                <w:u w:val="double"/>
                <w:lang w:val="en-IE"/>
              </w:rPr>
              <w:t xml:space="preserve">In a population that is historically free of a particular disease/pathogen, the prevalence is zero </w:t>
            </w:r>
            <w:r w:rsidRPr="008E20C4">
              <w:rPr>
                <w:rFonts w:ascii="Söhne" w:eastAsia="Times New Roman" w:hAnsi="Söhne"/>
                <w:sz w:val="16"/>
                <w:szCs w:val="16"/>
                <w:u w:val="double"/>
                <w:lang w:val="en-IE"/>
              </w:rPr>
              <w:t>(</w:t>
            </w:r>
            <w:r w:rsidRPr="008E20C4">
              <w:rPr>
                <w:rFonts w:ascii="Söhne" w:hAnsi="Söhne"/>
                <w:sz w:val="16"/>
                <w:szCs w:val="16"/>
                <w:u w:val="double"/>
                <w:lang w:val="en-IE"/>
              </w:rPr>
              <w:t>or close to zero</w:t>
            </w:r>
            <w:r w:rsidRPr="008E20C4">
              <w:rPr>
                <w:rFonts w:ascii="Söhne" w:eastAsia="Times New Roman" w:hAnsi="Söhne"/>
                <w:sz w:val="16"/>
                <w:szCs w:val="16"/>
                <w:u w:val="double"/>
                <w:lang w:val="en-IE"/>
              </w:rPr>
              <w:t>).</w:t>
            </w:r>
            <w:r w:rsidRPr="008E20C4">
              <w:rPr>
                <w:rFonts w:ascii="Söhne" w:hAnsi="Söhne"/>
                <w:sz w:val="16"/>
                <w:szCs w:val="16"/>
                <w:u w:val="double"/>
                <w:lang w:val="en-IE"/>
              </w:rPr>
              <w:t xml:space="preserve"> To be fit for purpose, the test or test algorithm aims to minimise chances of false-positive results and ideally requires </w:t>
            </w:r>
            <w:r w:rsidRPr="008E20C4">
              <w:rPr>
                <w:rFonts w:ascii="Söhne" w:hAnsi="Söhne"/>
                <w:b/>
                <w:sz w:val="16"/>
                <w:szCs w:val="16"/>
                <w:u w:val="double"/>
                <w:lang w:val="en-IE"/>
              </w:rPr>
              <w:t xml:space="preserve">high </w:t>
            </w:r>
            <w:proofErr w:type="spellStart"/>
            <w:r w:rsidRPr="008E20C4">
              <w:rPr>
                <w:rFonts w:ascii="Söhne" w:hAnsi="Söhne"/>
                <w:b/>
                <w:sz w:val="16"/>
                <w:szCs w:val="16"/>
                <w:u w:val="double"/>
                <w:lang w:val="en-IE"/>
              </w:rPr>
              <w:t>DSp</w:t>
            </w:r>
            <w:proofErr w:type="spellEnd"/>
            <w:r w:rsidRPr="008E20C4">
              <w:rPr>
                <w:rFonts w:ascii="Söhne" w:hAnsi="Söhne"/>
                <w:sz w:val="16"/>
                <w:szCs w:val="16"/>
                <w:u w:val="double"/>
                <w:lang w:val="en-IE"/>
              </w:rPr>
              <w:t xml:space="preserve">, </w:t>
            </w:r>
            <w:r w:rsidRPr="008E20C4">
              <w:rPr>
                <w:rFonts w:ascii="Söhne" w:hAnsi="Söhne"/>
                <w:b/>
                <w:sz w:val="16"/>
                <w:szCs w:val="16"/>
                <w:u w:val="double"/>
                <w:lang w:val="en-IE"/>
              </w:rPr>
              <w:t xml:space="preserve">high PV+ and high LR+. </w:t>
            </w:r>
            <w:r w:rsidRPr="008E20C4">
              <w:rPr>
                <w:rFonts w:ascii="Söhne" w:hAnsi="Söhne"/>
                <w:sz w:val="16"/>
                <w:szCs w:val="16"/>
                <w:u w:val="double"/>
                <w:lang w:val="en-IE"/>
              </w:rPr>
              <w:t xml:space="preserve">This can be achieved by a single test with a high </w:t>
            </w:r>
            <w:proofErr w:type="spellStart"/>
            <w:r w:rsidRPr="008E20C4">
              <w:rPr>
                <w:rFonts w:ascii="Söhne" w:hAnsi="Söhne"/>
                <w:sz w:val="16"/>
                <w:szCs w:val="16"/>
                <w:u w:val="double"/>
                <w:lang w:val="en-IE"/>
              </w:rPr>
              <w:t>DSp</w:t>
            </w:r>
            <w:proofErr w:type="spellEnd"/>
            <w:r w:rsidRPr="008E20C4">
              <w:rPr>
                <w:rFonts w:ascii="Söhne" w:hAnsi="Söhne"/>
                <w:sz w:val="16"/>
                <w:szCs w:val="16"/>
                <w:u w:val="double"/>
                <w:lang w:val="en-IE"/>
              </w:rPr>
              <w:t xml:space="preserve"> or serial </w:t>
            </w:r>
            <w:proofErr w:type="gramStart"/>
            <w:r w:rsidRPr="008E20C4">
              <w:rPr>
                <w:rFonts w:ascii="Söhne" w:hAnsi="Söhne"/>
                <w:sz w:val="16"/>
                <w:szCs w:val="16"/>
                <w:u w:val="double"/>
                <w:lang w:val="en-IE"/>
              </w:rPr>
              <w:t>testing</w:t>
            </w:r>
            <w:r w:rsidRPr="008E20C4">
              <w:rPr>
                <w:rFonts w:ascii="Söhne" w:hAnsi="Söhne"/>
                <w:sz w:val="16"/>
                <w:szCs w:val="16"/>
                <w:u w:val="double"/>
                <w:vertAlign w:val="superscript"/>
                <w:lang w:val="en-IE"/>
              </w:rPr>
              <w:t>(</w:t>
            </w:r>
            <w:proofErr w:type="gramEnd"/>
            <w:r w:rsidRPr="008E20C4">
              <w:rPr>
                <w:rFonts w:ascii="Söhne" w:hAnsi="Söhne"/>
                <w:sz w:val="16"/>
                <w:szCs w:val="16"/>
                <w:u w:val="double"/>
                <w:vertAlign w:val="superscript"/>
                <w:lang w:val="en-IE"/>
              </w:rPr>
              <w:t>*)</w:t>
            </w:r>
            <w:r w:rsidRPr="008E20C4">
              <w:rPr>
                <w:rFonts w:ascii="Söhne" w:hAnsi="Söhne"/>
                <w:sz w:val="16"/>
                <w:szCs w:val="16"/>
                <w:u w:val="double"/>
                <w:lang w:val="en-IE"/>
              </w:rPr>
              <w:t>.</w:t>
            </w:r>
          </w:p>
        </w:tc>
      </w:tr>
      <w:tr w:rsidR="00D15DC5" w:rsidRPr="008E20C4" w14:paraId="7AACFBDC" w14:textId="77777777" w:rsidTr="00980E79">
        <w:tc>
          <w:tcPr>
            <w:tcW w:w="3261" w:type="dxa"/>
            <w:shd w:val="clear" w:color="auto" w:fill="auto"/>
          </w:tcPr>
          <w:p w14:paraId="2007EB94"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1b</w:t>
            </w:r>
            <w:r w:rsidRPr="008E20C4">
              <w:rPr>
                <w:rFonts w:ascii="Söhne" w:hAnsi="Söhne"/>
                <w:iCs/>
                <w:sz w:val="16"/>
                <w:szCs w:val="16"/>
                <w:u w:val="double"/>
                <w:lang w:val="en-IE"/>
              </w:rPr>
              <w:t>)</w:t>
            </w:r>
            <w:r w:rsidRPr="008E20C4">
              <w:rPr>
                <w:rFonts w:ascii="Söhne" w:hAnsi="Söhne"/>
                <w:i/>
                <w:sz w:val="16"/>
                <w:szCs w:val="16"/>
                <w:u w:val="double"/>
                <w:lang w:val="en-IE"/>
              </w:rPr>
              <w:t xml:space="preserve"> Re-establishment of freedom after outbreak</w:t>
            </w:r>
          </w:p>
        </w:tc>
        <w:tc>
          <w:tcPr>
            <w:tcW w:w="10626" w:type="dxa"/>
            <w:shd w:val="clear" w:color="auto" w:fill="auto"/>
          </w:tcPr>
          <w:p w14:paraId="6AE552F9" w14:textId="2F942ABE" w:rsidR="00D15DC5" w:rsidRPr="008E20C4" w:rsidRDefault="00D15DC5">
            <w:pPr>
              <w:pStyle w:val="Default"/>
              <w:spacing w:before="60" w:after="60"/>
              <w:rPr>
                <w:rFonts w:ascii="Söhne" w:hAnsi="Söhne"/>
                <w:sz w:val="16"/>
                <w:szCs w:val="16"/>
                <w:u w:val="double"/>
                <w:lang w:val="en-IE"/>
              </w:rPr>
            </w:pPr>
            <w:proofErr w:type="gramStart"/>
            <w:r w:rsidRPr="008E20C4">
              <w:rPr>
                <w:rFonts w:ascii="Söhne" w:hAnsi="Söhne"/>
                <w:sz w:val="16"/>
                <w:szCs w:val="16"/>
                <w:u w:val="double"/>
                <w:lang w:val="en-IE"/>
              </w:rPr>
              <w:t>During the course of</w:t>
            </w:r>
            <w:proofErr w:type="gramEnd"/>
            <w:r w:rsidRPr="008E20C4">
              <w:rPr>
                <w:rFonts w:ascii="Söhne" w:hAnsi="Söhne"/>
                <w:sz w:val="16"/>
                <w:szCs w:val="16"/>
                <w:u w:val="double"/>
                <w:lang w:val="en-IE"/>
              </w:rPr>
              <w:t xml:space="preserve"> a successful disease control programme, a gradual shift in prevalence from high (during the peak of the outbreak) to low (at the tail end of an outbreak) can be expected. During the early stages of a proof-of freedom testing programme, when disease prevalence remains at non-negligible levels, a fit for purpose test needs a </w:t>
            </w:r>
            <w:r w:rsidRPr="008E20C4">
              <w:rPr>
                <w:rFonts w:ascii="Söhne" w:hAnsi="Söhne"/>
                <w:b/>
                <w:sz w:val="16"/>
                <w:szCs w:val="16"/>
                <w:u w:val="double"/>
                <w:lang w:val="en-IE"/>
              </w:rPr>
              <w:t xml:space="preserve">high </w:t>
            </w:r>
            <w:proofErr w:type="spellStart"/>
            <w:r w:rsidRPr="008E20C4">
              <w:rPr>
                <w:rFonts w:ascii="Söhne" w:hAnsi="Söhne"/>
                <w:b/>
                <w:sz w:val="16"/>
                <w:szCs w:val="16"/>
                <w:u w:val="double"/>
                <w:lang w:val="en-IE"/>
              </w:rPr>
              <w:t>DSe</w:t>
            </w:r>
            <w:proofErr w:type="spellEnd"/>
            <w:r w:rsidRPr="008E20C4">
              <w:rPr>
                <w:rFonts w:ascii="Söhne" w:hAnsi="Söhne"/>
                <w:sz w:val="16"/>
                <w:szCs w:val="16"/>
                <w:u w:val="double"/>
                <w:lang w:val="en-IE"/>
              </w:rPr>
              <w:t xml:space="preserve">, </w:t>
            </w:r>
            <w:r w:rsidRPr="008E20C4">
              <w:rPr>
                <w:rFonts w:ascii="Söhne" w:hAnsi="Söhne"/>
                <w:b/>
                <w:sz w:val="16"/>
                <w:szCs w:val="16"/>
                <w:u w:val="double"/>
                <w:lang w:val="en-IE"/>
              </w:rPr>
              <w:t>high</w:t>
            </w:r>
            <w:r w:rsidRPr="008E20C4">
              <w:rPr>
                <w:rFonts w:ascii="Söhne" w:hAnsi="Söhne"/>
                <w:sz w:val="16"/>
                <w:szCs w:val="16"/>
                <w:u w:val="double"/>
                <w:lang w:val="en-IE"/>
              </w:rPr>
              <w:t xml:space="preserve"> </w:t>
            </w:r>
            <w:r w:rsidRPr="008E20C4">
              <w:rPr>
                <w:rFonts w:ascii="Söhne" w:hAnsi="Söhne"/>
                <w:b/>
                <w:sz w:val="16"/>
                <w:szCs w:val="16"/>
                <w:u w:val="double"/>
                <w:lang w:val="en-IE"/>
              </w:rPr>
              <w:t>PV– and high LR–.</w:t>
            </w:r>
            <w:r w:rsidRPr="008E20C4">
              <w:rPr>
                <w:rFonts w:ascii="Söhne" w:hAnsi="Söhne"/>
                <w:sz w:val="16"/>
                <w:szCs w:val="16"/>
                <w:u w:val="double"/>
                <w:lang w:val="en-IE"/>
              </w:rPr>
              <w:t xml:space="preserve"> This approach minimises the chances of false-negative results and allows detection of positive individuals. This can be achieved by a single test with a high </w:t>
            </w:r>
            <w:proofErr w:type="spellStart"/>
            <w:r w:rsidRPr="008E20C4">
              <w:rPr>
                <w:rFonts w:ascii="Söhne" w:hAnsi="Söhne"/>
                <w:sz w:val="16"/>
                <w:szCs w:val="16"/>
                <w:u w:val="double"/>
                <w:lang w:val="en-IE"/>
              </w:rPr>
              <w:t>DSe</w:t>
            </w:r>
            <w:proofErr w:type="spellEnd"/>
            <w:r w:rsidRPr="008E20C4">
              <w:rPr>
                <w:rFonts w:ascii="Söhne" w:hAnsi="Söhne"/>
                <w:sz w:val="16"/>
                <w:szCs w:val="16"/>
                <w:u w:val="double"/>
                <w:lang w:val="en-IE"/>
              </w:rPr>
              <w:t xml:space="preserve"> or parallel </w:t>
            </w:r>
            <w:proofErr w:type="gramStart"/>
            <w:r w:rsidRPr="008E20C4">
              <w:rPr>
                <w:rFonts w:ascii="Söhne" w:hAnsi="Söhne"/>
                <w:sz w:val="16"/>
                <w:szCs w:val="16"/>
                <w:u w:val="double"/>
                <w:lang w:val="en-IE"/>
              </w:rPr>
              <w:t>testing(</w:t>
            </w:r>
            <w:proofErr w:type="gramEnd"/>
            <w:r w:rsidRPr="008E20C4">
              <w:rPr>
                <w:rFonts w:ascii="Söhne" w:hAnsi="Söhne"/>
                <w:sz w:val="16"/>
                <w:szCs w:val="16"/>
                <w:u w:val="double"/>
                <w:lang w:val="en-IE"/>
              </w:rPr>
              <w:t xml:space="preserve">*). At the end of the disease control programme when the remaining infected animals have been removed from the population, disease prevalence will be very low and so the proof-of-freedom testing algorithm will likely need to be altered to increase </w:t>
            </w:r>
            <w:proofErr w:type="spellStart"/>
            <w:r w:rsidRPr="008E20C4">
              <w:rPr>
                <w:rFonts w:ascii="Söhne" w:hAnsi="Söhne"/>
                <w:sz w:val="16"/>
                <w:szCs w:val="16"/>
                <w:u w:val="double"/>
                <w:lang w:val="en-IE"/>
              </w:rPr>
              <w:t>DSp</w:t>
            </w:r>
            <w:proofErr w:type="spellEnd"/>
            <w:r w:rsidRPr="008E20C4">
              <w:rPr>
                <w:rFonts w:ascii="Söhne" w:hAnsi="Söhne"/>
                <w:sz w:val="16"/>
                <w:szCs w:val="16"/>
                <w:u w:val="double"/>
                <w:lang w:val="en-IE"/>
              </w:rPr>
              <w:t xml:space="preserve"> (and thus improve PV+ and LR+)</w:t>
            </w:r>
            <w:r w:rsidR="004F246C" w:rsidRPr="008E20C4">
              <w:rPr>
                <w:rFonts w:ascii="Söhne" w:hAnsi="Söhne"/>
                <w:sz w:val="16"/>
                <w:szCs w:val="16"/>
                <w:u w:val="double"/>
                <w:lang w:val="en-IE"/>
              </w:rPr>
              <w:t xml:space="preserve"> similar as in 1a</w:t>
            </w:r>
            <w:r w:rsidRPr="008E20C4">
              <w:rPr>
                <w:rFonts w:ascii="Söhne" w:hAnsi="Söhne"/>
                <w:sz w:val="16"/>
                <w:szCs w:val="16"/>
                <w:u w:val="double"/>
                <w:lang w:val="en-IE"/>
              </w:rPr>
              <w:t>.</w:t>
            </w:r>
          </w:p>
        </w:tc>
      </w:tr>
      <w:tr w:rsidR="00D15DC5" w:rsidRPr="008E20C4" w14:paraId="122BE570" w14:textId="77777777" w:rsidTr="00980E79">
        <w:tc>
          <w:tcPr>
            <w:tcW w:w="3261" w:type="dxa"/>
            <w:shd w:val="clear" w:color="auto" w:fill="auto"/>
          </w:tcPr>
          <w:p w14:paraId="59472C38"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2</w:t>
            </w:r>
            <w:r w:rsidRPr="008E20C4">
              <w:rPr>
                <w:rFonts w:ascii="Söhne" w:hAnsi="Söhne"/>
                <w:iCs/>
                <w:sz w:val="16"/>
                <w:szCs w:val="16"/>
                <w:u w:val="double"/>
                <w:lang w:val="en-IE"/>
              </w:rPr>
              <w:t>)</w:t>
            </w:r>
            <w:r w:rsidRPr="008E20C4">
              <w:rPr>
                <w:rFonts w:ascii="Söhne" w:hAnsi="Söhne"/>
                <w:i/>
                <w:sz w:val="16"/>
                <w:szCs w:val="16"/>
                <w:u w:val="double"/>
                <w:lang w:val="en-IE"/>
              </w:rPr>
              <w:t xml:space="preserve"> Certify freedom from infection or agent in individual animals or products for trade/movement purposes</w:t>
            </w:r>
          </w:p>
        </w:tc>
        <w:tc>
          <w:tcPr>
            <w:tcW w:w="10626" w:type="dxa"/>
            <w:shd w:val="clear" w:color="auto" w:fill="auto"/>
          </w:tcPr>
          <w:p w14:paraId="1A783F95" w14:textId="77777777" w:rsidR="00D15DC5" w:rsidRPr="008E20C4" w:rsidRDefault="00D15DC5">
            <w:pPr>
              <w:tabs>
                <w:tab w:val="num" w:pos="720"/>
              </w:tabs>
              <w:spacing w:before="60" w:after="60" w:line="240" w:lineRule="auto"/>
              <w:jc w:val="left"/>
              <w:rPr>
                <w:rFonts w:ascii="Söhne" w:hAnsi="Söhne"/>
                <w:sz w:val="16"/>
                <w:szCs w:val="16"/>
                <w:u w:val="double"/>
                <w:lang w:val="en-IE"/>
              </w:rPr>
            </w:pPr>
            <w:proofErr w:type="gramStart"/>
            <w:r w:rsidRPr="008E20C4">
              <w:rPr>
                <w:rFonts w:ascii="Söhne" w:hAnsi="Söhne"/>
                <w:sz w:val="16"/>
                <w:szCs w:val="16"/>
                <w:u w:val="double"/>
                <w:lang w:val="en-IE"/>
              </w:rPr>
              <w:t>For the purpose of</w:t>
            </w:r>
            <w:proofErr w:type="gramEnd"/>
            <w:r w:rsidRPr="008E20C4">
              <w:rPr>
                <w:rFonts w:ascii="Söhne" w:hAnsi="Söhne"/>
                <w:sz w:val="16"/>
                <w:szCs w:val="16"/>
                <w:u w:val="double"/>
                <w:lang w:val="en-IE"/>
              </w:rPr>
              <w:t xml:space="preserve"> trade and movement the probability of false-negative results needs to be minimised. Otherwise, infected animals could be traded or moved with the potential to spread infection into non-infected, healthy populations. As the test is applied on individuals, no or little information is available about the prevalence or pre-test probability of infection. To be fit for purpose the test or test algorithm aims to minimise chances of false-negative results and ideally requires </w:t>
            </w:r>
            <w:r w:rsidRPr="008E20C4">
              <w:rPr>
                <w:rFonts w:ascii="Söhne" w:hAnsi="Söhne"/>
                <w:b/>
                <w:sz w:val="16"/>
                <w:szCs w:val="16"/>
                <w:u w:val="double"/>
                <w:lang w:val="en-IE"/>
              </w:rPr>
              <w:t xml:space="preserve">high </w:t>
            </w:r>
            <w:proofErr w:type="spellStart"/>
            <w:r w:rsidRPr="008E20C4">
              <w:rPr>
                <w:rFonts w:ascii="Söhne" w:hAnsi="Söhne"/>
                <w:b/>
                <w:sz w:val="16"/>
                <w:szCs w:val="16"/>
                <w:u w:val="double"/>
                <w:lang w:val="en-IE"/>
              </w:rPr>
              <w:t>DSe</w:t>
            </w:r>
            <w:proofErr w:type="spellEnd"/>
            <w:r w:rsidRPr="008E20C4">
              <w:rPr>
                <w:rFonts w:ascii="Söhne" w:hAnsi="Söhne"/>
                <w:sz w:val="16"/>
                <w:szCs w:val="16"/>
                <w:u w:val="double"/>
                <w:lang w:val="en-IE"/>
              </w:rPr>
              <w:t xml:space="preserve">, </w:t>
            </w:r>
            <w:r w:rsidRPr="008E20C4">
              <w:rPr>
                <w:rFonts w:ascii="Söhne" w:hAnsi="Söhne"/>
                <w:b/>
                <w:sz w:val="16"/>
                <w:szCs w:val="16"/>
                <w:u w:val="double"/>
                <w:lang w:val="en-IE"/>
              </w:rPr>
              <w:t>high PV– and high LR–</w:t>
            </w:r>
            <w:r w:rsidRPr="008E20C4">
              <w:rPr>
                <w:rFonts w:ascii="Söhne" w:hAnsi="Söhne"/>
                <w:sz w:val="16"/>
                <w:szCs w:val="16"/>
                <w:u w:val="double"/>
                <w:lang w:val="en-IE"/>
              </w:rPr>
              <w:t xml:space="preserve">. This can be achieved by a single test with a high </w:t>
            </w:r>
            <w:proofErr w:type="spellStart"/>
            <w:r w:rsidRPr="008E20C4">
              <w:rPr>
                <w:rFonts w:ascii="Söhne" w:hAnsi="Söhne"/>
                <w:sz w:val="16"/>
                <w:szCs w:val="16"/>
                <w:u w:val="double"/>
                <w:lang w:val="en-IE"/>
              </w:rPr>
              <w:t>DSe</w:t>
            </w:r>
            <w:proofErr w:type="spellEnd"/>
            <w:r w:rsidRPr="008E20C4">
              <w:rPr>
                <w:rFonts w:ascii="Söhne" w:hAnsi="Söhne"/>
                <w:sz w:val="16"/>
                <w:szCs w:val="16"/>
                <w:u w:val="double"/>
                <w:lang w:val="en-IE"/>
              </w:rPr>
              <w:t xml:space="preserve"> or parallel </w:t>
            </w:r>
            <w:proofErr w:type="gramStart"/>
            <w:r w:rsidRPr="008E20C4">
              <w:rPr>
                <w:rFonts w:ascii="Söhne" w:hAnsi="Söhne"/>
                <w:sz w:val="16"/>
                <w:szCs w:val="16"/>
                <w:u w:val="double"/>
                <w:lang w:val="en-IE"/>
              </w:rPr>
              <w:t>testing(</w:t>
            </w:r>
            <w:proofErr w:type="gramEnd"/>
            <w:r w:rsidRPr="008E20C4">
              <w:rPr>
                <w:rFonts w:ascii="Söhne" w:hAnsi="Söhne"/>
                <w:sz w:val="16"/>
                <w:szCs w:val="16"/>
                <w:u w:val="double"/>
                <w:lang w:val="en-IE"/>
              </w:rPr>
              <w:t>*).</w:t>
            </w:r>
          </w:p>
        </w:tc>
      </w:tr>
      <w:tr w:rsidR="00D15DC5" w:rsidRPr="008E20C4" w14:paraId="3E814AA3" w14:textId="77777777" w:rsidTr="00980E79">
        <w:tc>
          <w:tcPr>
            <w:tcW w:w="3261" w:type="dxa"/>
            <w:shd w:val="clear" w:color="auto" w:fill="auto"/>
          </w:tcPr>
          <w:p w14:paraId="390DB6E8"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3</w:t>
            </w:r>
            <w:r w:rsidRPr="008E20C4">
              <w:rPr>
                <w:rFonts w:ascii="Söhne" w:hAnsi="Söhne"/>
                <w:iCs/>
                <w:sz w:val="16"/>
                <w:szCs w:val="16"/>
                <w:u w:val="double"/>
                <w:lang w:val="en-IE"/>
              </w:rPr>
              <w:t>)</w:t>
            </w:r>
            <w:r w:rsidRPr="008E20C4">
              <w:rPr>
                <w:rFonts w:ascii="Söhne" w:hAnsi="Söhne"/>
                <w:i/>
                <w:sz w:val="16"/>
                <w:szCs w:val="16"/>
                <w:u w:val="double"/>
                <w:lang w:val="en-IE"/>
              </w:rPr>
              <w:t xml:space="preserve"> Contribute to the eradication of disease or elimination of infection from defined populations</w:t>
            </w:r>
            <w:r w:rsidRPr="008E20C4">
              <w:rPr>
                <w:rFonts w:ascii="Söhne" w:hAnsi="Söhne"/>
                <w:sz w:val="16"/>
                <w:szCs w:val="16"/>
                <w:u w:val="double"/>
                <w:lang w:val="en-IE"/>
              </w:rPr>
              <w:t xml:space="preserve"> </w:t>
            </w:r>
          </w:p>
        </w:tc>
        <w:tc>
          <w:tcPr>
            <w:tcW w:w="10626" w:type="dxa"/>
            <w:shd w:val="clear" w:color="auto" w:fill="auto"/>
          </w:tcPr>
          <w:p w14:paraId="5E2EA51E"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sz w:val="16"/>
                <w:szCs w:val="16"/>
                <w:u w:val="double"/>
                <w:lang w:val="en-IE"/>
              </w:rPr>
              <w:t>This purpose follows a similar pattern as in 1b, where prevalence is expected to decrease from high to low over time in a defined population.</w:t>
            </w:r>
          </w:p>
        </w:tc>
      </w:tr>
      <w:tr w:rsidR="00D15DC5" w:rsidRPr="008E20C4" w14:paraId="5AAA16B9" w14:textId="77777777" w:rsidTr="00980E79">
        <w:tc>
          <w:tcPr>
            <w:tcW w:w="3261" w:type="dxa"/>
            <w:shd w:val="clear" w:color="auto" w:fill="auto"/>
          </w:tcPr>
          <w:p w14:paraId="011927C9"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4</w:t>
            </w:r>
            <w:r w:rsidRPr="008E20C4">
              <w:rPr>
                <w:rFonts w:ascii="Söhne" w:hAnsi="Söhne"/>
                <w:iCs/>
                <w:sz w:val="16"/>
                <w:szCs w:val="16"/>
                <w:u w:val="double"/>
                <w:lang w:val="en-IE"/>
              </w:rPr>
              <w:t xml:space="preserve">) </w:t>
            </w:r>
            <w:r w:rsidRPr="008E20C4">
              <w:rPr>
                <w:rFonts w:ascii="Söhne" w:hAnsi="Söhne"/>
                <w:i/>
                <w:sz w:val="16"/>
                <w:szCs w:val="16"/>
                <w:u w:val="double"/>
                <w:lang w:val="en-IE"/>
              </w:rPr>
              <w:t>Confirm diagnosis of suspect or clinical cases</w:t>
            </w:r>
            <w:r w:rsidRPr="008E20C4">
              <w:rPr>
                <w:rFonts w:ascii="Söhne" w:hAnsi="Söhne"/>
                <w:b/>
                <w:sz w:val="16"/>
                <w:szCs w:val="16"/>
                <w:u w:val="double"/>
                <w:lang w:val="en-IE"/>
              </w:rPr>
              <w:t xml:space="preserve"> </w:t>
            </w:r>
            <w:r w:rsidRPr="008E20C4">
              <w:rPr>
                <w:rFonts w:ascii="Söhne" w:hAnsi="Söhne"/>
                <w:sz w:val="16"/>
                <w:szCs w:val="16"/>
                <w:u w:val="double"/>
                <w:lang w:val="en-IE"/>
              </w:rPr>
              <w:t>(includes confirmation of positive screening test)</w:t>
            </w:r>
          </w:p>
        </w:tc>
        <w:tc>
          <w:tcPr>
            <w:tcW w:w="10626" w:type="dxa"/>
            <w:shd w:val="clear" w:color="auto" w:fill="auto"/>
          </w:tcPr>
          <w:p w14:paraId="3D17F1F5" w14:textId="77777777" w:rsidR="00D15DC5" w:rsidRPr="008E20C4" w:rsidRDefault="00D15DC5">
            <w:pPr>
              <w:tabs>
                <w:tab w:val="num" w:pos="720"/>
              </w:tabs>
              <w:spacing w:before="60" w:after="60" w:line="240" w:lineRule="auto"/>
              <w:jc w:val="left"/>
              <w:rPr>
                <w:rFonts w:ascii="Söhne" w:hAnsi="Söhne"/>
                <w:sz w:val="16"/>
                <w:szCs w:val="16"/>
                <w:u w:val="double"/>
                <w:lang w:val="en-IE"/>
              </w:rPr>
            </w:pPr>
            <w:r w:rsidRPr="008E20C4">
              <w:rPr>
                <w:rFonts w:ascii="Söhne" w:hAnsi="Söhne"/>
                <w:sz w:val="16"/>
                <w:szCs w:val="16"/>
                <w:u w:val="double"/>
                <w:lang w:val="en-IE"/>
              </w:rPr>
              <w:t xml:space="preserve">The goal of a confirmatory test is to minimise the chances of a false-positive result. </w:t>
            </w:r>
            <w:r w:rsidRPr="008E20C4">
              <w:rPr>
                <w:rFonts w:ascii="Söhne" w:hAnsi="Söhne"/>
                <w:sz w:val="16"/>
                <w:szCs w:val="16"/>
                <w:u w:val="double"/>
                <w:lang w:val="en-IE"/>
              </w:rPr>
              <w:br/>
            </w:r>
            <w:r w:rsidRPr="008E20C4">
              <w:rPr>
                <w:rFonts w:ascii="Söhne" w:hAnsi="Söhne"/>
                <w:i/>
                <w:iCs/>
                <w:sz w:val="16"/>
                <w:szCs w:val="16"/>
                <w:u w:val="double"/>
                <w:lang w:val="en-IE"/>
              </w:rPr>
              <w:t>Confirmation of clinical cases</w:t>
            </w:r>
            <w:r w:rsidRPr="008E20C4">
              <w:rPr>
                <w:rFonts w:ascii="Söhne" w:hAnsi="Söhne"/>
                <w:sz w:val="16"/>
                <w:szCs w:val="16"/>
                <w:u w:val="double"/>
                <w:lang w:val="en-IE"/>
              </w:rPr>
              <w:br/>
              <w:t xml:space="preserve">For the purpose of confirmation of a clinical case ideally a test with a </w:t>
            </w:r>
            <w:r w:rsidRPr="008E20C4">
              <w:rPr>
                <w:rFonts w:ascii="Söhne" w:hAnsi="Söhne"/>
                <w:b/>
                <w:sz w:val="16"/>
                <w:szCs w:val="16"/>
                <w:u w:val="double"/>
                <w:lang w:val="en-IE"/>
              </w:rPr>
              <w:t xml:space="preserve">high </w:t>
            </w:r>
            <w:proofErr w:type="spellStart"/>
            <w:r w:rsidRPr="008E20C4">
              <w:rPr>
                <w:rFonts w:ascii="Söhne" w:hAnsi="Söhne"/>
                <w:b/>
                <w:sz w:val="16"/>
                <w:szCs w:val="16"/>
                <w:u w:val="double"/>
                <w:lang w:val="en-IE"/>
              </w:rPr>
              <w:t>DSp</w:t>
            </w:r>
            <w:proofErr w:type="spellEnd"/>
            <w:r w:rsidRPr="008E20C4">
              <w:rPr>
                <w:rFonts w:ascii="Söhne" w:hAnsi="Söhne"/>
                <w:b/>
                <w:sz w:val="16"/>
                <w:szCs w:val="16"/>
                <w:u w:val="double"/>
                <w:lang w:val="en-IE"/>
              </w:rPr>
              <w:t>, high PV+</w:t>
            </w:r>
            <w:r w:rsidRPr="008E20C4">
              <w:rPr>
                <w:rFonts w:ascii="Söhne" w:hAnsi="Söhne"/>
                <w:sz w:val="16"/>
                <w:szCs w:val="16"/>
                <w:u w:val="double"/>
                <w:lang w:val="en-IE"/>
              </w:rPr>
              <w:t xml:space="preserve"> and </w:t>
            </w:r>
            <w:r w:rsidRPr="008E20C4">
              <w:rPr>
                <w:rFonts w:ascii="Söhne" w:hAnsi="Söhne"/>
                <w:b/>
                <w:sz w:val="16"/>
                <w:szCs w:val="16"/>
                <w:u w:val="double"/>
                <w:lang w:val="en-IE"/>
              </w:rPr>
              <w:t>high LR+</w:t>
            </w:r>
            <w:r w:rsidRPr="008E20C4">
              <w:rPr>
                <w:rFonts w:ascii="Söhne" w:hAnsi="Söhne"/>
                <w:sz w:val="16"/>
                <w:szCs w:val="16"/>
                <w:u w:val="double"/>
                <w:lang w:val="en-IE"/>
              </w:rPr>
              <w:t xml:space="preserve"> is needed. Because of the clinical manifestation of the disease and expected high pathogen load </w:t>
            </w:r>
            <w:proofErr w:type="spellStart"/>
            <w:r w:rsidRPr="008E20C4">
              <w:rPr>
                <w:rFonts w:ascii="Söhne" w:hAnsi="Söhne"/>
                <w:sz w:val="16"/>
                <w:szCs w:val="16"/>
                <w:u w:val="double"/>
                <w:lang w:val="en-IE"/>
              </w:rPr>
              <w:t>DSe</w:t>
            </w:r>
            <w:proofErr w:type="spellEnd"/>
            <w:r w:rsidRPr="008E20C4">
              <w:rPr>
                <w:rFonts w:ascii="Söhne" w:hAnsi="Söhne"/>
                <w:sz w:val="16"/>
                <w:szCs w:val="16"/>
                <w:u w:val="double"/>
                <w:lang w:val="en-IE"/>
              </w:rPr>
              <w:t xml:space="preserve"> is not considered to be as relevant. </w:t>
            </w:r>
            <w:r w:rsidRPr="008E20C4">
              <w:rPr>
                <w:rFonts w:ascii="Söhne" w:hAnsi="Söhne"/>
                <w:sz w:val="16"/>
                <w:szCs w:val="16"/>
                <w:u w:val="double"/>
                <w:lang w:val="en-IE"/>
              </w:rPr>
              <w:br/>
            </w:r>
            <w:r w:rsidRPr="008E20C4">
              <w:rPr>
                <w:rFonts w:ascii="Söhne" w:hAnsi="Söhne"/>
                <w:i/>
                <w:iCs/>
                <w:sz w:val="16"/>
                <w:szCs w:val="16"/>
                <w:u w:val="double"/>
                <w:lang w:val="en-IE"/>
              </w:rPr>
              <w:t>Confirmation of positive screening samples</w:t>
            </w:r>
            <w:r w:rsidRPr="008E20C4">
              <w:rPr>
                <w:rFonts w:ascii="Söhne" w:hAnsi="Söhne"/>
                <w:sz w:val="16"/>
                <w:szCs w:val="16"/>
                <w:u w:val="double"/>
                <w:lang w:val="en-IE"/>
              </w:rPr>
              <w:br/>
              <w:t xml:space="preserve">Screening tests are applied on healthy populations. They usually have a high </w:t>
            </w:r>
            <w:proofErr w:type="spellStart"/>
            <w:r w:rsidRPr="008E20C4">
              <w:rPr>
                <w:rFonts w:ascii="Söhne" w:hAnsi="Söhne"/>
                <w:sz w:val="16"/>
                <w:szCs w:val="16"/>
                <w:u w:val="double"/>
                <w:lang w:val="en-IE"/>
              </w:rPr>
              <w:t>DSe</w:t>
            </w:r>
            <w:proofErr w:type="spellEnd"/>
            <w:r w:rsidRPr="008E20C4">
              <w:rPr>
                <w:rFonts w:ascii="Söhne" w:hAnsi="Söhne"/>
                <w:sz w:val="16"/>
                <w:szCs w:val="16"/>
                <w:u w:val="double"/>
                <w:lang w:val="en-IE"/>
              </w:rPr>
              <w:t xml:space="preserve"> to ensure infected individuals are not missed. Only if confirmed by a confirmatory test with a high </w:t>
            </w:r>
            <w:proofErr w:type="spellStart"/>
            <w:r w:rsidRPr="008E20C4">
              <w:rPr>
                <w:rFonts w:ascii="Söhne" w:hAnsi="Söhne"/>
                <w:sz w:val="16"/>
                <w:szCs w:val="16"/>
                <w:u w:val="double"/>
                <w:lang w:val="en-IE"/>
              </w:rPr>
              <w:t>DSp</w:t>
            </w:r>
            <w:proofErr w:type="spellEnd"/>
            <w:r w:rsidRPr="008E20C4">
              <w:rPr>
                <w:rFonts w:ascii="Söhne" w:hAnsi="Söhne"/>
                <w:sz w:val="16"/>
                <w:szCs w:val="16"/>
                <w:u w:val="double"/>
                <w:lang w:val="en-IE"/>
              </w:rPr>
              <w:t xml:space="preserve"> the animal is considered positive. In this case the confirmatory test* needs to have a </w:t>
            </w:r>
            <w:r w:rsidRPr="008E20C4">
              <w:rPr>
                <w:rFonts w:ascii="Söhne" w:hAnsi="Söhne"/>
                <w:b/>
                <w:sz w:val="16"/>
                <w:szCs w:val="16"/>
                <w:u w:val="double"/>
                <w:lang w:val="en-IE"/>
              </w:rPr>
              <w:t xml:space="preserve">high </w:t>
            </w:r>
            <w:proofErr w:type="spellStart"/>
            <w:r w:rsidRPr="008E20C4">
              <w:rPr>
                <w:rFonts w:ascii="Söhne" w:hAnsi="Söhne"/>
                <w:b/>
                <w:sz w:val="16"/>
                <w:szCs w:val="16"/>
                <w:u w:val="double"/>
                <w:lang w:val="en-IE"/>
              </w:rPr>
              <w:t>DSp</w:t>
            </w:r>
            <w:proofErr w:type="spellEnd"/>
            <w:r w:rsidRPr="008E20C4">
              <w:rPr>
                <w:rFonts w:ascii="Söhne" w:hAnsi="Söhne"/>
                <w:sz w:val="16"/>
                <w:szCs w:val="16"/>
                <w:u w:val="double"/>
                <w:lang w:val="en-IE"/>
              </w:rPr>
              <w:t xml:space="preserve">, </w:t>
            </w:r>
            <w:r w:rsidRPr="008E20C4">
              <w:rPr>
                <w:rFonts w:ascii="Söhne" w:hAnsi="Söhne"/>
                <w:b/>
                <w:sz w:val="16"/>
                <w:szCs w:val="16"/>
                <w:u w:val="double"/>
                <w:lang w:val="en-IE"/>
              </w:rPr>
              <w:t>high PV+</w:t>
            </w:r>
            <w:r w:rsidRPr="008E20C4">
              <w:rPr>
                <w:rFonts w:ascii="Söhne" w:hAnsi="Söhne"/>
                <w:sz w:val="16"/>
                <w:szCs w:val="16"/>
                <w:u w:val="double"/>
                <w:lang w:val="en-IE"/>
              </w:rPr>
              <w:t xml:space="preserve"> and </w:t>
            </w:r>
            <w:r w:rsidRPr="008E20C4">
              <w:rPr>
                <w:rFonts w:ascii="Söhne" w:hAnsi="Söhne"/>
                <w:b/>
                <w:sz w:val="16"/>
                <w:szCs w:val="16"/>
                <w:u w:val="double"/>
                <w:lang w:val="en-IE"/>
              </w:rPr>
              <w:t>high LR+</w:t>
            </w:r>
            <w:r w:rsidRPr="008E20C4">
              <w:rPr>
                <w:rFonts w:ascii="Söhne" w:hAnsi="Söhne"/>
                <w:sz w:val="16"/>
                <w:szCs w:val="16"/>
                <w:u w:val="double"/>
                <w:lang w:val="en-IE"/>
              </w:rPr>
              <w:t xml:space="preserve">. This approach follows the series testing </w:t>
            </w:r>
            <w:proofErr w:type="gramStart"/>
            <w:r w:rsidRPr="008E20C4">
              <w:rPr>
                <w:rFonts w:ascii="Söhne" w:hAnsi="Söhne"/>
                <w:sz w:val="16"/>
                <w:szCs w:val="16"/>
                <w:u w:val="double"/>
                <w:lang w:val="en-IE"/>
              </w:rPr>
              <w:t>algorithm(</w:t>
            </w:r>
            <w:proofErr w:type="gramEnd"/>
            <w:r w:rsidRPr="008E20C4">
              <w:rPr>
                <w:rFonts w:ascii="Söhne" w:hAnsi="Söhne"/>
                <w:sz w:val="16"/>
                <w:szCs w:val="16"/>
                <w:u w:val="double"/>
                <w:lang w:val="en-IE"/>
              </w:rPr>
              <w:t>*).</w:t>
            </w:r>
          </w:p>
        </w:tc>
      </w:tr>
      <w:tr w:rsidR="00D15DC5" w:rsidRPr="008E20C4" w14:paraId="6A9C16D3" w14:textId="77777777" w:rsidTr="00980E79">
        <w:tc>
          <w:tcPr>
            <w:tcW w:w="3261" w:type="dxa"/>
            <w:shd w:val="clear" w:color="auto" w:fill="auto"/>
          </w:tcPr>
          <w:p w14:paraId="4A36B0E4"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5</w:t>
            </w:r>
            <w:r w:rsidRPr="008E20C4">
              <w:rPr>
                <w:rFonts w:ascii="Söhne" w:hAnsi="Söhne"/>
                <w:iCs/>
                <w:sz w:val="16"/>
                <w:szCs w:val="16"/>
                <w:u w:val="double"/>
                <w:lang w:val="en-IE"/>
              </w:rPr>
              <w:t>)</w:t>
            </w:r>
            <w:r w:rsidRPr="008E20C4">
              <w:rPr>
                <w:rFonts w:ascii="Söhne" w:hAnsi="Söhne"/>
                <w:i/>
                <w:sz w:val="16"/>
                <w:szCs w:val="16"/>
                <w:u w:val="double"/>
                <w:lang w:val="en-IE"/>
              </w:rPr>
              <w:t xml:space="preserve"> Estimate prevalence of infection or exposure to facilitate risk analysis</w:t>
            </w:r>
            <w:r w:rsidRPr="008E20C4">
              <w:rPr>
                <w:rFonts w:ascii="Söhne" w:hAnsi="Söhne"/>
                <w:b/>
                <w:sz w:val="16"/>
                <w:szCs w:val="16"/>
                <w:u w:val="double"/>
                <w:lang w:val="en-IE"/>
              </w:rPr>
              <w:t xml:space="preserve"> </w:t>
            </w:r>
          </w:p>
        </w:tc>
        <w:tc>
          <w:tcPr>
            <w:tcW w:w="10626" w:type="dxa"/>
            <w:shd w:val="clear" w:color="auto" w:fill="auto"/>
          </w:tcPr>
          <w:p w14:paraId="2F2CF412"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sz w:val="16"/>
                <w:szCs w:val="16"/>
                <w:u w:val="double"/>
                <w:lang w:val="en-IE"/>
              </w:rPr>
              <w:t xml:space="preserve">Epidemiologists require reliable estimates for test accuracy to design sampling plans for prevalence studies, surveys, herd health status and disease control measures. Using a screening test with a high </w:t>
            </w:r>
            <w:proofErr w:type="spellStart"/>
            <w:r w:rsidRPr="008E20C4">
              <w:rPr>
                <w:rFonts w:ascii="Söhne" w:hAnsi="Söhne"/>
                <w:sz w:val="16"/>
                <w:szCs w:val="16"/>
                <w:u w:val="double"/>
                <w:lang w:val="en-IE"/>
              </w:rPr>
              <w:t>DSe</w:t>
            </w:r>
            <w:proofErr w:type="spellEnd"/>
            <w:r w:rsidRPr="008E20C4">
              <w:rPr>
                <w:rFonts w:ascii="Söhne" w:hAnsi="Söhne"/>
                <w:sz w:val="16"/>
                <w:szCs w:val="16"/>
                <w:u w:val="double"/>
                <w:lang w:val="en-IE"/>
              </w:rPr>
              <w:t xml:space="preserve"> followed by a confirmatory test with a high </w:t>
            </w:r>
            <w:proofErr w:type="spellStart"/>
            <w:r w:rsidRPr="008E20C4">
              <w:rPr>
                <w:rFonts w:ascii="Söhne" w:hAnsi="Söhne"/>
                <w:sz w:val="16"/>
                <w:szCs w:val="16"/>
                <w:u w:val="double"/>
                <w:lang w:val="en-IE"/>
              </w:rPr>
              <w:t>DSp</w:t>
            </w:r>
            <w:proofErr w:type="spellEnd"/>
            <w:r w:rsidRPr="008E20C4">
              <w:rPr>
                <w:rFonts w:ascii="Söhne" w:hAnsi="Söhne"/>
                <w:sz w:val="16"/>
                <w:szCs w:val="16"/>
                <w:u w:val="double"/>
                <w:lang w:val="en-IE"/>
              </w:rPr>
              <w:t xml:space="preserve"> is a common approach for prevalence estimations.</w:t>
            </w:r>
          </w:p>
        </w:tc>
      </w:tr>
      <w:tr w:rsidR="00D15DC5" w:rsidRPr="008E20C4" w14:paraId="78522059" w14:textId="77777777" w:rsidTr="00980E79">
        <w:tc>
          <w:tcPr>
            <w:tcW w:w="3261" w:type="dxa"/>
            <w:shd w:val="clear" w:color="auto" w:fill="auto"/>
          </w:tcPr>
          <w:p w14:paraId="01249704" w14:textId="77777777" w:rsidR="00D15DC5" w:rsidRPr="008E20C4" w:rsidRDefault="00D15DC5">
            <w:pPr>
              <w:pStyle w:val="Default"/>
              <w:spacing w:before="60" w:after="60"/>
              <w:rPr>
                <w:rFonts w:ascii="Söhne" w:hAnsi="Söhne"/>
                <w:sz w:val="16"/>
                <w:szCs w:val="16"/>
                <w:u w:val="double"/>
                <w:lang w:val="en-IE"/>
              </w:rPr>
            </w:pPr>
            <w:r w:rsidRPr="008E20C4">
              <w:rPr>
                <w:rFonts w:ascii="Söhne" w:hAnsi="Söhne"/>
                <w:i/>
                <w:sz w:val="16"/>
                <w:szCs w:val="16"/>
                <w:u w:val="double"/>
                <w:lang w:val="en-IE"/>
              </w:rPr>
              <w:t>6</w:t>
            </w:r>
            <w:r w:rsidRPr="008E20C4">
              <w:rPr>
                <w:rFonts w:ascii="Söhne" w:hAnsi="Söhne"/>
                <w:iCs/>
                <w:sz w:val="16"/>
                <w:szCs w:val="16"/>
                <w:u w:val="double"/>
                <w:lang w:val="en-IE"/>
              </w:rPr>
              <w:t>)</w:t>
            </w:r>
            <w:r w:rsidRPr="008E20C4">
              <w:rPr>
                <w:rFonts w:ascii="Söhne" w:hAnsi="Söhne"/>
                <w:i/>
                <w:sz w:val="16"/>
                <w:szCs w:val="16"/>
                <w:u w:val="double"/>
                <w:lang w:val="en-IE"/>
              </w:rPr>
              <w:t xml:space="preserve"> Determine immune status</w:t>
            </w:r>
            <w:r w:rsidRPr="008E20C4">
              <w:rPr>
                <w:rFonts w:ascii="Söhne" w:hAnsi="Söhne"/>
                <w:b/>
                <w:sz w:val="16"/>
                <w:szCs w:val="16"/>
                <w:u w:val="double"/>
                <w:lang w:val="en-IE"/>
              </w:rPr>
              <w:br/>
            </w:r>
            <w:r w:rsidRPr="008E20C4">
              <w:rPr>
                <w:rFonts w:ascii="Söhne" w:hAnsi="Söhne"/>
                <w:sz w:val="16"/>
                <w:szCs w:val="16"/>
                <w:u w:val="double"/>
                <w:lang w:val="en-IE"/>
              </w:rPr>
              <w:t xml:space="preserve">a) in individual </w:t>
            </w:r>
            <w:proofErr w:type="gramStart"/>
            <w:r w:rsidRPr="008E20C4">
              <w:rPr>
                <w:rFonts w:ascii="Söhne" w:hAnsi="Söhne"/>
                <w:sz w:val="16"/>
                <w:szCs w:val="16"/>
                <w:u w:val="double"/>
                <w:lang w:val="en-IE"/>
              </w:rPr>
              <w:t>animals</w:t>
            </w:r>
            <w:proofErr w:type="gramEnd"/>
            <w:r w:rsidRPr="008E20C4">
              <w:rPr>
                <w:rFonts w:ascii="Söhne" w:hAnsi="Söhne"/>
                <w:sz w:val="16"/>
                <w:szCs w:val="16"/>
                <w:u w:val="double"/>
                <w:lang w:val="en-IE"/>
              </w:rPr>
              <w:t xml:space="preserve"> post-vaccination</w:t>
            </w:r>
            <w:r w:rsidRPr="008E20C4">
              <w:rPr>
                <w:rFonts w:ascii="Söhne" w:hAnsi="Söhne"/>
                <w:sz w:val="16"/>
                <w:szCs w:val="16"/>
                <w:u w:val="double"/>
                <w:lang w:val="en-IE"/>
              </w:rPr>
              <w:br/>
              <w:t xml:space="preserve">b) estimate </w:t>
            </w:r>
            <w:proofErr w:type="spellStart"/>
            <w:r w:rsidRPr="008E20C4">
              <w:rPr>
                <w:rFonts w:ascii="Söhne" w:hAnsi="Söhne"/>
                <w:sz w:val="16"/>
                <w:szCs w:val="16"/>
                <w:u w:val="double"/>
                <w:lang w:val="en-IE"/>
              </w:rPr>
              <w:t>sero</w:t>
            </w:r>
            <w:proofErr w:type="spellEnd"/>
            <w:r w:rsidRPr="008E20C4">
              <w:rPr>
                <w:rFonts w:ascii="Söhne" w:hAnsi="Söhne"/>
                <w:sz w:val="16"/>
                <w:szCs w:val="16"/>
                <w:u w:val="double"/>
                <w:lang w:val="en-IE"/>
              </w:rPr>
              <w:t>-prevalence post-vaccination (research and monitoring of vaccine efficacy)</w:t>
            </w:r>
            <w:r w:rsidRPr="008E20C4">
              <w:rPr>
                <w:rFonts w:ascii="Söhne" w:hAnsi="Söhne"/>
                <w:b/>
                <w:sz w:val="16"/>
                <w:szCs w:val="16"/>
                <w:u w:val="double"/>
                <w:lang w:val="en-IE"/>
              </w:rPr>
              <w:t xml:space="preserve"> </w:t>
            </w:r>
          </w:p>
        </w:tc>
        <w:tc>
          <w:tcPr>
            <w:tcW w:w="10626" w:type="dxa"/>
            <w:shd w:val="clear" w:color="auto" w:fill="auto"/>
          </w:tcPr>
          <w:p w14:paraId="73C21951" w14:textId="77777777" w:rsidR="00D15DC5" w:rsidRPr="008E20C4" w:rsidRDefault="00D15DC5">
            <w:pPr>
              <w:spacing w:before="60" w:after="60" w:line="240" w:lineRule="auto"/>
              <w:jc w:val="left"/>
              <w:rPr>
                <w:rFonts w:ascii="Söhne" w:hAnsi="Söhne"/>
                <w:sz w:val="16"/>
                <w:szCs w:val="16"/>
                <w:u w:val="double"/>
                <w:lang w:val="en-IE"/>
              </w:rPr>
            </w:pPr>
            <w:r w:rsidRPr="008E20C4">
              <w:rPr>
                <w:rFonts w:ascii="Söhne" w:hAnsi="Söhne"/>
                <w:sz w:val="16"/>
                <w:szCs w:val="16"/>
                <w:u w:val="double"/>
                <w:lang w:val="en-IE"/>
              </w:rPr>
              <w:t xml:space="preserve">For this group the aim is to have a </w:t>
            </w:r>
            <w:r w:rsidRPr="008E20C4">
              <w:rPr>
                <w:rFonts w:ascii="Söhne" w:hAnsi="Söhne"/>
                <w:b/>
                <w:sz w:val="16"/>
                <w:szCs w:val="16"/>
                <w:u w:val="double"/>
                <w:lang w:val="en-IE"/>
              </w:rPr>
              <w:t xml:space="preserve">high </w:t>
            </w:r>
            <w:proofErr w:type="spellStart"/>
            <w:r w:rsidRPr="008E20C4">
              <w:rPr>
                <w:rFonts w:ascii="Söhne" w:hAnsi="Söhne"/>
                <w:b/>
                <w:sz w:val="16"/>
                <w:szCs w:val="16"/>
                <w:u w:val="double"/>
                <w:lang w:val="en-IE"/>
              </w:rPr>
              <w:t>DSp</w:t>
            </w:r>
            <w:proofErr w:type="spellEnd"/>
            <w:r w:rsidRPr="008E20C4">
              <w:rPr>
                <w:rFonts w:ascii="Söhne" w:hAnsi="Söhne"/>
                <w:b/>
                <w:sz w:val="16"/>
                <w:szCs w:val="16"/>
                <w:u w:val="double"/>
                <w:lang w:val="en-IE"/>
              </w:rPr>
              <w:t>, PV+</w:t>
            </w:r>
            <w:r w:rsidRPr="008E20C4">
              <w:rPr>
                <w:rFonts w:ascii="Söhne" w:hAnsi="Söhne"/>
                <w:sz w:val="16"/>
                <w:szCs w:val="16"/>
                <w:u w:val="double"/>
                <w:lang w:val="en-IE"/>
              </w:rPr>
              <w:t xml:space="preserve"> and </w:t>
            </w:r>
            <w:r w:rsidRPr="008E20C4">
              <w:rPr>
                <w:rFonts w:ascii="Söhne" w:hAnsi="Söhne"/>
                <w:b/>
                <w:sz w:val="16"/>
                <w:szCs w:val="16"/>
                <w:u w:val="double"/>
                <w:lang w:val="en-IE"/>
              </w:rPr>
              <w:t>LR+</w:t>
            </w:r>
            <w:r w:rsidRPr="008E20C4">
              <w:rPr>
                <w:rFonts w:ascii="Söhne" w:hAnsi="Söhne"/>
                <w:sz w:val="16"/>
                <w:szCs w:val="16"/>
                <w:u w:val="double"/>
                <w:lang w:val="en-IE"/>
              </w:rPr>
              <w:t>. A false-positive result could have fatal consequences because such an animal could in fact not be vaccinated/protected. The higher the accuracy of the test the more precise will be the estimate of post-vaccine seroconversion in individuals and populations.</w:t>
            </w:r>
            <w:r w:rsidRPr="008E20C4">
              <w:rPr>
                <w:rFonts w:ascii="Söhne" w:hAnsi="Söhne"/>
                <w:sz w:val="16"/>
                <w:szCs w:val="16"/>
                <w:u w:val="double"/>
                <w:lang w:val="en-IE"/>
              </w:rPr>
              <w:br/>
              <w:t xml:space="preserve">An example is the fluorescent antibody virus neutralisation (FAVN) test to assess the immune status of dogs and </w:t>
            </w:r>
            <w:proofErr w:type="gramStart"/>
            <w:r w:rsidRPr="008E20C4">
              <w:rPr>
                <w:rFonts w:ascii="Söhne" w:hAnsi="Söhne"/>
                <w:sz w:val="16"/>
                <w:szCs w:val="16"/>
                <w:u w:val="double"/>
                <w:lang w:val="en-IE"/>
              </w:rPr>
              <w:t>cats</w:t>
            </w:r>
            <w:proofErr w:type="gramEnd"/>
            <w:r w:rsidRPr="008E20C4">
              <w:rPr>
                <w:rFonts w:ascii="Söhne" w:hAnsi="Söhne"/>
                <w:sz w:val="16"/>
                <w:szCs w:val="16"/>
                <w:u w:val="double"/>
                <w:lang w:val="en-IE"/>
              </w:rPr>
              <w:t xml:space="preserve"> post-vaccination against rabies</w:t>
            </w:r>
            <w:r w:rsidRPr="008E20C4">
              <w:rPr>
                <w:rFonts w:ascii="Söhne" w:hAnsi="Söhne"/>
                <w:sz w:val="16"/>
                <w:szCs w:val="16"/>
                <w:u w:val="double"/>
                <w:lang w:val="en-IE" w:eastAsia="en-AU"/>
              </w:rPr>
              <w:t xml:space="preserve"> </w:t>
            </w:r>
            <w:r w:rsidRPr="008E20C4">
              <w:rPr>
                <w:rFonts w:ascii="Söhne" w:hAnsi="Söhne"/>
                <w:sz w:val="16"/>
                <w:szCs w:val="16"/>
                <w:u w:val="double"/>
                <w:lang w:val="en-IE"/>
              </w:rPr>
              <w:t xml:space="preserve">virus. For international travel a result of &gt; 0.5 IU/ml is considered to represent acceptable protection. </w:t>
            </w:r>
          </w:p>
        </w:tc>
      </w:tr>
    </w:tbl>
    <w:p w14:paraId="76C7CDE7" w14:textId="77777777" w:rsidR="00D15DC5" w:rsidRPr="008E20C4" w:rsidRDefault="00D15DC5" w:rsidP="00D15DC5">
      <w:pPr>
        <w:jc w:val="left"/>
        <w:rPr>
          <w:rFonts w:ascii="Söhne" w:hAnsi="Söhne"/>
          <w:i/>
          <w:iCs/>
          <w:sz w:val="16"/>
          <w:szCs w:val="16"/>
          <w:u w:val="double"/>
          <w:lang w:val="en-IE"/>
        </w:rPr>
        <w:sectPr w:rsidR="00D15DC5" w:rsidRPr="008E20C4" w:rsidSect="00220DD8">
          <w:footerReference w:type="default" r:id="rId17"/>
          <w:pgSz w:w="16837" w:h="11905" w:orient="landscape"/>
          <w:pgMar w:top="1418" w:right="1418" w:bottom="1418" w:left="1418" w:header="720" w:footer="720" w:gutter="0"/>
          <w:cols w:space="720"/>
        </w:sectPr>
      </w:pPr>
    </w:p>
    <w:p w14:paraId="7B44012E" w14:textId="6DB7487C" w:rsidR="00EE2B3C" w:rsidRPr="008E20C4" w:rsidRDefault="0003795B" w:rsidP="00841D7C">
      <w:pPr>
        <w:pStyle w:val="11ilist"/>
        <w:rPr>
          <w:u w:val="double"/>
          <w:lang w:val="en-IE"/>
        </w:rPr>
      </w:pPr>
      <w:r w:rsidRPr="008E20C4">
        <w:rPr>
          <w:u w:val="double"/>
          <w:vertAlign w:val="superscript"/>
          <w:lang w:val="en-IE"/>
        </w:rPr>
        <w:lastRenderedPageBreak/>
        <w:t>(</w:t>
      </w:r>
      <w:proofErr w:type="gramStart"/>
      <w:r w:rsidRPr="008E20C4">
        <w:rPr>
          <w:u w:val="double"/>
          <w:vertAlign w:val="superscript"/>
          <w:lang w:val="en-IE"/>
        </w:rPr>
        <w:t>*)</w:t>
      </w:r>
      <w:r w:rsidR="00667CDB" w:rsidRPr="008E20C4">
        <w:rPr>
          <w:u w:val="double"/>
          <w:lang w:val="en-IE"/>
        </w:rPr>
        <w:t>Multiple</w:t>
      </w:r>
      <w:proofErr w:type="gramEnd"/>
      <w:r w:rsidR="00667CDB" w:rsidRPr="008E20C4">
        <w:rPr>
          <w:u w:val="double"/>
          <w:lang w:val="en-IE"/>
        </w:rPr>
        <w:t xml:space="preserve"> testing</w:t>
      </w:r>
    </w:p>
    <w:p w14:paraId="77A32441" w14:textId="620873FA" w:rsidR="00667CDB" w:rsidRPr="008E20C4" w:rsidRDefault="00667CDB" w:rsidP="0049527E">
      <w:pPr>
        <w:pStyle w:val="11Para"/>
        <w:spacing w:after="200"/>
        <w:rPr>
          <w:u w:val="double"/>
          <w:lang w:val="en-IE"/>
        </w:rPr>
      </w:pPr>
      <w:r w:rsidRPr="008E20C4">
        <w:rPr>
          <w:u w:val="double"/>
          <w:lang w:val="en-IE"/>
        </w:rPr>
        <w:t xml:space="preserve">Multiple testing consists of using more than one test to determine the infection status of an animal. The most common algorithms are testing in series or in parallel. For example, if two tests are used in series a sample is considered positive only if the first and the second test are positive. Series testing increases </w:t>
      </w:r>
      <w:proofErr w:type="spellStart"/>
      <w:r w:rsidRPr="008E20C4">
        <w:rPr>
          <w:u w:val="double"/>
          <w:lang w:val="en-IE"/>
        </w:rPr>
        <w:t>DSp</w:t>
      </w:r>
      <w:proofErr w:type="spellEnd"/>
      <w:r w:rsidRPr="008E20C4">
        <w:rPr>
          <w:u w:val="double"/>
          <w:lang w:val="en-IE"/>
        </w:rPr>
        <w:t xml:space="preserve"> but decreases </w:t>
      </w:r>
      <w:proofErr w:type="spellStart"/>
      <w:r w:rsidRPr="008E20C4">
        <w:rPr>
          <w:u w:val="double"/>
          <w:lang w:val="en-IE"/>
        </w:rPr>
        <w:t>DSe</w:t>
      </w:r>
      <w:proofErr w:type="spellEnd"/>
      <w:r w:rsidRPr="008E20C4">
        <w:rPr>
          <w:u w:val="double"/>
          <w:lang w:val="en-IE"/>
        </w:rPr>
        <w:t xml:space="preserve"> and increases PV+ and LR+.</w:t>
      </w:r>
      <w:r w:rsidR="0011127A" w:rsidRPr="008E20C4">
        <w:rPr>
          <w:u w:val="double"/>
          <w:lang w:val="en-IE"/>
        </w:rPr>
        <w:t xml:space="preserve"> </w:t>
      </w:r>
      <w:r w:rsidRPr="008E20C4">
        <w:rPr>
          <w:u w:val="double"/>
          <w:lang w:val="en-IE"/>
        </w:rPr>
        <w:t xml:space="preserve">Confirmatory testing follows the series testing approach because a positive result from a screening test (high </w:t>
      </w:r>
      <w:proofErr w:type="spellStart"/>
      <w:r w:rsidRPr="008E20C4">
        <w:rPr>
          <w:u w:val="double"/>
          <w:lang w:val="en-IE"/>
        </w:rPr>
        <w:t>DSe</w:t>
      </w:r>
      <w:proofErr w:type="spellEnd"/>
      <w:r w:rsidRPr="008E20C4">
        <w:rPr>
          <w:u w:val="double"/>
          <w:lang w:val="en-IE"/>
        </w:rPr>
        <w:t xml:space="preserve">) needs to be confirmed by a second test with a high </w:t>
      </w:r>
      <w:proofErr w:type="spellStart"/>
      <w:r w:rsidRPr="008E20C4">
        <w:rPr>
          <w:u w:val="double"/>
          <w:lang w:val="en-IE"/>
        </w:rPr>
        <w:t>DSp</w:t>
      </w:r>
      <w:proofErr w:type="spellEnd"/>
      <w:r w:rsidRPr="008E20C4">
        <w:rPr>
          <w:u w:val="double"/>
          <w:lang w:val="en-IE"/>
        </w:rPr>
        <w:t xml:space="preserve">. The confirmatory test needs to have at least the same </w:t>
      </w:r>
      <w:proofErr w:type="spellStart"/>
      <w:r w:rsidRPr="008E20C4">
        <w:rPr>
          <w:u w:val="double"/>
          <w:lang w:val="en-IE"/>
        </w:rPr>
        <w:t>DSe</w:t>
      </w:r>
      <w:proofErr w:type="spellEnd"/>
      <w:r w:rsidRPr="008E20C4">
        <w:rPr>
          <w:u w:val="double"/>
          <w:lang w:val="en-IE"/>
        </w:rPr>
        <w:t xml:space="preserve"> as the screening test otherwise they could generate false-negative results, which would be considered a true-negative in this algorithm. Confirmatory testing increases </w:t>
      </w:r>
      <w:proofErr w:type="spellStart"/>
      <w:r w:rsidRPr="008E20C4">
        <w:rPr>
          <w:u w:val="double"/>
          <w:lang w:val="en-IE"/>
        </w:rPr>
        <w:t>DSp</w:t>
      </w:r>
      <w:proofErr w:type="spellEnd"/>
      <w:r w:rsidRPr="008E20C4">
        <w:rPr>
          <w:u w:val="double"/>
          <w:lang w:val="en-IE"/>
        </w:rPr>
        <w:t xml:space="preserve"> but decreases </w:t>
      </w:r>
      <w:proofErr w:type="spellStart"/>
      <w:proofErr w:type="gramStart"/>
      <w:r w:rsidRPr="008E20C4">
        <w:rPr>
          <w:u w:val="double"/>
          <w:lang w:val="en-IE"/>
        </w:rPr>
        <w:t>DSe</w:t>
      </w:r>
      <w:proofErr w:type="spellEnd"/>
      <w:r w:rsidRPr="008E20C4">
        <w:rPr>
          <w:u w:val="double"/>
          <w:lang w:val="en-IE"/>
        </w:rPr>
        <w:t>, and</w:t>
      </w:r>
      <w:proofErr w:type="gramEnd"/>
      <w:r w:rsidRPr="008E20C4">
        <w:rPr>
          <w:u w:val="double"/>
          <w:lang w:val="en-IE"/>
        </w:rPr>
        <w:t xml:space="preserve"> increases PV+ and LR+. If two tests are used in parallel a sample is considered positive if any of the tests or both tests are positive. Parallel testing increases </w:t>
      </w:r>
      <w:proofErr w:type="spellStart"/>
      <w:r w:rsidRPr="008E20C4">
        <w:rPr>
          <w:u w:val="double"/>
          <w:lang w:val="en-IE"/>
        </w:rPr>
        <w:t>DSe</w:t>
      </w:r>
      <w:proofErr w:type="spellEnd"/>
      <w:r w:rsidRPr="008E20C4">
        <w:rPr>
          <w:u w:val="double"/>
          <w:lang w:val="en-IE"/>
        </w:rPr>
        <w:t xml:space="preserve"> but decreases </w:t>
      </w:r>
      <w:proofErr w:type="spellStart"/>
      <w:r w:rsidRPr="008E20C4">
        <w:rPr>
          <w:u w:val="double"/>
          <w:lang w:val="en-IE"/>
        </w:rPr>
        <w:t>DSp</w:t>
      </w:r>
      <w:proofErr w:type="spellEnd"/>
      <w:r w:rsidRPr="008E20C4">
        <w:rPr>
          <w:u w:val="double"/>
          <w:lang w:val="en-IE"/>
        </w:rPr>
        <w:t xml:space="preserve"> and increases PV- and LR-. In addition, for multiple testing algorithms to be effective screening and confirmatory tests should not be conditionally dependent (for example measure the same analyte, such as two ELISAs using the same antigen). Positive dependence in test sensitivity reduces the sensitivity of parallel test interpretation and a positive dependence in test specificity reduces the specificity of serial interpretation</w:t>
      </w:r>
      <w:r w:rsidRPr="008E20C4">
        <w:rPr>
          <w:b/>
          <w:bCs/>
          <w:u w:val="double"/>
          <w:lang w:val="en-IE"/>
        </w:rPr>
        <w:t xml:space="preserve"> </w:t>
      </w:r>
      <w:r w:rsidR="00AA7773" w:rsidRPr="008E20C4">
        <w:rPr>
          <w:u w:val="double"/>
          <w:lang w:val="en-IE"/>
        </w:rPr>
        <w:t>(</w:t>
      </w:r>
      <w:r w:rsidR="00DD5A88" w:rsidRPr="008E20C4">
        <w:rPr>
          <w:u w:val="double"/>
          <w:lang w:val="en-IE"/>
        </w:rPr>
        <w:t xml:space="preserve">Gardner </w:t>
      </w:r>
      <w:r w:rsidR="00DD5A88" w:rsidRPr="008E20C4">
        <w:rPr>
          <w:i/>
          <w:iCs/>
          <w:u w:val="double"/>
          <w:lang w:val="en-IE"/>
        </w:rPr>
        <w:t>et al</w:t>
      </w:r>
      <w:r w:rsidR="00B34E96" w:rsidRPr="008E20C4">
        <w:rPr>
          <w:i/>
          <w:iCs/>
          <w:u w:val="double"/>
          <w:lang w:val="en-IE"/>
        </w:rPr>
        <w:t>.,</w:t>
      </w:r>
      <w:r w:rsidR="00DD5A88" w:rsidRPr="008E20C4">
        <w:rPr>
          <w:u w:val="double"/>
          <w:lang w:val="en-IE"/>
        </w:rPr>
        <w:t xml:space="preserve"> 2000</w:t>
      </w:r>
      <w:r w:rsidR="00AA7773" w:rsidRPr="008E20C4">
        <w:rPr>
          <w:u w:val="double"/>
          <w:lang w:val="en-IE"/>
        </w:rPr>
        <w:t>)</w:t>
      </w:r>
      <w:r w:rsidRPr="008E20C4">
        <w:rPr>
          <w:u w:val="double"/>
          <w:lang w:val="en-IE"/>
        </w:rPr>
        <w:t>.</w:t>
      </w:r>
    </w:p>
    <w:bookmarkEnd w:id="2"/>
    <w:p w14:paraId="4BE4407B" w14:textId="77777777" w:rsidR="00500285" w:rsidRPr="008E20C4" w:rsidRDefault="00500285" w:rsidP="0049527E">
      <w:pPr>
        <w:pStyle w:val="1"/>
        <w:spacing w:after="200"/>
        <w:rPr>
          <w:lang w:val="en-IE"/>
        </w:rPr>
      </w:pPr>
      <w:r w:rsidRPr="008E20C4">
        <w:rPr>
          <w:lang w:val="en-IE"/>
        </w:rPr>
        <w:t>2.</w:t>
      </w:r>
      <w:r w:rsidRPr="008E20C4">
        <w:tab/>
      </w:r>
      <w:r w:rsidRPr="008E20C4">
        <w:rPr>
          <w:lang w:val="en-IE"/>
        </w:rPr>
        <w:t>Assay development – the experimental studies</w:t>
      </w:r>
    </w:p>
    <w:p w14:paraId="0E8A83B1" w14:textId="77777777" w:rsidR="00500285" w:rsidRPr="008E20C4" w:rsidRDefault="00500285" w:rsidP="0049527E">
      <w:pPr>
        <w:pStyle w:val="11"/>
        <w:spacing w:after="200"/>
        <w:rPr>
          <w:lang w:val="en-IE"/>
        </w:rPr>
      </w:pPr>
      <w:r w:rsidRPr="008E20C4">
        <w:rPr>
          <w:lang w:val="en-IE"/>
        </w:rPr>
        <w:t>2.1.</w:t>
      </w:r>
      <w:r w:rsidRPr="008E20C4">
        <w:rPr>
          <w:lang w:val="en-IE"/>
        </w:rPr>
        <w:tab/>
        <w:t>Test method design and proof of concept</w:t>
      </w:r>
    </w:p>
    <w:p w14:paraId="72EAE6BA" w14:textId="78557D52" w:rsidR="00500285" w:rsidRPr="008E20C4" w:rsidRDefault="00500285" w:rsidP="0049527E">
      <w:pPr>
        <w:pStyle w:val="11Para"/>
        <w:spacing w:after="200"/>
        <w:rPr>
          <w:lang w:val="en-IE"/>
        </w:rPr>
      </w:pPr>
      <w:r w:rsidRPr="008E20C4">
        <w:rPr>
          <w:lang w:val="en-IE"/>
        </w:rPr>
        <w:t>Prior knowledge, thought and planning need to go into designing all steps of a new assay destined for validation, or an existing assay that is being modified. Assistance is offered in the recommendations for validation of diagnostic tests</w:t>
      </w:r>
      <w:r w:rsidRPr="008E20C4">
        <w:rPr>
          <w:rStyle w:val="FootnoteReference"/>
          <w:lang w:val="en-IE"/>
        </w:rPr>
        <w:footnoteReference w:id="5"/>
      </w:r>
      <w:r w:rsidRPr="008E20C4">
        <w:rPr>
          <w:strike/>
          <w:lang w:val="en-IE"/>
        </w:rPr>
        <w:t xml:space="preserve"> (see footnote 2</w:t>
      </w:r>
      <w:proofErr w:type="gramStart"/>
      <w:r w:rsidRPr="008E20C4">
        <w:rPr>
          <w:strike/>
          <w:lang w:val="en-IE"/>
        </w:rPr>
        <w:t>),</w:t>
      </w:r>
      <w:r w:rsidRPr="008E20C4">
        <w:rPr>
          <w:lang w:val="en-IE"/>
        </w:rPr>
        <w:t>,</w:t>
      </w:r>
      <w:proofErr w:type="gramEnd"/>
      <w:r w:rsidRPr="008E20C4">
        <w:rPr>
          <w:lang w:val="en-IE"/>
        </w:rPr>
        <w:t xml:space="preserve"> which cover best practices for development and validation of assays for detection of various analytes </w:t>
      </w:r>
      <w:r w:rsidRPr="008E20C4">
        <w:rPr>
          <w:strike/>
          <w:lang w:val="en-IE"/>
        </w:rPr>
        <w:t>(</w:t>
      </w:r>
      <w:r w:rsidRPr="008E20C4">
        <w:rPr>
          <w:lang w:val="en-IE"/>
        </w:rPr>
        <w:t>e.g. antibody, antigen, and nucleic acid detection</w:t>
      </w:r>
      <w:r w:rsidRPr="008E20C4">
        <w:rPr>
          <w:strike/>
          <w:lang w:val="en-IE"/>
        </w:rPr>
        <w:t>)</w:t>
      </w:r>
      <w:r w:rsidRPr="008E20C4">
        <w:rPr>
          <w:u w:val="double"/>
          <w:lang w:val="en-IE"/>
        </w:rPr>
        <w:t xml:space="preserve">, </w:t>
      </w:r>
      <w:r w:rsidR="00824988" w:rsidRPr="008E20C4">
        <w:rPr>
          <w:u w:val="double"/>
          <w:lang w:val="en-IE"/>
        </w:rPr>
        <w:t xml:space="preserve">Chapters </w:t>
      </w:r>
      <w:r w:rsidRPr="008E20C4">
        <w:rPr>
          <w:u w:val="double"/>
          <w:lang w:val="en-IE"/>
        </w:rPr>
        <w:t xml:space="preserve">2.2.1 </w:t>
      </w:r>
      <w:r w:rsidR="00824988" w:rsidRPr="008E20C4">
        <w:rPr>
          <w:i/>
          <w:iCs/>
          <w:u w:val="double"/>
        </w:rPr>
        <w:t>Development and optimisation of antibody detection assays</w:t>
      </w:r>
      <w:r w:rsidR="00824988" w:rsidRPr="008E20C4">
        <w:rPr>
          <w:u w:val="double"/>
          <w:lang w:val="en-IE"/>
        </w:rPr>
        <w:t xml:space="preserve">, </w:t>
      </w:r>
      <w:r w:rsidRPr="008E20C4">
        <w:rPr>
          <w:u w:val="double"/>
          <w:lang w:val="en-IE"/>
        </w:rPr>
        <w:t>2.2.2</w:t>
      </w:r>
      <w:r w:rsidR="00824988" w:rsidRPr="008E20C4">
        <w:rPr>
          <w:u w:val="double"/>
          <w:lang w:val="en-IE"/>
        </w:rPr>
        <w:t xml:space="preserve"> </w:t>
      </w:r>
      <w:r w:rsidR="00824988" w:rsidRPr="008E20C4">
        <w:rPr>
          <w:i/>
          <w:iCs/>
          <w:u w:val="double"/>
        </w:rPr>
        <w:t>Development and optimisation of antigen detection assays</w:t>
      </w:r>
      <w:r w:rsidRPr="008E20C4">
        <w:rPr>
          <w:u w:val="double"/>
          <w:lang w:val="en-IE"/>
        </w:rPr>
        <w:t xml:space="preserve">, </w:t>
      </w:r>
      <w:r w:rsidR="00824988" w:rsidRPr="008E20C4">
        <w:rPr>
          <w:u w:val="double"/>
          <w:lang w:val="en-IE"/>
        </w:rPr>
        <w:t xml:space="preserve">and </w:t>
      </w:r>
      <w:r w:rsidRPr="008E20C4">
        <w:rPr>
          <w:u w:val="double"/>
          <w:lang w:val="en-IE"/>
        </w:rPr>
        <w:t>2.2.3</w:t>
      </w:r>
      <w:r w:rsidR="00824988" w:rsidRPr="008E20C4">
        <w:rPr>
          <w:u w:val="double"/>
          <w:lang w:val="en-IE"/>
        </w:rPr>
        <w:t xml:space="preserve"> </w:t>
      </w:r>
      <w:r w:rsidR="00824988" w:rsidRPr="008E20C4">
        <w:rPr>
          <w:u w:val="double"/>
        </w:rPr>
        <w:t>D</w:t>
      </w:r>
      <w:r w:rsidR="00824988" w:rsidRPr="008E20C4">
        <w:rPr>
          <w:i/>
          <w:iCs/>
          <w:u w:val="double"/>
        </w:rPr>
        <w:t>evelopment and optimisation of nucleic acid detection assays</w:t>
      </w:r>
      <w:r w:rsidRPr="008E20C4">
        <w:rPr>
          <w:u w:val="double"/>
          <w:lang w:val="en-IE"/>
        </w:rPr>
        <w:t>, respectively</w:t>
      </w:r>
      <w:r w:rsidRPr="008E20C4">
        <w:rPr>
          <w:lang w:val="en-IE"/>
        </w:rPr>
        <w:t>.</w:t>
      </w:r>
    </w:p>
    <w:p w14:paraId="38A26E13" w14:textId="77777777" w:rsidR="00500285" w:rsidRPr="008E20C4" w:rsidRDefault="00500285" w:rsidP="0049527E">
      <w:pPr>
        <w:pStyle w:val="11Para"/>
        <w:spacing w:after="200"/>
        <w:rPr>
          <w:spacing w:val="-4"/>
          <w:lang w:val="en-IE"/>
        </w:rPr>
      </w:pPr>
      <w:r w:rsidRPr="008E20C4">
        <w:rPr>
          <w:spacing w:val="-4"/>
          <w:lang w:val="en-IE"/>
        </w:rPr>
        <w:t xml:space="preserve">Development of any assay is dependent on analyte reference samples that reflect the target analyte, the matrix in which the analyte is found, and the population for which the assay is intended to be used. The reference samples may be sera, fluids (including meat juices) or tissues that contain the analyte of interest or a genomic construct consistent with the target analyte. These reference materials are used in experiments conducted throughout the development process and carried over into the validation of the assay. </w:t>
      </w:r>
    </w:p>
    <w:p w14:paraId="4A659629" w14:textId="2CB73E62" w:rsidR="00500285" w:rsidRPr="008E20C4" w:rsidRDefault="00500285" w:rsidP="0049527E">
      <w:pPr>
        <w:pStyle w:val="11Para"/>
        <w:spacing w:after="200"/>
        <w:rPr>
          <w:u w:val="double"/>
          <w:lang w:val="en-IE"/>
        </w:rPr>
      </w:pPr>
      <w:r w:rsidRPr="008E20C4">
        <w:rPr>
          <w:u w:val="double"/>
          <w:lang w:val="en-IE"/>
        </w:rPr>
        <w:t xml:space="preserve">Factors that affect the analytical characteristics of diagnostic assays are numerous and may vary according to each assay type, </w:t>
      </w:r>
      <w:proofErr w:type="gramStart"/>
      <w:r w:rsidRPr="008E20C4">
        <w:rPr>
          <w:u w:val="double"/>
          <w:lang w:val="en-IE"/>
        </w:rPr>
        <w:t>e.g.</w:t>
      </w:r>
      <w:proofErr w:type="gramEnd"/>
      <w:r w:rsidRPr="008E20C4">
        <w:rPr>
          <w:u w:val="double"/>
          <w:lang w:val="en-IE"/>
        </w:rPr>
        <w:t xml:space="preserve"> the main factors affecting the analytical characteristics of serological and molecular assays are described in Bowden </w:t>
      </w:r>
      <w:r w:rsidRPr="008E20C4">
        <w:rPr>
          <w:i/>
          <w:iCs/>
          <w:u w:val="double"/>
          <w:lang w:val="en-IE"/>
        </w:rPr>
        <w:t>et al.</w:t>
      </w:r>
      <w:r w:rsidRPr="008E20C4">
        <w:rPr>
          <w:u w:val="double"/>
          <w:lang w:val="en-IE"/>
        </w:rPr>
        <w:t xml:space="preserve"> (2021).</w:t>
      </w:r>
    </w:p>
    <w:p w14:paraId="0CE0F884" w14:textId="02508A23" w:rsidR="0049527E" w:rsidRPr="008E20C4" w:rsidRDefault="0049527E" w:rsidP="0049527E">
      <w:pPr>
        <w:pStyle w:val="11Para"/>
        <w:spacing w:after="200"/>
        <w:rPr>
          <w:u w:val="double"/>
        </w:rPr>
      </w:pPr>
      <w:r w:rsidRPr="008E20C4">
        <w:rPr>
          <w:u w:val="double"/>
        </w:rPr>
        <w:t xml:space="preserve">For molecular assays, </w:t>
      </w:r>
      <w:proofErr w:type="spellStart"/>
      <w:r w:rsidRPr="008E20C4">
        <w:rPr>
          <w:u w:val="double"/>
        </w:rPr>
        <w:t>DSe</w:t>
      </w:r>
      <w:proofErr w:type="spellEnd"/>
      <w:r w:rsidRPr="008E20C4">
        <w:rPr>
          <w:u w:val="double"/>
        </w:rPr>
        <w:t xml:space="preserve"> is more dependent on the ability to obtain the target analyte in a processed sample from an animal that has the disease, than on the inherent ability of the assay to detect very low concentrations of analyte. Although an assay, such as real-time PCR, may be extremely sensitive analytically, this may not always translate to high </w:t>
      </w:r>
      <w:proofErr w:type="spellStart"/>
      <w:r w:rsidRPr="008E20C4">
        <w:rPr>
          <w:u w:val="double"/>
        </w:rPr>
        <w:t>DSe</w:t>
      </w:r>
      <w:proofErr w:type="spellEnd"/>
      <w:r w:rsidRPr="008E20C4">
        <w:rPr>
          <w:u w:val="double"/>
        </w:rPr>
        <w:t>, due to the potential shortcomings of sampling (small volume, inhibitory substances, variations in the clinical spectrum of disease in an individual animal and efficiency of extraction). The inhibition of Taq polymerase due to sample characteristics may cause false-negative results in a test that otherwise has high</w:t>
      </w:r>
      <w:r w:rsidR="00F96910">
        <w:rPr>
          <w:u w:val="double"/>
        </w:rPr>
        <w:t xml:space="preserve"> </w:t>
      </w:r>
      <w:r w:rsidR="00F96910" w:rsidRPr="004A565C">
        <w:rPr>
          <w:highlight w:val="yellow"/>
          <w:u w:val="double"/>
        </w:rPr>
        <w:t>analytical</w:t>
      </w:r>
      <w:r w:rsidR="00777E9A" w:rsidRPr="004A565C">
        <w:rPr>
          <w:highlight w:val="yellow"/>
          <w:u w:val="double"/>
        </w:rPr>
        <w:t xml:space="preserve"> sensitivity</w:t>
      </w:r>
      <w:r w:rsidRPr="008E20C4">
        <w:rPr>
          <w:u w:val="double"/>
        </w:rPr>
        <w:t xml:space="preserve"> </w:t>
      </w:r>
      <w:r w:rsidR="00777E9A">
        <w:rPr>
          <w:u w:val="double"/>
        </w:rPr>
        <w:t>(</w:t>
      </w:r>
      <w:proofErr w:type="spellStart"/>
      <w:r w:rsidRPr="008E20C4">
        <w:rPr>
          <w:u w:val="double"/>
        </w:rPr>
        <w:t>ASe</w:t>
      </w:r>
      <w:proofErr w:type="spellEnd"/>
      <w:r w:rsidR="00777E9A">
        <w:rPr>
          <w:u w:val="double"/>
        </w:rPr>
        <w:t>)</w:t>
      </w:r>
      <w:r w:rsidRPr="008E20C4">
        <w:rPr>
          <w:u w:val="double"/>
        </w:rPr>
        <w:t xml:space="preserve">. In addition, when evaluating two separate, real-time PCR assays for </w:t>
      </w:r>
      <w:r w:rsidR="0068407A" w:rsidRPr="008E20C4">
        <w:rPr>
          <w:u w:val="double"/>
        </w:rPr>
        <w:t>African swine fever virus (</w:t>
      </w:r>
      <w:r w:rsidRPr="008E20C4">
        <w:rPr>
          <w:u w:val="double"/>
        </w:rPr>
        <w:t>ASFV</w:t>
      </w:r>
      <w:r w:rsidR="0068407A" w:rsidRPr="008E20C4">
        <w:rPr>
          <w:u w:val="double"/>
        </w:rPr>
        <w:t>)</w:t>
      </w:r>
      <w:r w:rsidRPr="008E20C4">
        <w:rPr>
          <w:u w:val="double"/>
        </w:rPr>
        <w:t xml:space="preserve">, it was found that both had comparable </w:t>
      </w:r>
      <w:proofErr w:type="spellStart"/>
      <w:r w:rsidRPr="008E20C4">
        <w:rPr>
          <w:u w:val="double"/>
        </w:rPr>
        <w:t>ASe</w:t>
      </w:r>
      <w:proofErr w:type="spellEnd"/>
      <w:r w:rsidRPr="008E20C4">
        <w:rPr>
          <w:u w:val="double"/>
        </w:rPr>
        <w:t xml:space="preserve"> (equivalent to 14 genomic copies of ASFV) when using a high-quality plasmid construct containing ASFV VP72 as a template. However, when evaluating various samples collected from clinically diseased pigs, the resulting </w:t>
      </w:r>
      <w:proofErr w:type="spellStart"/>
      <w:r w:rsidRPr="008E20C4">
        <w:rPr>
          <w:u w:val="double"/>
        </w:rPr>
        <w:t>DSe</w:t>
      </w:r>
      <w:proofErr w:type="spellEnd"/>
      <w:r w:rsidRPr="008E20C4">
        <w:rPr>
          <w:u w:val="double"/>
        </w:rPr>
        <w:t xml:space="preserve"> was determined to be 83% for one assay and 92% for the other (data not shown). The amplicon size of the assay with the lower </w:t>
      </w:r>
      <w:proofErr w:type="spellStart"/>
      <w:r w:rsidRPr="008E20C4">
        <w:rPr>
          <w:u w:val="double"/>
        </w:rPr>
        <w:t>DSe</w:t>
      </w:r>
      <w:proofErr w:type="spellEnd"/>
      <w:r w:rsidRPr="008E20C4">
        <w:rPr>
          <w:u w:val="double"/>
        </w:rPr>
        <w:t xml:space="preserve"> (250 base pairs or bp) was significantly larger than that of the other assay (75 bp). In general, amplification efficiency would be expected to decrease with increasing amplicon size. This characteristic becomes more pronounced when testing viral nucleic acids extracted from clinical samples, the quality of which may be affected by varying degrees of degradation. Such an outcome had not been evident when using plasmid as the template during determination of the assay’s </w:t>
      </w:r>
      <w:proofErr w:type="spellStart"/>
      <w:r w:rsidRPr="008E20C4">
        <w:rPr>
          <w:u w:val="double"/>
        </w:rPr>
        <w:t>ASe</w:t>
      </w:r>
      <w:proofErr w:type="spellEnd"/>
      <w:r w:rsidRPr="008E20C4">
        <w:rPr>
          <w:u w:val="double"/>
        </w:rPr>
        <w:t>. Furthermore, as an assay such as real-time PCR is so highly sensitive analytically, great care must be taken to prevent carry-over contamination with previously amplified template. Such contamination would cause a false-positive result in an assay that is otherwise also considered very highly specific (analytically) (Bowden &amp; Wang 2021).</w:t>
      </w:r>
    </w:p>
    <w:p w14:paraId="611DC98D" w14:textId="77777777" w:rsidR="002C0E65" w:rsidRDefault="002C0E65" w:rsidP="002C0E65">
      <w:r w:rsidRPr="00850FD3">
        <w:rPr>
          <w:noProof/>
        </w:rPr>
        <w:lastRenderedPageBreak/>
        <w:drawing>
          <wp:inline distT="0" distB="0" distL="0" distR="0" wp14:anchorId="4ECA1DA8" wp14:editId="7CBC8B01">
            <wp:extent cx="6196818" cy="7180440"/>
            <wp:effectExtent l="0" t="0" r="0" b="190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8"/>
                    <a:stretch>
                      <a:fillRect/>
                    </a:stretch>
                  </pic:blipFill>
                  <pic:spPr>
                    <a:xfrm>
                      <a:off x="0" y="0"/>
                      <a:ext cx="6199369" cy="7183396"/>
                    </a:xfrm>
                    <a:prstGeom prst="rect">
                      <a:avLst/>
                    </a:prstGeom>
                  </pic:spPr>
                </pic:pic>
              </a:graphicData>
            </a:graphic>
          </wp:inline>
        </w:drawing>
      </w:r>
    </w:p>
    <w:p w14:paraId="3F49296C" w14:textId="50A710E4" w:rsidR="00667CDB" w:rsidRPr="008E20C4" w:rsidRDefault="00667CDB" w:rsidP="00CE2C66">
      <w:pPr>
        <w:pStyle w:val="Tabletitle"/>
        <w:rPr>
          <w:lang w:val="en-IE"/>
        </w:rPr>
      </w:pPr>
      <w:r w:rsidRPr="008E20C4">
        <w:rPr>
          <w:lang w:val="en-IE"/>
        </w:rPr>
        <w:t>Fig</w:t>
      </w:r>
      <w:r w:rsidR="005054F6" w:rsidRPr="008E20C4">
        <w:rPr>
          <w:lang w:val="en-IE"/>
        </w:rPr>
        <w:t>.</w:t>
      </w:r>
      <w:r w:rsidRPr="008E20C4">
        <w:rPr>
          <w:lang w:val="en-IE"/>
        </w:rPr>
        <w:t xml:space="preserve"> 1. </w:t>
      </w:r>
      <w:r w:rsidR="00F775F7" w:rsidRPr="001414B4">
        <w:rPr>
          <w:u w:val="double"/>
          <w:lang w:val="en-US"/>
        </w:rPr>
        <w:t>Modified</w:t>
      </w:r>
      <w:r w:rsidR="00E141AB" w:rsidRPr="001414B4">
        <w:rPr>
          <w:strike/>
          <w:u w:val="double"/>
          <w:lang w:val="en-US"/>
        </w:rPr>
        <w:t xml:space="preserve"> </w:t>
      </w:r>
      <w:r w:rsidR="001414B4" w:rsidRPr="001414B4">
        <w:rPr>
          <w:u w:val="double"/>
          <w:lang w:val="en-US"/>
        </w:rPr>
        <w:t>general</w:t>
      </w:r>
      <w:r w:rsidR="001414B4" w:rsidRPr="008E20C4">
        <w:rPr>
          <w:lang w:val="en-US"/>
        </w:rPr>
        <w:t xml:space="preserve"> </w:t>
      </w:r>
      <w:r w:rsidR="00F775F7" w:rsidRPr="008E20C4">
        <w:rPr>
          <w:lang w:val="en-US"/>
        </w:rPr>
        <w:t xml:space="preserve">assay development and validation pathways </w:t>
      </w:r>
      <w:r w:rsidR="00F775F7" w:rsidRPr="00CE2C66">
        <w:rPr>
          <w:i w:val="0"/>
          <w:iCs w:val="0"/>
          <w:u w:val="double"/>
          <w:lang w:val="en-US"/>
        </w:rPr>
        <w:t>(</w:t>
      </w:r>
      <w:r w:rsidR="00F775F7" w:rsidRPr="008E20C4">
        <w:rPr>
          <w:u w:val="double"/>
          <w:lang w:val="en-US"/>
        </w:rPr>
        <w:t>Stage</w:t>
      </w:r>
      <w:r w:rsidR="0068407A" w:rsidRPr="008E20C4">
        <w:rPr>
          <w:u w:val="double"/>
          <w:lang w:val="en-US"/>
        </w:rPr>
        <w:t>s</w:t>
      </w:r>
      <w:r w:rsidR="00F775F7" w:rsidRPr="008E20C4">
        <w:rPr>
          <w:u w:val="double"/>
          <w:lang w:val="en-US"/>
        </w:rPr>
        <w:t xml:space="preserve"> 1–4 and validation status retention</w:t>
      </w:r>
      <w:r w:rsidR="00F775F7" w:rsidRPr="00CE2C66">
        <w:rPr>
          <w:i w:val="0"/>
          <w:iCs w:val="0"/>
          <w:u w:val="double"/>
          <w:lang w:val="en-US"/>
        </w:rPr>
        <w:t xml:space="preserve">) </w:t>
      </w:r>
      <w:r w:rsidR="00F775F7" w:rsidRPr="008E20C4">
        <w:rPr>
          <w:lang w:val="en-US"/>
        </w:rPr>
        <w:t>with</w:t>
      </w:r>
      <w:r w:rsidR="00240D05" w:rsidRPr="008E20C4">
        <w:rPr>
          <w:lang w:val="en-US"/>
        </w:rPr>
        <w:t xml:space="preserve"> </w:t>
      </w:r>
      <w:r w:rsidR="00240D05" w:rsidRPr="008E20C4">
        <w:rPr>
          <w:strike/>
          <w:lang w:val="en-US"/>
        </w:rPr>
        <w:t>assay</w:t>
      </w:r>
      <w:r w:rsidR="00F775F7" w:rsidRPr="008E20C4">
        <w:rPr>
          <w:strike/>
          <w:lang w:val="en-US"/>
        </w:rPr>
        <w:t xml:space="preserve"> </w:t>
      </w:r>
      <w:r w:rsidR="00F775F7" w:rsidRPr="008E20C4">
        <w:rPr>
          <w:lang w:val="en-US"/>
        </w:rPr>
        <w:t>validation criteria highlighted in bold typescript within shadowed boxes</w:t>
      </w:r>
      <w:r w:rsidR="00F775F7" w:rsidRPr="008E20C4">
        <w:rPr>
          <w:u w:val="double"/>
          <w:lang w:val="en-US"/>
        </w:rPr>
        <w:t xml:space="preserve">. </w:t>
      </w:r>
      <w:r w:rsidR="00CE2C66">
        <w:rPr>
          <w:u w:val="double"/>
          <w:lang w:val="en-US"/>
        </w:rPr>
        <w:br/>
      </w:r>
      <w:r w:rsidR="00F775F7" w:rsidRPr="008E20C4">
        <w:rPr>
          <w:u w:val="double"/>
          <w:lang w:val="en-US"/>
        </w:rPr>
        <w:t xml:space="preserve">Specific criteria for the field validation of POCTs are added in </w:t>
      </w:r>
      <w:r w:rsidR="00240D05" w:rsidRPr="008E20C4">
        <w:rPr>
          <w:u w:val="double"/>
          <w:lang w:val="en-US"/>
        </w:rPr>
        <w:t xml:space="preserve">Stage </w:t>
      </w:r>
      <w:r w:rsidR="00F775F7" w:rsidRPr="008E20C4">
        <w:rPr>
          <w:u w:val="double"/>
          <w:lang w:val="en-US"/>
        </w:rPr>
        <w:t>5 within the dotted box</w:t>
      </w:r>
      <w:r w:rsidR="00FC7E69">
        <w:rPr>
          <w:u w:val="double"/>
          <w:lang w:val="en-US"/>
        </w:rPr>
        <w:t xml:space="preserve"> </w:t>
      </w:r>
      <w:r w:rsidR="00FC7E69" w:rsidRPr="00FC7E69">
        <w:rPr>
          <w:i w:val="0"/>
          <w:iCs w:val="0"/>
          <w:highlight w:val="yellow"/>
          <w:u w:val="double"/>
          <w:lang w:val="en-US"/>
        </w:rPr>
        <w:t>(</w:t>
      </w:r>
      <w:r w:rsidR="00FC7E69" w:rsidRPr="00FC7E69">
        <w:rPr>
          <w:highlight w:val="yellow"/>
          <w:u w:val="double"/>
          <w:lang w:val="en-IE"/>
        </w:rPr>
        <w:t xml:space="preserve">Halpin </w:t>
      </w:r>
      <w:r w:rsidR="00FC7E69" w:rsidRPr="00FC7E69">
        <w:rPr>
          <w:i w:val="0"/>
          <w:iCs w:val="0"/>
          <w:highlight w:val="yellow"/>
          <w:u w:val="double"/>
          <w:lang w:val="en-IE"/>
        </w:rPr>
        <w:t>et al.,</w:t>
      </w:r>
      <w:r w:rsidR="00FC7E69" w:rsidRPr="00FC7E69">
        <w:rPr>
          <w:highlight w:val="yellow"/>
          <w:u w:val="double"/>
          <w:lang w:val="en-IE"/>
        </w:rPr>
        <w:t xml:space="preserve"> 2021</w:t>
      </w:r>
      <w:r w:rsidR="00FC7E69" w:rsidRPr="00FC7E69">
        <w:rPr>
          <w:i w:val="0"/>
          <w:iCs w:val="0"/>
          <w:highlight w:val="yellow"/>
          <w:u w:val="double"/>
          <w:lang w:val="en-US"/>
        </w:rPr>
        <w:t>)</w:t>
      </w:r>
      <w:r w:rsidR="00F775F7" w:rsidRPr="00FC7E69">
        <w:rPr>
          <w:highlight w:val="yellow"/>
          <w:u w:val="double"/>
          <w:lang w:val="en-US"/>
        </w:rPr>
        <w:t>;</w:t>
      </w:r>
      <w:r w:rsidR="00F775F7" w:rsidRPr="008E20C4">
        <w:rPr>
          <w:u w:val="double"/>
          <w:lang w:val="en-US"/>
        </w:rPr>
        <w:t xml:space="preserve"> </w:t>
      </w:r>
      <w:r w:rsidR="00CE2C66">
        <w:rPr>
          <w:u w:val="double"/>
          <w:lang w:val="en-US"/>
        </w:rPr>
        <w:br/>
      </w:r>
      <w:r w:rsidR="00F775F7" w:rsidRPr="00CE2C66">
        <w:rPr>
          <w:i w:val="0"/>
          <w:iCs w:val="0"/>
          <w:u w:val="double"/>
          <w:lang w:val="en-US"/>
        </w:rPr>
        <w:t>(</w:t>
      </w:r>
      <w:r w:rsidR="00F775F7" w:rsidRPr="008E20C4">
        <w:rPr>
          <w:u w:val="double"/>
          <w:lang w:val="en-US"/>
        </w:rPr>
        <w:t>IQCs = internal quality control sample</w:t>
      </w:r>
      <w:r w:rsidR="00F775F7" w:rsidRPr="00CE2C66">
        <w:rPr>
          <w:i w:val="0"/>
          <w:iCs w:val="0"/>
          <w:u w:val="double"/>
          <w:lang w:val="en-US"/>
        </w:rPr>
        <w:t>)</w:t>
      </w:r>
      <w:r w:rsidRPr="00CE2C66">
        <w:rPr>
          <w:i w:val="0"/>
          <w:iCs w:val="0"/>
          <w:u w:val="double"/>
          <w:lang w:val="en-IE"/>
        </w:rPr>
        <w:t>.</w:t>
      </w:r>
    </w:p>
    <w:p w14:paraId="6DE2D5B1" w14:textId="7357CB07" w:rsidR="00667CDB" w:rsidRPr="008E20C4" w:rsidRDefault="00667CDB" w:rsidP="00824988">
      <w:pPr>
        <w:pStyle w:val="11"/>
      </w:pPr>
      <w:r w:rsidRPr="008E20C4">
        <w:t>2.</w:t>
      </w:r>
      <w:r w:rsidR="00C64763">
        <w:t>2</w:t>
      </w:r>
      <w:r w:rsidRPr="008E20C4">
        <w:t>.</w:t>
      </w:r>
      <w:r w:rsidRPr="008E20C4">
        <w:tab/>
      </w:r>
      <w:bookmarkStart w:id="3" w:name="_Hlk127178842"/>
      <w:r w:rsidRPr="008E20C4">
        <w:t>Standardisation and</w:t>
      </w:r>
      <w:r w:rsidR="00FD58CE" w:rsidRPr="008E20C4">
        <w:t xml:space="preserve"> optimisation</w:t>
      </w:r>
      <w:bookmarkEnd w:id="3"/>
    </w:p>
    <w:p w14:paraId="322CEC4D" w14:textId="0BB694F0" w:rsidR="00667CDB" w:rsidRPr="008E20C4" w:rsidRDefault="00667CDB" w:rsidP="00824988">
      <w:pPr>
        <w:pStyle w:val="11Para"/>
        <w:rPr>
          <w:lang w:val="en-IE"/>
        </w:rPr>
      </w:pPr>
      <w:r w:rsidRPr="008E20C4">
        <w:rPr>
          <w:bCs/>
          <w:lang w:val="en-IE"/>
        </w:rPr>
        <w:t>Optimisation</w:t>
      </w:r>
      <w:r w:rsidRPr="008E20C4">
        <w:rPr>
          <w:b/>
          <w:bCs/>
          <w:lang w:val="en-IE"/>
        </w:rPr>
        <w:t xml:space="preserve"> </w:t>
      </w:r>
      <w:r w:rsidRPr="008E20C4">
        <w:rPr>
          <w:lang w:val="en-IE"/>
        </w:rPr>
        <w:t xml:space="preserve">is the process by which the most important physical, </w:t>
      </w:r>
      <w:proofErr w:type="gramStart"/>
      <w:r w:rsidRPr="008E20C4">
        <w:rPr>
          <w:lang w:val="en-IE"/>
        </w:rPr>
        <w:t>chemical</w:t>
      </w:r>
      <w:proofErr w:type="gramEnd"/>
      <w:r w:rsidRPr="008E20C4">
        <w:rPr>
          <w:lang w:val="en-IE"/>
        </w:rPr>
        <w:t xml:space="preserve"> and biological parameters of an assay are evaluated and adjusted to ensure that the performance characteristics of the assay are best suited to the intended application. It is useful to select at least three well-defined reference samples, representing the analyte ranging from high positive to negative (</w:t>
      </w:r>
      <w:proofErr w:type="gramStart"/>
      <w:r w:rsidRPr="008E20C4">
        <w:rPr>
          <w:lang w:val="en-IE"/>
        </w:rPr>
        <w:t>e.g.</w:t>
      </w:r>
      <w:proofErr w:type="gramEnd"/>
      <w:r w:rsidRPr="008E20C4">
        <w:rPr>
          <w:lang w:val="en-IE"/>
        </w:rPr>
        <w:t xml:space="preserve"> </w:t>
      </w:r>
      <w:r w:rsidRPr="008E20C4">
        <w:rPr>
          <w:strike/>
          <w:lang w:val="en-IE"/>
        </w:rPr>
        <w:t>high</w:t>
      </w:r>
      <w:r w:rsidR="009A00BE" w:rsidRPr="008E20C4">
        <w:rPr>
          <w:strike/>
          <w:lang w:val="en-IE"/>
        </w:rPr>
        <w:t xml:space="preserve"> </w:t>
      </w:r>
      <w:r w:rsidR="004D71BA" w:rsidRPr="008E20C4">
        <w:rPr>
          <w:u w:val="double"/>
          <w:lang w:val="en-IE"/>
        </w:rPr>
        <w:t>strong</w:t>
      </w:r>
      <w:r w:rsidR="0084586F" w:rsidRPr="008E20C4">
        <w:rPr>
          <w:strike/>
          <w:lang w:val="en-IE"/>
        </w:rPr>
        <w:t xml:space="preserve">, </w:t>
      </w:r>
      <w:r w:rsidR="008621F9" w:rsidRPr="008E20C4">
        <w:rPr>
          <w:strike/>
          <w:lang w:val="en-IE"/>
        </w:rPr>
        <w:t>low</w:t>
      </w:r>
      <w:r w:rsidR="004C66AE" w:rsidRPr="008E20C4">
        <w:rPr>
          <w:lang w:val="en-IE"/>
        </w:rPr>
        <w:t xml:space="preserve"> </w:t>
      </w:r>
      <w:r w:rsidR="004C66AE" w:rsidRPr="008E20C4">
        <w:rPr>
          <w:u w:val="double"/>
          <w:lang w:val="en-IE"/>
        </w:rPr>
        <w:t>positive</w:t>
      </w:r>
      <w:r w:rsidRPr="008E20C4">
        <w:rPr>
          <w:u w:val="double"/>
          <w:lang w:val="en-IE"/>
        </w:rPr>
        <w:t xml:space="preserve">, </w:t>
      </w:r>
      <w:r w:rsidR="004C66AE" w:rsidRPr="008E20C4">
        <w:rPr>
          <w:u w:val="double"/>
          <w:lang w:val="en-IE"/>
        </w:rPr>
        <w:t>weak</w:t>
      </w:r>
      <w:r w:rsidRPr="008E20C4">
        <w:rPr>
          <w:lang w:val="en-IE"/>
        </w:rPr>
        <w:t xml:space="preserve"> positive and negative). These samples </w:t>
      </w:r>
      <w:r w:rsidRPr="008E20C4">
        <w:rPr>
          <w:lang w:val="en-IE"/>
        </w:rPr>
        <w:lastRenderedPageBreak/>
        <w:t xml:space="preserve">ideally should represent known infected and uninfected animals from the population that will become the target of the assay. Obtaining such reference samples, however, is not always possible, particularly for nucleic acid and antigen detection assays. The alternative of preparing reference samples spiked with cultured agents or positive sera is inferior as these samples do not truly represent the naturally occurring matrix-agent interaction (see also </w:t>
      </w:r>
      <w:r w:rsidR="00CA2930" w:rsidRPr="008E20C4">
        <w:rPr>
          <w:lang w:val="en-IE"/>
        </w:rPr>
        <w:t xml:space="preserve">chapter </w:t>
      </w:r>
      <w:r w:rsidRPr="008E20C4">
        <w:rPr>
          <w:lang w:val="en-IE"/>
        </w:rPr>
        <w:t xml:space="preserve">2.2.6). When no other alternative exists, spiking a sample with a known amount of the analyte or agent derived from culture, or diluting a high positive serum in negative serum of the same species may be all that is available. In either case, it is imperative that the matrix, into which the analyte is placed or diluted, is identical to, or resembles as closely as possible the samples that ultimately will be tested in the assay. Ideally, reference samples have been well characterised by one or preferably at least two alternate methodologies. These samples can be used in experiments to determine if the assay is able to distinguish between varying quantities of analyte, distinguish the target from closely related analytes, and for optimising the reagent concentrations and perfecting the protocol. In principle, for all assay types, it is highly desirable to prepare and store </w:t>
      </w:r>
      <w:proofErr w:type="gramStart"/>
      <w:r w:rsidRPr="008E20C4">
        <w:rPr>
          <w:lang w:val="en-IE"/>
        </w:rPr>
        <w:t>a sufficient amount</w:t>
      </w:r>
      <w:proofErr w:type="gramEnd"/>
      <w:r w:rsidRPr="008E20C4">
        <w:rPr>
          <w:lang w:val="en-IE"/>
        </w:rPr>
        <w:t xml:space="preserve"> of each reference sample in aliquots for use in every run of the candidate assay as it is evaluated through the entire development and validation process. Switching reference samples during the validation process introduces an intractable variable that can severely undermine interpretation of experimental data and, therefore, the integrity of the development and validation process. </w:t>
      </w:r>
    </w:p>
    <w:p w14:paraId="00720956" w14:textId="45302E3D" w:rsidR="00667CDB" w:rsidRPr="008E20C4" w:rsidRDefault="00667CDB" w:rsidP="00824988">
      <w:pPr>
        <w:pStyle w:val="11Para"/>
        <w:rPr>
          <w:lang w:val="en-IE"/>
        </w:rPr>
      </w:pPr>
      <w:r w:rsidRPr="008E20C4">
        <w:rPr>
          <w:lang w:val="en-IE"/>
        </w:rPr>
        <w:t xml:space="preserve">The labour-intensive process of optimising an assay is fundamental and critical to achieving a reliable and predictable assay performance. Scientific judgment and use of best scientific practices, as provided </w:t>
      </w:r>
      <w:r w:rsidR="0084586F" w:rsidRPr="008E20C4">
        <w:rPr>
          <w:strike/>
          <w:lang w:val="en-IE"/>
        </w:rPr>
        <w:t xml:space="preserve">in the </w:t>
      </w:r>
      <w:r w:rsidR="00040933" w:rsidRPr="008E20C4">
        <w:rPr>
          <w:strike/>
          <w:lang w:val="en-IE"/>
        </w:rPr>
        <w:t xml:space="preserve">Recommendations for validation of diagnostic tests </w:t>
      </w:r>
      <w:r w:rsidR="00DA3C92" w:rsidRPr="008E20C4">
        <w:rPr>
          <w:strike/>
          <w:lang w:val="en-IE"/>
        </w:rPr>
        <w:t>(</w:t>
      </w:r>
      <w:r w:rsidR="00107FAC" w:rsidRPr="008E20C4">
        <w:rPr>
          <w:strike/>
          <w:lang w:val="en-IE"/>
        </w:rPr>
        <w:t>see footnote 2</w:t>
      </w:r>
      <w:r w:rsidRPr="008E20C4">
        <w:rPr>
          <w:strike/>
          <w:lang w:val="en-IE"/>
        </w:rPr>
        <w:t xml:space="preserve"> </w:t>
      </w:r>
      <w:r w:rsidR="00B410E3" w:rsidRPr="008E20C4">
        <w:rPr>
          <w:u w:val="double"/>
          <w:lang w:val="en-IE"/>
        </w:rPr>
        <w:t xml:space="preserve">in </w:t>
      </w:r>
      <w:r w:rsidRPr="008E20C4">
        <w:rPr>
          <w:u w:val="double"/>
          <w:lang w:val="en-IE"/>
        </w:rPr>
        <w:t>Bowden</w:t>
      </w:r>
      <w:r w:rsidR="00CA7C49" w:rsidRPr="008E20C4">
        <w:rPr>
          <w:u w:val="double"/>
          <w:lang w:val="en-IE"/>
        </w:rPr>
        <w:t xml:space="preserve"> </w:t>
      </w:r>
      <w:r w:rsidR="00CA7C49" w:rsidRPr="008E20C4">
        <w:rPr>
          <w:i/>
          <w:iCs/>
          <w:u w:val="double"/>
          <w:lang w:val="en-IE"/>
        </w:rPr>
        <w:t>et al</w:t>
      </w:r>
      <w:r w:rsidR="003C58DC" w:rsidRPr="008E20C4">
        <w:rPr>
          <w:i/>
          <w:iCs/>
          <w:u w:val="double"/>
          <w:lang w:val="en-IE"/>
        </w:rPr>
        <w:t>.</w:t>
      </w:r>
      <w:r w:rsidR="0093731C" w:rsidRPr="008E20C4">
        <w:rPr>
          <w:u w:val="double"/>
          <w:lang w:val="en-IE"/>
        </w:rPr>
        <w:t xml:space="preserve"> </w:t>
      </w:r>
      <w:r w:rsidR="004C66AE" w:rsidRPr="008E20C4">
        <w:rPr>
          <w:u w:val="double"/>
          <w:lang w:val="en-IE"/>
        </w:rPr>
        <w:t>(</w:t>
      </w:r>
      <w:r w:rsidRPr="008E20C4">
        <w:rPr>
          <w:u w:val="double"/>
          <w:lang w:val="en-IE"/>
        </w:rPr>
        <w:t>2021)</w:t>
      </w:r>
      <w:r w:rsidRPr="008E20C4">
        <w:rPr>
          <w:lang w:val="en-IE"/>
        </w:rPr>
        <w:t xml:space="preserve">, are recommended to guide optimisation of all elements of assay development and validation. The approach outlined provides a solid foundation for development of a reliable assay. Often, prototype assays are developed using reagents and equipment at hand in the laboratory. However, if the assay is intended for routine diagnostic use in multiple laboratories, standardisation becomes critical. Every chemical and buffer formulation must be fully described. All reagents must be defined with respect to purity and grade (including water). Acceptable working ranges must be established and documented for parameters such as pH, molarity, etc. Standards for quality, purity, </w:t>
      </w:r>
      <w:proofErr w:type="gramStart"/>
      <w:r w:rsidRPr="008E20C4">
        <w:rPr>
          <w:lang w:val="en-IE"/>
        </w:rPr>
        <w:t>concentration</w:t>
      </w:r>
      <w:proofErr w:type="gramEnd"/>
      <w:r w:rsidRPr="008E20C4">
        <w:rPr>
          <w:lang w:val="en-IE"/>
        </w:rPr>
        <w:t xml:space="preserve"> and reactivity of biologicals must be defined. Shelf lives and storage conditions must also be considered for both chemicals and biologicals. Acceptable ranges for reaction times and temperatures also need to be established. Essential equipment critical to assay performance must be described in detail, including operational specifications and calibration. Process (quality) control should be an integral part of optimisation and considered from the very beginning rather than, as is often the case at the end of assay development. In addition to the above, downstream aspects such as data capture, data manipulation and interpretation may also require standardisation and optimisation. Finally, </w:t>
      </w:r>
      <w:proofErr w:type="gramStart"/>
      <w:r w:rsidRPr="008E20C4">
        <w:rPr>
          <w:lang w:val="en-IE"/>
        </w:rPr>
        <w:t>all of</w:t>
      </w:r>
      <w:proofErr w:type="gramEnd"/>
      <w:r w:rsidRPr="008E20C4">
        <w:rPr>
          <w:lang w:val="en-IE"/>
        </w:rPr>
        <w:t xml:space="preserve"> these parameters, once optimised, must be fully described in the test method protocol.</w:t>
      </w:r>
    </w:p>
    <w:p w14:paraId="31DCE709" w14:textId="37BBEC79" w:rsidR="00667CDB" w:rsidRPr="008E20C4" w:rsidRDefault="00667CDB" w:rsidP="00824988">
      <w:pPr>
        <w:pStyle w:val="11Para"/>
        <w:rPr>
          <w:lang w:val="en-IE"/>
        </w:rPr>
      </w:pPr>
      <w:r w:rsidRPr="008E20C4">
        <w:rPr>
          <w:lang w:val="en-IE"/>
        </w:rPr>
        <w:t xml:space="preserve">During optimisation of an assay, it is important to take note of procedural steps and assay parameters that have a narrow range in which the assay performs optimally, as these are the critical points that ultimately affect an assay’s reliability (see Section A.2.7). For some assay types, specific steps in the procedure may have more impact than other steps on the final assay performance (see Section B.5 below and Chapter 2.2.8 </w:t>
      </w:r>
      <w:r w:rsidRPr="008E20C4">
        <w:rPr>
          <w:i/>
          <w:lang w:val="en-IE"/>
        </w:rPr>
        <w:t xml:space="preserve">Comparability of assays after </w:t>
      </w:r>
      <w:r w:rsidR="006F26CD" w:rsidRPr="008E20C4">
        <w:rPr>
          <w:i/>
          <w:strike/>
          <w:lang w:val="en-IE"/>
        </w:rPr>
        <w:t xml:space="preserve">minor </w:t>
      </w:r>
      <w:r w:rsidRPr="008E20C4">
        <w:rPr>
          <w:i/>
          <w:lang w:val="en-IE"/>
        </w:rPr>
        <w:t>changes in a validated test method</w:t>
      </w:r>
      <w:r w:rsidRPr="008E20C4">
        <w:rPr>
          <w:lang w:val="en-IE"/>
        </w:rPr>
        <w:t xml:space="preserve"> for additional information on establishing comparability when reagents or processes are changed</w:t>
      </w:r>
      <w:r w:rsidR="00EE0CFE">
        <w:rPr>
          <w:lang w:val="en-IE"/>
        </w:rPr>
        <w:t>;</w:t>
      </w:r>
      <w:r w:rsidR="00D041D4" w:rsidRPr="008E20C4">
        <w:rPr>
          <w:lang w:val="en-IE"/>
        </w:rPr>
        <w:t xml:space="preserve"> </w:t>
      </w:r>
      <w:proofErr w:type="gramStart"/>
      <w:r w:rsidR="00D71BCE">
        <w:rPr>
          <w:u w:val="double"/>
          <w:lang w:val="en-IE"/>
        </w:rPr>
        <w:t>also</w:t>
      </w:r>
      <w:proofErr w:type="gramEnd"/>
      <w:r w:rsidR="00D71BCE" w:rsidRPr="008E20C4">
        <w:rPr>
          <w:u w:val="double"/>
          <w:lang w:val="en-IE"/>
        </w:rPr>
        <w:t xml:space="preserve"> </w:t>
      </w:r>
      <w:proofErr w:type="spellStart"/>
      <w:r w:rsidR="00D041D4" w:rsidRPr="008E20C4">
        <w:rPr>
          <w:u w:val="double"/>
          <w:lang w:val="en-IE"/>
        </w:rPr>
        <w:t>Reising</w:t>
      </w:r>
      <w:proofErr w:type="spellEnd"/>
      <w:r w:rsidR="00D041D4" w:rsidRPr="008E20C4">
        <w:rPr>
          <w:u w:val="double"/>
          <w:lang w:val="en-IE"/>
        </w:rPr>
        <w:t xml:space="preserve"> </w:t>
      </w:r>
      <w:r w:rsidR="00D041D4" w:rsidRPr="008E20C4">
        <w:rPr>
          <w:i/>
          <w:iCs/>
          <w:u w:val="double"/>
          <w:lang w:val="en-IE"/>
        </w:rPr>
        <w:t>et al</w:t>
      </w:r>
      <w:r w:rsidR="003C58DC" w:rsidRPr="008E20C4">
        <w:rPr>
          <w:i/>
          <w:iCs/>
          <w:lang w:val="en-IE"/>
        </w:rPr>
        <w:t>.,</w:t>
      </w:r>
      <w:r w:rsidR="00D041D4" w:rsidRPr="008E20C4">
        <w:rPr>
          <w:lang w:val="en-IE"/>
        </w:rPr>
        <w:t xml:space="preserve"> </w:t>
      </w:r>
      <w:r w:rsidR="00D041D4" w:rsidRPr="008E20C4">
        <w:rPr>
          <w:u w:val="double"/>
          <w:lang w:val="en-IE"/>
        </w:rPr>
        <w:t>2021</w:t>
      </w:r>
      <w:r w:rsidRPr="008E20C4">
        <w:rPr>
          <w:lang w:val="en-IE"/>
        </w:rPr>
        <w:t>).</w:t>
      </w:r>
    </w:p>
    <w:p w14:paraId="0297FFFE" w14:textId="4F96212C" w:rsidR="00667CDB" w:rsidRPr="008E20C4" w:rsidDel="00D56B0E" w:rsidRDefault="00667CDB" w:rsidP="00824988">
      <w:pPr>
        <w:pStyle w:val="11Para"/>
        <w:rPr>
          <w:spacing w:val="-4"/>
          <w:lang w:val="en-IE"/>
        </w:rPr>
      </w:pPr>
      <w:r w:rsidRPr="008E20C4">
        <w:rPr>
          <w:spacing w:val="-4"/>
          <w:lang w:val="en-IE"/>
        </w:rPr>
        <w:t>A variety of analyte reference samples and other process controls that are routinely included in any assay system are identified in the following sections. These provide critical assay monitoring functions that require special attention during assay optimisation. In addition, attention must be paid to the proper preparation and storage of all biological reagents and reference materials to ensure stability (see Chapter 1.1.2</w:t>
      </w:r>
      <w:r w:rsidR="00862C3A" w:rsidRPr="008E20C4">
        <w:rPr>
          <w:spacing w:val="-4"/>
          <w:u w:val="double"/>
          <w:lang w:val="en-IE"/>
        </w:rPr>
        <w:t xml:space="preserve">; Watson </w:t>
      </w:r>
      <w:r w:rsidR="00862C3A" w:rsidRPr="008E20C4">
        <w:rPr>
          <w:i/>
          <w:iCs/>
          <w:spacing w:val="-4"/>
          <w:u w:val="double"/>
          <w:lang w:val="en-IE"/>
        </w:rPr>
        <w:t>et al.</w:t>
      </w:r>
      <w:r w:rsidR="003C58DC" w:rsidRPr="008E20C4">
        <w:rPr>
          <w:i/>
          <w:iCs/>
          <w:spacing w:val="-4"/>
          <w:u w:val="double"/>
          <w:lang w:val="en-IE"/>
        </w:rPr>
        <w:t>,</w:t>
      </w:r>
      <w:r w:rsidR="00862C3A" w:rsidRPr="008E20C4">
        <w:rPr>
          <w:spacing w:val="-4"/>
          <w:u w:val="double"/>
          <w:lang w:val="en-IE"/>
        </w:rPr>
        <w:t xml:space="preserve"> 2021</w:t>
      </w:r>
      <w:r w:rsidRPr="008E20C4">
        <w:rPr>
          <w:spacing w:val="-4"/>
          <w:lang w:val="en-IE"/>
        </w:rPr>
        <w:t xml:space="preserve">). </w:t>
      </w:r>
    </w:p>
    <w:p w14:paraId="5D9D64D7" w14:textId="6FFDB18A" w:rsidR="00C64763" w:rsidRPr="008E20C4" w:rsidRDefault="00C64763" w:rsidP="00C64763">
      <w:pPr>
        <w:pStyle w:val="11"/>
        <w:spacing w:after="200"/>
        <w:rPr>
          <w:lang w:val="en-IE"/>
        </w:rPr>
      </w:pPr>
      <w:r w:rsidRPr="740E9764">
        <w:rPr>
          <w:lang w:val="en-IE"/>
        </w:rPr>
        <w:t>2.</w:t>
      </w:r>
      <w:r>
        <w:rPr>
          <w:lang w:val="en-IE"/>
        </w:rPr>
        <w:t>3</w:t>
      </w:r>
      <w:r w:rsidRPr="740E9764">
        <w:rPr>
          <w:lang w:val="en-IE"/>
        </w:rPr>
        <w:t>.</w:t>
      </w:r>
      <w:r>
        <w:tab/>
      </w:r>
      <w:r w:rsidRPr="740E9764">
        <w:rPr>
          <w:lang w:val="en-IE"/>
        </w:rPr>
        <w:t>Operating range of the assay</w:t>
      </w:r>
    </w:p>
    <w:p w14:paraId="7A3272E7" w14:textId="4A0BF68E" w:rsidR="00C64763" w:rsidRPr="008E20C4" w:rsidRDefault="00C64763" w:rsidP="00C64763">
      <w:pPr>
        <w:pStyle w:val="11Para"/>
        <w:rPr>
          <w:lang w:val="en-IE"/>
        </w:rPr>
      </w:pPr>
      <w:r w:rsidRPr="008E20C4">
        <w:t>The operating range of an assay is the interval of analyte concentrations or titres over which the method provides suitable accuracy and precision. Accuracy is the closeness of a test value to the expected (true) value (mean or median) for a reference standard reagent of known concentration or titre. Precision</w:t>
      </w:r>
      <w:r w:rsidRPr="008E20C4">
        <w:rPr>
          <w:strike/>
          <w:vertAlign w:val="superscript"/>
        </w:rPr>
        <w:footnoteReference w:id="6"/>
      </w:r>
      <w:r w:rsidRPr="008E20C4">
        <w:rPr>
          <w:strike/>
          <w:vertAlign w:val="superscript"/>
        </w:rPr>
        <w:t xml:space="preserve"> </w:t>
      </w:r>
      <w:r w:rsidRPr="008E20C4">
        <w:t xml:space="preserve">is the degree of dispersion (variance, standard deviation </w:t>
      </w:r>
      <w:r>
        <w:rPr>
          <w:rFonts w:ascii="Arial" w:hAnsi="Arial"/>
          <w:highlight w:val="yellow"/>
          <w:u w:val="double"/>
          <w:lang w:val="en-IE"/>
        </w:rPr>
        <w:t>[</w:t>
      </w:r>
      <w:r w:rsidRPr="004A565C">
        <w:rPr>
          <w:rFonts w:ascii="Arial" w:hAnsi="Arial"/>
          <w:highlight w:val="yellow"/>
          <w:u w:val="double"/>
          <w:lang w:val="en-IE"/>
        </w:rPr>
        <w:t>SD</w:t>
      </w:r>
      <w:r>
        <w:rPr>
          <w:rFonts w:ascii="Arial" w:hAnsi="Arial"/>
          <w:highlight w:val="yellow"/>
          <w:u w:val="double"/>
          <w:lang w:val="en-IE"/>
        </w:rPr>
        <w:t>]</w:t>
      </w:r>
      <w:r w:rsidRPr="00C64763">
        <w:rPr>
          <w:rFonts w:ascii="Arial" w:hAnsi="Arial"/>
          <w:lang w:val="en-IE"/>
        </w:rPr>
        <w:t xml:space="preserve"> </w:t>
      </w:r>
      <w:r w:rsidRPr="008E20C4">
        <w:t>or coefficient of variation</w:t>
      </w:r>
      <w:r>
        <w:t xml:space="preserve"> </w:t>
      </w:r>
      <w:r>
        <w:rPr>
          <w:rFonts w:ascii="Arial" w:hAnsi="Arial"/>
          <w:highlight w:val="yellow"/>
          <w:u w:val="double"/>
          <w:lang w:val="en-IE"/>
        </w:rPr>
        <w:t>[</w:t>
      </w:r>
      <w:proofErr w:type="spellStart"/>
      <w:r w:rsidRPr="004A565C">
        <w:rPr>
          <w:rFonts w:ascii="Arial" w:hAnsi="Arial"/>
          <w:highlight w:val="yellow"/>
          <w:u w:val="double"/>
          <w:lang w:val="en-IE"/>
        </w:rPr>
        <w:t>Cv</w:t>
      </w:r>
      <w:proofErr w:type="spellEnd"/>
      <w:r>
        <w:rPr>
          <w:rFonts w:ascii="Arial" w:hAnsi="Arial"/>
          <w:highlight w:val="yellow"/>
          <w:u w:val="double"/>
          <w:lang w:val="en-IE"/>
        </w:rPr>
        <w:t>]</w:t>
      </w:r>
      <w:r w:rsidRPr="008E20C4">
        <w:t xml:space="preserve">) within a series of measurements of the same sample tested under specified conditions. </w:t>
      </w:r>
      <w:r w:rsidRPr="008E20C4">
        <w:rPr>
          <w:u w:val="double"/>
        </w:rPr>
        <w:t>Laboratory sources of variation that affect assay precision include: 1) within a single test run, 2) between concurrent runs, 3a) between assay runs at different times in the same day or on different days under similar conditions, 3b) between assay runs on different days with different operators, 4) between laboratories. In this chapter, categories 1–3 are estimates of repeatability, and category 4 is synonymous with reproducibility. The repeatability of results of operators in different lab</w:t>
      </w:r>
      <w:r w:rsidR="00B540E6">
        <w:rPr>
          <w:u w:val="double"/>
        </w:rPr>
        <w:t>oratorie</w:t>
      </w:r>
      <w:r w:rsidRPr="008E20C4">
        <w:rPr>
          <w:u w:val="double"/>
        </w:rPr>
        <w:t>s is likely to be</w:t>
      </w:r>
      <w:r w:rsidRPr="004A565C">
        <w:rPr>
          <w:strike/>
        </w:rPr>
        <w:t xml:space="preserve"> </w:t>
      </w:r>
      <w:r w:rsidRPr="00C64763">
        <w:rPr>
          <w:strike/>
          <w:highlight w:val="yellow"/>
        </w:rPr>
        <w:t xml:space="preserve">greater </w:t>
      </w:r>
      <w:r w:rsidRPr="00C64763">
        <w:rPr>
          <w:highlight w:val="yellow"/>
          <w:u w:val="double"/>
        </w:rPr>
        <w:t xml:space="preserve">lower </w:t>
      </w:r>
      <w:r w:rsidRPr="00C64763">
        <w:rPr>
          <w:rFonts w:ascii="Arial" w:hAnsi="Arial"/>
          <w:highlight w:val="yellow"/>
          <w:u w:val="double"/>
          <w:lang w:val="en-IE"/>
        </w:rPr>
        <w:t xml:space="preserve">(higher </w:t>
      </w:r>
      <w:r w:rsidRPr="00C64763">
        <w:rPr>
          <w:rFonts w:ascii="Arial" w:hAnsi="Arial"/>
          <w:strike/>
          <w:highlight w:val="yellow"/>
          <w:lang w:val="en-IE"/>
        </w:rPr>
        <w:t>standard deviation</w:t>
      </w:r>
      <w:r>
        <w:rPr>
          <w:rFonts w:ascii="Arial" w:hAnsi="Arial"/>
          <w:strike/>
          <w:highlight w:val="yellow"/>
          <w:lang w:val="en-IE"/>
        </w:rPr>
        <w:t xml:space="preserve"> </w:t>
      </w:r>
      <w:r w:rsidRPr="004A565C">
        <w:rPr>
          <w:rFonts w:ascii="Arial" w:hAnsi="Arial"/>
          <w:highlight w:val="yellow"/>
          <w:u w:val="double"/>
          <w:lang w:val="en-IE"/>
        </w:rPr>
        <w:t>SD, higher</w:t>
      </w:r>
      <w:r w:rsidRPr="00F121FC">
        <w:rPr>
          <w:rFonts w:ascii="Arial" w:hAnsi="Arial"/>
          <w:highlight w:val="yellow"/>
          <w:lang w:val="en-IE"/>
        </w:rPr>
        <w:t xml:space="preserve"> </w:t>
      </w:r>
      <w:r w:rsidRPr="00C64763">
        <w:rPr>
          <w:rFonts w:ascii="Arial" w:hAnsi="Arial"/>
          <w:strike/>
          <w:highlight w:val="yellow"/>
          <w:lang w:val="en-IE"/>
        </w:rPr>
        <w:t xml:space="preserve">coefficient of variation </w:t>
      </w:r>
      <w:proofErr w:type="spellStart"/>
      <w:r w:rsidRPr="004A565C">
        <w:rPr>
          <w:rFonts w:ascii="Arial" w:hAnsi="Arial"/>
          <w:highlight w:val="yellow"/>
          <w:u w:val="double"/>
          <w:lang w:val="en-IE"/>
        </w:rPr>
        <w:t>Cv</w:t>
      </w:r>
      <w:proofErr w:type="spellEnd"/>
      <w:r w:rsidRPr="004A565C">
        <w:rPr>
          <w:rFonts w:ascii="Arial" w:hAnsi="Arial"/>
          <w:highlight w:val="yellow"/>
          <w:u w:val="double"/>
          <w:lang w:val="en-IE"/>
        </w:rPr>
        <w:t>)</w:t>
      </w:r>
      <w:r>
        <w:rPr>
          <w:rFonts w:ascii="Arial" w:hAnsi="Arial"/>
          <w:u w:val="double"/>
          <w:lang w:val="en-IE"/>
        </w:rPr>
        <w:t xml:space="preserve"> </w:t>
      </w:r>
      <w:r w:rsidRPr="008E20C4">
        <w:rPr>
          <w:u w:val="double"/>
        </w:rPr>
        <w:t xml:space="preserve">than that of operators working in the same </w:t>
      </w:r>
      <w:r w:rsidRPr="008E20C4">
        <w:rPr>
          <w:u w:val="double"/>
        </w:rPr>
        <w:lastRenderedPageBreak/>
        <w:t>laboratory.</w:t>
      </w:r>
      <w:r w:rsidRPr="008E20C4">
        <w:t xml:space="preserve"> During development of the assay, the lower and upper limits of the operating range are determined. To formally determine this range, a high positive reference sample is usually selected (ideally, this sample will be the same one from among the three samples described in Section A.2.3 below). This high positive sample is serially diluted to extinction of</w:t>
      </w:r>
      <w:r w:rsidRPr="008E20C4">
        <w:rPr>
          <w:lang w:val="en-IE"/>
        </w:rPr>
        <w:t xml:space="preserve"> the assay’s response in an analyte-negative matrix of the same constitution as the sample matrix from animals in the population targeted by the assay. The results are plotted as a ‘response-curve’, with the response (</w:t>
      </w:r>
      <w:proofErr w:type="gramStart"/>
      <w:r w:rsidRPr="008E20C4">
        <w:rPr>
          <w:lang w:val="en-IE"/>
        </w:rPr>
        <w:t>e.g.</w:t>
      </w:r>
      <w:proofErr w:type="gramEnd"/>
      <w:r w:rsidRPr="008E20C4">
        <w:rPr>
          <w:lang w:val="en-IE"/>
        </w:rPr>
        <w:t xml:space="preserve"> optical density, cycle threshold, counts </w:t>
      </w:r>
      <w:r w:rsidRPr="008E20C4">
        <w:rPr>
          <w:u w:val="double"/>
          <w:lang w:val="en-IE"/>
        </w:rPr>
        <w:t>of pathogens</w:t>
      </w:r>
      <w:r w:rsidRPr="008E20C4">
        <w:rPr>
          <w:lang w:val="en-IE"/>
        </w:rPr>
        <w:t>, etc.) a function of analyte concentration (amount). The curve establishes the working range of the assay. If the range is found to be unacceptable for the intended purpose, additional optimisation may be needed. The typical calibration curve for most assays is sigmoidal in shape. The data are transformed to approximate a linear relationship between response and concentration using a suitable algorithm (Findlay &amp; Dillard, 2007).</w:t>
      </w:r>
    </w:p>
    <w:p w14:paraId="1C446956" w14:textId="104183B8" w:rsidR="00667CDB" w:rsidRPr="008E20C4" w:rsidRDefault="00667CDB" w:rsidP="00667CDB">
      <w:pPr>
        <w:pStyle w:val="11"/>
        <w:spacing w:after="200"/>
        <w:rPr>
          <w:lang w:val="en-IE"/>
        </w:rPr>
      </w:pPr>
      <w:r w:rsidRPr="008E20C4">
        <w:rPr>
          <w:lang w:val="en-IE"/>
        </w:rPr>
        <w:t>2.4.</w:t>
      </w:r>
      <w:r w:rsidRPr="008E20C4">
        <w:rPr>
          <w:lang w:val="en-IE"/>
        </w:rPr>
        <w:tab/>
      </w:r>
      <w:bookmarkStart w:id="4" w:name="_Hlk127178010"/>
      <w:r w:rsidRPr="008E20C4">
        <w:rPr>
          <w:lang w:val="en-IE"/>
        </w:rPr>
        <w:t>Inhibitory factors in</w:t>
      </w:r>
      <w:r w:rsidR="00590DD9" w:rsidRPr="008E20C4">
        <w:rPr>
          <w:lang w:val="en-IE"/>
        </w:rPr>
        <w:t xml:space="preserve"> </w:t>
      </w:r>
      <w:r w:rsidR="00590DD9" w:rsidRPr="008E20C4">
        <w:rPr>
          <w:u w:val="double"/>
          <w:lang w:val="en-IE"/>
        </w:rPr>
        <w:t>the</w:t>
      </w:r>
      <w:r w:rsidRPr="008E20C4">
        <w:rPr>
          <w:lang w:val="en-IE"/>
        </w:rPr>
        <w:t xml:space="preserve"> sample matrix</w:t>
      </w:r>
      <w:bookmarkEnd w:id="4"/>
    </w:p>
    <w:p w14:paraId="0789D0F7" w14:textId="1D53472F" w:rsidR="00667CDB" w:rsidRPr="008E20C4" w:rsidRDefault="00667CDB" w:rsidP="0071629F">
      <w:pPr>
        <w:pStyle w:val="11Para"/>
        <w:rPr>
          <w:lang w:val="en-IE"/>
        </w:rPr>
      </w:pPr>
      <w:r w:rsidRPr="740E9764">
        <w:rPr>
          <w:lang w:val="en-IE"/>
        </w:rPr>
        <w:t xml:space="preserve">Each different matrix to be used in an assay must be used in the validation process. Some sample matrices include inhibitory factors that interfere with the performance of specific types of assays. Serum, particularly if haemolysed, </w:t>
      </w:r>
      <w:r w:rsidRPr="00C64763">
        <w:rPr>
          <w:lang w:val="en-IE"/>
        </w:rPr>
        <w:t xml:space="preserve">may contain factors toxic to the cells used in viral neutralisation assays, while endogenous substances found in some tissues and fluids can interfere with or inhibit ligand-binding and enzymatic-based assays such as ELISAs. Faeces, autolysed </w:t>
      </w:r>
      <w:proofErr w:type="gramStart"/>
      <w:r w:rsidRPr="00C64763">
        <w:rPr>
          <w:lang w:val="en-IE"/>
        </w:rPr>
        <w:t>tissues</w:t>
      </w:r>
      <w:proofErr w:type="gramEnd"/>
      <w:r w:rsidRPr="00C64763">
        <w:rPr>
          <w:lang w:val="en-IE"/>
        </w:rPr>
        <w:t xml:space="preserve"> and semen samples tend to contain more interfering substances and are therefore more problematic for assay performance than are serum, blood or fresh tissues.</w:t>
      </w:r>
      <w:r w:rsidR="0071629F" w:rsidRPr="00C64763">
        <w:rPr>
          <w:lang w:val="en-IE"/>
        </w:rPr>
        <w:t xml:space="preserve"> </w:t>
      </w:r>
      <w:r w:rsidR="00CE02C4" w:rsidRPr="00C64763">
        <w:rPr>
          <w:u w:val="double"/>
          <w:lang w:val="en-IE"/>
        </w:rPr>
        <w:t>For molecular assays</w:t>
      </w:r>
      <w:r w:rsidR="00801CA5" w:rsidRPr="00C64763">
        <w:rPr>
          <w:highlight w:val="yellow"/>
          <w:u w:val="double"/>
          <w:lang w:val="en-IE"/>
        </w:rPr>
        <w:t>,</w:t>
      </w:r>
      <w:r w:rsidR="00CE02C4" w:rsidRPr="00C64763">
        <w:rPr>
          <w:rFonts w:cs="Times New Roman"/>
          <w:highlight w:val="yellow"/>
          <w:u w:val="double"/>
          <w:lang w:val="en-AU"/>
        </w:rPr>
        <w:t xml:space="preserve"> </w:t>
      </w:r>
      <w:r w:rsidR="00CE02C4" w:rsidRPr="00C64763">
        <w:rPr>
          <w:strike/>
          <w:highlight w:val="yellow"/>
          <w:lang w:val="en-AU"/>
        </w:rPr>
        <w:t>n</w:t>
      </w:r>
      <w:r w:rsidR="00CE02C4" w:rsidRPr="00C64763">
        <w:rPr>
          <w:rFonts w:cs="Times New Roman"/>
          <w:strike/>
          <w:highlight w:val="yellow"/>
          <w:lang w:val="en-AU"/>
        </w:rPr>
        <w:t>onspecific</w:t>
      </w:r>
      <w:r w:rsidR="00CE02C4" w:rsidRPr="00C64763">
        <w:rPr>
          <w:strike/>
          <w:highlight w:val="yellow"/>
          <w:lang w:val="en-AU"/>
        </w:rPr>
        <w:t xml:space="preserve"> </w:t>
      </w:r>
      <w:r w:rsidR="00CE02C4" w:rsidRPr="00C64763">
        <w:rPr>
          <w:rFonts w:cs="Times New Roman"/>
          <w:strike/>
          <w:highlight w:val="yellow"/>
          <w:lang w:val="en-AU"/>
        </w:rPr>
        <w:t xml:space="preserve">reactants, such as </w:t>
      </w:r>
      <w:r w:rsidR="002371C8" w:rsidRPr="00C64763">
        <w:rPr>
          <w:rFonts w:cs="Times New Roman"/>
          <w:highlight w:val="yellow"/>
          <w:u w:val="double"/>
          <w:lang w:val="en-AU"/>
        </w:rPr>
        <w:t>inhibitors of enzymes in the reaction</w:t>
      </w:r>
      <w:r w:rsidR="002371C8" w:rsidRPr="00C64763">
        <w:rPr>
          <w:highlight w:val="yellow"/>
          <w:u w:val="double"/>
          <w:lang w:val="en-AU"/>
        </w:rPr>
        <w:t xml:space="preserve"> </w:t>
      </w:r>
      <w:r w:rsidR="002371C8" w:rsidRPr="00C64763">
        <w:rPr>
          <w:rFonts w:cs="Times New Roman"/>
          <w:highlight w:val="yellow"/>
          <w:u w:val="double"/>
          <w:lang w:val="en-AU"/>
        </w:rPr>
        <w:t>mix</w:t>
      </w:r>
      <w:r w:rsidR="00EB1DC3" w:rsidRPr="00C64763">
        <w:rPr>
          <w:rFonts w:cs="Times New Roman"/>
          <w:highlight w:val="yellow"/>
          <w:u w:val="double"/>
          <w:lang w:val="en-AU"/>
        </w:rPr>
        <w:t>,</w:t>
      </w:r>
      <w:r w:rsidR="002371C8" w:rsidRPr="00C64763">
        <w:rPr>
          <w:rFonts w:cs="Times New Roman"/>
          <w:u w:val="double"/>
          <w:lang w:val="en-AU"/>
        </w:rPr>
        <w:t xml:space="preserve"> </w:t>
      </w:r>
      <w:r w:rsidR="00CE02C4" w:rsidRPr="00C64763">
        <w:rPr>
          <w:rFonts w:cs="Times New Roman"/>
          <w:u w:val="double"/>
          <w:lang w:val="en-AU"/>
        </w:rPr>
        <w:t>interferents and degradants</w:t>
      </w:r>
      <w:r w:rsidR="00CE02C4" w:rsidRPr="00C64763">
        <w:rPr>
          <w:rFonts w:cs="Times New Roman"/>
          <w:lang w:val="en-AU"/>
        </w:rPr>
        <w:t xml:space="preserve"> </w:t>
      </w:r>
      <w:r w:rsidR="00CE02C4" w:rsidRPr="00C64763">
        <w:rPr>
          <w:rFonts w:cs="Times New Roman"/>
          <w:strike/>
          <w:lang w:val="en-AU"/>
        </w:rPr>
        <w:t>(</w:t>
      </w:r>
      <w:proofErr w:type="gramStart"/>
      <w:r w:rsidR="00CE02C4" w:rsidRPr="00C64763">
        <w:rPr>
          <w:rFonts w:cs="Times New Roman"/>
          <w:strike/>
          <w:highlight w:val="yellow"/>
          <w:lang w:val="en-AU"/>
        </w:rPr>
        <w:t>e.g.</w:t>
      </w:r>
      <w:proofErr w:type="gramEnd"/>
      <w:r w:rsidR="00CE02C4" w:rsidRPr="00C64763">
        <w:rPr>
          <w:strike/>
          <w:highlight w:val="yellow"/>
          <w:lang w:val="en-AU"/>
        </w:rPr>
        <w:t xml:space="preserve"> </w:t>
      </w:r>
      <w:r w:rsidR="00CE02C4" w:rsidRPr="00C64763">
        <w:rPr>
          <w:rFonts w:cs="Times New Roman"/>
          <w:strike/>
          <w:highlight w:val="yellow"/>
          <w:lang w:val="en-AU"/>
        </w:rPr>
        <w:t>matrix components, inhibitors of enzymes in the reaction</w:t>
      </w:r>
      <w:r w:rsidR="00CE02C4" w:rsidRPr="00C64763">
        <w:rPr>
          <w:strike/>
          <w:highlight w:val="yellow"/>
          <w:lang w:val="en-AU"/>
        </w:rPr>
        <w:t xml:space="preserve"> </w:t>
      </w:r>
      <w:r w:rsidR="00CE02C4" w:rsidRPr="00C64763">
        <w:rPr>
          <w:rFonts w:cs="Times New Roman"/>
          <w:strike/>
          <w:highlight w:val="yellow"/>
          <w:lang w:val="en-AU"/>
        </w:rPr>
        <w:t>mix)</w:t>
      </w:r>
      <w:r w:rsidR="00C64763" w:rsidRPr="00C64763">
        <w:rPr>
          <w:rFonts w:cs="Times New Roman"/>
          <w:strike/>
          <w:highlight w:val="yellow"/>
          <w:lang w:val="en-AU"/>
        </w:rPr>
        <w:t xml:space="preserve"> </w:t>
      </w:r>
      <w:r w:rsidR="00EB1DC3" w:rsidRPr="00C64763">
        <w:rPr>
          <w:rFonts w:cs="Times New Roman"/>
          <w:highlight w:val="yellow"/>
          <w:u w:val="double"/>
          <w:lang w:val="en-AU"/>
        </w:rPr>
        <w:t>may be present in the matrix</w:t>
      </w:r>
      <w:r w:rsidR="00CE02C4" w:rsidRPr="00C64763">
        <w:rPr>
          <w:rFonts w:cs="Times New Roman"/>
          <w:u w:val="double"/>
          <w:lang w:val="en-AU"/>
        </w:rPr>
        <w:t>. Selectivity is essentially the test for detection in the</w:t>
      </w:r>
      <w:r w:rsidR="00CE02C4" w:rsidRPr="00C64763">
        <w:rPr>
          <w:u w:val="double"/>
          <w:lang w:val="en-AU"/>
        </w:rPr>
        <w:t xml:space="preserve"> </w:t>
      </w:r>
      <w:r w:rsidR="00CE02C4" w:rsidRPr="00C64763">
        <w:rPr>
          <w:rFonts w:cs="Times New Roman"/>
          <w:u w:val="double"/>
          <w:lang w:val="en-AU"/>
        </w:rPr>
        <w:t>presence of inhibitors. Sample matrix variation is one of the</w:t>
      </w:r>
      <w:r w:rsidR="00CE02C4" w:rsidRPr="00C64763">
        <w:rPr>
          <w:u w:val="double"/>
          <w:lang w:val="en-AU"/>
        </w:rPr>
        <w:t xml:space="preserve"> </w:t>
      </w:r>
      <w:r w:rsidR="00CE02C4" w:rsidRPr="00C64763">
        <w:rPr>
          <w:rFonts w:cs="Times New Roman"/>
          <w:u w:val="double"/>
          <w:lang w:val="en-AU"/>
        </w:rPr>
        <w:t>most important, but may be among the least</w:t>
      </w:r>
      <w:r w:rsidR="00CE02C4" w:rsidRPr="00C64763">
        <w:rPr>
          <w:u w:val="double"/>
          <w:lang w:val="en-AU"/>
        </w:rPr>
        <w:t xml:space="preserve"> </w:t>
      </w:r>
      <w:r w:rsidR="00CE02C4" w:rsidRPr="00C64763">
        <w:rPr>
          <w:rFonts w:cs="Times New Roman"/>
          <w:u w:val="double"/>
          <w:lang w:val="en-AU"/>
        </w:rPr>
        <w:t>acknowledged,</w:t>
      </w:r>
      <w:r w:rsidR="00CE02C4" w:rsidRPr="00C64763">
        <w:rPr>
          <w:u w:val="double"/>
          <w:lang w:val="en-AU"/>
        </w:rPr>
        <w:t xml:space="preserve"> </w:t>
      </w:r>
      <w:r w:rsidR="00CE02C4" w:rsidRPr="00C64763">
        <w:rPr>
          <w:rFonts w:cs="Times New Roman"/>
          <w:u w:val="double"/>
          <w:lang w:val="en-AU"/>
        </w:rPr>
        <w:t>sources of error in analytical measurements. Assessment of</w:t>
      </w:r>
      <w:r w:rsidR="00CE02C4" w:rsidRPr="00C64763">
        <w:rPr>
          <w:u w:val="double"/>
          <w:lang w:val="en-AU"/>
        </w:rPr>
        <w:t xml:space="preserve"> </w:t>
      </w:r>
      <w:proofErr w:type="spellStart"/>
      <w:r w:rsidR="00CE02C4" w:rsidRPr="00C64763">
        <w:rPr>
          <w:rFonts w:cs="Times New Roman"/>
          <w:u w:val="double"/>
          <w:lang w:val="en-AU"/>
        </w:rPr>
        <w:t>ASp</w:t>
      </w:r>
      <w:proofErr w:type="spellEnd"/>
      <w:r w:rsidR="00CE02C4" w:rsidRPr="00C64763">
        <w:rPr>
          <w:rFonts w:cs="Times New Roman"/>
          <w:u w:val="double"/>
          <w:lang w:val="en-AU"/>
        </w:rPr>
        <w:t xml:space="preserve"> should use matrices relevant to the intended purpose,</w:t>
      </w:r>
      <w:r w:rsidR="00CE02C4" w:rsidRPr="00C64763">
        <w:rPr>
          <w:u w:val="double"/>
          <w:lang w:val="en-AU"/>
        </w:rPr>
        <w:t xml:space="preserve"> </w:t>
      </w:r>
      <w:r w:rsidR="00CE02C4" w:rsidRPr="00C64763">
        <w:rPr>
          <w:rFonts w:cs="Times New Roman"/>
          <w:u w:val="double"/>
          <w:lang w:val="en-AU"/>
        </w:rPr>
        <w:t xml:space="preserve">such as solid tissue, whole </w:t>
      </w:r>
      <w:proofErr w:type="gramStart"/>
      <w:r w:rsidR="00CE02C4" w:rsidRPr="00C64763">
        <w:rPr>
          <w:rFonts w:cs="Times New Roman"/>
          <w:u w:val="double"/>
          <w:lang w:val="en-AU"/>
        </w:rPr>
        <w:t>blood</w:t>
      </w:r>
      <w:proofErr w:type="gramEnd"/>
      <w:r w:rsidR="00CE02C4" w:rsidRPr="00C64763">
        <w:rPr>
          <w:rFonts w:cs="Times New Roman"/>
          <w:u w:val="double"/>
          <w:lang w:val="en-AU"/>
        </w:rPr>
        <w:t xml:space="preserve"> and swabs. Interfering</w:t>
      </w:r>
      <w:r w:rsidR="00CE02C4" w:rsidRPr="00C64763">
        <w:rPr>
          <w:u w:val="double"/>
          <w:lang w:val="en-AU"/>
        </w:rPr>
        <w:t xml:space="preserve"> </w:t>
      </w:r>
      <w:r w:rsidR="00CE02C4" w:rsidRPr="00C64763">
        <w:rPr>
          <w:rFonts w:cs="Times New Roman"/>
          <w:u w:val="double"/>
          <w:lang w:val="en-AU"/>
        </w:rPr>
        <w:t xml:space="preserve">substances (inhibitors) can originate from the samples, </w:t>
      </w:r>
      <w:proofErr w:type="gramStart"/>
      <w:r w:rsidR="00CE02C4" w:rsidRPr="00C64763">
        <w:rPr>
          <w:rFonts w:cs="Times New Roman"/>
          <w:u w:val="double"/>
          <w:lang w:val="en-AU"/>
        </w:rPr>
        <w:t>e.g.</w:t>
      </w:r>
      <w:proofErr w:type="gramEnd"/>
      <w:r w:rsidR="00E5686D" w:rsidRPr="00C64763">
        <w:rPr>
          <w:rFonts w:cs="Times New Roman"/>
          <w:u w:val="double"/>
          <w:lang w:val="en-AU"/>
        </w:rPr>
        <w:t xml:space="preserve"> </w:t>
      </w:r>
      <w:r w:rsidR="00CE02C4" w:rsidRPr="00C64763">
        <w:rPr>
          <w:rFonts w:cs="Times New Roman"/>
          <w:u w:val="double"/>
          <w:lang w:val="en-AU"/>
        </w:rPr>
        <w:t>haemoglobin (</w:t>
      </w:r>
      <w:r w:rsidR="00E77831" w:rsidRPr="00C64763">
        <w:rPr>
          <w:u w:val="double"/>
          <w:lang w:val="en-AU"/>
        </w:rPr>
        <w:t>Schrader</w:t>
      </w:r>
      <w:r w:rsidR="0014264C" w:rsidRPr="00C64763">
        <w:rPr>
          <w:i/>
          <w:iCs/>
          <w:u w:val="double"/>
          <w:lang w:val="en-AU"/>
        </w:rPr>
        <w:t xml:space="preserve"> et al.,</w:t>
      </w:r>
      <w:r w:rsidR="0014264C" w:rsidRPr="00C64763">
        <w:rPr>
          <w:u w:val="double"/>
          <w:lang w:val="en-AU"/>
        </w:rPr>
        <w:t xml:space="preserve"> </w:t>
      </w:r>
      <w:r w:rsidR="00E77831" w:rsidRPr="00C64763">
        <w:rPr>
          <w:u w:val="double"/>
          <w:lang w:val="en-AU"/>
        </w:rPr>
        <w:t>2012</w:t>
      </w:r>
      <w:r w:rsidR="0071629F" w:rsidRPr="00C64763">
        <w:rPr>
          <w:rFonts w:cs="Times New Roman"/>
          <w:u w:val="double"/>
          <w:lang w:val="en-AU"/>
        </w:rPr>
        <w:t xml:space="preserve">; </w:t>
      </w:r>
      <w:r w:rsidR="00E77831" w:rsidRPr="00C64763">
        <w:rPr>
          <w:u w:val="double"/>
          <w:lang w:val="en-AU"/>
        </w:rPr>
        <w:t>Wilson</w:t>
      </w:r>
      <w:r w:rsidR="00E5686D" w:rsidRPr="00C64763">
        <w:rPr>
          <w:u w:val="double"/>
          <w:lang w:val="en-AU"/>
        </w:rPr>
        <w:t>,</w:t>
      </w:r>
      <w:r w:rsidR="00E77831" w:rsidRPr="00C64763">
        <w:rPr>
          <w:u w:val="double"/>
          <w:lang w:val="en-AU"/>
        </w:rPr>
        <w:t xml:space="preserve"> 1997)</w:t>
      </w:r>
      <w:r w:rsidR="00540E85" w:rsidRPr="00C64763">
        <w:rPr>
          <w:u w:val="double"/>
          <w:lang w:val="en-AU"/>
        </w:rPr>
        <w:t>,</w:t>
      </w:r>
      <w:r w:rsidR="00E77831" w:rsidRPr="00C64763">
        <w:rPr>
          <w:u w:val="double"/>
          <w:lang w:val="en-AU"/>
        </w:rPr>
        <w:t xml:space="preserve"> </w:t>
      </w:r>
      <w:r w:rsidR="00CE02C4" w:rsidRPr="00C64763">
        <w:rPr>
          <w:rFonts w:cs="Times New Roman"/>
          <w:u w:val="double"/>
          <w:lang w:val="en-AU"/>
        </w:rPr>
        <w:t>from the environment, or from</w:t>
      </w:r>
      <w:r w:rsidR="00CE02C4" w:rsidRPr="00C64763">
        <w:rPr>
          <w:u w:val="double"/>
          <w:lang w:val="en-AU"/>
        </w:rPr>
        <w:t xml:space="preserve"> </w:t>
      </w:r>
      <w:r w:rsidR="00CE02C4" w:rsidRPr="00C64763">
        <w:rPr>
          <w:rFonts w:cs="Times New Roman"/>
          <w:u w:val="double"/>
          <w:lang w:val="en-AU"/>
        </w:rPr>
        <w:t>the process of sample collection and transport (e.g. media</w:t>
      </w:r>
      <w:r w:rsidR="00E77831" w:rsidRPr="00C64763">
        <w:rPr>
          <w:u w:val="double"/>
          <w:lang w:val="en-AU"/>
        </w:rPr>
        <w:t xml:space="preserve"> </w:t>
      </w:r>
      <w:r w:rsidR="00CE02C4" w:rsidRPr="00C64763">
        <w:rPr>
          <w:rFonts w:cs="Times New Roman"/>
          <w:u w:val="double"/>
          <w:lang w:val="en-AU"/>
        </w:rPr>
        <w:t>and anticoagulants) (</w:t>
      </w:r>
      <w:proofErr w:type="spellStart"/>
      <w:r w:rsidR="0071629F" w:rsidRPr="00C64763">
        <w:rPr>
          <w:u w:val="double"/>
          <w:lang w:val="en-AU"/>
        </w:rPr>
        <w:t>Druce</w:t>
      </w:r>
      <w:proofErr w:type="spellEnd"/>
      <w:r w:rsidR="0014264C" w:rsidRPr="00C64763">
        <w:rPr>
          <w:u w:val="double"/>
          <w:lang w:val="en-AU"/>
        </w:rPr>
        <w:t xml:space="preserve"> </w:t>
      </w:r>
      <w:r w:rsidR="0014264C" w:rsidRPr="00C64763">
        <w:rPr>
          <w:i/>
          <w:iCs/>
          <w:u w:val="double"/>
          <w:lang w:val="en-AU"/>
        </w:rPr>
        <w:t>et al.</w:t>
      </w:r>
      <w:r w:rsidR="00E5686D" w:rsidRPr="00C64763">
        <w:rPr>
          <w:i/>
          <w:iCs/>
          <w:u w:val="double"/>
          <w:lang w:val="en-AU"/>
        </w:rPr>
        <w:t>,</w:t>
      </w:r>
      <w:r w:rsidR="0071629F" w:rsidRPr="00C64763">
        <w:rPr>
          <w:u w:val="double"/>
          <w:lang w:val="en-AU"/>
        </w:rPr>
        <w:t xml:space="preserve"> 2012;</w:t>
      </w:r>
      <w:r w:rsidR="00E84D96" w:rsidRPr="00C64763">
        <w:rPr>
          <w:u w:val="double"/>
          <w:lang w:val="en-AU"/>
        </w:rPr>
        <w:t xml:space="preserve"> Garcia</w:t>
      </w:r>
      <w:r w:rsidR="0014264C" w:rsidRPr="00C64763">
        <w:rPr>
          <w:i/>
          <w:iCs/>
          <w:u w:val="double"/>
          <w:lang w:val="en-AU"/>
        </w:rPr>
        <w:t xml:space="preserve"> et al.,</w:t>
      </w:r>
      <w:r w:rsidR="0014264C" w:rsidRPr="00C64763">
        <w:rPr>
          <w:u w:val="double"/>
          <w:lang w:val="en-AU"/>
        </w:rPr>
        <w:t xml:space="preserve"> </w:t>
      </w:r>
      <w:r w:rsidR="00E84D96" w:rsidRPr="00C64763">
        <w:rPr>
          <w:u w:val="double"/>
          <w:lang w:val="en-AU"/>
        </w:rPr>
        <w:t>2002</w:t>
      </w:r>
      <w:r w:rsidR="0071629F" w:rsidRPr="00C64763">
        <w:rPr>
          <w:u w:val="double"/>
          <w:lang w:val="en-AU"/>
        </w:rPr>
        <w:t>; Gibb</w:t>
      </w:r>
      <w:r w:rsidR="0014264C" w:rsidRPr="00C64763">
        <w:rPr>
          <w:i/>
          <w:iCs/>
          <w:u w:val="double"/>
          <w:lang w:val="en-AU"/>
        </w:rPr>
        <w:t xml:space="preserve"> et al.,</w:t>
      </w:r>
      <w:r w:rsidR="0014264C" w:rsidRPr="00C64763">
        <w:rPr>
          <w:u w:val="double"/>
          <w:lang w:val="en-AU"/>
        </w:rPr>
        <w:t xml:space="preserve"> </w:t>
      </w:r>
      <w:r w:rsidR="0071629F" w:rsidRPr="00C64763">
        <w:rPr>
          <w:u w:val="double"/>
          <w:lang w:val="en-AU"/>
        </w:rPr>
        <w:t>1998; Miyachi</w:t>
      </w:r>
      <w:r w:rsidR="0014264C" w:rsidRPr="00C64763">
        <w:rPr>
          <w:i/>
          <w:iCs/>
          <w:u w:val="double"/>
          <w:lang w:val="en-AU"/>
        </w:rPr>
        <w:t xml:space="preserve"> et al.,</w:t>
      </w:r>
      <w:r w:rsidR="0014264C" w:rsidRPr="00C64763">
        <w:rPr>
          <w:u w:val="double"/>
          <w:lang w:val="en-AU"/>
        </w:rPr>
        <w:t xml:space="preserve"> </w:t>
      </w:r>
      <w:r w:rsidR="0071629F" w:rsidRPr="00C64763">
        <w:rPr>
          <w:u w:val="double"/>
          <w:lang w:val="en-AU"/>
        </w:rPr>
        <w:t>1998; Yokota</w:t>
      </w:r>
      <w:r w:rsidR="0014264C" w:rsidRPr="00C64763">
        <w:rPr>
          <w:i/>
          <w:iCs/>
          <w:u w:val="double"/>
          <w:lang w:val="en-AU"/>
        </w:rPr>
        <w:t xml:space="preserve"> et al.,</w:t>
      </w:r>
      <w:r w:rsidR="0071629F" w:rsidRPr="00C64763">
        <w:rPr>
          <w:u w:val="double"/>
          <w:lang w:val="en-AU"/>
        </w:rPr>
        <w:t xml:space="preserve"> 1999;</w:t>
      </w:r>
      <w:r w:rsidR="00CE02C4" w:rsidRPr="00C64763">
        <w:rPr>
          <w:rFonts w:cs="Times New Roman"/>
          <w:u w:val="double"/>
          <w:lang w:val="en-AU"/>
        </w:rPr>
        <w:t>). For example,</w:t>
      </w:r>
      <w:r w:rsidRPr="00C64763">
        <w:rPr>
          <w:u w:val="double"/>
          <w:lang w:val="en-IE"/>
        </w:rPr>
        <w:t xml:space="preserve"> </w:t>
      </w:r>
      <w:r w:rsidR="00E77831" w:rsidRPr="00C64763">
        <w:rPr>
          <w:rFonts w:cs="Times New Roman"/>
          <w:u w:val="double"/>
          <w:lang w:val="en-AU"/>
        </w:rPr>
        <w:t>whole blood is one of the most important and common</w:t>
      </w:r>
      <w:r w:rsidR="00E77831" w:rsidRPr="00C64763">
        <w:rPr>
          <w:u w:val="double"/>
          <w:lang w:val="en-AU"/>
        </w:rPr>
        <w:t xml:space="preserve"> </w:t>
      </w:r>
      <w:r w:rsidR="00E77831" w:rsidRPr="00C64763">
        <w:rPr>
          <w:rFonts w:cs="Times New Roman"/>
          <w:u w:val="double"/>
          <w:lang w:val="en-AU"/>
        </w:rPr>
        <w:t xml:space="preserve">samples submitted for </w:t>
      </w:r>
      <w:proofErr w:type="spellStart"/>
      <w:r w:rsidR="00833AB2" w:rsidRPr="00C64763">
        <w:rPr>
          <w:rFonts w:cs="Times New Roman"/>
          <w:highlight w:val="yellow"/>
          <w:u w:val="double"/>
          <w:lang w:val="en-AU"/>
        </w:rPr>
        <w:t>Hendravirus</w:t>
      </w:r>
      <w:proofErr w:type="spellEnd"/>
      <w:r w:rsidR="007A448C" w:rsidRPr="740E9764">
        <w:rPr>
          <w:rFonts w:cs="Times New Roman"/>
          <w:highlight w:val="yellow"/>
          <w:u w:val="double"/>
          <w:lang w:val="en-AU"/>
        </w:rPr>
        <w:t xml:space="preserve"> (</w:t>
      </w:r>
      <w:proofErr w:type="spellStart"/>
      <w:r w:rsidR="00E77831" w:rsidRPr="740E9764">
        <w:rPr>
          <w:rFonts w:cs="Times New Roman"/>
          <w:u w:val="double"/>
          <w:lang w:val="en-AU"/>
        </w:rPr>
        <w:t>HeV</w:t>
      </w:r>
      <w:proofErr w:type="spellEnd"/>
      <w:r w:rsidR="007A448C" w:rsidRPr="740E9764">
        <w:rPr>
          <w:rFonts w:cs="Times New Roman"/>
          <w:highlight w:val="yellow"/>
          <w:u w:val="double"/>
          <w:lang w:val="en-AU"/>
        </w:rPr>
        <w:t>)</w:t>
      </w:r>
      <w:r w:rsidR="00E77831" w:rsidRPr="740E9764">
        <w:rPr>
          <w:rFonts w:cs="Times New Roman"/>
          <w:u w:val="double"/>
          <w:lang w:val="en-AU"/>
        </w:rPr>
        <w:t xml:space="preserve"> real-time RT</w:t>
      </w:r>
      <w:r w:rsidR="00540E85" w:rsidRPr="740E9764">
        <w:rPr>
          <w:rFonts w:cs="Times New Roman"/>
          <w:u w:val="double"/>
          <w:lang w:val="en-AU"/>
        </w:rPr>
        <w:t>-</w:t>
      </w:r>
      <w:r w:rsidR="00E77831" w:rsidRPr="740E9764">
        <w:rPr>
          <w:rFonts w:cs="Times New Roman"/>
          <w:u w:val="double"/>
          <w:lang w:val="en-AU"/>
        </w:rPr>
        <w:t>PCR testing. It</w:t>
      </w:r>
      <w:r w:rsidR="00E77831" w:rsidRPr="740E9764">
        <w:rPr>
          <w:u w:val="double"/>
          <w:lang w:val="en-AU"/>
        </w:rPr>
        <w:t xml:space="preserve"> </w:t>
      </w:r>
      <w:r w:rsidR="00E77831" w:rsidRPr="740E9764">
        <w:rPr>
          <w:rFonts w:cs="Times New Roman"/>
          <w:u w:val="double"/>
          <w:lang w:val="en-AU"/>
        </w:rPr>
        <w:t>was found that lithium heparin, a common anticoagulant,</w:t>
      </w:r>
      <w:r w:rsidR="00C6095F" w:rsidRPr="740E9764">
        <w:rPr>
          <w:u w:val="double"/>
          <w:lang w:val="en-AU"/>
        </w:rPr>
        <w:t xml:space="preserve"> </w:t>
      </w:r>
      <w:r w:rsidR="00E77831" w:rsidRPr="740E9764">
        <w:rPr>
          <w:rFonts w:cs="Times New Roman"/>
          <w:u w:val="double"/>
          <w:lang w:val="en-AU"/>
        </w:rPr>
        <w:t xml:space="preserve">had a significant impact on </w:t>
      </w:r>
      <w:proofErr w:type="spellStart"/>
      <w:r w:rsidR="00E77831" w:rsidRPr="740E9764">
        <w:rPr>
          <w:rFonts w:cs="Times New Roman"/>
          <w:u w:val="double"/>
          <w:lang w:val="en-AU"/>
        </w:rPr>
        <w:t>HeV</w:t>
      </w:r>
      <w:proofErr w:type="spellEnd"/>
      <w:r w:rsidR="00E77831" w:rsidRPr="740E9764">
        <w:rPr>
          <w:rFonts w:cs="Times New Roman"/>
          <w:u w:val="double"/>
          <w:lang w:val="en-AU"/>
        </w:rPr>
        <w:t xml:space="preserve"> real-time RT</w:t>
      </w:r>
      <w:r w:rsidR="00540E85" w:rsidRPr="740E9764">
        <w:rPr>
          <w:rFonts w:cs="Times New Roman"/>
          <w:u w:val="double"/>
          <w:lang w:val="en-AU"/>
        </w:rPr>
        <w:t>-</w:t>
      </w:r>
      <w:r w:rsidR="00E77831" w:rsidRPr="740E9764">
        <w:rPr>
          <w:rFonts w:cs="Times New Roman"/>
          <w:u w:val="double"/>
          <w:lang w:val="en-AU"/>
        </w:rPr>
        <w:t>PCR</w:t>
      </w:r>
      <w:r w:rsidR="00E77831" w:rsidRPr="740E9764">
        <w:rPr>
          <w:u w:val="double"/>
          <w:lang w:val="en-AU"/>
        </w:rPr>
        <w:t xml:space="preserve"> </w:t>
      </w:r>
      <w:r w:rsidR="00E77831" w:rsidRPr="740E9764">
        <w:rPr>
          <w:rFonts w:cs="Times New Roman"/>
          <w:u w:val="double"/>
          <w:lang w:val="en-AU"/>
        </w:rPr>
        <w:t>testing, producing false-negative results. In contrast, the</w:t>
      </w:r>
      <w:r w:rsidR="00E77831" w:rsidRPr="740E9764">
        <w:rPr>
          <w:u w:val="double"/>
          <w:lang w:val="en-AU"/>
        </w:rPr>
        <w:t xml:space="preserve"> </w:t>
      </w:r>
      <w:r w:rsidR="00E77831" w:rsidRPr="740E9764">
        <w:rPr>
          <w:rFonts w:cs="Times New Roman"/>
          <w:u w:val="double"/>
          <w:lang w:val="en-AU"/>
        </w:rPr>
        <w:t>anticoagulant ethylenediamine tetra-acetic acid (EDTA) had</w:t>
      </w:r>
      <w:r w:rsidR="00E77831" w:rsidRPr="740E9764">
        <w:rPr>
          <w:u w:val="double"/>
          <w:lang w:val="en-AU"/>
        </w:rPr>
        <w:t xml:space="preserve"> </w:t>
      </w:r>
      <w:r w:rsidR="00E77831" w:rsidRPr="740E9764">
        <w:rPr>
          <w:rFonts w:cs="Times New Roman"/>
          <w:u w:val="double"/>
          <w:lang w:val="en-AU"/>
        </w:rPr>
        <w:t>a comparatively low inhibitory effect. Furthermore, for the</w:t>
      </w:r>
      <w:r w:rsidR="00E77831" w:rsidRPr="740E9764">
        <w:rPr>
          <w:u w:val="double"/>
          <w:lang w:val="en-AU"/>
        </w:rPr>
        <w:t xml:space="preserve"> </w:t>
      </w:r>
      <w:r w:rsidR="00E77831" w:rsidRPr="740E9764">
        <w:rPr>
          <w:rFonts w:cs="Times New Roman"/>
          <w:u w:val="double"/>
          <w:lang w:val="en-AU"/>
        </w:rPr>
        <w:t>real-time RT</w:t>
      </w:r>
      <w:r w:rsidR="00540E85" w:rsidRPr="740E9764">
        <w:rPr>
          <w:rFonts w:cs="Times New Roman"/>
          <w:u w:val="double"/>
          <w:lang w:val="en-AU"/>
        </w:rPr>
        <w:t>-</w:t>
      </w:r>
      <w:r w:rsidR="00E77831" w:rsidRPr="740E9764">
        <w:rPr>
          <w:rFonts w:cs="Times New Roman"/>
          <w:u w:val="double"/>
          <w:lang w:val="en-AU"/>
        </w:rPr>
        <w:t xml:space="preserve">PCR assay for detecting </w:t>
      </w:r>
      <w:r w:rsidR="00DB43A6" w:rsidRPr="740E9764">
        <w:rPr>
          <w:rFonts w:cs="Times New Roman"/>
          <w:highlight w:val="yellow"/>
          <w:u w:val="double"/>
          <w:lang w:val="en-AU"/>
        </w:rPr>
        <w:t>bluetongue virus</w:t>
      </w:r>
      <w:r w:rsidR="00160441" w:rsidRPr="740E9764">
        <w:rPr>
          <w:rFonts w:cs="Times New Roman"/>
          <w:highlight w:val="yellow"/>
          <w:u w:val="double"/>
          <w:lang w:val="en-AU"/>
        </w:rPr>
        <w:t xml:space="preserve"> (</w:t>
      </w:r>
      <w:r w:rsidR="00E77831" w:rsidRPr="740E9764">
        <w:rPr>
          <w:rFonts w:cs="Times New Roman"/>
          <w:u w:val="double"/>
          <w:lang w:val="en-AU"/>
        </w:rPr>
        <w:t>BTV</w:t>
      </w:r>
      <w:r w:rsidR="00160441" w:rsidRPr="740E9764">
        <w:rPr>
          <w:rFonts w:cs="Times New Roman"/>
          <w:highlight w:val="yellow"/>
          <w:u w:val="double"/>
          <w:lang w:val="en-AU"/>
        </w:rPr>
        <w:t>)</w:t>
      </w:r>
      <w:r w:rsidR="00E77831" w:rsidRPr="740E9764">
        <w:rPr>
          <w:rFonts w:cs="Times New Roman"/>
          <w:u w:val="double"/>
          <w:lang w:val="en-AU"/>
        </w:rPr>
        <w:t>, diluting blood</w:t>
      </w:r>
      <w:r w:rsidR="00E77831" w:rsidRPr="740E9764">
        <w:rPr>
          <w:u w:val="double"/>
          <w:lang w:val="en-AU"/>
        </w:rPr>
        <w:t xml:space="preserve"> </w:t>
      </w:r>
      <w:r w:rsidR="00E77831" w:rsidRPr="740E9764">
        <w:rPr>
          <w:rFonts w:cs="Times New Roman"/>
          <w:u w:val="double"/>
          <w:lang w:val="en-AU"/>
        </w:rPr>
        <w:t>1</w:t>
      </w:r>
      <w:r w:rsidR="00540E85" w:rsidRPr="740E9764">
        <w:rPr>
          <w:rFonts w:cs="Times New Roman"/>
          <w:u w:val="double"/>
          <w:lang w:val="en-AU"/>
        </w:rPr>
        <w:t>/</w:t>
      </w:r>
      <w:r w:rsidR="00E77831" w:rsidRPr="740E9764">
        <w:rPr>
          <w:rFonts w:cs="Times New Roman"/>
          <w:u w:val="double"/>
          <w:lang w:val="en-AU"/>
        </w:rPr>
        <w:t>10 (volume per volume or v/v) in phosphate-buffered</w:t>
      </w:r>
      <w:r w:rsidR="00E77831" w:rsidRPr="740E9764">
        <w:rPr>
          <w:u w:val="double"/>
          <w:lang w:val="en-AU"/>
        </w:rPr>
        <w:t xml:space="preserve"> </w:t>
      </w:r>
      <w:r w:rsidR="00E77831" w:rsidRPr="740E9764">
        <w:rPr>
          <w:rFonts w:cs="Times New Roman"/>
          <w:u w:val="double"/>
          <w:lang w:val="en-AU"/>
        </w:rPr>
        <w:t>saline resulted in improved sensitivity, evidenced by lower</w:t>
      </w:r>
      <w:r w:rsidR="00E77831" w:rsidRPr="740E9764">
        <w:rPr>
          <w:u w:val="double"/>
          <w:lang w:val="en-AU"/>
        </w:rPr>
        <w:t xml:space="preserve"> </w:t>
      </w:r>
      <w:r w:rsidR="00E77831" w:rsidRPr="740E9764">
        <w:rPr>
          <w:rFonts w:cs="Times New Roman"/>
          <w:u w:val="double"/>
          <w:lang w:val="en-AU"/>
        </w:rPr>
        <w:t>Ct values, in comparison to undiluted blood. A recent</w:t>
      </w:r>
      <w:r w:rsidR="00E77831" w:rsidRPr="740E9764">
        <w:rPr>
          <w:u w:val="double"/>
          <w:lang w:val="en-AU"/>
        </w:rPr>
        <w:t xml:space="preserve"> </w:t>
      </w:r>
      <w:r w:rsidR="00E77831" w:rsidRPr="740E9764">
        <w:rPr>
          <w:rFonts w:cs="Times New Roman"/>
          <w:u w:val="double"/>
          <w:lang w:val="en-AU"/>
        </w:rPr>
        <w:t>review of the different types of internal controls available</w:t>
      </w:r>
      <w:r w:rsidR="00E77831" w:rsidRPr="740E9764">
        <w:rPr>
          <w:u w:val="double"/>
          <w:lang w:val="en-AU"/>
        </w:rPr>
        <w:t xml:space="preserve"> </w:t>
      </w:r>
      <w:r w:rsidR="00E77831" w:rsidRPr="740E9764">
        <w:rPr>
          <w:rFonts w:cs="Times New Roman"/>
          <w:u w:val="double"/>
          <w:lang w:val="en-AU"/>
        </w:rPr>
        <w:t>for monitoring the inhibition of real-time PCR-based assays</w:t>
      </w:r>
      <w:r w:rsidR="00E77831" w:rsidRPr="740E9764">
        <w:rPr>
          <w:u w:val="double"/>
          <w:lang w:val="en-AU"/>
        </w:rPr>
        <w:t xml:space="preserve"> </w:t>
      </w:r>
      <w:r w:rsidR="00E77831" w:rsidRPr="740E9764">
        <w:rPr>
          <w:rFonts w:cs="Times New Roman"/>
          <w:u w:val="double"/>
          <w:lang w:val="en-AU"/>
        </w:rPr>
        <w:t>(</w:t>
      </w:r>
      <w:r w:rsidR="00E84D96" w:rsidRPr="740E9764">
        <w:rPr>
          <w:u w:val="double"/>
          <w:lang w:val="en-AU"/>
        </w:rPr>
        <w:t>Yan</w:t>
      </w:r>
      <w:r w:rsidR="00540E85" w:rsidRPr="740E9764">
        <w:rPr>
          <w:u w:val="double"/>
          <w:lang w:val="en-AU"/>
        </w:rPr>
        <w:t xml:space="preserve"> </w:t>
      </w:r>
      <w:r w:rsidR="00540E85" w:rsidRPr="740E9764">
        <w:rPr>
          <w:i/>
          <w:iCs/>
          <w:u w:val="double"/>
          <w:lang w:val="en-AU"/>
        </w:rPr>
        <w:t>et al.,</w:t>
      </w:r>
      <w:r w:rsidR="00E84D96" w:rsidRPr="740E9764">
        <w:rPr>
          <w:u w:val="double"/>
          <w:lang w:val="en-AU"/>
        </w:rPr>
        <w:t xml:space="preserve"> 2020</w:t>
      </w:r>
      <w:r w:rsidR="00E77831" w:rsidRPr="740E9764">
        <w:rPr>
          <w:rFonts w:cs="Times New Roman"/>
          <w:u w:val="double"/>
          <w:lang w:val="en-AU"/>
        </w:rPr>
        <w:t>) provides information on internal control strategies as</w:t>
      </w:r>
      <w:r w:rsidR="00C6095F" w:rsidRPr="740E9764">
        <w:rPr>
          <w:u w:val="double"/>
          <w:lang w:val="en-AU"/>
        </w:rPr>
        <w:t xml:space="preserve"> </w:t>
      </w:r>
      <w:r w:rsidR="00E77831" w:rsidRPr="740E9764">
        <w:rPr>
          <w:rFonts w:cs="Times New Roman"/>
          <w:u w:val="double"/>
          <w:lang w:val="en-AU"/>
        </w:rPr>
        <w:t>a routine quality management component in veterinary</w:t>
      </w:r>
      <w:r w:rsidR="0071629F" w:rsidRPr="740E9764">
        <w:rPr>
          <w:rFonts w:cs="Times New Roman"/>
          <w:u w:val="double"/>
          <w:lang w:val="en-AU"/>
        </w:rPr>
        <w:t xml:space="preserve"> </w:t>
      </w:r>
      <w:r w:rsidR="00E77831" w:rsidRPr="740E9764">
        <w:rPr>
          <w:rFonts w:cs="Times New Roman"/>
          <w:u w:val="double"/>
          <w:lang w:val="en-AU"/>
        </w:rPr>
        <w:t>molecular testing.</w:t>
      </w:r>
      <w:r w:rsidR="00C6095F" w:rsidRPr="740E9764">
        <w:rPr>
          <w:rFonts w:cs="Times New Roman"/>
          <w:u w:val="double"/>
          <w:lang w:val="en-AU"/>
        </w:rPr>
        <w:t xml:space="preserve"> </w:t>
      </w:r>
      <w:r w:rsidRPr="740E9764">
        <w:rPr>
          <w:rFonts w:cs="Times New Roman"/>
          <w:u w:val="double"/>
          <w:lang w:val="en-IE"/>
        </w:rPr>
        <w:t>Data collected during the validation process</w:t>
      </w:r>
      <w:r w:rsidRPr="740E9764">
        <w:rPr>
          <w:u w:val="double"/>
          <w:lang w:val="en-IE"/>
        </w:rPr>
        <w:t xml:space="preserve"> concerning assay performance using the sample matrices being targeted will allow for a risk-based decision as to whether an inhibition control should be included for each sample or whether the test system is unlikely to be affected by inhibition. If inhibitory substances are a significant problem</w:t>
      </w:r>
      <w:r w:rsidR="009457E8" w:rsidRPr="740E9764">
        <w:rPr>
          <w:u w:val="double"/>
          <w:lang w:val="en-IE"/>
        </w:rPr>
        <w:t>,</w:t>
      </w:r>
      <w:r w:rsidRPr="740E9764">
        <w:rPr>
          <w:u w:val="double"/>
          <w:lang w:val="en-IE"/>
        </w:rPr>
        <w:t xml:space="preserve"> an inhibition control must be included for each test sample</w:t>
      </w:r>
      <w:r w:rsidR="00371C58" w:rsidRPr="740E9764">
        <w:rPr>
          <w:u w:val="double"/>
          <w:lang w:val="en-IE"/>
        </w:rPr>
        <w:t xml:space="preserve"> (Section 1.2</w:t>
      </w:r>
      <w:r w:rsidR="00862C3A" w:rsidRPr="740E9764">
        <w:rPr>
          <w:u w:val="double"/>
          <w:lang w:val="en-IE"/>
        </w:rPr>
        <w:t xml:space="preserve">; Bowden </w:t>
      </w:r>
      <w:r w:rsidR="00862C3A" w:rsidRPr="740E9764">
        <w:rPr>
          <w:i/>
          <w:iCs/>
          <w:u w:val="double"/>
          <w:lang w:val="en-IE"/>
        </w:rPr>
        <w:t>et al.</w:t>
      </w:r>
      <w:r w:rsidR="003B339E" w:rsidRPr="740E9764">
        <w:rPr>
          <w:i/>
          <w:iCs/>
          <w:u w:val="double"/>
          <w:lang w:val="en-IE"/>
        </w:rPr>
        <w:t>,</w:t>
      </w:r>
      <w:r w:rsidR="00862C3A" w:rsidRPr="740E9764">
        <w:rPr>
          <w:u w:val="double"/>
          <w:lang w:val="en-IE"/>
        </w:rPr>
        <w:t xml:space="preserve"> 2021</w:t>
      </w:r>
      <w:r w:rsidR="00371C58" w:rsidRPr="740E9764">
        <w:rPr>
          <w:u w:val="double"/>
          <w:lang w:val="en-IE"/>
        </w:rPr>
        <w:t xml:space="preserve">). </w:t>
      </w:r>
    </w:p>
    <w:p w14:paraId="4D2255DB" w14:textId="77777777" w:rsidR="00667CDB" w:rsidRPr="008E20C4" w:rsidRDefault="00667CDB" w:rsidP="00667CDB">
      <w:pPr>
        <w:pStyle w:val="11"/>
        <w:spacing w:after="200"/>
        <w:rPr>
          <w:lang w:val="en-IE"/>
        </w:rPr>
      </w:pPr>
      <w:r w:rsidRPr="008E20C4">
        <w:rPr>
          <w:lang w:val="en-IE"/>
        </w:rPr>
        <w:t>2.5.</w:t>
      </w:r>
      <w:r w:rsidRPr="008E20C4">
        <w:rPr>
          <w:lang w:val="en-IE"/>
        </w:rPr>
        <w:tab/>
        <w:t>Robustness</w:t>
      </w:r>
    </w:p>
    <w:p w14:paraId="394484A5" w14:textId="0F98A2F9" w:rsidR="00667CDB" w:rsidRPr="008E20C4" w:rsidRDefault="00667CDB" w:rsidP="00824988">
      <w:pPr>
        <w:pStyle w:val="11Para"/>
        <w:rPr>
          <w:lang w:val="en-IE"/>
        </w:rPr>
      </w:pPr>
      <w:r w:rsidRPr="008E20C4">
        <w:rPr>
          <w:lang w:val="en-IE"/>
        </w:rPr>
        <w:t>Robustness refers to an assay’s capacity to remain unaffected by minor variations in test situations that may occur over the course of testing</w:t>
      </w:r>
      <w:r w:rsidRPr="008E20C4">
        <w:rPr>
          <w:strike/>
          <w:lang w:val="en-IE"/>
        </w:rPr>
        <w:t xml:space="preserve"> in a single laboratory</w:t>
      </w:r>
      <w:r w:rsidRPr="008E20C4">
        <w:rPr>
          <w:lang w:val="en-IE"/>
        </w:rPr>
        <w:t>. Assessment of robustness should begin during assay development and optimisation stages. The deliberate variations in method parameters may be addressed in experiments after optimal conditions for an assay are established. However, when multi-factorial titrations of reagents are used for optimising the assay, indications of a compromised robustness may surface. If slight differences in conditions or reagent concentrations cause unacceptable variability, the assay most likely will not be robust. Early knowledge of this situation elicits a critical decision point for determining whether to continue with validation of the assay would be worthwhile, because if an assay is not robust within one laboratory under rather ideal conditions, it is unlikely to be reproducible when transferred to other laboratories.</w:t>
      </w:r>
    </w:p>
    <w:p w14:paraId="5BE39BC0" w14:textId="1E415700" w:rsidR="007F1D52" w:rsidRPr="008E20C4" w:rsidRDefault="00667CDB" w:rsidP="00824988">
      <w:pPr>
        <w:pStyle w:val="11Para"/>
        <w:rPr>
          <w:lang w:val="en-IE"/>
        </w:rPr>
      </w:pPr>
      <w:r w:rsidRPr="008E20C4">
        <w:rPr>
          <w:lang w:val="en-IE"/>
        </w:rPr>
        <w:t>The factors most likely to affect assay robustness include pH, temperature</w:t>
      </w:r>
      <w:r w:rsidR="007067CC">
        <w:rPr>
          <w:lang w:val="en-IE"/>
        </w:rPr>
        <w:t>,</w:t>
      </w:r>
      <w:r w:rsidRPr="008E20C4">
        <w:rPr>
          <w:lang w:val="en-IE"/>
        </w:rPr>
        <w:t xml:space="preserve"> batch of reagents or brand of </w:t>
      </w:r>
      <w:proofErr w:type="spellStart"/>
      <w:r w:rsidRPr="008E20C4">
        <w:rPr>
          <w:lang w:val="en-IE"/>
        </w:rPr>
        <w:t>microtitre</w:t>
      </w:r>
      <w:proofErr w:type="spellEnd"/>
      <w:r w:rsidRPr="008E20C4">
        <w:rPr>
          <w:lang w:val="en-IE"/>
        </w:rPr>
        <w:t xml:space="preserve"> plates and aqueous or organic matrix factors (</w:t>
      </w:r>
      <w:r w:rsidR="0003795B" w:rsidRPr="008E20C4">
        <w:rPr>
          <w:u w:val="double"/>
          <w:lang w:val="en-IE"/>
        </w:rPr>
        <w:t xml:space="preserve">Bowden </w:t>
      </w:r>
      <w:r w:rsidR="0003795B" w:rsidRPr="008E20C4">
        <w:rPr>
          <w:i/>
          <w:iCs/>
          <w:u w:val="double"/>
          <w:lang w:val="en-IE"/>
        </w:rPr>
        <w:t xml:space="preserve">et al., </w:t>
      </w:r>
      <w:r w:rsidR="0003795B" w:rsidRPr="008E20C4">
        <w:rPr>
          <w:u w:val="double"/>
          <w:lang w:val="en-IE"/>
        </w:rPr>
        <w:t>2021;</w:t>
      </w:r>
      <w:r w:rsidR="0003795B" w:rsidRPr="008E20C4">
        <w:rPr>
          <w:lang w:val="en-IE"/>
        </w:rPr>
        <w:t xml:space="preserve"> </w:t>
      </w:r>
      <w:hyperlink r:id="rId19" w:history="1">
        <w:proofErr w:type="spellStart"/>
        <w:r w:rsidRPr="008E20C4">
          <w:rPr>
            <w:rStyle w:val="Hyperlink"/>
            <w:rFonts w:cs="Arial"/>
            <w:color w:val="auto"/>
            <w:u w:val="none"/>
            <w:lang w:val="en-IE"/>
          </w:rPr>
          <w:t>Dejaegher</w:t>
        </w:r>
        <w:proofErr w:type="spellEnd"/>
      </w:hyperlink>
      <w:r w:rsidRPr="008E20C4">
        <w:rPr>
          <w:lang w:val="en-IE"/>
        </w:rPr>
        <w:t xml:space="preserve"> &amp; Vander </w:t>
      </w:r>
      <w:proofErr w:type="spellStart"/>
      <w:r w:rsidRPr="008E20C4">
        <w:rPr>
          <w:lang w:val="en-IE"/>
        </w:rPr>
        <w:t>Heyden</w:t>
      </w:r>
      <w:proofErr w:type="spellEnd"/>
      <w:r w:rsidRPr="008E20C4">
        <w:rPr>
          <w:smallCaps/>
          <w:lang w:val="en-IE"/>
        </w:rPr>
        <w:t xml:space="preserve">, </w:t>
      </w:r>
      <w:r w:rsidRPr="008E20C4">
        <w:rPr>
          <w:lang w:val="en-IE"/>
        </w:rPr>
        <w:t>2006). Once optimisation is complete, the robustness of the assay becomes part of the assessment of repeatability</w:t>
      </w:r>
      <w:r w:rsidR="00824988" w:rsidRPr="008E20C4">
        <w:rPr>
          <w:lang w:val="en-IE"/>
        </w:rPr>
        <w:t>.</w:t>
      </w:r>
      <w:r w:rsidR="00FD0B89" w:rsidRPr="008E20C4">
        <w:rPr>
          <w:lang w:val="en-IE"/>
        </w:rPr>
        <w:t xml:space="preserve"> </w:t>
      </w:r>
      <w:r w:rsidR="007F1D52" w:rsidRPr="008E20C4">
        <w:rPr>
          <w:u w:val="double"/>
          <w:lang w:val="en-IE"/>
        </w:rPr>
        <w:t>For point-of</w:t>
      </w:r>
      <w:r w:rsidR="00CA2930" w:rsidRPr="008E20C4">
        <w:rPr>
          <w:u w:val="double"/>
          <w:lang w:val="en-IE"/>
        </w:rPr>
        <w:t>-</w:t>
      </w:r>
      <w:r w:rsidR="007F1D52" w:rsidRPr="008E20C4">
        <w:rPr>
          <w:u w:val="double"/>
          <w:lang w:val="en-IE"/>
        </w:rPr>
        <w:t>care tests (POCT</w:t>
      </w:r>
      <w:r w:rsidR="00CA2930" w:rsidRPr="008E20C4">
        <w:rPr>
          <w:u w:val="double"/>
          <w:lang w:val="en-IE"/>
        </w:rPr>
        <w:t>s</w:t>
      </w:r>
      <w:r w:rsidR="007F1D52" w:rsidRPr="008E20C4">
        <w:rPr>
          <w:u w:val="double"/>
          <w:lang w:val="en-IE"/>
        </w:rPr>
        <w:t>)</w:t>
      </w:r>
      <w:r w:rsidR="00F775F7" w:rsidRPr="008E20C4">
        <w:rPr>
          <w:u w:val="double"/>
          <w:lang w:val="en-IE"/>
        </w:rPr>
        <w:t xml:space="preserve"> (see Figure 1 Stage 5)</w:t>
      </w:r>
      <w:r w:rsidR="00251309" w:rsidRPr="008E20C4">
        <w:rPr>
          <w:u w:val="double"/>
          <w:lang w:val="en-IE"/>
        </w:rPr>
        <w:t>,</w:t>
      </w:r>
      <w:r w:rsidR="007F1D52" w:rsidRPr="008E20C4">
        <w:rPr>
          <w:u w:val="double"/>
          <w:lang w:val="en-IE"/>
        </w:rPr>
        <w:t xml:space="preserve"> ruggedness</w:t>
      </w:r>
      <w:r w:rsidR="008A3147" w:rsidRPr="008E20C4">
        <w:rPr>
          <w:u w:val="double"/>
          <w:lang w:val="en-IE"/>
        </w:rPr>
        <w:t xml:space="preserve"> (</w:t>
      </w:r>
      <w:r w:rsidR="001C61F4" w:rsidRPr="008E20C4">
        <w:rPr>
          <w:u w:val="double"/>
          <w:lang w:val="en-IE"/>
        </w:rPr>
        <w:t xml:space="preserve">is expressed </w:t>
      </w:r>
      <w:r w:rsidR="00D66771" w:rsidRPr="008E20C4">
        <w:rPr>
          <w:u w:val="double"/>
          <w:lang w:val="en-IE"/>
        </w:rPr>
        <w:t>as the lac</w:t>
      </w:r>
      <w:r w:rsidR="007C6DC9" w:rsidRPr="008E20C4">
        <w:rPr>
          <w:u w:val="double"/>
          <w:lang w:val="en-IE"/>
        </w:rPr>
        <w:t>k</w:t>
      </w:r>
      <w:r w:rsidR="00D66771" w:rsidRPr="008E20C4">
        <w:rPr>
          <w:u w:val="double"/>
          <w:lang w:val="en-IE"/>
        </w:rPr>
        <w:t xml:space="preserve"> of influence on test results of operational and environmental variables </w:t>
      </w:r>
      <w:r w:rsidR="007B3649" w:rsidRPr="008E20C4">
        <w:rPr>
          <w:u w:val="double"/>
          <w:lang w:val="en-IE"/>
        </w:rPr>
        <w:t>o</w:t>
      </w:r>
      <w:r w:rsidR="00C70B2F" w:rsidRPr="008E20C4">
        <w:rPr>
          <w:u w:val="double"/>
          <w:lang w:val="en-IE"/>
        </w:rPr>
        <w:t>f</w:t>
      </w:r>
      <w:r w:rsidR="00D66771" w:rsidRPr="008E20C4">
        <w:rPr>
          <w:u w:val="double"/>
          <w:lang w:val="en-IE"/>
        </w:rPr>
        <w:t xml:space="preserve"> the analytical </w:t>
      </w:r>
      <w:r w:rsidR="00FB61AA" w:rsidRPr="008E20C4">
        <w:rPr>
          <w:u w:val="double"/>
          <w:lang w:val="en-IE"/>
        </w:rPr>
        <w:t>method</w:t>
      </w:r>
      <w:r w:rsidR="008A3147" w:rsidRPr="008E20C4">
        <w:rPr>
          <w:u w:val="double"/>
          <w:lang w:val="en-IE"/>
        </w:rPr>
        <w:t>)</w:t>
      </w:r>
      <w:r w:rsidR="007F1D52" w:rsidRPr="008E20C4">
        <w:rPr>
          <w:u w:val="double"/>
          <w:lang w:val="en-IE"/>
        </w:rPr>
        <w:t xml:space="preserve"> </w:t>
      </w:r>
      <w:r w:rsidR="00251309" w:rsidRPr="008E20C4">
        <w:rPr>
          <w:u w:val="double"/>
          <w:lang w:val="en-IE"/>
        </w:rPr>
        <w:t xml:space="preserve">assessments </w:t>
      </w:r>
      <w:r w:rsidR="007F1D52" w:rsidRPr="008E20C4">
        <w:rPr>
          <w:u w:val="double"/>
          <w:lang w:val="en-IE"/>
        </w:rPr>
        <w:t>are also</w:t>
      </w:r>
      <w:r w:rsidR="008C6A65" w:rsidRPr="008E20C4">
        <w:rPr>
          <w:u w:val="double"/>
          <w:lang w:val="en-IE"/>
        </w:rPr>
        <w:t xml:space="preserve"> </w:t>
      </w:r>
      <w:r w:rsidR="00251309" w:rsidRPr="008E20C4">
        <w:rPr>
          <w:u w:val="double"/>
          <w:lang w:val="en-IE"/>
        </w:rPr>
        <w:t xml:space="preserve">necessary because POCT </w:t>
      </w:r>
      <w:r w:rsidR="007F1D52" w:rsidRPr="008E20C4">
        <w:rPr>
          <w:u w:val="double"/>
          <w:lang w:val="en-IE"/>
        </w:rPr>
        <w:t xml:space="preserve">performance should not be easily affected by </w:t>
      </w:r>
      <w:r w:rsidR="001C7850" w:rsidRPr="008E20C4">
        <w:rPr>
          <w:u w:val="double"/>
          <w:lang w:val="en-IE"/>
        </w:rPr>
        <w:t xml:space="preserve">operator proficiency, </w:t>
      </w:r>
      <w:r w:rsidR="007F1D52" w:rsidRPr="008E20C4">
        <w:rPr>
          <w:u w:val="double"/>
          <w:lang w:val="en-IE"/>
        </w:rPr>
        <w:t xml:space="preserve">fluctuations in temperature, humidity, sunlight, or other environmental factors. </w:t>
      </w:r>
    </w:p>
    <w:p w14:paraId="10EED758" w14:textId="77777777" w:rsidR="00667CDB" w:rsidRPr="008E20C4" w:rsidRDefault="00667CDB" w:rsidP="00824988">
      <w:pPr>
        <w:pStyle w:val="11"/>
        <w:rPr>
          <w:lang w:val="en-IE"/>
        </w:rPr>
      </w:pPr>
      <w:r w:rsidRPr="008E20C4">
        <w:rPr>
          <w:lang w:val="en-IE"/>
        </w:rPr>
        <w:t>2.6.</w:t>
      </w:r>
      <w:r w:rsidRPr="008E20C4">
        <w:rPr>
          <w:lang w:val="en-IE"/>
        </w:rPr>
        <w:tab/>
        <w:t>Calibration of the assay to standard reagents</w:t>
      </w:r>
    </w:p>
    <w:p w14:paraId="35C807A9" w14:textId="77777777" w:rsidR="00667CDB" w:rsidRPr="008E20C4" w:rsidRDefault="00667CDB" w:rsidP="00667CDB">
      <w:pPr>
        <w:pStyle w:val="111"/>
        <w:rPr>
          <w:lang w:val="en-IE"/>
        </w:rPr>
      </w:pPr>
      <w:r w:rsidRPr="008E20C4">
        <w:rPr>
          <w:lang w:val="en-IE"/>
        </w:rPr>
        <w:t>2.6.1.</w:t>
      </w:r>
      <w:r w:rsidRPr="008E20C4">
        <w:rPr>
          <w:lang w:val="en-IE"/>
        </w:rPr>
        <w:tab/>
        <w:t>International and national reference standards</w:t>
      </w:r>
    </w:p>
    <w:p w14:paraId="55DABD2E" w14:textId="6B957023" w:rsidR="00667CDB" w:rsidRPr="008E20C4" w:rsidRDefault="00667CDB" w:rsidP="00824988">
      <w:pPr>
        <w:pStyle w:val="111Para"/>
        <w:rPr>
          <w:lang w:val="en-IE"/>
        </w:rPr>
      </w:pPr>
      <w:r w:rsidRPr="008E20C4">
        <w:rPr>
          <w:lang w:val="en-IE"/>
        </w:rPr>
        <w:lastRenderedPageBreak/>
        <w:t xml:space="preserve">Ideally, </w:t>
      </w:r>
      <w:r w:rsidR="00907D25">
        <w:rPr>
          <w:lang w:val="en-IE"/>
        </w:rPr>
        <w:t>WOAH</w:t>
      </w:r>
      <w:r w:rsidRPr="008E20C4">
        <w:rPr>
          <w:lang w:val="en-IE"/>
        </w:rPr>
        <w:t xml:space="preserve"> or other international reference standards, containing a known concentration or titre of analyte, are the reagents to which all assays are standardised (see </w:t>
      </w:r>
      <w:r w:rsidR="00907D25">
        <w:rPr>
          <w:lang w:val="en-IE"/>
        </w:rPr>
        <w:t>WOAH</w:t>
      </w:r>
      <w:r w:rsidRPr="008E20C4">
        <w:rPr>
          <w:lang w:val="en-IE"/>
        </w:rPr>
        <w:t xml:space="preserve"> Guides</w:t>
      </w:r>
      <w:r w:rsidRPr="008E20C4">
        <w:rPr>
          <w:rStyle w:val="FootnoteReference"/>
          <w:rFonts w:cs="Arial"/>
          <w:lang w:val="en-IE"/>
        </w:rPr>
        <w:footnoteReference w:id="7"/>
      </w:r>
      <w:r w:rsidRPr="008E20C4">
        <w:rPr>
          <w:lang w:val="en-IE"/>
        </w:rPr>
        <w:t xml:space="preserve"> </w:t>
      </w:r>
      <w:proofErr w:type="gramStart"/>
      <w:r w:rsidRPr="008E20C4">
        <w:rPr>
          <w:lang w:val="en-IE"/>
        </w:rPr>
        <w:t>and also</w:t>
      </w:r>
      <w:proofErr w:type="gramEnd"/>
      <w:r w:rsidRPr="008E20C4">
        <w:rPr>
          <w:lang w:val="en-IE"/>
        </w:rPr>
        <w:t xml:space="preserve"> chapter 2.2.6). Such standards are prepared and distributed by </w:t>
      </w:r>
      <w:r w:rsidR="00907D25">
        <w:rPr>
          <w:lang w:val="en-IE"/>
        </w:rPr>
        <w:t>WOAH</w:t>
      </w:r>
      <w:r w:rsidRPr="008E20C4">
        <w:rPr>
          <w:lang w:val="en-IE"/>
        </w:rPr>
        <w:t xml:space="preserve"> Reference Laboratories or other international reference laboratories. National reference standards are calibrated by comparison with an international reference standard whenever possible; they are prepared and distributed by a national reference laboratory. In the absence of an international reference standard, a national reference standard becomes the standard of comparison for the candidate assay. These standards are highly characterised through extensive analysis, and preferably the methods for their characterisation, preparation, and storage have been published in peer-reviewed publications</w:t>
      </w:r>
      <w:r w:rsidR="00862C3A" w:rsidRPr="008E20C4">
        <w:rPr>
          <w:lang w:val="en-IE"/>
        </w:rPr>
        <w:t xml:space="preserve"> </w:t>
      </w:r>
      <w:r w:rsidR="00862C3A" w:rsidRPr="008E20C4">
        <w:rPr>
          <w:u w:val="double"/>
          <w:lang w:val="en-IE"/>
        </w:rPr>
        <w:t xml:space="preserve">(Watson </w:t>
      </w:r>
      <w:r w:rsidR="00862C3A" w:rsidRPr="008E20C4">
        <w:rPr>
          <w:i/>
          <w:iCs/>
          <w:u w:val="double"/>
          <w:lang w:val="en-IE"/>
        </w:rPr>
        <w:t>et al.</w:t>
      </w:r>
      <w:r w:rsidR="00FD0B89" w:rsidRPr="008E20C4">
        <w:rPr>
          <w:i/>
          <w:iCs/>
          <w:u w:val="double"/>
          <w:lang w:val="en-IE"/>
        </w:rPr>
        <w:t>,</w:t>
      </w:r>
      <w:r w:rsidR="00862C3A" w:rsidRPr="008E20C4">
        <w:rPr>
          <w:u w:val="double"/>
          <w:lang w:val="en-IE"/>
        </w:rPr>
        <w:t xml:space="preserve"> 2021)</w:t>
      </w:r>
      <w:r w:rsidRPr="008E20C4">
        <w:rPr>
          <w:lang w:val="en-IE"/>
        </w:rPr>
        <w:t>.</w:t>
      </w:r>
    </w:p>
    <w:p w14:paraId="43985EEF" w14:textId="77777777" w:rsidR="00667CDB" w:rsidRPr="008E20C4" w:rsidRDefault="00667CDB" w:rsidP="00667CDB">
      <w:pPr>
        <w:pStyle w:val="111"/>
        <w:jc w:val="both"/>
        <w:rPr>
          <w:bCs/>
          <w:lang w:val="en-IE"/>
        </w:rPr>
      </w:pPr>
      <w:r w:rsidRPr="008E20C4">
        <w:rPr>
          <w:bCs/>
          <w:lang w:val="en-IE"/>
        </w:rPr>
        <w:t>2.6.2.</w:t>
      </w:r>
      <w:r w:rsidRPr="008E20C4">
        <w:rPr>
          <w:bCs/>
          <w:lang w:val="en-IE"/>
        </w:rPr>
        <w:tab/>
        <w:t xml:space="preserve">In-house standard </w:t>
      </w:r>
    </w:p>
    <w:p w14:paraId="477ECCC4" w14:textId="179C0670" w:rsidR="00667CDB" w:rsidRPr="008E20C4" w:rsidRDefault="00667CDB" w:rsidP="00445EAA">
      <w:pPr>
        <w:pStyle w:val="111Para"/>
        <w:rPr>
          <w:lang w:val="en-IE"/>
        </w:rPr>
      </w:pPr>
      <w:r w:rsidRPr="008E20C4">
        <w:rPr>
          <w:lang w:val="en-IE"/>
        </w:rPr>
        <w:t xml:space="preserve">An in-house reference standard generally should be calibrated against an international or national standard. In the absence of either of these calibrators and to the extent possible, the in-house standard is highly characterised in the same manner as international and national standards (see chapter 2.2.6). This local in-house standard therefore becomes the best available </w:t>
      </w:r>
      <w:proofErr w:type="gramStart"/>
      <w:r w:rsidRPr="008E20C4">
        <w:rPr>
          <w:lang w:val="en-IE"/>
        </w:rPr>
        <w:t>standard,</w:t>
      </w:r>
      <w:r w:rsidR="0084586F" w:rsidRPr="008E20C4">
        <w:rPr>
          <w:lang w:val="en-IE"/>
        </w:rPr>
        <w:t xml:space="preserve"> </w:t>
      </w:r>
      <w:r w:rsidRPr="008E20C4">
        <w:rPr>
          <w:lang w:val="en-IE"/>
        </w:rPr>
        <w:t>and</w:t>
      </w:r>
      <w:proofErr w:type="gramEnd"/>
      <w:r w:rsidRPr="008E20C4">
        <w:rPr>
          <w:lang w:val="en-IE"/>
        </w:rPr>
        <w:t xml:space="preserve"> is retained in sufficient aliquoted volumes for periodic use as the standard to which working standards are calibrated. </w:t>
      </w:r>
    </w:p>
    <w:p w14:paraId="66826227" w14:textId="77777777" w:rsidR="00667CDB" w:rsidRPr="008E20C4" w:rsidRDefault="00667CDB" w:rsidP="00667CDB">
      <w:pPr>
        <w:pStyle w:val="111"/>
        <w:rPr>
          <w:lang w:val="en-IE"/>
        </w:rPr>
      </w:pPr>
      <w:r w:rsidRPr="008E20C4">
        <w:rPr>
          <w:lang w:val="en-IE"/>
        </w:rPr>
        <w:t>2.6.3.</w:t>
      </w:r>
      <w:r w:rsidRPr="008E20C4">
        <w:rPr>
          <w:lang w:val="en-IE"/>
        </w:rPr>
        <w:tab/>
        <w:t xml:space="preserve">Working standard </w:t>
      </w:r>
    </w:p>
    <w:p w14:paraId="32FC6209" w14:textId="6EB85F6F" w:rsidR="00667CDB" w:rsidRPr="008E20C4" w:rsidRDefault="00667CDB" w:rsidP="00445EAA">
      <w:pPr>
        <w:pStyle w:val="111Para"/>
        <w:rPr>
          <w:lang w:val="en-IE"/>
        </w:rPr>
      </w:pPr>
      <w:r w:rsidRPr="008E20C4">
        <w:rPr>
          <w:lang w:val="en-IE"/>
        </w:rPr>
        <w:t xml:space="preserve">One or more working standards, commonly known as analyte or process controls, are calibrated to an international, national, or in-house standard, and are prepared in large quantities, </w:t>
      </w:r>
      <w:r w:rsidR="3FEC9648" w:rsidRPr="008E20C4">
        <w:rPr>
          <w:lang w:val="en-IE"/>
        </w:rPr>
        <w:t>aliquoted</w:t>
      </w:r>
      <w:r w:rsidRPr="008E20C4">
        <w:rPr>
          <w:lang w:val="en-IE"/>
        </w:rPr>
        <w:t xml:space="preserve"> and stored for routine use in each diagnostic run of the assay.</w:t>
      </w:r>
    </w:p>
    <w:p w14:paraId="1749D461" w14:textId="621E2EBC" w:rsidR="00667CDB" w:rsidRPr="008E20C4" w:rsidRDefault="00667CDB" w:rsidP="00667CDB">
      <w:pPr>
        <w:pStyle w:val="11"/>
        <w:rPr>
          <w:lang w:val="en-IE"/>
        </w:rPr>
      </w:pPr>
      <w:bookmarkStart w:id="5" w:name="_Hlk109464623"/>
      <w:r w:rsidRPr="008E20C4">
        <w:rPr>
          <w:lang w:val="en-IE"/>
        </w:rPr>
        <w:t>2.7.</w:t>
      </w:r>
      <w:r w:rsidRPr="008E20C4">
        <w:rPr>
          <w:lang w:val="en-IE"/>
        </w:rPr>
        <w:tab/>
      </w:r>
      <w:r w:rsidR="00CA2930" w:rsidRPr="008E20C4">
        <w:rPr>
          <w:lang w:val="en-IE"/>
        </w:rPr>
        <w:t>‘</w:t>
      </w:r>
      <w:r w:rsidRPr="008E20C4">
        <w:rPr>
          <w:lang w:val="en-IE"/>
        </w:rPr>
        <w:t>Normalising</w:t>
      </w:r>
      <w:r w:rsidR="00CA2930" w:rsidRPr="008E20C4">
        <w:rPr>
          <w:lang w:val="en-IE"/>
        </w:rPr>
        <w:t>’</w:t>
      </w:r>
      <w:r w:rsidRPr="008E20C4">
        <w:rPr>
          <w:lang w:val="en-IE"/>
        </w:rPr>
        <w:t xml:space="preserve"> test results to a working standard</w:t>
      </w:r>
    </w:p>
    <w:p w14:paraId="0665504E" w14:textId="76AA793C" w:rsidR="00667CDB" w:rsidRPr="008E20C4" w:rsidRDefault="00667CDB" w:rsidP="00445EAA">
      <w:pPr>
        <w:pStyle w:val="11Para"/>
        <w:rPr>
          <w:lang w:val="en-IE"/>
        </w:rPr>
      </w:pPr>
      <w:r w:rsidRPr="008E20C4">
        <w:rPr>
          <w:lang w:val="en-IE"/>
        </w:rPr>
        <w:t>Due to the inherent variation in raw test results that are often observed between test runs of the same assay or among laboratories using the same or similar assays, it is almost impossible to compare directly (semi-) quantitative data. To improve markedly the comparability of test results both within and between laboratories, one or more working standard reagent(s) are included in each run of an assay. Raw test values for each test sample can then be converted to units of activity relative to the working standard(s) by a process called ‘normalisation’. The ‘normalised’ values may be expressed in many ways, such as a per cent of a positive control (</w:t>
      </w:r>
      <w:proofErr w:type="gramStart"/>
      <w:r w:rsidRPr="008E20C4">
        <w:rPr>
          <w:lang w:val="en-IE"/>
        </w:rPr>
        <w:t>e.g.</w:t>
      </w:r>
      <w:proofErr w:type="gramEnd"/>
      <w:r w:rsidRPr="008E20C4">
        <w:rPr>
          <w:lang w:val="en-IE"/>
        </w:rPr>
        <w:t xml:space="preserve"> in an ELISA), or as the estimated concentration</w:t>
      </w:r>
      <w:r w:rsidR="00CC196B" w:rsidRPr="008E20C4">
        <w:rPr>
          <w:u w:val="double"/>
          <w:lang w:val="en-IE"/>
        </w:rPr>
        <w:t>, e.g. genomic copies</w:t>
      </w:r>
      <w:r w:rsidR="007E45AC" w:rsidRPr="008E20C4">
        <w:rPr>
          <w:lang w:val="en-IE"/>
        </w:rPr>
        <w:t xml:space="preserve"> </w:t>
      </w:r>
      <w:r w:rsidRPr="008E20C4">
        <w:rPr>
          <w:lang w:val="en-IE"/>
        </w:rPr>
        <w:t xml:space="preserve">or titre of an analyte derived from a standard curve </w:t>
      </w:r>
      <w:r w:rsidRPr="008E20C4">
        <w:rPr>
          <w:u w:val="double"/>
          <w:lang w:val="en-IE"/>
        </w:rPr>
        <w:t xml:space="preserve">such as a </w:t>
      </w:r>
      <w:r w:rsidR="00445EAA" w:rsidRPr="008E20C4">
        <w:rPr>
          <w:u w:val="double"/>
          <w:lang w:val="en-IE"/>
        </w:rPr>
        <w:t xml:space="preserve">cycle threshold </w:t>
      </w:r>
      <w:r w:rsidRPr="008E20C4">
        <w:rPr>
          <w:u w:val="double"/>
          <w:lang w:val="en-IE"/>
        </w:rPr>
        <w:t xml:space="preserve">(Ct) value in a </w:t>
      </w:r>
      <w:r w:rsidR="00593197" w:rsidRPr="008E20C4">
        <w:rPr>
          <w:u w:val="double"/>
          <w:lang w:val="en-IE"/>
        </w:rPr>
        <w:t xml:space="preserve">hydrolysis probe </w:t>
      </w:r>
      <w:r w:rsidRPr="008E20C4">
        <w:rPr>
          <w:u w:val="double"/>
          <w:lang w:val="en-IE"/>
        </w:rPr>
        <w:t>assay</w:t>
      </w:r>
      <w:r w:rsidRPr="008E20C4">
        <w:rPr>
          <w:lang w:val="en-IE"/>
        </w:rPr>
        <w:t xml:space="preserve">. It is good practice to include working standards in all runs of the assay during assay development and validation because this allows ‘normalisation’ of data, which provides a valid means for direct comparison of results between runs of an assay. It is mandatory to control the (absolute) variation of the normalisation standards as otherwise normalisation can introduce a bias. For more information, see </w:t>
      </w:r>
      <w:r w:rsidR="00665CB7" w:rsidRPr="008E20C4">
        <w:rPr>
          <w:lang w:val="en-IE"/>
        </w:rPr>
        <w:t xml:space="preserve">chapters </w:t>
      </w:r>
      <w:r w:rsidRPr="008E20C4">
        <w:rPr>
          <w:lang w:val="en-IE"/>
        </w:rPr>
        <w:t>2.2.1, 2.2.2 and 2.2.3</w:t>
      </w:r>
      <w:r w:rsidR="000A70BA" w:rsidRPr="008E20C4">
        <w:rPr>
          <w:i/>
          <w:u w:val="double"/>
          <w:lang w:val="en-IE"/>
        </w:rPr>
        <w:t xml:space="preserve">; </w:t>
      </w:r>
      <w:r w:rsidR="000A70BA" w:rsidRPr="008E20C4">
        <w:rPr>
          <w:iCs/>
          <w:u w:val="double"/>
          <w:lang w:val="en-IE"/>
        </w:rPr>
        <w:t xml:space="preserve">Bowden </w:t>
      </w:r>
      <w:r w:rsidR="000A70BA" w:rsidRPr="008E20C4">
        <w:rPr>
          <w:i/>
          <w:u w:val="double"/>
          <w:lang w:val="en-IE"/>
        </w:rPr>
        <w:t xml:space="preserve">et </w:t>
      </w:r>
      <w:r w:rsidR="00FD0B89" w:rsidRPr="008E20C4">
        <w:rPr>
          <w:i/>
          <w:u w:val="double"/>
          <w:lang w:val="en-IE"/>
        </w:rPr>
        <w:t>a</w:t>
      </w:r>
      <w:r w:rsidR="000A70BA" w:rsidRPr="008E20C4">
        <w:rPr>
          <w:i/>
          <w:u w:val="double"/>
          <w:lang w:val="en-IE"/>
        </w:rPr>
        <w:t>l.</w:t>
      </w:r>
      <w:r w:rsidR="000A70BA" w:rsidRPr="008E20C4">
        <w:rPr>
          <w:iCs/>
          <w:u w:val="double"/>
          <w:lang w:val="en-IE"/>
        </w:rPr>
        <w:t xml:space="preserve"> </w:t>
      </w:r>
      <w:r w:rsidR="003B339E" w:rsidRPr="008E20C4">
        <w:rPr>
          <w:iCs/>
          <w:u w:val="double"/>
          <w:lang w:val="en-IE"/>
        </w:rPr>
        <w:t>(</w:t>
      </w:r>
      <w:r w:rsidR="000A70BA" w:rsidRPr="008E20C4">
        <w:rPr>
          <w:iCs/>
          <w:u w:val="double"/>
          <w:lang w:val="en-IE"/>
        </w:rPr>
        <w:t>2021</w:t>
      </w:r>
      <w:r w:rsidR="003B339E" w:rsidRPr="008E20C4">
        <w:rPr>
          <w:iCs/>
          <w:u w:val="double"/>
          <w:lang w:val="en-IE"/>
        </w:rPr>
        <w:t>)</w:t>
      </w:r>
      <w:r w:rsidRPr="008E20C4">
        <w:rPr>
          <w:iCs/>
          <w:lang w:val="en-IE"/>
        </w:rPr>
        <w:t>.</w:t>
      </w:r>
    </w:p>
    <w:bookmarkEnd w:id="5"/>
    <w:p w14:paraId="77C66340" w14:textId="648C4FE0" w:rsidR="00667CDB" w:rsidRPr="008E20C4" w:rsidRDefault="00667CDB" w:rsidP="00667CDB">
      <w:pPr>
        <w:pStyle w:val="11"/>
        <w:rPr>
          <w:lang w:val="en-IE"/>
        </w:rPr>
      </w:pPr>
      <w:r w:rsidRPr="008E20C4">
        <w:rPr>
          <w:lang w:val="en-IE"/>
        </w:rPr>
        <w:t>2.8.</w:t>
      </w:r>
      <w:r w:rsidRPr="008E20C4">
        <w:rPr>
          <w:lang w:val="en-IE"/>
        </w:rPr>
        <w:tab/>
        <w:t>Preliminary study of the repeatability</w:t>
      </w:r>
    </w:p>
    <w:p w14:paraId="10DA80D2" w14:textId="77777777" w:rsidR="00667CDB" w:rsidRPr="008E20C4" w:rsidRDefault="00667CDB" w:rsidP="00667CDB">
      <w:pPr>
        <w:pStyle w:val="11Para"/>
        <w:spacing w:after="200"/>
        <w:rPr>
          <w:lang w:val="en-IE"/>
        </w:rPr>
      </w:pPr>
      <w:r w:rsidRPr="008E20C4">
        <w:rPr>
          <w:lang w:val="en-IE"/>
        </w:rPr>
        <w:t xml:space="preserve">Assessment of repeatability should begin during assay development and optimisation stages. Early knowledge of this situation elicits a critical decision point for determining whether it is worthwhile to continue with validation of the assay. </w:t>
      </w:r>
    </w:p>
    <w:p w14:paraId="298CA16D" w14:textId="77777777" w:rsidR="00667CDB" w:rsidRPr="008E20C4" w:rsidRDefault="00667CDB" w:rsidP="00667CDB">
      <w:pPr>
        <w:pStyle w:val="11Para"/>
        <w:spacing w:after="440"/>
        <w:rPr>
          <w:lang w:val="en-IE"/>
        </w:rPr>
      </w:pPr>
      <w:r w:rsidRPr="008E20C4">
        <w:rPr>
          <w:lang w:val="en-IE"/>
        </w:rPr>
        <w:t>Repeatability is further verified during Stage 1 of assay validation (Section B.1.1). When the optimised test is run under routine laboratory or field conditions (Stage 4 of assay validation), repeatability is continually monitored as part of process control procedures for the duration of the life of the assay (see Section B.5.1).</w:t>
      </w:r>
    </w:p>
    <w:p w14:paraId="1319A1BA" w14:textId="2FDDF8B0" w:rsidR="00667CDB" w:rsidRPr="008E20C4" w:rsidRDefault="00667CDB" w:rsidP="00667CDB">
      <w:pPr>
        <w:pStyle w:val="A0"/>
        <w:tabs>
          <w:tab w:val="clear" w:pos="-720"/>
        </w:tabs>
        <w:spacing w:after="280"/>
        <w:rPr>
          <w:lang w:val="en-IE"/>
        </w:rPr>
      </w:pPr>
      <w:r w:rsidRPr="008E20C4">
        <w:rPr>
          <w:lang w:val="en-IE"/>
        </w:rPr>
        <w:t>B.</w:t>
      </w:r>
      <w:r w:rsidR="008C6A65" w:rsidRPr="008E20C4">
        <w:rPr>
          <w:lang w:val="en-IE"/>
        </w:rPr>
        <w:t xml:space="preserve">  </w:t>
      </w:r>
      <w:bookmarkStart w:id="6" w:name="_Hlk127177794"/>
      <w:r w:rsidRPr="008E20C4">
        <w:rPr>
          <w:lang w:val="en-IE"/>
        </w:rPr>
        <w:t>Assay Validation Pathway</w:t>
      </w:r>
      <w:bookmarkEnd w:id="6"/>
    </w:p>
    <w:p w14:paraId="595E08DA" w14:textId="09CBDC82" w:rsidR="00667CDB" w:rsidRPr="008E20C4" w:rsidRDefault="00667CDB" w:rsidP="00667CDB">
      <w:pPr>
        <w:pStyle w:val="para1"/>
        <w:rPr>
          <w:lang w:val="en-IE"/>
        </w:rPr>
      </w:pPr>
      <w:r w:rsidRPr="008E20C4">
        <w:rPr>
          <w:lang w:val="en-IE"/>
        </w:rPr>
        <w:t xml:space="preserve">“Validation” is a process that determines the fitness of an assay that has been properly developed, </w:t>
      </w:r>
      <w:proofErr w:type="gramStart"/>
      <w:r w:rsidRPr="008E20C4">
        <w:rPr>
          <w:lang w:val="en-IE"/>
        </w:rPr>
        <w:t>optimised</w:t>
      </w:r>
      <w:proofErr w:type="gramEnd"/>
      <w:r w:rsidRPr="008E20C4">
        <w:rPr>
          <w:lang w:val="en-IE"/>
        </w:rPr>
        <w:t xml:space="preserve"> and standardised for an intended purpose(s). Validation includes estimates of the analytical and diagnostic performance characteristics of a test. In the context of this document, an assay that has completed the first three stages of the validation pathway (Figure 1), including performance characterisation, can be designated as “validated for the original intended purpose(s)”. </w:t>
      </w:r>
      <w:r w:rsidR="00371C58" w:rsidRPr="008E20C4">
        <w:rPr>
          <w:u w:val="double"/>
          <w:lang w:val="en-IE"/>
        </w:rPr>
        <w:t>Lack of statistically robust numbers of samples from infected and non-infected animals is frequent</w:t>
      </w:r>
      <w:r w:rsidR="008B530D" w:rsidRPr="008E20C4">
        <w:rPr>
          <w:u w:val="double"/>
          <w:lang w:val="en-IE"/>
        </w:rPr>
        <w:t xml:space="preserve">ly observed with new and emerging </w:t>
      </w:r>
      <w:r w:rsidR="00D275E4" w:rsidRPr="008E20C4">
        <w:rPr>
          <w:u w:val="double"/>
          <w:lang w:val="en-IE"/>
        </w:rPr>
        <w:t xml:space="preserve">zoonotic </w:t>
      </w:r>
      <w:r w:rsidR="008B530D" w:rsidRPr="008E20C4">
        <w:rPr>
          <w:u w:val="double"/>
          <w:lang w:val="en-IE"/>
        </w:rPr>
        <w:t xml:space="preserve">disease and can be a major </w:t>
      </w:r>
      <w:r w:rsidR="00371C58" w:rsidRPr="008E20C4">
        <w:rPr>
          <w:u w:val="double"/>
          <w:lang w:val="en-IE"/>
        </w:rPr>
        <w:t>obstacle to obtaining reliable accuracy estimates</w:t>
      </w:r>
      <w:r w:rsidR="00D275E4" w:rsidRPr="008E20C4">
        <w:rPr>
          <w:u w:val="double"/>
          <w:lang w:val="en-IE"/>
        </w:rPr>
        <w:t xml:space="preserve"> (Colling </w:t>
      </w:r>
      <w:r w:rsidR="00D275E4" w:rsidRPr="008E20C4">
        <w:rPr>
          <w:i/>
          <w:iCs/>
          <w:u w:val="double"/>
          <w:lang w:val="en-IE"/>
        </w:rPr>
        <w:t>et al</w:t>
      </w:r>
      <w:r w:rsidR="00343068" w:rsidRPr="008E20C4">
        <w:rPr>
          <w:i/>
          <w:iCs/>
          <w:u w:val="double"/>
          <w:lang w:val="en-IE"/>
        </w:rPr>
        <w:t>.,</w:t>
      </w:r>
      <w:r w:rsidR="00D275E4" w:rsidRPr="008E20C4">
        <w:rPr>
          <w:u w:val="double"/>
          <w:lang w:val="en-IE"/>
        </w:rPr>
        <w:t xml:space="preserve"> 2018; Stevenson </w:t>
      </w:r>
      <w:r w:rsidR="00D275E4" w:rsidRPr="008E20C4">
        <w:rPr>
          <w:i/>
          <w:iCs/>
          <w:u w:val="double"/>
          <w:lang w:val="en-IE"/>
        </w:rPr>
        <w:t>et al</w:t>
      </w:r>
      <w:r w:rsidR="00343068" w:rsidRPr="008E20C4">
        <w:rPr>
          <w:i/>
          <w:iCs/>
          <w:u w:val="double"/>
          <w:lang w:val="en-IE"/>
        </w:rPr>
        <w:t>.,</w:t>
      </w:r>
      <w:r w:rsidR="00D275E4" w:rsidRPr="008E20C4">
        <w:rPr>
          <w:u w:val="double"/>
          <w:lang w:val="en-IE"/>
        </w:rPr>
        <w:t xml:space="preserve"> 2021)</w:t>
      </w:r>
      <w:r w:rsidR="00371C58" w:rsidRPr="008E20C4">
        <w:rPr>
          <w:u w:val="double"/>
          <w:lang w:val="en-IE"/>
        </w:rPr>
        <w:t xml:space="preserve">. In these circumstances tests with acceptable </w:t>
      </w:r>
      <w:r w:rsidR="007001A5" w:rsidRPr="008E20C4">
        <w:rPr>
          <w:u w:val="double"/>
          <w:lang w:val="en-IE"/>
        </w:rPr>
        <w:t>analytical sensitivity (</w:t>
      </w:r>
      <w:proofErr w:type="spellStart"/>
      <w:r w:rsidR="007001A5" w:rsidRPr="008E20C4">
        <w:rPr>
          <w:u w:val="double"/>
          <w:lang w:val="en-IE"/>
        </w:rPr>
        <w:t>ASe</w:t>
      </w:r>
      <w:proofErr w:type="spellEnd"/>
      <w:r w:rsidR="007001A5" w:rsidRPr="008E20C4">
        <w:rPr>
          <w:u w:val="double"/>
          <w:lang w:val="en-IE"/>
        </w:rPr>
        <w:t>)</w:t>
      </w:r>
      <w:r w:rsidR="00371C58" w:rsidRPr="008E20C4">
        <w:rPr>
          <w:u w:val="double"/>
          <w:lang w:val="en-IE"/>
        </w:rPr>
        <w:t xml:space="preserve"> and</w:t>
      </w:r>
      <w:r w:rsidR="00C61E7F" w:rsidRPr="008E20C4">
        <w:rPr>
          <w:u w:val="double"/>
          <w:lang w:val="en-IE"/>
        </w:rPr>
        <w:t xml:space="preserve"> analytical</w:t>
      </w:r>
      <w:r w:rsidR="00371C58" w:rsidRPr="008E20C4">
        <w:rPr>
          <w:u w:val="double"/>
          <w:lang w:val="en-IE"/>
        </w:rPr>
        <w:t xml:space="preserve"> </w:t>
      </w:r>
      <w:r w:rsidR="00C61E7F" w:rsidRPr="008E20C4">
        <w:rPr>
          <w:noProof/>
          <w:u w:val="double"/>
          <w:lang w:val="en-IE"/>
        </w:rPr>
        <w:t>specificity (ASp)</w:t>
      </w:r>
      <w:r w:rsidR="00371C58" w:rsidRPr="008E20C4">
        <w:rPr>
          <w:u w:val="double"/>
          <w:lang w:val="en-IE"/>
        </w:rPr>
        <w:t xml:space="preserve">, repeatability and promising </w:t>
      </w:r>
      <w:r w:rsidR="00FC2046" w:rsidRPr="008E20C4">
        <w:rPr>
          <w:u w:val="double"/>
          <w:lang w:val="en-IE"/>
        </w:rPr>
        <w:t xml:space="preserve">but </w:t>
      </w:r>
      <w:r w:rsidR="00371C58" w:rsidRPr="008E20C4">
        <w:rPr>
          <w:u w:val="double"/>
          <w:lang w:val="en-IE"/>
        </w:rPr>
        <w:t xml:space="preserve">preliminary </w:t>
      </w:r>
      <w:proofErr w:type="spellStart"/>
      <w:r w:rsidR="00371C58" w:rsidRPr="008E20C4">
        <w:rPr>
          <w:u w:val="double"/>
          <w:lang w:val="en-IE"/>
        </w:rPr>
        <w:t>DSe</w:t>
      </w:r>
      <w:proofErr w:type="spellEnd"/>
      <w:r w:rsidR="00371C58" w:rsidRPr="008E20C4">
        <w:rPr>
          <w:u w:val="double"/>
          <w:lang w:val="en-IE"/>
        </w:rPr>
        <w:t xml:space="preserve"> and </w:t>
      </w:r>
      <w:proofErr w:type="spellStart"/>
      <w:r w:rsidR="00371C58" w:rsidRPr="008E20C4">
        <w:rPr>
          <w:u w:val="double"/>
          <w:lang w:val="en-IE"/>
        </w:rPr>
        <w:t>DSp</w:t>
      </w:r>
      <w:proofErr w:type="spellEnd"/>
      <w:r w:rsidR="00371C58" w:rsidRPr="008E20C4">
        <w:rPr>
          <w:u w:val="double"/>
          <w:lang w:val="en-IE"/>
        </w:rPr>
        <w:t xml:space="preserve"> </w:t>
      </w:r>
      <w:r w:rsidR="00154F78" w:rsidRPr="008E20C4">
        <w:rPr>
          <w:u w:val="double"/>
          <w:lang w:val="en-IE"/>
        </w:rPr>
        <w:t xml:space="preserve">and reproducibility </w:t>
      </w:r>
      <w:r w:rsidR="00371C58" w:rsidRPr="008E20C4">
        <w:rPr>
          <w:u w:val="double"/>
          <w:lang w:val="en-IE"/>
        </w:rPr>
        <w:t xml:space="preserve">results </w:t>
      </w:r>
      <w:r w:rsidR="00FC2046" w:rsidRPr="008E20C4">
        <w:rPr>
          <w:u w:val="double"/>
          <w:lang w:val="en-IE"/>
        </w:rPr>
        <w:t xml:space="preserve">based on a limited number of samples </w:t>
      </w:r>
      <w:r w:rsidR="00371C58" w:rsidRPr="008E20C4">
        <w:rPr>
          <w:u w:val="double"/>
          <w:lang w:val="en-IE"/>
        </w:rPr>
        <w:t>can be provisionally recogni</w:t>
      </w:r>
      <w:r w:rsidR="00C52B5F" w:rsidRPr="008E20C4">
        <w:rPr>
          <w:u w:val="double"/>
          <w:lang w:val="en-IE"/>
        </w:rPr>
        <w:t>s</w:t>
      </w:r>
      <w:r w:rsidR="00371C58" w:rsidRPr="008E20C4">
        <w:rPr>
          <w:u w:val="double"/>
          <w:lang w:val="en-IE"/>
        </w:rPr>
        <w:t>ed</w:t>
      </w:r>
      <w:r w:rsidR="00FC2046" w:rsidRPr="008E20C4">
        <w:rPr>
          <w:u w:val="double"/>
          <w:lang w:val="en-IE"/>
        </w:rPr>
        <w:t xml:space="preserve"> by national authorities or trading partners</w:t>
      </w:r>
      <w:r w:rsidR="00371C58" w:rsidRPr="008E20C4">
        <w:rPr>
          <w:u w:val="double"/>
          <w:lang w:val="en-IE"/>
        </w:rPr>
        <w:t xml:space="preserve"> until results from further testing confirm overall fitness</w:t>
      </w:r>
      <w:r w:rsidR="00F00E29" w:rsidRPr="008E20C4">
        <w:rPr>
          <w:u w:val="double"/>
          <w:lang w:val="en-IE"/>
        </w:rPr>
        <w:t xml:space="preserve"> </w:t>
      </w:r>
      <w:r w:rsidR="00371C58" w:rsidRPr="008E20C4">
        <w:rPr>
          <w:u w:val="double"/>
          <w:lang w:val="en-IE"/>
        </w:rPr>
        <w:t>for</w:t>
      </w:r>
      <w:r w:rsidR="00F00E29" w:rsidRPr="008E20C4">
        <w:rPr>
          <w:u w:val="double"/>
          <w:lang w:val="en-IE"/>
        </w:rPr>
        <w:t xml:space="preserve"> </w:t>
      </w:r>
      <w:r w:rsidR="00371C58" w:rsidRPr="008E20C4">
        <w:rPr>
          <w:u w:val="double"/>
          <w:lang w:val="en-IE"/>
        </w:rPr>
        <w:t>purpose</w:t>
      </w:r>
      <w:r w:rsidR="00857B52" w:rsidRPr="008E20C4">
        <w:rPr>
          <w:u w:val="double"/>
          <w:lang w:val="en-IE"/>
        </w:rPr>
        <w:t xml:space="preserve">. </w:t>
      </w:r>
      <w:r w:rsidR="00710567" w:rsidRPr="008E20C4">
        <w:rPr>
          <w:u w:val="double"/>
          <w:lang w:val="en-IE"/>
        </w:rPr>
        <w:t>W</w:t>
      </w:r>
      <w:r w:rsidR="00857B52" w:rsidRPr="008E20C4">
        <w:rPr>
          <w:u w:val="double"/>
          <w:lang w:val="en-IE"/>
        </w:rPr>
        <w:t xml:space="preserve">ell characterised </w:t>
      </w:r>
      <w:r w:rsidR="00857B52" w:rsidRPr="008E20C4">
        <w:rPr>
          <w:u w:val="double"/>
          <w:lang w:val="en-IE"/>
        </w:rPr>
        <w:lastRenderedPageBreak/>
        <w:t xml:space="preserve">samples </w:t>
      </w:r>
      <w:r w:rsidR="00710567" w:rsidRPr="008E20C4">
        <w:rPr>
          <w:u w:val="double"/>
          <w:lang w:val="en-IE"/>
        </w:rPr>
        <w:t xml:space="preserve">have been used successfully for different purposes in interlaboratory comparison studies to assess fitness for purpose </w:t>
      </w:r>
      <w:r w:rsidR="00CA2930" w:rsidRPr="008E20C4">
        <w:rPr>
          <w:u w:val="double"/>
          <w:lang w:val="en-IE"/>
        </w:rPr>
        <w:t>(Chapter</w:t>
      </w:r>
      <w:r w:rsidR="00857B52" w:rsidRPr="008E20C4">
        <w:rPr>
          <w:u w:val="double"/>
          <w:lang w:val="en-IE"/>
        </w:rPr>
        <w:t xml:space="preserve"> </w:t>
      </w:r>
      <w:r w:rsidR="00371C58" w:rsidRPr="008E20C4">
        <w:rPr>
          <w:u w:val="double"/>
          <w:lang w:val="en-IE"/>
        </w:rPr>
        <w:t>2.</w:t>
      </w:r>
      <w:r w:rsidR="003A4F3E" w:rsidRPr="008E20C4">
        <w:rPr>
          <w:u w:val="double"/>
          <w:lang w:val="en-IE"/>
        </w:rPr>
        <w:t>2.</w:t>
      </w:r>
      <w:r w:rsidR="00371C58" w:rsidRPr="008E20C4">
        <w:rPr>
          <w:u w:val="double"/>
          <w:lang w:val="en-IE"/>
        </w:rPr>
        <w:t>6</w:t>
      </w:r>
      <w:r w:rsidR="007A6E53" w:rsidRPr="008E20C4">
        <w:rPr>
          <w:u w:val="double"/>
          <w:lang w:val="en-IE"/>
        </w:rPr>
        <w:t xml:space="preserve">; Gardner </w:t>
      </w:r>
      <w:r w:rsidR="007A6E53" w:rsidRPr="008E20C4">
        <w:rPr>
          <w:i/>
          <w:iCs/>
          <w:u w:val="double"/>
          <w:lang w:val="en-IE"/>
        </w:rPr>
        <w:t>et al.</w:t>
      </w:r>
      <w:r w:rsidR="00343068" w:rsidRPr="008E20C4">
        <w:rPr>
          <w:i/>
          <w:iCs/>
          <w:u w:val="double"/>
          <w:lang w:val="en-IE"/>
        </w:rPr>
        <w:t>,</w:t>
      </w:r>
      <w:r w:rsidR="007A6E53" w:rsidRPr="008E20C4">
        <w:rPr>
          <w:u w:val="double"/>
          <w:lang w:val="en-IE"/>
        </w:rPr>
        <w:t xml:space="preserve"> 2021</w:t>
      </w:r>
      <w:r w:rsidR="00371C58" w:rsidRPr="008E20C4">
        <w:rPr>
          <w:u w:val="double"/>
          <w:lang w:val="en-IE"/>
        </w:rPr>
        <w:t>)</w:t>
      </w:r>
      <w:r w:rsidR="00154F78" w:rsidRPr="008E20C4">
        <w:rPr>
          <w:u w:val="double"/>
          <w:lang w:val="en-IE"/>
        </w:rPr>
        <w:t>.</w:t>
      </w:r>
      <w:r w:rsidR="008B530D" w:rsidRPr="008E20C4">
        <w:rPr>
          <w:u w:val="double"/>
          <w:lang w:val="en-IE"/>
        </w:rPr>
        <w:t xml:space="preserve"> </w:t>
      </w:r>
      <w:r w:rsidR="002E47FB" w:rsidRPr="008E20C4">
        <w:rPr>
          <w:u w:val="double"/>
          <w:lang w:val="en-IE"/>
        </w:rPr>
        <w:t xml:space="preserve">New platforms </w:t>
      </w:r>
      <w:r w:rsidR="00176AE4" w:rsidRPr="008E20C4">
        <w:rPr>
          <w:u w:val="double"/>
          <w:lang w:val="en-IE"/>
        </w:rPr>
        <w:t xml:space="preserve">that can detect multiple pathogens simultaneously, </w:t>
      </w:r>
      <w:proofErr w:type="gramStart"/>
      <w:r w:rsidR="00176AE4" w:rsidRPr="008E20C4">
        <w:rPr>
          <w:u w:val="double"/>
          <w:lang w:val="en-IE"/>
        </w:rPr>
        <w:t>e.g.</w:t>
      </w:r>
      <w:proofErr w:type="gramEnd"/>
      <w:r w:rsidR="00176AE4" w:rsidRPr="008E20C4">
        <w:rPr>
          <w:u w:val="double"/>
          <w:lang w:val="en-IE"/>
        </w:rPr>
        <w:t xml:space="preserve"> </w:t>
      </w:r>
      <w:r w:rsidR="002E47FB" w:rsidRPr="008E20C4">
        <w:rPr>
          <w:u w:val="double"/>
          <w:lang w:val="en-IE"/>
        </w:rPr>
        <w:t>multiplex technologies</w:t>
      </w:r>
      <w:r w:rsidR="00E34D3E" w:rsidRPr="008E20C4">
        <w:rPr>
          <w:u w:val="double"/>
          <w:lang w:val="en-IE"/>
        </w:rPr>
        <w:t xml:space="preserve">, </w:t>
      </w:r>
      <w:r w:rsidR="00F23053" w:rsidRPr="008E20C4">
        <w:rPr>
          <w:u w:val="double"/>
          <w:lang w:val="en-IE"/>
        </w:rPr>
        <w:t>high-throughput</w:t>
      </w:r>
      <w:r w:rsidR="00176AE4" w:rsidRPr="008E20C4">
        <w:rPr>
          <w:u w:val="double"/>
          <w:lang w:val="en-IE"/>
        </w:rPr>
        <w:t xml:space="preserve"> </w:t>
      </w:r>
      <w:r w:rsidR="00F23053" w:rsidRPr="008E20C4">
        <w:rPr>
          <w:u w:val="double"/>
          <w:lang w:val="en-IE"/>
        </w:rPr>
        <w:t>sequencing</w:t>
      </w:r>
      <w:r w:rsidR="00CF3AD7" w:rsidRPr="008E20C4">
        <w:rPr>
          <w:u w:val="double"/>
          <w:lang w:val="en-IE"/>
        </w:rPr>
        <w:t>, biomarker assays</w:t>
      </w:r>
      <w:r w:rsidR="00176AE4" w:rsidRPr="008E20C4">
        <w:rPr>
          <w:u w:val="double"/>
          <w:lang w:val="en-IE"/>
        </w:rPr>
        <w:t xml:space="preserve"> </w:t>
      </w:r>
      <w:r w:rsidR="00E34D3E" w:rsidRPr="008E20C4">
        <w:rPr>
          <w:u w:val="double"/>
          <w:lang w:val="en-IE"/>
        </w:rPr>
        <w:t xml:space="preserve">and </w:t>
      </w:r>
      <w:r w:rsidR="00FC2046" w:rsidRPr="008E20C4">
        <w:rPr>
          <w:u w:val="double"/>
          <w:lang w:val="en-IE"/>
        </w:rPr>
        <w:t>p</w:t>
      </w:r>
      <w:r w:rsidR="00E34D3E" w:rsidRPr="008E20C4">
        <w:rPr>
          <w:u w:val="double"/>
          <w:lang w:val="en-IE"/>
        </w:rPr>
        <w:t>oint-of-</w:t>
      </w:r>
      <w:r w:rsidR="00FC2046" w:rsidRPr="008E20C4">
        <w:rPr>
          <w:u w:val="double"/>
          <w:lang w:val="en-IE"/>
        </w:rPr>
        <w:t>c</w:t>
      </w:r>
      <w:r w:rsidR="00E34D3E" w:rsidRPr="008E20C4">
        <w:rPr>
          <w:u w:val="double"/>
          <w:lang w:val="en-IE"/>
        </w:rPr>
        <w:t xml:space="preserve">are tests </w:t>
      </w:r>
      <w:r w:rsidR="00176AE4" w:rsidRPr="008E20C4">
        <w:rPr>
          <w:u w:val="double"/>
          <w:lang w:val="en-IE"/>
        </w:rPr>
        <w:t xml:space="preserve">represent </w:t>
      </w:r>
      <w:r w:rsidR="00E34D3E" w:rsidRPr="008E20C4">
        <w:rPr>
          <w:u w:val="double"/>
          <w:lang w:val="en-IE"/>
        </w:rPr>
        <w:t xml:space="preserve">new </w:t>
      </w:r>
      <w:r w:rsidR="00176AE4" w:rsidRPr="008E20C4">
        <w:rPr>
          <w:u w:val="double"/>
          <w:lang w:val="en-IE"/>
        </w:rPr>
        <w:t>challenges for purpose</w:t>
      </w:r>
      <w:r w:rsidR="00E34D3E" w:rsidRPr="008E20C4">
        <w:rPr>
          <w:u w:val="double"/>
          <w:lang w:val="en-IE"/>
        </w:rPr>
        <w:t>-</w:t>
      </w:r>
      <w:r w:rsidR="00176AE4" w:rsidRPr="008E20C4">
        <w:rPr>
          <w:u w:val="double"/>
          <w:lang w:val="en-IE"/>
        </w:rPr>
        <w:t xml:space="preserve">oriented validation studies </w:t>
      </w:r>
      <w:r w:rsidR="00683296" w:rsidRPr="008E20C4">
        <w:rPr>
          <w:u w:val="double"/>
          <w:lang w:val="en-IE"/>
        </w:rPr>
        <w:t>(</w:t>
      </w:r>
      <w:r w:rsidR="00343068" w:rsidRPr="008E20C4">
        <w:rPr>
          <w:u w:val="double"/>
          <w:lang w:val="en-IE"/>
        </w:rPr>
        <w:t xml:space="preserve">Bath </w:t>
      </w:r>
      <w:r w:rsidR="00343068" w:rsidRPr="008E20C4">
        <w:rPr>
          <w:i/>
          <w:iCs/>
          <w:u w:val="double"/>
          <w:lang w:val="en-IE"/>
        </w:rPr>
        <w:t>et al.,</w:t>
      </w:r>
      <w:r w:rsidR="00343068" w:rsidRPr="008E20C4">
        <w:rPr>
          <w:u w:val="double"/>
          <w:lang w:val="en-IE"/>
        </w:rPr>
        <w:t xml:space="preserve"> 2020; </w:t>
      </w:r>
      <w:r w:rsidR="00176AE4" w:rsidRPr="008E20C4">
        <w:rPr>
          <w:u w:val="double"/>
          <w:lang w:val="en-IE"/>
        </w:rPr>
        <w:t xml:space="preserve">Halpin </w:t>
      </w:r>
      <w:r w:rsidR="00176AE4" w:rsidRPr="008E20C4">
        <w:rPr>
          <w:i/>
          <w:iCs/>
          <w:u w:val="double"/>
          <w:lang w:val="en-IE"/>
        </w:rPr>
        <w:t>et al</w:t>
      </w:r>
      <w:r w:rsidR="00343068" w:rsidRPr="008E20C4">
        <w:rPr>
          <w:i/>
          <w:iCs/>
          <w:u w:val="double"/>
          <w:lang w:val="en-IE"/>
        </w:rPr>
        <w:t>.,</w:t>
      </w:r>
      <w:r w:rsidR="00176AE4" w:rsidRPr="008E20C4">
        <w:rPr>
          <w:u w:val="double"/>
          <w:lang w:val="en-IE"/>
        </w:rPr>
        <w:t xml:space="preserve"> 2021</w:t>
      </w:r>
      <w:r w:rsidR="00343068" w:rsidRPr="008E20C4">
        <w:rPr>
          <w:u w:val="double"/>
          <w:lang w:val="en-IE"/>
        </w:rPr>
        <w:t>;</w:t>
      </w:r>
      <w:r w:rsidR="00176AE4" w:rsidRPr="008E20C4">
        <w:rPr>
          <w:u w:val="double"/>
          <w:lang w:val="en-IE"/>
        </w:rPr>
        <w:t xml:space="preserve"> </w:t>
      </w:r>
      <w:r w:rsidR="009D797A" w:rsidRPr="008E20C4">
        <w:rPr>
          <w:u w:val="double"/>
          <w:lang w:val="en-IE"/>
        </w:rPr>
        <w:t xml:space="preserve">Reid </w:t>
      </w:r>
      <w:r w:rsidR="009D797A" w:rsidRPr="008E20C4">
        <w:rPr>
          <w:i/>
          <w:iCs/>
          <w:u w:val="double"/>
          <w:lang w:val="en-IE"/>
        </w:rPr>
        <w:t>et al</w:t>
      </w:r>
      <w:r w:rsidR="009D797A" w:rsidRPr="008E20C4">
        <w:rPr>
          <w:u w:val="double"/>
          <w:lang w:val="en-IE"/>
        </w:rPr>
        <w:t>.</w:t>
      </w:r>
      <w:r w:rsidR="00CA2930" w:rsidRPr="008E20C4">
        <w:rPr>
          <w:u w:val="double"/>
          <w:lang w:val="en-IE"/>
        </w:rPr>
        <w:t>,</w:t>
      </w:r>
      <w:r w:rsidR="009D797A" w:rsidRPr="008E20C4">
        <w:rPr>
          <w:u w:val="double"/>
          <w:lang w:val="en-IE"/>
        </w:rPr>
        <w:t xml:space="preserve"> 2021; </w:t>
      </w:r>
      <w:r w:rsidR="00176AE4" w:rsidRPr="008E20C4">
        <w:rPr>
          <w:u w:val="double"/>
          <w:lang w:val="en-IE"/>
        </w:rPr>
        <w:t xml:space="preserve">van </w:t>
      </w:r>
      <w:proofErr w:type="spellStart"/>
      <w:r w:rsidR="00176AE4" w:rsidRPr="008E20C4">
        <w:rPr>
          <w:u w:val="double"/>
          <w:lang w:val="en-IE"/>
        </w:rPr>
        <w:t>Borm</w:t>
      </w:r>
      <w:proofErr w:type="spellEnd"/>
      <w:r w:rsidR="00176AE4" w:rsidRPr="008E20C4">
        <w:rPr>
          <w:u w:val="double"/>
          <w:lang w:val="en-IE"/>
        </w:rPr>
        <w:t xml:space="preserve"> </w:t>
      </w:r>
      <w:r w:rsidR="00176AE4" w:rsidRPr="008E20C4">
        <w:rPr>
          <w:i/>
          <w:iCs/>
          <w:u w:val="double"/>
          <w:lang w:val="en-IE"/>
        </w:rPr>
        <w:t>et al.</w:t>
      </w:r>
      <w:r w:rsidR="00343068" w:rsidRPr="008E20C4">
        <w:rPr>
          <w:i/>
          <w:iCs/>
          <w:u w:val="double"/>
          <w:lang w:val="en-IE"/>
        </w:rPr>
        <w:t>,</w:t>
      </w:r>
      <w:r w:rsidR="00176AE4" w:rsidRPr="008E20C4">
        <w:rPr>
          <w:u w:val="double"/>
          <w:lang w:val="en-IE"/>
        </w:rPr>
        <w:t xml:space="preserve"> 2016</w:t>
      </w:r>
      <w:r w:rsidR="00683296" w:rsidRPr="008E20C4">
        <w:rPr>
          <w:u w:val="double"/>
          <w:lang w:val="en-IE"/>
        </w:rPr>
        <w:t>)</w:t>
      </w:r>
      <w:r w:rsidR="00176AE4" w:rsidRPr="008E20C4">
        <w:rPr>
          <w:u w:val="double"/>
          <w:lang w:val="en-IE"/>
        </w:rPr>
        <w:t>.</w:t>
      </w:r>
    </w:p>
    <w:p w14:paraId="07867A73" w14:textId="77777777" w:rsidR="00667CDB" w:rsidRPr="008E20C4" w:rsidRDefault="00667CDB" w:rsidP="00667CDB">
      <w:pPr>
        <w:pStyle w:val="1"/>
        <w:rPr>
          <w:lang w:val="en-IE"/>
        </w:rPr>
      </w:pPr>
      <w:r w:rsidRPr="008E20C4">
        <w:rPr>
          <w:lang w:val="en-IE"/>
        </w:rPr>
        <w:t>1.</w:t>
      </w:r>
      <w:r w:rsidRPr="008E20C4">
        <w:rPr>
          <w:lang w:val="en-IE"/>
        </w:rPr>
        <w:tab/>
        <w:t>Stage 1 – Analytical performance characteristics</w:t>
      </w:r>
    </w:p>
    <w:p w14:paraId="4D144CCB" w14:textId="5CCD0B3B" w:rsidR="00667CDB" w:rsidRPr="008E20C4" w:rsidRDefault="00667CDB" w:rsidP="00667CDB">
      <w:pPr>
        <w:pStyle w:val="para1"/>
        <w:tabs>
          <w:tab w:val="clear" w:pos="-720"/>
        </w:tabs>
        <w:rPr>
          <w:lang w:val="en-IE"/>
        </w:rPr>
      </w:pPr>
      <w:r w:rsidRPr="008E20C4">
        <w:rPr>
          <w:lang w:val="en-IE"/>
        </w:rPr>
        <w:t>Ideally, the design of studies outlined in the following sections should be done with assistance of a statistician and a disease expert to ensure that the sample size and experimental approach are valid. It is possible to design experiments that efficiently provide information on likely within- and between-laboratory sources of variation in assay precision</w:t>
      </w:r>
      <w:r w:rsidR="005662FB" w:rsidRPr="008E20C4">
        <w:rPr>
          <w:rStyle w:val="FootnoteReference"/>
          <w:u w:val="double"/>
          <w:lang w:val="en-IE"/>
        </w:rPr>
        <w:footnoteReference w:id="8"/>
      </w:r>
      <w:r w:rsidRPr="008E20C4">
        <w:rPr>
          <w:strike/>
          <w:lang w:val="en-IE"/>
        </w:rPr>
        <w:t xml:space="preserve"> (see footnote 4 in Section A.2.2, above)</w:t>
      </w:r>
      <w:r w:rsidRPr="008E20C4">
        <w:rPr>
          <w:lang w:val="en-IE"/>
        </w:rPr>
        <w:t xml:space="preserve">, which will define the performance characteristics of the assay. The choice of organisms, </w:t>
      </w:r>
      <w:proofErr w:type="gramStart"/>
      <w:r w:rsidRPr="008E20C4">
        <w:rPr>
          <w:lang w:val="en-IE"/>
        </w:rPr>
        <w:t>strains</w:t>
      </w:r>
      <w:proofErr w:type="gramEnd"/>
      <w:r w:rsidRPr="008E20C4">
        <w:rPr>
          <w:lang w:val="en-IE"/>
        </w:rPr>
        <w:t xml:space="preserve"> or serotypes to assess analytical sensitivity and specificity should reflect current knowledge and therefore inform the best possible experimental design for targeting specific analytes.</w:t>
      </w:r>
    </w:p>
    <w:p w14:paraId="1ED2D85F" w14:textId="77777777" w:rsidR="00667CDB" w:rsidRPr="008E20C4" w:rsidRDefault="00667CDB" w:rsidP="00667CDB">
      <w:pPr>
        <w:pStyle w:val="11"/>
        <w:rPr>
          <w:lang w:val="en-IE"/>
        </w:rPr>
      </w:pPr>
      <w:r w:rsidRPr="008E20C4">
        <w:rPr>
          <w:lang w:val="en-IE"/>
        </w:rPr>
        <w:t>1.1.</w:t>
      </w:r>
      <w:r w:rsidRPr="008E20C4">
        <w:rPr>
          <w:lang w:val="en-IE"/>
        </w:rPr>
        <w:tab/>
        <w:t>Repeatability</w:t>
      </w:r>
    </w:p>
    <w:p w14:paraId="19C37913" w14:textId="49827E90" w:rsidR="00667CDB" w:rsidRPr="008E20C4" w:rsidRDefault="00667CDB" w:rsidP="00667CDB">
      <w:pPr>
        <w:pStyle w:val="11Para"/>
        <w:rPr>
          <w:lang w:val="en-IE"/>
        </w:rPr>
      </w:pPr>
      <w:r w:rsidRPr="008E20C4">
        <w:rPr>
          <w:bCs/>
          <w:lang w:val="en-IE"/>
        </w:rPr>
        <w:t>Repeatability</w:t>
      </w:r>
      <w:r w:rsidRPr="008E20C4">
        <w:rPr>
          <w:b/>
          <w:bCs/>
          <w:lang w:val="en-IE"/>
        </w:rPr>
        <w:t xml:space="preserve"> </w:t>
      </w:r>
      <w:r w:rsidRPr="008E20C4">
        <w:rPr>
          <w:bCs/>
          <w:lang w:val="en-IE"/>
        </w:rPr>
        <w:t>is</w:t>
      </w:r>
      <w:r w:rsidRPr="008E20C4">
        <w:rPr>
          <w:lang w:val="en-IE"/>
        </w:rPr>
        <w:t xml:space="preserve"> the level of agreement between results of replicates of a sample both within and between runs of the same test method </w:t>
      </w:r>
      <w:proofErr w:type="gramStart"/>
      <w:r w:rsidRPr="008E20C4">
        <w:rPr>
          <w:lang w:val="en-IE"/>
        </w:rPr>
        <w:t>in a given</w:t>
      </w:r>
      <w:proofErr w:type="gramEnd"/>
      <w:r w:rsidRPr="008E20C4">
        <w:rPr>
          <w:lang w:val="en-IE"/>
        </w:rPr>
        <w:t xml:space="preserve"> laboratory. Repeatability is estimated by evaluating variation in results of replicates. The number of replicates should preferably be determined in consultation with a statistician with a suggested minimum of three samples representing analyte activity within the operating range of the assay. Each of these samples is then aliquoted into the appropriate number of individual vessels as identical replicates of the original sample containing the original analyte and matrix concentration (see chapter 2.2.6). Each replicate is then run through all steps of the assay, including creating the working dilution, as though it were a test sample derived from the population targeted by the assay. It is not acceptable to prepare a final working dilution of a sample in a single tube from which diluted aliquots are pipetted into reaction vessels, or to create replicates from one extraction of nucleic acid rather than to extract each replicate before dilution into the reaction vessels. Such ‘samples’ do not constitute valid replicates for repeatability studies. Between-run variation is determined by using the same samples in multiple runs involving two or more operators, done on multiple days. </w:t>
      </w:r>
      <w:r w:rsidR="0068407A" w:rsidRPr="008E20C4">
        <w:rPr>
          <w:u w:val="double"/>
          <w:lang w:val="en-IE"/>
        </w:rPr>
        <w:t>Bowden &amp; Wang (2021) provide an example for inter-assay repeatability of three ASFV real-time PCR assays that were evaluated using a weak-positive ASF</w:t>
      </w:r>
      <w:r w:rsidR="00FC7E69" w:rsidRPr="00FC7E69">
        <w:rPr>
          <w:highlight w:val="yellow"/>
          <w:u w:val="double"/>
          <w:lang w:val="en-IE"/>
        </w:rPr>
        <w:t>V</w:t>
      </w:r>
      <w:r w:rsidR="0068407A" w:rsidRPr="008E20C4">
        <w:rPr>
          <w:u w:val="double"/>
          <w:lang w:val="en-IE"/>
        </w:rPr>
        <w:t xml:space="preserve"> sample. The testing, including the extraction of viral DNA, was conducted on ten different days by different operators in the same laboratory.</w:t>
      </w:r>
      <w:r w:rsidR="0068407A" w:rsidRPr="008E20C4">
        <w:rPr>
          <w:lang w:val="en-IE"/>
        </w:rPr>
        <w:t xml:space="preserve"> </w:t>
      </w:r>
      <w:r w:rsidRPr="008E20C4">
        <w:rPr>
          <w:lang w:val="en-IE"/>
        </w:rPr>
        <w:t xml:space="preserve">The variation in replicate results can be expressed as standard deviations, coefficients of variation (standard deviation ÷ mean of replicates), or other possible options (see chapter 2.2.4 </w:t>
      </w:r>
      <w:r w:rsidRPr="008E20C4">
        <w:rPr>
          <w:i/>
          <w:lang w:val="en-IE"/>
        </w:rPr>
        <w:t>Measurement uncertainty</w:t>
      </w:r>
      <w:r w:rsidRPr="008E20C4">
        <w:rPr>
          <w:lang w:val="en-IE"/>
        </w:rPr>
        <w:t xml:space="preserve"> for assessments of repeatability).</w:t>
      </w:r>
    </w:p>
    <w:p w14:paraId="7B088918" w14:textId="77777777" w:rsidR="00667CDB" w:rsidRPr="008E20C4" w:rsidRDefault="00667CDB" w:rsidP="00667CDB">
      <w:pPr>
        <w:pStyle w:val="11"/>
        <w:rPr>
          <w:lang w:val="en-IE"/>
        </w:rPr>
      </w:pPr>
      <w:r w:rsidRPr="008E20C4">
        <w:rPr>
          <w:lang w:val="en-IE"/>
        </w:rPr>
        <w:t>1.2.</w:t>
      </w:r>
      <w:r w:rsidRPr="008E20C4">
        <w:rPr>
          <w:lang w:val="en-IE"/>
        </w:rPr>
        <w:tab/>
        <w:t>Analytical specificity</w:t>
      </w:r>
    </w:p>
    <w:p w14:paraId="11804A98" w14:textId="05CB9A29" w:rsidR="00667CDB" w:rsidRPr="008E20C4" w:rsidRDefault="00667CDB" w:rsidP="00667CDB">
      <w:pPr>
        <w:pStyle w:val="11Para"/>
        <w:rPr>
          <w:noProof/>
          <w:lang w:val="en-IE"/>
        </w:rPr>
      </w:pPr>
      <w:r w:rsidRPr="008E20C4">
        <w:rPr>
          <w:strike/>
          <w:noProof/>
          <w:lang w:val="en-IE"/>
        </w:rPr>
        <w:t>Analytical specificity (</w:t>
      </w:r>
      <w:r w:rsidRPr="008E20C4">
        <w:rPr>
          <w:noProof/>
          <w:lang w:val="en-IE"/>
        </w:rPr>
        <w:t>ASp</w:t>
      </w:r>
      <w:r w:rsidRPr="008E20C4">
        <w:rPr>
          <w:strike/>
          <w:noProof/>
          <w:lang w:val="en-IE"/>
        </w:rPr>
        <w:t>)</w:t>
      </w:r>
      <w:r w:rsidRPr="008E20C4">
        <w:rPr>
          <w:noProof/>
          <w:lang w:val="en-IE"/>
        </w:rPr>
        <w:t xml:space="preserve"> is the ability of the assay to distinguish the target analyte (e.g. antibody, organism or genomic sequence) from non-target analytes, including matrix components. The assessment is qualitative and the choice and sources of sample types, organisms and sequences for the ASp evaluation should reflect test purpose and assay type. See chapters 2.2.1, 2.2.2 and 2.2.3 for guidance for antibody, antigen and nucleic acid assays, respectively. </w:t>
      </w:r>
      <w:proofErr w:type="spellStart"/>
      <w:r w:rsidR="00925FE1" w:rsidRPr="008E20C4">
        <w:rPr>
          <w:strike/>
          <w:lang w:val="en-IE"/>
        </w:rPr>
        <w:t>ASp</w:t>
      </w:r>
      <w:proofErr w:type="spellEnd"/>
      <w:r w:rsidR="00925FE1" w:rsidRPr="008E20C4">
        <w:rPr>
          <w:strike/>
          <w:lang w:val="en-IE"/>
        </w:rPr>
        <w:t xml:space="preserve"> is documented during Stage 1 validation, and cross-reactions identified.</w:t>
      </w:r>
      <w:r w:rsidR="00343068" w:rsidRPr="008E20C4">
        <w:rPr>
          <w:strike/>
          <w:lang w:val="en-IE"/>
        </w:rPr>
        <w:t xml:space="preserve"> </w:t>
      </w:r>
      <w:r w:rsidR="00C52B5F" w:rsidRPr="008E20C4">
        <w:rPr>
          <w:noProof/>
          <w:u w:val="double"/>
          <w:lang w:val="en-IE"/>
        </w:rPr>
        <w:t>For</w:t>
      </w:r>
      <w:r w:rsidR="00442F5D" w:rsidRPr="008E20C4">
        <w:rPr>
          <w:szCs w:val="24"/>
          <w:u w:val="double"/>
          <w:lang w:val="en-IE"/>
        </w:rPr>
        <w:t xml:space="preserve"> example, assessing the analytical specificity of a</w:t>
      </w:r>
      <w:r w:rsidR="00FC2046" w:rsidRPr="008E20C4">
        <w:rPr>
          <w:szCs w:val="24"/>
          <w:u w:val="double"/>
          <w:lang w:val="en-IE"/>
        </w:rPr>
        <w:t xml:space="preserve"> foot-and-mouth</w:t>
      </w:r>
      <w:r w:rsidR="00442F5D" w:rsidRPr="008E20C4">
        <w:rPr>
          <w:szCs w:val="24"/>
          <w:u w:val="double"/>
          <w:lang w:val="en-IE"/>
        </w:rPr>
        <w:t xml:space="preserve"> </w:t>
      </w:r>
      <w:r w:rsidR="00FC2046" w:rsidRPr="008E20C4">
        <w:rPr>
          <w:szCs w:val="24"/>
          <w:u w:val="double"/>
          <w:lang w:val="en-IE"/>
        </w:rPr>
        <w:t>(</w:t>
      </w:r>
      <w:r w:rsidR="00442F5D" w:rsidRPr="008E20C4">
        <w:rPr>
          <w:szCs w:val="24"/>
          <w:u w:val="double"/>
          <w:lang w:val="en-IE"/>
        </w:rPr>
        <w:t>FMD</w:t>
      </w:r>
      <w:r w:rsidR="00FC2046" w:rsidRPr="008E20C4">
        <w:rPr>
          <w:szCs w:val="24"/>
          <w:u w:val="double"/>
          <w:lang w:val="en-IE"/>
        </w:rPr>
        <w:t>) disease</w:t>
      </w:r>
      <w:r w:rsidR="00442F5D" w:rsidRPr="008E20C4">
        <w:rPr>
          <w:szCs w:val="24"/>
          <w:u w:val="double"/>
          <w:lang w:val="en-IE"/>
        </w:rPr>
        <w:t xml:space="preserve"> PCR could be performed by testing reference samples known to be positive for vesicular stomatitis virus, swine vesicular disease and/or malignant catarrhal fever. Analytical specificity assessments cannot determine the full range of potential cross-reacting analytes present in the population, or account for population-level sample variability; as such, determining the analytical specificity is not a surrogate for assessment of diagnostic specificity. </w:t>
      </w:r>
      <w:proofErr w:type="spellStart"/>
      <w:r w:rsidRPr="008E20C4">
        <w:rPr>
          <w:u w:val="double"/>
          <w:lang w:val="en-IE"/>
        </w:rPr>
        <w:t>ASp</w:t>
      </w:r>
      <w:proofErr w:type="spellEnd"/>
      <w:r w:rsidRPr="008E20C4">
        <w:rPr>
          <w:u w:val="double"/>
          <w:lang w:val="en-IE"/>
        </w:rPr>
        <w:t xml:space="preserve"> is documented during Stage 1 validation, and cross-reactions identified</w:t>
      </w:r>
      <w:r w:rsidR="009F4045" w:rsidRPr="008E20C4">
        <w:rPr>
          <w:u w:val="double"/>
          <w:lang w:val="en-IE"/>
        </w:rPr>
        <w:t xml:space="preserve"> (</w:t>
      </w:r>
      <w:proofErr w:type="spellStart"/>
      <w:r w:rsidR="009F4045" w:rsidRPr="008E20C4">
        <w:rPr>
          <w:u w:val="double"/>
          <w:lang w:val="en-IE"/>
        </w:rPr>
        <w:t>Ludi</w:t>
      </w:r>
      <w:proofErr w:type="spellEnd"/>
      <w:r w:rsidR="009F4045" w:rsidRPr="008E20C4">
        <w:rPr>
          <w:u w:val="double"/>
          <w:lang w:val="en-IE"/>
        </w:rPr>
        <w:t xml:space="preserve"> </w:t>
      </w:r>
      <w:r w:rsidR="009F4045" w:rsidRPr="008E20C4">
        <w:rPr>
          <w:i/>
          <w:iCs/>
          <w:u w:val="double"/>
          <w:lang w:val="en-IE"/>
        </w:rPr>
        <w:t>et al</w:t>
      </w:r>
      <w:r w:rsidR="00343068" w:rsidRPr="008E20C4">
        <w:rPr>
          <w:i/>
          <w:iCs/>
          <w:u w:val="double"/>
          <w:lang w:val="en-IE"/>
        </w:rPr>
        <w:t>.,</w:t>
      </w:r>
      <w:r w:rsidR="009F4045" w:rsidRPr="008E20C4">
        <w:rPr>
          <w:u w:val="double"/>
          <w:lang w:val="en-IE"/>
        </w:rPr>
        <w:t xml:space="preserve"> 2021)</w:t>
      </w:r>
      <w:r w:rsidRPr="008E20C4">
        <w:rPr>
          <w:u w:val="double"/>
          <w:lang w:val="en-IE"/>
        </w:rPr>
        <w:t>.</w:t>
      </w:r>
      <w:r w:rsidRPr="008E20C4">
        <w:rPr>
          <w:lang w:val="en-IE"/>
        </w:rPr>
        <w:t xml:space="preserve"> </w:t>
      </w:r>
      <w:r w:rsidRPr="008E20C4">
        <w:rPr>
          <w:noProof/>
          <w:lang w:val="en-IE"/>
        </w:rPr>
        <w:t xml:space="preserve">Cross-reactivity (ASp less 100%) may be acceptable </w:t>
      </w:r>
      <w:r w:rsidRPr="008E20C4">
        <w:rPr>
          <w:lang w:val="en-IE"/>
        </w:rPr>
        <w:t>depending on the proposed use of the assay</w:t>
      </w:r>
      <w:r w:rsidRPr="008E20C4">
        <w:rPr>
          <w:noProof/>
          <w:lang w:val="en-IE"/>
        </w:rPr>
        <w:t>.</w:t>
      </w:r>
      <w:r w:rsidRPr="008E20C4">
        <w:rPr>
          <w:lang w:val="en-IE"/>
        </w:rPr>
        <w:t xml:space="preserve"> The impact of cross-reactivity is further documented during Stage 2 (establishment of </w:t>
      </w:r>
      <w:proofErr w:type="spellStart"/>
      <w:r w:rsidRPr="008E20C4">
        <w:rPr>
          <w:lang w:val="en-IE"/>
        </w:rPr>
        <w:t>DSp</w:t>
      </w:r>
      <w:proofErr w:type="spellEnd"/>
      <w:r w:rsidRPr="008E20C4">
        <w:rPr>
          <w:lang w:val="en-IE"/>
        </w:rPr>
        <w:t>) and assessed at Stage 4 implementation</w:t>
      </w:r>
      <w:r w:rsidRPr="008E20C4">
        <w:rPr>
          <w:noProof/>
          <w:lang w:val="en-IE"/>
        </w:rPr>
        <w:t>.</w:t>
      </w:r>
    </w:p>
    <w:p w14:paraId="01BA59DA" w14:textId="77777777" w:rsidR="00667CDB" w:rsidRPr="008E20C4" w:rsidRDefault="00667CDB" w:rsidP="00667CDB">
      <w:pPr>
        <w:pStyle w:val="111"/>
        <w:rPr>
          <w:noProof/>
          <w:lang w:val="en-IE"/>
        </w:rPr>
      </w:pPr>
      <w:r w:rsidRPr="008E20C4">
        <w:rPr>
          <w:noProof/>
          <w:lang w:val="en-IE"/>
        </w:rPr>
        <w:t>1.2.1.</w:t>
      </w:r>
      <w:r w:rsidRPr="008E20C4">
        <w:rPr>
          <w:noProof/>
          <w:lang w:val="en-IE"/>
        </w:rPr>
        <w:tab/>
        <w:t xml:space="preserve">Selectivity </w:t>
      </w:r>
    </w:p>
    <w:p w14:paraId="2A890CA7" w14:textId="5858C192" w:rsidR="00442F5D" w:rsidRPr="0007150A" w:rsidRDefault="00667CDB" w:rsidP="004E23F9">
      <w:pPr>
        <w:pStyle w:val="111Para"/>
        <w:rPr>
          <w:u w:val="double"/>
          <w:lang w:val="en-IE"/>
        </w:rPr>
      </w:pPr>
      <w:r w:rsidRPr="740E9764">
        <w:rPr>
          <w:noProof/>
          <w:lang w:val="en-IE"/>
        </w:rPr>
        <w:t>Selectivity refers to the extent to which a method can accurately quantify the targeted analyte in the presence of: 1) interferents such as matrix components (e.g. inhibitors of enzymes in the reaction mix</w:t>
      </w:r>
      <w:r w:rsidR="001E65A3" w:rsidRPr="00D846D9">
        <w:rPr>
          <w:strike/>
          <w:noProof/>
          <w:highlight w:val="yellow"/>
          <w:lang w:val="en-IE"/>
        </w:rPr>
        <w:t>, e.g.</w:t>
      </w:r>
      <w:r w:rsidR="001E65A3" w:rsidRPr="00D846D9">
        <w:rPr>
          <w:strike/>
          <w:highlight w:val="yellow"/>
          <w:lang w:val="en-IE"/>
        </w:rPr>
        <w:t xml:space="preserve"> whole blood is one of the most important and common samples submitted for </w:t>
      </w:r>
      <w:r w:rsidR="00FC2046" w:rsidRPr="00D846D9">
        <w:rPr>
          <w:strike/>
          <w:highlight w:val="yellow"/>
          <w:lang w:val="en-IE"/>
        </w:rPr>
        <w:t>Hendra virus (</w:t>
      </w:r>
      <w:proofErr w:type="spellStart"/>
      <w:r w:rsidR="00FC2046" w:rsidRPr="00D846D9">
        <w:rPr>
          <w:strike/>
          <w:highlight w:val="yellow"/>
          <w:lang w:val="en-IE"/>
        </w:rPr>
        <w:t>HeV</w:t>
      </w:r>
      <w:proofErr w:type="spellEnd"/>
      <w:r w:rsidR="00FC2046" w:rsidRPr="00D846D9">
        <w:rPr>
          <w:strike/>
          <w:highlight w:val="yellow"/>
          <w:lang w:val="en-IE"/>
        </w:rPr>
        <w:t xml:space="preserve">) </w:t>
      </w:r>
      <w:r w:rsidR="001E65A3" w:rsidRPr="00D846D9">
        <w:rPr>
          <w:strike/>
          <w:highlight w:val="yellow"/>
          <w:lang w:val="en-IE"/>
        </w:rPr>
        <w:t xml:space="preserve">real-time RT−PCR testing. It was found that lithium heparin, a common anticoagulant, had a significant impact on </w:t>
      </w:r>
      <w:proofErr w:type="spellStart"/>
      <w:r w:rsidR="001E65A3" w:rsidRPr="00D846D9">
        <w:rPr>
          <w:strike/>
          <w:highlight w:val="yellow"/>
          <w:lang w:val="en-IE"/>
        </w:rPr>
        <w:t>HeV</w:t>
      </w:r>
      <w:proofErr w:type="spellEnd"/>
      <w:r w:rsidR="001E65A3" w:rsidRPr="00D846D9">
        <w:rPr>
          <w:strike/>
          <w:highlight w:val="yellow"/>
          <w:lang w:val="en-IE"/>
        </w:rPr>
        <w:t xml:space="preserve"> real-time RT−PCR testing, producing false-negative results. In contrast, the anticoagulant ethylenediamine </w:t>
      </w:r>
      <w:r w:rsidR="001E65A3" w:rsidRPr="00D846D9">
        <w:rPr>
          <w:strike/>
          <w:highlight w:val="yellow"/>
          <w:lang w:val="en-IE"/>
        </w:rPr>
        <w:lastRenderedPageBreak/>
        <w:t>tetra-acetic acid (EDTA) had a comparatively low inhibitory effect. Furthermore, for the real-time RT</w:t>
      </w:r>
      <w:r w:rsidR="00343068" w:rsidRPr="00D846D9">
        <w:rPr>
          <w:strike/>
          <w:highlight w:val="yellow"/>
          <w:lang w:val="en-IE"/>
        </w:rPr>
        <w:t>-</w:t>
      </w:r>
      <w:r w:rsidR="001E65A3" w:rsidRPr="00D846D9">
        <w:rPr>
          <w:strike/>
          <w:highlight w:val="yellow"/>
          <w:lang w:val="en-IE"/>
        </w:rPr>
        <w:t>PCR assay for detecting BTV, diluting blood 1:10 (volume per volume or v/v) in phosphate-buffered saline resulted in improved sensitivity, evidenced by lower Ct values, in comparison to undiluted blood</w:t>
      </w:r>
      <w:r w:rsidR="009F4045" w:rsidRPr="00D846D9">
        <w:rPr>
          <w:strike/>
          <w:highlight w:val="yellow"/>
          <w:lang w:val="en-IE"/>
        </w:rPr>
        <w:t xml:space="preserve"> (Bowden </w:t>
      </w:r>
      <w:r w:rsidR="009F4045" w:rsidRPr="00D846D9">
        <w:rPr>
          <w:i/>
          <w:iCs/>
          <w:strike/>
          <w:highlight w:val="yellow"/>
          <w:lang w:val="en-IE"/>
        </w:rPr>
        <w:t>et al</w:t>
      </w:r>
      <w:r w:rsidR="00343068" w:rsidRPr="00D846D9">
        <w:rPr>
          <w:i/>
          <w:iCs/>
          <w:strike/>
          <w:highlight w:val="yellow"/>
          <w:lang w:val="en-IE"/>
        </w:rPr>
        <w:t>.,</w:t>
      </w:r>
      <w:r w:rsidR="00343068" w:rsidRPr="00D846D9">
        <w:rPr>
          <w:strike/>
          <w:highlight w:val="yellow"/>
          <w:lang w:val="en-IE"/>
        </w:rPr>
        <w:t xml:space="preserve"> </w:t>
      </w:r>
      <w:r w:rsidR="009F4045" w:rsidRPr="00D846D9">
        <w:rPr>
          <w:strike/>
          <w:highlight w:val="yellow"/>
          <w:lang w:val="en-IE"/>
        </w:rPr>
        <w:t>2021</w:t>
      </w:r>
      <w:r w:rsidRPr="00D846D9">
        <w:rPr>
          <w:strike/>
          <w:noProof/>
          <w:highlight w:val="yellow"/>
          <w:lang w:val="en-IE"/>
        </w:rPr>
        <w:t>)</w:t>
      </w:r>
      <w:r w:rsidRPr="740E9764">
        <w:rPr>
          <w:noProof/>
          <w:lang w:val="en-IE"/>
        </w:rPr>
        <w:t>; 2) degradants (e.g. toxic factors); 3) nonspecific binding of reactants to a solid phase (e.g. conjugate of an ELISA adsorbed to well of microtiter plate);</w:t>
      </w:r>
      <w:r w:rsidR="00FC2046" w:rsidRPr="740E9764">
        <w:rPr>
          <w:noProof/>
          <w:lang w:val="en-IE"/>
        </w:rPr>
        <w:t xml:space="preserve"> </w:t>
      </w:r>
      <w:r w:rsidR="00FC2046" w:rsidRPr="740E9764">
        <w:rPr>
          <w:noProof/>
          <w:u w:val="double"/>
          <w:lang w:val="en-IE"/>
        </w:rPr>
        <w:t>and</w:t>
      </w:r>
      <w:r w:rsidRPr="740E9764">
        <w:rPr>
          <w:noProof/>
          <w:lang w:val="en-IE"/>
        </w:rPr>
        <w:t xml:space="preserve"> 4) antibodies to vaccination that may be confused with antibodies to active infection. Such interferents may cause falsely reduced or elevated responses in the assay that negatively affect its analytical specificity. Vessman </w:t>
      </w:r>
      <w:r w:rsidRPr="740E9764">
        <w:rPr>
          <w:i/>
          <w:iCs/>
          <w:noProof/>
          <w:lang w:val="en-IE"/>
        </w:rPr>
        <w:t>et al.</w:t>
      </w:r>
      <w:r w:rsidRPr="740E9764">
        <w:rPr>
          <w:noProof/>
          <w:lang w:val="en-IE"/>
        </w:rPr>
        <w:t xml:space="preserve"> (2001) is a useful overview of selectivity as defined for analytical chemistry from which a modification described herein was deduced for application to diagnostic tests. </w:t>
      </w:r>
    </w:p>
    <w:p w14:paraId="0BF106CB" w14:textId="77777777" w:rsidR="00667CDB" w:rsidRPr="008E20C4" w:rsidRDefault="00667CDB" w:rsidP="00667CDB">
      <w:pPr>
        <w:pStyle w:val="111"/>
        <w:rPr>
          <w:noProof/>
          <w:lang w:val="en-IE"/>
        </w:rPr>
      </w:pPr>
      <w:r w:rsidRPr="008E20C4">
        <w:rPr>
          <w:noProof/>
          <w:lang w:val="en-IE"/>
        </w:rPr>
        <w:t>1.2.2.</w:t>
      </w:r>
      <w:r w:rsidRPr="008E20C4">
        <w:rPr>
          <w:noProof/>
          <w:lang w:val="en-IE"/>
        </w:rPr>
        <w:tab/>
        <w:t xml:space="preserve">Exclusivity </w:t>
      </w:r>
    </w:p>
    <w:p w14:paraId="77BE65A3" w14:textId="0DD42C0D" w:rsidR="001E65A3" w:rsidRPr="008E20C4" w:rsidRDefault="00667CDB" w:rsidP="001E65A3">
      <w:pPr>
        <w:pStyle w:val="111Para"/>
        <w:rPr>
          <w:noProof/>
          <w:lang w:val="en-IE"/>
        </w:rPr>
      </w:pPr>
      <w:r w:rsidRPr="008E20C4">
        <w:rPr>
          <w:noProof/>
          <w:lang w:val="en-IE"/>
        </w:rPr>
        <w:t xml:space="preserve">Exclusivity is the capacity of the assay to detect an analyte or genomic sequence that is unique to a targeted organism, and excludes all other </w:t>
      </w:r>
      <w:r w:rsidR="0084586F" w:rsidRPr="008E20C4">
        <w:rPr>
          <w:strike/>
          <w:noProof/>
          <w:lang w:val="en-IE"/>
        </w:rPr>
        <w:t xml:space="preserve">other </w:t>
      </w:r>
      <w:r w:rsidRPr="008E20C4">
        <w:rPr>
          <w:noProof/>
          <w:lang w:val="en-IE"/>
        </w:rPr>
        <w:t xml:space="preserve">known organisms that are potentially cross-reactive. </w:t>
      </w:r>
      <w:r w:rsidR="0084586F" w:rsidRPr="008E20C4">
        <w:rPr>
          <w:strike/>
          <w:noProof/>
          <w:lang w:val="en-IE"/>
        </w:rPr>
        <w:t>This would also define a confirmatory assay.</w:t>
      </w:r>
      <w:r w:rsidRPr="008E20C4">
        <w:rPr>
          <w:noProof/>
          <w:u w:val="double"/>
          <w:lang w:val="en-IE"/>
        </w:rPr>
        <w:t>This would also define a confirmatory assay</w:t>
      </w:r>
      <w:r w:rsidR="00442F5D" w:rsidRPr="008E20C4">
        <w:rPr>
          <w:noProof/>
          <w:u w:val="double"/>
          <w:lang w:val="en-IE"/>
        </w:rPr>
        <w:t>.</w:t>
      </w:r>
      <w:r w:rsidRPr="008E20C4">
        <w:rPr>
          <w:noProof/>
          <w:u w:val="double"/>
          <w:lang w:val="en-IE"/>
        </w:rPr>
        <w:t xml:space="preserve"> </w:t>
      </w:r>
      <w:r w:rsidR="001E65A3" w:rsidRPr="008E20C4">
        <w:rPr>
          <w:u w:val="double"/>
          <w:lang w:val="en-IE"/>
        </w:rPr>
        <w:t>For example, an assay to detect avian influenza virus (AIV) H5 subtypes should be assessed for cross-reaction with non-H5 AIV subtypes. Specificity testing should also include other organisms that cause similar clinical signs, to demonstrate the utility of the assay for differential detection of the target organism.</w:t>
      </w:r>
      <w:r w:rsidR="001E65A3" w:rsidRPr="008E20C4">
        <w:rPr>
          <w:lang w:val="en-IE"/>
        </w:rPr>
        <w:t xml:space="preserve"> </w:t>
      </w:r>
    </w:p>
    <w:p w14:paraId="2B981A4B" w14:textId="77777777" w:rsidR="00667CDB" w:rsidRPr="008E20C4" w:rsidRDefault="00667CDB" w:rsidP="00667CDB">
      <w:pPr>
        <w:pStyle w:val="111"/>
        <w:rPr>
          <w:lang w:val="en-IE"/>
        </w:rPr>
      </w:pPr>
      <w:r w:rsidRPr="008E20C4">
        <w:rPr>
          <w:noProof/>
          <w:lang w:val="en-IE"/>
        </w:rPr>
        <w:t>1.2.3.</w:t>
      </w:r>
      <w:r w:rsidRPr="008E20C4">
        <w:rPr>
          <w:noProof/>
          <w:lang w:val="en-IE"/>
        </w:rPr>
        <w:tab/>
        <w:t>Inclusivity</w:t>
      </w:r>
    </w:p>
    <w:p w14:paraId="05358BC9" w14:textId="046F5773" w:rsidR="00667CDB" w:rsidRPr="008E20C4" w:rsidRDefault="00667CDB" w:rsidP="00667CDB">
      <w:pPr>
        <w:pStyle w:val="111Para"/>
        <w:rPr>
          <w:lang w:val="en-IE"/>
        </w:rPr>
      </w:pPr>
      <w:r w:rsidRPr="008E20C4">
        <w:rPr>
          <w:noProof/>
          <w:lang w:val="en-IE"/>
        </w:rPr>
        <w:t>Inclusivity is the capacity of an assay to detect several strains or serovars of a species, several species of a genus, or a similar grouping of closely related organisms or antibodies thereto. It characterises the scope of action for a screening assay</w:t>
      </w:r>
      <w:r w:rsidR="00442F5D" w:rsidRPr="008E20C4">
        <w:rPr>
          <w:noProof/>
          <w:u w:val="double"/>
          <w:lang w:val="en-IE"/>
        </w:rPr>
        <w:t>, e.g. a group</w:t>
      </w:r>
      <w:r w:rsidR="00FC2046" w:rsidRPr="008E20C4">
        <w:rPr>
          <w:noProof/>
          <w:u w:val="double"/>
          <w:lang w:val="en-IE"/>
        </w:rPr>
        <w:t>-</w:t>
      </w:r>
      <w:r w:rsidR="00442F5D" w:rsidRPr="008E20C4">
        <w:rPr>
          <w:noProof/>
          <w:u w:val="double"/>
          <w:lang w:val="en-IE"/>
        </w:rPr>
        <w:t xml:space="preserve">specific </w:t>
      </w:r>
      <w:r w:rsidR="00FC2046" w:rsidRPr="008E20C4">
        <w:rPr>
          <w:noProof/>
          <w:u w:val="double"/>
          <w:lang w:val="en-IE"/>
        </w:rPr>
        <w:t>bluetongue (</w:t>
      </w:r>
      <w:r w:rsidR="00442F5D" w:rsidRPr="008E20C4">
        <w:rPr>
          <w:noProof/>
          <w:u w:val="double"/>
          <w:lang w:val="en-IE"/>
        </w:rPr>
        <w:t>BTV</w:t>
      </w:r>
      <w:r w:rsidR="000F01A5" w:rsidRPr="008E20C4">
        <w:rPr>
          <w:noProof/>
          <w:u w:val="double"/>
          <w:lang w:val="en-IE"/>
        </w:rPr>
        <w:t>)</w:t>
      </w:r>
      <w:r w:rsidR="00442F5D" w:rsidRPr="008E20C4">
        <w:rPr>
          <w:noProof/>
          <w:u w:val="double"/>
          <w:lang w:val="en-IE"/>
        </w:rPr>
        <w:t xml:space="preserve"> ELISA </w:t>
      </w:r>
      <w:r w:rsidR="001464E1" w:rsidRPr="008E20C4">
        <w:rPr>
          <w:noProof/>
          <w:u w:val="double"/>
          <w:lang w:val="en-IE"/>
        </w:rPr>
        <w:t>that</w:t>
      </w:r>
      <w:r w:rsidR="00442F5D" w:rsidRPr="008E20C4">
        <w:rPr>
          <w:noProof/>
          <w:u w:val="double"/>
          <w:lang w:val="en-IE"/>
        </w:rPr>
        <w:t xml:space="preserve"> detects antibodies to all BTV</w:t>
      </w:r>
      <w:r w:rsidR="00442F5D" w:rsidRPr="00735569">
        <w:rPr>
          <w:noProof/>
          <w:lang w:val="en-IE"/>
        </w:rPr>
        <w:t xml:space="preserve"> </w:t>
      </w:r>
      <w:r w:rsidR="00442F5D" w:rsidRPr="00735569">
        <w:rPr>
          <w:strike/>
          <w:noProof/>
          <w:highlight w:val="yellow"/>
          <w:lang w:val="en-IE"/>
        </w:rPr>
        <w:t>25 (?)</w:t>
      </w:r>
      <w:r w:rsidR="00442F5D" w:rsidRPr="00735569">
        <w:rPr>
          <w:strike/>
          <w:noProof/>
          <w:lang w:val="en-IE"/>
        </w:rPr>
        <w:t xml:space="preserve"> </w:t>
      </w:r>
      <w:r w:rsidR="00442F5D" w:rsidRPr="008E20C4">
        <w:rPr>
          <w:noProof/>
          <w:u w:val="double"/>
          <w:lang w:val="en-IE"/>
        </w:rPr>
        <w:t xml:space="preserve">serotypes or an NSP FMD ELISA that detects antibodies to all seven FMD serotypes </w:t>
      </w:r>
      <w:r w:rsidR="00442F5D" w:rsidRPr="008E20C4">
        <w:rPr>
          <w:noProof/>
          <w:lang w:val="en-IE"/>
        </w:rPr>
        <w:t>.</w:t>
      </w:r>
    </w:p>
    <w:p w14:paraId="72405E01" w14:textId="77777777" w:rsidR="00667CDB" w:rsidRPr="008E20C4" w:rsidRDefault="00667CDB" w:rsidP="00667CDB">
      <w:pPr>
        <w:pStyle w:val="11"/>
        <w:rPr>
          <w:lang w:val="en-IE"/>
        </w:rPr>
      </w:pPr>
      <w:r w:rsidRPr="008E20C4">
        <w:rPr>
          <w:lang w:val="en-IE"/>
        </w:rPr>
        <w:t>1.3.</w:t>
      </w:r>
      <w:r w:rsidRPr="008E20C4">
        <w:rPr>
          <w:lang w:val="en-IE"/>
        </w:rPr>
        <w:tab/>
        <w:t>Analytical sensitivity</w:t>
      </w:r>
    </w:p>
    <w:p w14:paraId="2A635136" w14:textId="77777777" w:rsidR="00667CDB" w:rsidRPr="008E20C4" w:rsidRDefault="00667CDB" w:rsidP="00667CDB">
      <w:pPr>
        <w:pStyle w:val="11Para"/>
        <w:rPr>
          <w:lang w:val="en-IE"/>
        </w:rPr>
      </w:pPr>
      <w:r w:rsidRPr="740E9764">
        <w:rPr>
          <w:lang w:val="en-IE"/>
        </w:rPr>
        <w:t xml:space="preserve">The limit of detection (LOD) is a measure of the </w:t>
      </w:r>
      <w:r w:rsidRPr="740E9764">
        <w:rPr>
          <w:strike/>
          <w:lang w:val="en-IE"/>
        </w:rPr>
        <w:t>analytical sensitivity (</w:t>
      </w:r>
      <w:proofErr w:type="spellStart"/>
      <w:r w:rsidRPr="740E9764">
        <w:rPr>
          <w:lang w:val="en-IE"/>
        </w:rPr>
        <w:t>ASe</w:t>
      </w:r>
      <w:proofErr w:type="spellEnd"/>
      <w:r w:rsidRPr="740E9764">
        <w:rPr>
          <w:strike/>
          <w:lang w:val="en-IE"/>
        </w:rPr>
        <w:t>)</w:t>
      </w:r>
      <w:r w:rsidRPr="740E9764">
        <w:rPr>
          <w:lang w:val="en-IE"/>
        </w:rPr>
        <w:t xml:space="preserve"> of an assay. The LOD is the estimated amount of analyte in a specified matrix that would produce a positive result at least a specified percent of the time. Typically, estimated LOD will be based on spiking of the analyte into the target matrix. The choice of analyte(s) (</w:t>
      </w:r>
      <w:proofErr w:type="gramStart"/>
      <w:r w:rsidRPr="740E9764">
        <w:rPr>
          <w:lang w:val="en-IE"/>
        </w:rPr>
        <w:t>e.g.</w:t>
      </w:r>
      <w:proofErr w:type="gramEnd"/>
      <w:r w:rsidRPr="740E9764">
        <w:rPr>
          <w:lang w:val="en-IE"/>
        </w:rPr>
        <w:t xml:space="preserve"> species, strains) is part of the </w:t>
      </w:r>
      <w:proofErr w:type="spellStart"/>
      <w:r w:rsidRPr="740E9764">
        <w:rPr>
          <w:lang w:val="en-IE"/>
        </w:rPr>
        <w:t>ASe</w:t>
      </w:r>
      <w:proofErr w:type="spellEnd"/>
      <w:r w:rsidRPr="740E9764">
        <w:rPr>
          <w:lang w:val="en-IE"/>
        </w:rPr>
        <w:t xml:space="preserve"> definition and should be reported properly. These experiments may be designed for precise and accurate estimation of the probability point (</w:t>
      </w:r>
      <w:proofErr w:type="gramStart"/>
      <w:r w:rsidRPr="740E9764">
        <w:rPr>
          <w:lang w:val="en-IE"/>
        </w:rPr>
        <w:t>e.g.</w:t>
      </w:r>
      <w:proofErr w:type="gramEnd"/>
      <w:r w:rsidRPr="740E9764">
        <w:rPr>
          <w:lang w:val="en-IE"/>
        </w:rPr>
        <w:t xml:space="preserve"> 50% or 100%), but in some circumstances a conservative estimate of the LOD (e.g. 100%) may be acceptable. For example, in a titration using tenfold dilutions all replicates at all dilutions might show either 100% or 0% response. There are two choices at that point. The last dilution showing 100% response may be accepted as a conservative estimate of the lower limit of detection. A more accurate estimate may be obtained by a second stage experiment using narrower intervals in the dilution scheme focusing on the region between 100% and 0%. Methods for statistical evaluation of LOD data are in the Chapter 2.2.5 </w:t>
      </w:r>
      <w:r w:rsidRPr="740E9764">
        <w:rPr>
          <w:i/>
          <w:iCs/>
          <w:lang w:val="en-IE"/>
        </w:rPr>
        <w:t>Statistical approaches to validation</w:t>
      </w:r>
      <w:r w:rsidRPr="740E9764">
        <w:rPr>
          <w:lang w:val="en-IE"/>
        </w:rPr>
        <w:t>.</w:t>
      </w:r>
    </w:p>
    <w:p w14:paraId="3F2F6068" w14:textId="0EC1C6DF" w:rsidR="00667CDB" w:rsidRPr="008E20C4" w:rsidRDefault="00667CDB" w:rsidP="00667CDB">
      <w:pPr>
        <w:pStyle w:val="11"/>
        <w:rPr>
          <w:lang w:val="en-IE"/>
        </w:rPr>
      </w:pPr>
      <w:r w:rsidRPr="008E20C4">
        <w:rPr>
          <w:lang w:val="en-IE"/>
        </w:rPr>
        <w:t>1.4.</w:t>
      </w:r>
      <w:r w:rsidRPr="008E20C4">
        <w:rPr>
          <w:lang w:val="en-IE"/>
        </w:rPr>
        <w:tab/>
        <w:t xml:space="preserve">Analytical accuracy of </w:t>
      </w:r>
      <w:r w:rsidRPr="008E20C4">
        <w:rPr>
          <w:strike/>
          <w:lang w:val="en-IE"/>
        </w:rPr>
        <w:t xml:space="preserve">adjunct </w:t>
      </w:r>
      <w:r w:rsidR="00565555" w:rsidRPr="008E20C4">
        <w:rPr>
          <w:u w:val="double"/>
          <w:lang w:val="en-IE"/>
        </w:rPr>
        <w:t>an</w:t>
      </w:r>
      <w:r w:rsidR="00F67E17" w:rsidRPr="008E20C4">
        <w:rPr>
          <w:u w:val="double"/>
          <w:lang w:val="en-IE"/>
        </w:rPr>
        <w:t>c</w:t>
      </w:r>
      <w:r w:rsidR="00565555" w:rsidRPr="008E20C4">
        <w:rPr>
          <w:u w:val="double"/>
          <w:lang w:val="en-IE"/>
        </w:rPr>
        <w:t>illary</w:t>
      </w:r>
      <w:r w:rsidR="00C61E7F" w:rsidRPr="008E20C4">
        <w:rPr>
          <w:lang w:val="en-IE"/>
        </w:rPr>
        <w:t xml:space="preserve"> </w:t>
      </w:r>
      <w:r w:rsidRPr="008E20C4">
        <w:rPr>
          <w:lang w:val="en-IE"/>
        </w:rPr>
        <w:t>tests or procedures</w:t>
      </w:r>
    </w:p>
    <w:p w14:paraId="17923CD1" w14:textId="539C2B75" w:rsidR="00667CDB" w:rsidRPr="008E20C4" w:rsidRDefault="00667CDB" w:rsidP="00667CDB">
      <w:pPr>
        <w:pStyle w:val="11Para"/>
        <w:rPr>
          <w:lang w:val="en-IE"/>
        </w:rPr>
      </w:pPr>
      <w:r w:rsidRPr="008E20C4">
        <w:rPr>
          <w:lang w:val="en-IE"/>
        </w:rPr>
        <w:t xml:space="preserve">Some test methods or procedures may be qualified for use as analytical tools in the diagnostic laboratory. These usually are secondary </w:t>
      </w:r>
      <w:r w:rsidR="00DD469D" w:rsidRPr="008E20C4">
        <w:rPr>
          <w:strike/>
          <w:lang w:val="en-IE"/>
        </w:rPr>
        <w:t>a</w:t>
      </w:r>
      <w:r w:rsidRPr="008E20C4">
        <w:rPr>
          <w:strike/>
          <w:lang w:val="en-IE"/>
        </w:rPr>
        <w:t xml:space="preserve">djunct </w:t>
      </w:r>
      <w:r w:rsidRPr="008E20C4">
        <w:rPr>
          <w:lang w:val="en-IE"/>
        </w:rPr>
        <w:t xml:space="preserve">tests or procedures that are applied to an analyte that has been detected in a primary assay. The purpose of such analytical tools is to further characterise the analyte detected in the primary assay. Examples of such adjunct tests include virus neutralisation to type an isolated virus, </w:t>
      </w:r>
      <w:r w:rsidR="0084586F" w:rsidRPr="008E20C4">
        <w:rPr>
          <w:strike/>
          <w:lang w:val="en-IE"/>
        </w:rPr>
        <w:t xml:space="preserve">and </w:t>
      </w:r>
      <w:r w:rsidRPr="008E20C4">
        <w:rPr>
          <w:lang w:val="en-IE"/>
        </w:rPr>
        <w:t>molecular sequencing</w:t>
      </w:r>
      <w:r w:rsidR="00CF3AD7" w:rsidRPr="008E20C4">
        <w:rPr>
          <w:u w:val="double"/>
          <w:lang w:val="en-IE"/>
        </w:rPr>
        <w:t xml:space="preserve"> and MALDI-TOF-MS</w:t>
      </w:r>
      <w:r w:rsidR="000F01A5" w:rsidRPr="008E20C4">
        <w:rPr>
          <w:u w:val="double"/>
          <w:lang w:val="en-IE"/>
        </w:rPr>
        <w:t xml:space="preserve"> </w:t>
      </w:r>
      <w:r w:rsidR="004B3887" w:rsidRPr="008E20C4">
        <w:rPr>
          <w:u w:val="double"/>
          <w:lang w:val="en-IE"/>
        </w:rPr>
        <w:t>(</w:t>
      </w:r>
      <w:bookmarkStart w:id="7" w:name="_Hlk77869046"/>
      <w:r w:rsidR="004B3887" w:rsidRPr="008E20C4">
        <w:rPr>
          <w:rStyle w:val="title-text"/>
          <w:u w:val="double"/>
        </w:rPr>
        <w:t>matrix assisted laser desorption ionisation time of flight</w:t>
      </w:r>
      <w:bookmarkEnd w:id="7"/>
      <w:r w:rsidR="004B3887" w:rsidRPr="008E20C4">
        <w:rPr>
          <w:rStyle w:val="title-text"/>
          <w:u w:val="double"/>
        </w:rPr>
        <w:t xml:space="preserve"> mass spectrometry</w:t>
      </w:r>
      <w:r w:rsidR="004B3887" w:rsidRPr="008E20C4">
        <w:rPr>
          <w:u w:val="double"/>
          <w:lang w:val="en-IE"/>
        </w:rPr>
        <w:t xml:space="preserve">) </w:t>
      </w:r>
      <w:r w:rsidR="000F01A5" w:rsidRPr="008E20C4">
        <w:rPr>
          <w:u w:val="double"/>
          <w:lang w:val="en-IE"/>
        </w:rPr>
        <w:t>for bacteria</w:t>
      </w:r>
      <w:r w:rsidR="007649C8" w:rsidRPr="008E20C4">
        <w:rPr>
          <w:u w:val="double"/>
          <w:lang w:val="en-IE"/>
        </w:rPr>
        <w:t xml:space="preserve"> (</w:t>
      </w:r>
      <w:proofErr w:type="spellStart"/>
      <w:r w:rsidR="007649C8" w:rsidRPr="008E20C4">
        <w:rPr>
          <w:u w:val="double"/>
          <w:lang w:val="en-IE"/>
        </w:rPr>
        <w:t>Ricchi</w:t>
      </w:r>
      <w:proofErr w:type="spellEnd"/>
      <w:r w:rsidR="007649C8" w:rsidRPr="008E20C4">
        <w:rPr>
          <w:u w:val="double"/>
          <w:lang w:val="en-IE"/>
        </w:rPr>
        <w:t xml:space="preserve"> </w:t>
      </w:r>
      <w:r w:rsidR="007649C8" w:rsidRPr="008E20C4">
        <w:rPr>
          <w:i/>
          <w:iCs/>
          <w:u w:val="double"/>
          <w:lang w:val="en-IE"/>
        </w:rPr>
        <w:t>et al.</w:t>
      </w:r>
      <w:r w:rsidR="00665CB7" w:rsidRPr="008E20C4">
        <w:rPr>
          <w:i/>
          <w:iCs/>
          <w:u w:val="double"/>
          <w:lang w:val="en-IE"/>
        </w:rPr>
        <w:t>,</w:t>
      </w:r>
      <w:r w:rsidR="007649C8" w:rsidRPr="008E20C4">
        <w:rPr>
          <w:u w:val="double"/>
          <w:lang w:val="en-IE"/>
        </w:rPr>
        <w:t xml:space="preserve"> 2016</w:t>
      </w:r>
      <w:r w:rsidR="00DD469D" w:rsidRPr="008E20C4">
        <w:rPr>
          <w:u w:val="double"/>
          <w:lang w:val="en-IE"/>
        </w:rPr>
        <w:t>)</w:t>
      </w:r>
      <w:r w:rsidR="00343068" w:rsidRPr="008E20C4">
        <w:rPr>
          <w:lang w:val="en-IE"/>
        </w:rPr>
        <w:t>.</w:t>
      </w:r>
      <w:r w:rsidRPr="008E20C4">
        <w:rPr>
          <w:lang w:val="en-IE"/>
        </w:rPr>
        <w:t xml:space="preserve"> </w:t>
      </w:r>
    </w:p>
    <w:p w14:paraId="6033D8E5" w14:textId="3C3F98EA" w:rsidR="00667CDB" w:rsidRPr="008E20C4" w:rsidRDefault="00667CDB" w:rsidP="00667CDB">
      <w:pPr>
        <w:pStyle w:val="11Para"/>
        <w:rPr>
          <w:lang w:val="en-IE"/>
        </w:rPr>
      </w:pPr>
      <w:r w:rsidRPr="008E20C4">
        <w:rPr>
          <w:lang w:val="en-IE"/>
        </w:rPr>
        <w:t xml:space="preserve">Such </w:t>
      </w:r>
      <w:r w:rsidRPr="008E20C4">
        <w:rPr>
          <w:strike/>
          <w:lang w:val="en-IE"/>
        </w:rPr>
        <w:t xml:space="preserve">adjunct </w:t>
      </w:r>
      <w:r w:rsidR="00EA7B61" w:rsidRPr="008E20C4">
        <w:rPr>
          <w:u w:val="double"/>
          <w:lang w:val="en-IE"/>
        </w:rPr>
        <w:t>ancillary</w:t>
      </w:r>
      <w:r w:rsidR="00C61E7F" w:rsidRPr="008E20C4">
        <w:rPr>
          <w:lang w:val="en-IE"/>
        </w:rPr>
        <w:t xml:space="preserve"> </w:t>
      </w:r>
      <w:r w:rsidRPr="008E20C4">
        <w:rPr>
          <w:lang w:val="en-IE"/>
        </w:rPr>
        <w:t xml:space="preserve">tests must be validated for analytical performance characteristics (Sections A.2 through B.1.3, above). However, they differ from diagnostic tests because they do not require validation for diagnostic performance characteristics (Sections B.2 through B.4, below) if their results are not used to establish a final diagnosis </w:t>
      </w:r>
      <w:proofErr w:type="gramStart"/>
      <w:r w:rsidRPr="008E20C4">
        <w:rPr>
          <w:lang w:val="en-IE"/>
        </w:rPr>
        <w:t>with regard to</w:t>
      </w:r>
      <w:proofErr w:type="gramEnd"/>
      <w:r w:rsidRPr="008E20C4">
        <w:rPr>
          <w:lang w:val="en-IE"/>
        </w:rPr>
        <w:t xml:space="preserve"> the intended purpose. The analytical accuracy of these tools may be defined by comparison with a reference reagent standard, or by characteristics inherent in the tool itself (such as endpoint titration). In</w:t>
      </w:r>
      <w:r w:rsidR="0084586F" w:rsidRPr="008E20C4">
        <w:rPr>
          <w:strike/>
          <w:lang w:val="en-IE"/>
        </w:rPr>
        <w:t xml:space="preserve"> </w:t>
      </w:r>
      <w:proofErr w:type="gramStart"/>
      <w:r w:rsidR="0084586F" w:rsidRPr="008E20C4">
        <w:rPr>
          <w:strike/>
          <w:lang w:val="en-IE"/>
        </w:rPr>
        <w:t>all of</w:t>
      </w:r>
      <w:proofErr w:type="gramEnd"/>
      <w:r w:rsidRPr="008E20C4">
        <w:rPr>
          <w:strike/>
          <w:lang w:val="en-IE"/>
        </w:rPr>
        <w:t xml:space="preserve"> </w:t>
      </w:r>
      <w:r w:rsidRPr="008E20C4">
        <w:rPr>
          <w:lang w:val="en-IE"/>
        </w:rPr>
        <w:t>these examples, the targeted analyte is further characterised quantitatively or qualitatively by the analytical tool.</w:t>
      </w:r>
    </w:p>
    <w:p w14:paraId="4014A128" w14:textId="77777777" w:rsidR="00667CDB" w:rsidRPr="008E20C4" w:rsidRDefault="00667CDB" w:rsidP="00667CDB">
      <w:pPr>
        <w:pStyle w:val="1"/>
        <w:rPr>
          <w:lang w:val="en-IE"/>
        </w:rPr>
      </w:pPr>
      <w:r w:rsidRPr="008E20C4">
        <w:rPr>
          <w:lang w:val="en-IE"/>
        </w:rPr>
        <w:t>2.</w:t>
      </w:r>
      <w:r w:rsidRPr="008E20C4">
        <w:rPr>
          <w:lang w:val="en-IE"/>
        </w:rPr>
        <w:tab/>
        <w:t>Stage 2 – Diagnostic performance of the assay</w:t>
      </w:r>
    </w:p>
    <w:p w14:paraId="72775ECF" w14:textId="411FCE56" w:rsidR="00667CDB" w:rsidRPr="008E20C4" w:rsidRDefault="00343068" w:rsidP="3A2C1852">
      <w:pPr>
        <w:pStyle w:val="para1"/>
        <w:rPr>
          <w:lang w:val="en-IE"/>
        </w:rPr>
      </w:pPr>
      <w:r w:rsidRPr="008E20C4">
        <w:rPr>
          <w:noProof/>
          <w:u w:val="double"/>
          <w:lang w:val="en-IE"/>
        </w:rPr>
        <w:lastRenderedPageBreak/>
        <mc:AlternateContent>
          <mc:Choice Requires="wps">
            <w:drawing>
              <wp:anchor distT="45720" distB="45720" distL="114300" distR="114300" simplePos="0" relativeHeight="251658245" behindDoc="0" locked="0" layoutInCell="1" allowOverlap="1" wp14:anchorId="71526E1E" wp14:editId="0D412B6B">
                <wp:simplePos x="0" y="0"/>
                <wp:positionH relativeFrom="margin">
                  <wp:align>right</wp:align>
                </wp:positionH>
                <wp:positionV relativeFrom="paragraph">
                  <wp:posOffset>8890</wp:posOffset>
                </wp:positionV>
                <wp:extent cx="1960245" cy="2119630"/>
                <wp:effectExtent l="0" t="0" r="20955" b="13970"/>
                <wp:wrapSquare wrapText="bothSides"/>
                <wp:docPr id="139"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245" cy="2119630"/>
                        </a:xfrm>
                        <a:prstGeom prst="rect">
                          <a:avLst/>
                        </a:prstGeom>
                        <a:solidFill>
                          <a:srgbClr val="FFFFFF"/>
                        </a:solidFill>
                        <a:ln w="9525">
                          <a:solidFill>
                            <a:srgbClr val="000000"/>
                          </a:solidFill>
                          <a:miter lim="800000"/>
                          <a:headEnd/>
                          <a:tailEnd/>
                        </a:ln>
                      </wps:spPr>
                      <wps:txbx>
                        <w:txbxContent>
                          <w:p w14:paraId="4943BE0D" w14:textId="77777777" w:rsidR="00667CDB" w:rsidRPr="00474AF9" w:rsidRDefault="00667CDB" w:rsidP="00667CDB">
                            <w:pPr>
                              <w:spacing w:line="240" w:lineRule="auto"/>
                              <w:rPr>
                                <w:rFonts w:ascii="Söhne" w:hAnsi="Söhne" w:cs="Arial"/>
                                <w:b/>
                                <w:bCs/>
                                <w:color w:val="000000"/>
                                <w:kern w:val="24"/>
                                <w:sz w:val="18"/>
                                <w:szCs w:val="18"/>
                                <w:u w:val="double"/>
                              </w:rPr>
                            </w:pPr>
                            <w:r w:rsidRPr="00474AF9">
                              <w:rPr>
                                <w:rFonts w:ascii="Söhne" w:hAnsi="Söhne" w:cs="Arial"/>
                                <w:b/>
                                <w:bCs/>
                                <w:color w:val="000000"/>
                                <w:kern w:val="24"/>
                                <w:sz w:val="18"/>
                                <w:szCs w:val="18"/>
                                <w:u w:val="double"/>
                              </w:rPr>
                              <w:t>Diagnostic sensitivity</w:t>
                            </w:r>
                          </w:p>
                          <w:p w14:paraId="46DED9FB" w14:textId="77777777" w:rsidR="00667CDB" w:rsidRPr="00474AF9" w:rsidRDefault="00667CDB" w:rsidP="00DF5900">
                            <w:pPr>
                              <w:spacing w:after="240" w:line="240" w:lineRule="auto"/>
                              <w:rPr>
                                <w:rFonts w:ascii="Söhne" w:hAnsi="Söhne" w:cs="Arial"/>
                                <w:sz w:val="18"/>
                                <w:szCs w:val="18"/>
                                <w:u w:val="double"/>
                              </w:rPr>
                            </w:pPr>
                            <w:r w:rsidRPr="00474AF9">
                              <w:rPr>
                                <w:rFonts w:ascii="Söhne" w:hAnsi="Söhne" w:cs="Arial"/>
                                <w:sz w:val="18"/>
                                <w:szCs w:val="18"/>
                                <w:u w:val="double"/>
                              </w:rPr>
                              <w:t>P</w:t>
                            </w:r>
                            <w:r w:rsidR="006C73A3" w:rsidRPr="00474AF9">
                              <w:rPr>
                                <w:rFonts w:ascii="Söhne" w:hAnsi="Söhne" w:cs="Arial"/>
                                <w:sz w:val="18"/>
                                <w:szCs w:val="18"/>
                                <w:u w:val="double"/>
                              </w:rPr>
                              <w:t>ercentage</w:t>
                            </w:r>
                            <w:r w:rsidRPr="00474AF9">
                              <w:rPr>
                                <w:rFonts w:ascii="Söhne" w:hAnsi="Söhne" w:cs="Arial"/>
                                <w:sz w:val="18"/>
                                <w:szCs w:val="18"/>
                                <w:u w:val="double"/>
                              </w:rPr>
                              <w:t xml:space="preserve"> of known infected animal</w:t>
                            </w:r>
                            <w:r w:rsidR="006C73A3" w:rsidRPr="00474AF9">
                              <w:rPr>
                                <w:rFonts w:ascii="Söhne" w:hAnsi="Söhne" w:cs="Arial"/>
                                <w:sz w:val="18"/>
                                <w:szCs w:val="18"/>
                                <w:u w:val="double"/>
                              </w:rPr>
                              <w:t>s</w:t>
                            </w:r>
                            <w:r w:rsidRPr="00474AF9">
                              <w:rPr>
                                <w:rFonts w:ascii="Söhne" w:hAnsi="Söhne" w:cs="Arial"/>
                                <w:sz w:val="18"/>
                                <w:szCs w:val="18"/>
                                <w:u w:val="double"/>
                              </w:rPr>
                              <w:t xml:space="preserve"> that test positive in the assay; infected animals that test negative are considered to have false-negative results.</w:t>
                            </w:r>
                          </w:p>
                          <w:p w14:paraId="6E5D432E" w14:textId="77777777" w:rsidR="00667CDB" w:rsidRPr="00474AF9" w:rsidRDefault="00667CDB" w:rsidP="00667CDB">
                            <w:pPr>
                              <w:spacing w:line="240" w:lineRule="auto"/>
                              <w:rPr>
                                <w:rFonts w:ascii="Söhne" w:hAnsi="Söhne" w:cs="Arial"/>
                                <w:b/>
                                <w:bCs/>
                                <w:sz w:val="18"/>
                                <w:szCs w:val="18"/>
                                <w:u w:val="double"/>
                              </w:rPr>
                            </w:pPr>
                            <w:r w:rsidRPr="00474AF9">
                              <w:rPr>
                                <w:rFonts w:ascii="Söhne" w:hAnsi="Söhne" w:cs="Arial"/>
                                <w:b/>
                                <w:bCs/>
                                <w:sz w:val="18"/>
                                <w:szCs w:val="18"/>
                                <w:u w:val="double"/>
                              </w:rPr>
                              <w:t>Diagnostic specificity</w:t>
                            </w:r>
                          </w:p>
                          <w:p w14:paraId="0AE7231E" w14:textId="77777777" w:rsidR="00667CDB" w:rsidRPr="0000422D" w:rsidRDefault="00667CDB" w:rsidP="00667CDB">
                            <w:pPr>
                              <w:spacing w:line="240" w:lineRule="auto"/>
                              <w:rPr>
                                <w:rFonts w:ascii="Söhne" w:hAnsi="Söhne" w:cs="Arial"/>
                                <w:color w:val="000000"/>
                                <w:kern w:val="24"/>
                                <w:sz w:val="18"/>
                                <w:szCs w:val="18"/>
                                <w:u w:val="double"/>
                              </w:rPr>
                            </w:pPr>
                            <w:r w:rsidRPr="00474AF9">
                              <w:rPr>
                                <w:rFonts w:ascii="Söhne" w:hAnsi="Söhne" w:cs="Arial"/>
                                <w:sz w:val="18"/>
                                <w:szCs w:val="18"/>
                                <w:u w:val="double"/>
                              </w:rPr>
                              <w:t>P</w:t>
                            </w:r>
                            <w:r w:rsidR="006C73A3" w:rsidRPr="00474AF9">
                              <w:rPr>
                                <w:rFonts w:ascii="Söhne" w:hAnsi="Söhne" w:cs="Arial"/>
                                <w:sz w:val="18"/>
                                <w:szCs w:val="18"/>
                                <w:u w:val="double"/>
                              </w:rPr>
                              <w:t>ercentage</w:t>
                            </w:r>
                            <w:r w:rsidRPr="00474AF9">
                              <w:rPr>
                                <w:rFonts w:ascii="Söhne" w:hAnsi="Söhne" w:cs="Arial"/>
                                <w:sz w:val="18"/>
                                <w:szCs w:val="18"/>
                                <w:u w:val="double"/>
                              </w:rPr>
                              <w:t xml:space="preserve"> of known uninfected animals that test negative in the assay; uninfected animals that test positive are considered to have false-positive results.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526E1E" id="Text Box 139" o:spid="_x0000_s1028" type="#_x0000_t202" style="position:absolute;left:0;text-align:left;margin-left:103.15pt;margin-top:.7pt;width:154.35pt;height:166.9pt;z-index:251658245;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">
                <v:textbox>
                  <w:txbxContent>
                    <w:p w14:paraId="4943BE0D" w14:textId="77777777" w:rsidR="00667CDB" w:rsidRPr="00474AF9" w:rsidRDefault="00667CDB" w:rsidP="00667CDB">
                      <w:pPr>
                        <w:spacing w:line="240" w:lineRule="auto"/>
                        <w:rPr>
                          <w:rFonts w:ascii="Söhne" w:hAnsi="Söhne" w:cs="Arial"/>
                          <w:b/>
                          <w:bCs/>
                          <w:color w:val="000000"/>
                          <w:kern w:val="24"/>
                          <w:sz w:val="18"/>
                          <w:szCs w:val="18"/>
                          <w:u w:val="double"/>
                        </w:rPr>
                      </w:pPr>
                      <w:r w:rsidRPr="00474AF9">
                        <w:rPr>
                          <w:rFonts w:ascii="Söhne" w:hAnsi="Söhne" w:cs="Arial"/>
                          <w:b/>
                          <w:bCs/>
                          <w:color w:val="000000"/>
                          <w:kern w:val="24"/>
                          <w:sz w:val="18"/>
                          <w:szCs w:val="18"/>
                          <w:u w:val="double"/>
                        </w:rPr>
                        <w:t>Diagnostic sensitivity</w:t>
                      </w:r>
                    </w:p>
                    <w:p w14:paraId="46DED9FB" w14:textId="77777777" w:rsidR="00667CDB" w:rsidRPr="00474AF9" w:rsidRDefault="00667CDB" w:rsidP="00DF5900">
                      <w:pPr>
                        <w:spacing w:after="240" w:line="240" w:lineRule="auto"/>
                        <w:rPr>
                          <w:rFonts w:ascii="Söhne" w:hAnsi="Söhne" w:cs="Arial"/>
                          <w:sz w:val="18"/>
                          <w:szCs w:val="18"/>
                          <w:u w:val="double"/>
                        </w:rPr>
                      </w:pPr>
                      <w:r w:rsidRPr="00474AF9">
                        <w:rPr>
                          <w:rFonts w:ascii="Söhne" w:hAnsi="Söhne" w:cs="Arial"/>
                          <w:sz w:val="18"/>
                          <w:szCs w:val="18"/>
                          <w:u w:val="double"/>
                        </w:rPr>
                        <w:t>P</w:t>
                      </w:r>
                      <w:r w:rsidR="006C73A3" w:rsidRPr="00474AF9">
                        <w:rPr>
                          <w:rFonts w:ascii="Söhne" w:hAnsi="Söhne" w:cs="Arial"/>
                          <w:sz w:val="18"/>
                          <w:szCs w:val="18"/>
                          <w:u w:val="double"/>
                        </w:rPr>
                        <w:t>ercentage</w:t>
                      </w:r>
                      <w:r w:rsidRPr="00474AF9">
                        <w:rPr>
                          <w:rFonts w:ascii="Söhne" w:hAnsi="Söhne" w:cs="Arial"/>
                          <w:sz w:val="18"/>
                          <w:szCs w:val="18"/>
                          <w:u w:val="double"/>
                        </w:rPr>
                        <w:t xml:space="preserve"> of known infected animal</w:t>
                      </w:r>
                      <w:r w:rsidR="006C73A3" w:rsidRPr="00474AF9">
                        <w:rPr>
                          <w:rFonts w:ascii="Söhne" w:hAnsi="Söhne" w:cs="Arial"/>
                          <w:sz w:val="18"/>
                          <w:szCs w:val="18"/>
                          <w:u w:val="double"/>
                        </w:rPr>
                        <w:t>s</w:t>
                      </w:r>
                      <w:r w:rsidRPr="00474AF9">
                        <w:rPr>
                          <w:rFonts w:ascii="Söhne" w:hAnsi="Söhne" w:cs="Arial"/>
                          <w:sz w:val="18"/>
                          <w:szCs w:val="18"/>
                          <w:u w:val="double"/>
                        </w:rPr>
                        <w:t xml:space="preserve"> that test positive in the assay; infected animals that test negative are considered to have false-negative results.</w:t>
                      </w:r>
                    </w:p>
                    <w:p w14:paraId="6E5D432E" w14:textId="77777777" w:rsidR="00667CDB" w:rsidRPr="00474AF9" w:rsidRDefault="00667CDB" w:rsidP="00667CDB">
                      <w:pPr>
                        <w:spacing w:line="240" w:lineRule="auto"/>
                        <w:rPr>
                          <w:rFonts w:ascii="Söhne" w:hAnsi="Söhne" w:cs="Arial"/>
                          <w:b/>
                          <w:bCs/>
                          <w:sz w:val="18"/>
                          <w:szCs w:val="18"/>
                          <w:u w:val="double"/>
                        </w:rPr>
                      </w:pPr>
                      <w:r w:rsidRPr="00474AF9">
                        <w:rPr>
                          <w:rFonts w:ascii="Söhne" w:hAnsi="Söhne" w:cs="Arial"/>
                          <w:b/>
                          <w:bCs/>
                          <w:sz w:val="18"/>
                          <w:szCs w:val="18"/>
                          <w:u w:val="double"/>
                        </w:rPr>
                        <w:t>Diagnostic specificity</w:t>
                      </w:r>
                    </w:p>
                    <w:p w14:paraId="0AE7231E" w14:textId="77777777" w:rsidR="00667CDB" w:rsidRPr="0000422D" w:rsidRDefault="00667CDB" w:rsidP="00667CDB">
                      <w:pPr>
                        <w:spacing w:line="240" w:lineRule="auto"/>
                        <w:rPr>
                          <w:rFonts w:ascii="Söhne" w:hAnsi="Söhne" w:cs="Arial"/>
                          <w:color w:val="000000"/>
                          <w:kern w:val="24"/>
                          <w:sz w:val="18"/>
                          <w:szCs w:val="18"/>
                          <w:u w:val="double"/>
                        </w:rPr>
                      </w:pPr>
                      <w:r w:rsidRPr="00474AF9">
                        <w:rPr>
                          <w:rFonts w:ascii="Söhne" w:hAnsi="Söhne" w:cs="Arial"/>
                          <w:sz w:val="18"/>
                          <w:szCs w:val="18"/>
                          <w:u w:val="double"/>
                        </w:rPr>
                        <w:t>P</w:t>
                      </w:r>
                      <w:r w:rsidR="006C73A3" w:rsidRPr="00474AF9">
                        <w:rPr>
                          <w:rFonts w:ascii="Söhne" w:hAnsi="Söhne" w:cs="Arial"/>
                          <w:sz w:val="18"/>
                          <w:szCs w:val="18"/>
                          <w:u w:val="double"/>
                        </w:rPr>
                        <w:t>ercentage</w:t>
                      </w:r>
                      <w:r w:rsidRPr="00474AF9">
                        <w:rPr>
                          <w:rFonts w:ascii="Söhne" w:hAnsi="Söhne" w:cs="Arial"/>
                          <w:sz w:val="18"/>
                          <w:szCs w:val="18"/>
                          <w:u w:val="double"/>
                        </w:rPr>
                        <w:t xml:space="preserve"> of known uninfected animals that test negative in the assay; uninfected animals that test positive are considered to have false-positive results.</w:t>
                      </w:r>
                    </w:p>
                  </w:txbxContent>
                </v:textbox>
                <w10:wrap type="square" anchorx="margin"/>
              </v:shape>
            </w:pict>
          </mc:Fallback>
        </mc:AlternateContent>
      </w:r>
      <w:r w:rsidR="0084586F" w:rsidRPr="008E20C4">
        <w:rPr>
          <w:strike/>
          <w:lang w:val="en-IE"/>
        </w:rPr>
        <w:t>Estimates of</w:t>
      </w:r>
      <w:r w:rsidRPr="008E20C4">
        <w:rPr>
          <w:strike/>
          <w:lang w:val="en-IE"/>
        </w:rPr>
        <w:t xml:space="preserve"> </w:t>
      </w:r>
      <w:r w:rsidR="00667CDB" w:rsidRPr="008E20C4">
        <w:rPr>
          <w:u w:val="double"/>
          <w:lang w:val="en-IE"/>
        </w:rPr>
        <w:t xml:space="preserve">Animal samples used to assess </w:t>
      </w:r>
      <w:proofErr w:type="spellStart"/>
      <w:r w:rsidR="00667CDB" w:rsidRPr="008E20C4">
        <w:rPr>
          <w:u w:val="double"/>
          <w:lang w:val="en-IE"/>
        </w:rPr>
        <w:t>DSe</w:t>
      </w:r>
      <w:proofErr w:type="spellEnd"/>
      <w:r w:rsidR="00667CDB" w:rsidRPr="008E20C4">
        <w:rPr>
          <w:u w:val="double"/>
          <w:lang w:val="en-IE"/>
        </w:rPr>
        <w:t xml:space="preserve"> and </w:t>
      </w:r>
      <w:proofErr w:type="spellStart"/>
      <w:r w:rsidR="00667CDB" w:rsidRPr="008E20C4">
        <w:rPr>
          <w:u w:val="double"/>
          <w:lang w:val="en-IE"/>
        </w:rPr>
        <w:t>DSp</w:t>
      </w:r>
      <w:proofErr w:type="spellEnd"/>
      <w:r w:rsidR="00667CDB" w:rsidRPr="008E20C4">
        <w:rPr>
          <w:u w:val="double"/>
          <w:lang w:val="en-IE"/>
        </w:rPr>
        <w:t xml:space="preserve"> come from four main sources</w:t>
      </w:r>
      <w:r w:rsidR="00526582" w:rsidRPr="008E20C4">
        <w:rPr>
          <w:u w:val="double"/>
          <w:lang w:val="en-IE"/>
        </w:rPr>
        <w:t>:</w:t>
      </w:r>
      <w:r w:rsidR="008C6A65" w:rsidRPr="008E20C4">
        <w:rPr>
          <w:u w:val="double"/>
          <w:lang w:val="en-IE"/>
        </w:rPr>
        <w:t xml:space="preserve"> </w:t>
      </w:r>
      <w:r w:rsidR="00667CDB" w:rsidRPr="008E20C4">
        <w:rPr>
          <w:u w:val="double"/>
          <w:lang w:val="en-IE"/>
        </w:rPr>
        <w:t>(1) reference banks with samples of known infection status, (2) outbreak or surveillance samples where animal status is unknown but population status (infected or not infected) is known, (3)</w:t>
      </w:r>
      <w:r w:rsidR="00F75A96" w:rsidRPr="008E20C4">
        <w:rPr>
          <w:u w:val="double"/>
          <w:lang w:val="en-IE"/>
        </w:rPr>
        <w:t> </w:t>
      </w:r>
      <w:r w:rsidR="00667CDB" w:rsidRPr="008E20C4">
        <w:rPr>
          <w:u w:val="double"/>
          <w:lang w:val="en-IE"/>
        </w:rPr>
        <w:t>neither animal nor population status known, and (4) experimental challenge studies</w:t>
      </w:r>
      <w:r w:rsidR="00526582" w:rsidRPr="008E20C4">
        <w:rPr>
          <w:u w:val="double"/>
          <w:lang w:val="en-IE"/>
        </w:rPr>
        <w:t xml:space="preserve"> (see </w:t>
      </w:r>
      <w:r w:rsidR="00526582" w:rsidRPr="00735569">
        <w:rPr>
          <w:strike/>
          <w:highlight w:val="yellow"/>
          <w:lang w:val="en-IE"/>
        </w:rPr>
        <w:t xml:space="preserve">Figure </w:t>
      </w:r>
      <w:r w:rsidR="00E24735" w:rsidRPr="00735569">
        <w:rPr>
          <w:strike/>
          <w:highlight w:val="yellow"/>
          <w:lang w:val="en-IE"/>
        </w:rPr>
        <w:t>2</w:t>
      </w:r>
      <w:r w:rsidR="00735569">
        <w:rPr>
          <w:strike/>
          <w:highlight w:val="yellow"/>
          <w:lang w:val="en-IE"/>
        </w:rPr>
        <w:t xml:space="preserve"> </w:t>
      </w:r>
      <w:r w:rsidR="001F30B8" w:rsidRPr="00735569">
        <w:rPr>
          <w:highlight w:val="yellow"/>
          <w:u w:val="double"/>
          <w:lang w:val="en-IE"/>
        </w:rPr>
        <w:t>Table 3</w:t>
      </w:r>
      <w:r w:rsidR="00526582" w:rsidRPr="008E20C4">
        <w:rPr>
          <w:u w:val="double"/>
          <w:lang w:val="en-IE"/>
        </w:rPr>
        <w:t xml:space="preserve"> for advantages and limitations of each method – in the </w:t>
      </w:r>
      <w:r w:rsidR="00F75A96" w:rsidRPr="008E20C4">
        <w:rPr>
          <w:u w:val="double"/>
          <w:lang w:val="en-IE"/>
        </w:rPr>
        <w:t>Figure</w:t>
      </w:r>
      <w:r w:rsidR="00526582" w:rsidRPr="008E20C4">
        <w:rPr>
          <w:u w:val="double"/>
          <w:lang w:val="en-IE"/>
        </w:rPr>
        <w:t>, groups 2 and 3 are combined for brevity).</w:t>
      </w:r>
      <w:r w:rsidR="008C6A65" w:rsidRPr="008E20C4">
        <w:rPr>
          <w:lang w:val="en-IE"/>
        </w:rPr>
        <w:t xml:space="preserve"> </w:t>
      </w:r>
      <w:proofErr w:type="spellStart"/>
      <w:r w:rsidR="00667CDB" w:rsidRPr="008E20C4">
        <w:rPr>
          <w:lang w:val="en-IE"/>
        </w:rPr>
        <w:t>DSe</w:t>
      </w:r>
      <w:proofErr w:type="spellEnd"/>
      <w:r w:rsidR="00667CDB" w:rsidRPr="008E20C4">
        <w:rPr>
          <w:lang w:val="en-IE"/>
        </w:rPr>
        <w:t xml:space="preserve"> (proportion of samples from known infected </w:t>
      </w:r>
      <w:r w:rsidR="0084586F" w:rsidRPr="008E20C4">
        <w:rPr>
          <w:strike/>
          <w:lang w:val="en-IE"/>
        </w:rPr>
        <w:t xml:space="preserve">reference </w:t>
      </w:r>
      <w:r w:rsidR="00667CDB" w:rsidRPr="008E20C4">
        <w:rPr>
          <w:lang w:val="en-IE"/>
        </w:rPr>
        <w:t xml:space="preserve">animals that test positive in an assay) and </w:t>
      </w:r>
      <w:proofErr w:type="spellStart"/>
      <w:r w:rsidR="00667CDB" w:rsidRPr="008E20C4">
        <w:rPr>
          <w:lang w:val="en-IE"/>
        </w:rPr>
        <w:t>DSp</w:t>
      </w:r>
      <w:proofErr w:type="spellEnd"/>
      <w:r w:rsidR="00667CDB" w:rsidRPr="008E20C4">
        <w:rPr>
          <w:lang w:val="en-IE"/>
        </w:rPr>
        <w:t xml:space="preserve"> (the proportion of samples from known uninfected</w:t>
      </w:r>
      <w:r w:rsidR="0084586F" w:rsidRPr="008E20C4">
        <w:rPr>
          <w:strike/>
          <w:lang w:val="en-IE"/>
        </w:rPr>
        <w:t xml:space="preserve"> reference</w:t>
      </w:r>
      <w:r w:rsidR="008C6A65" w:rsidRPr="008E20C4">
        <w:rPr>
          <w:lang w:val="en-IE"/>
        </w:rPr>
        <w:t xml:space="preserve"> </w:t>
      </w:r>
      <w:r w:rsidR="00667CDB" w:rsidRPr="008E20C4">
        <w:rPr>
          <w:lang w:val="en-IE"/>
        </w:rPr>
        <w:t>animals that test negative in an assay) are the primary performance indicators established during validation of an assay</w:t>
      </w:r>
      <w:r w:rsidR="0073336E" w:rsidRPr="008E20C4">
        <w:rPr>
          <w:lang w:val="en-IE"/>
        </w:rPr>
        <w:t xml:space="preserve"> </w:t>
      </w:r>
      <w:r w:rsidR="0073336E" w:rsidRPr="008E20C4">
        <w:rPr>
          <w:u w:val="double"/>
          <w:lang w:val="en-IE"/>
        </w:rPr>
        <w:t>(</w:t>
      </w:r>
      <w:r w:rsidR="00665CB7" w:rsidRPr="008E20C4">
        <w:rPr>
          <w:u w:val="double"/>
          <w:lang w:val="en-IE"/>
        </w:rPr>
        <w:t xml:space="preserve">see chapters </w:t>
      </w:r>
      <w:r w:rsidR="0073336E" w:rsidRPr="008E20C4">
        <w:rPr>
          <w:u w:val="double"/>
          <w:lang w:val="en-IE"/>
        </w:rPr>
        <w:t>2.</w:t>
      </w:r>
      <w:r w:rsidR="0061072B" w:rsidRPr="008E20C4">
        <w:rPr>
          <w:u w:val="double"/>
          <w:lang w:val="en-IE"/>
        </w:rPr>
        <w:t>2.</w:t>
      </w:r>
      <w:r w:rsidR="0073336E" w:rsidRPr="008E20C4">
        <w:rPr>
          <w:u w:val="double"/>
          <w:lang w:val="en-IE"/>
        </w:rPr>
        <w:t>1</w:t>
      </w:r>
      <w:r w:rsidR="0061072B" w:rsidRPr="008E20C4">
        <w:rPr>
          <w:u w:val="double"/>
          <w:lang w:val="en-IE"/>
        </w:rPr>
        <w:t>., 2.2.2., 2.2.3</w:t>
      </w:r>
      <w:r w:rsidR="0073336E" w:rsidRPr="008E20C4">
        <w:rPr>
          <w:u w:val="double"/>
          <w:lang w:val="en-IE"/>
        </w:rPr>
        <w:t>)</w:t>
      </w:r>
      <w:r w:rsidRPr="008E20C4">
        <w:rPr>
          <w:lang w:val="en-IE"/>
        </w:rPr>
        <w:t>.</w:t>
      </w:r>
      <w:r w:rsidR="00667CDB" w:rsidRPr="008E20C4">
        <w:rPr>
          <w:lang w:val="en-IE"/>
        </w:rPr>
        <w:t xml:space="preserve"> These estimates are the basis for calculation of other parameters from which inferences are made about test results (</w:t>
      </w:r>
      <w:proofErr w:type="gramStart"/>
      <w:r w:rsidR="00667CDB" w:rsidRPr="008E20C4">
        <w:rPr>
          <w:lang w:val="en-IE"/>
        </w:rPr>
        <w:t>e.g.</w:t>
      </w:r>
      <w:proofErr w:type="gramEnd"/>
      <w:r w:rsidR="00667CDB" w:rsidRPr="008E20C4">
        <w:rPr>
          <w:lang w:val="en-IE"/>
        </w:rPr>
        <w:t xml:space="preserve"> predictive values </w:t>
      </w:r>
      <w:r w:rsidR="00667CDB" w:rsidRPr="008E20C4">
        <w:rPr>
          <w:u w:val="double"/>
          <w:lang w:val="en-IE"/>
        </w:rPr>
        <w:t>and likelihood ratios</w:t>
      </w:r>
      <w:r w:rsidR="00667CDB" w:rsidRPr="008E20C4">
        <w:rPr>
          <w:lang w:val="en-IE"/>
        </w:rPr>
        <w:t xml:space="preserve"> of positive and negative test results). Therefore, it is imperative that estimates of </w:t>
      </w:r>
      <w:proofErr w:type="spellStart"/>
      <w:r w:rsidR="00667CDB" w:rsidRPr="008E20C4">
        <w:rPr>
          <w:lang w:val="en-IE"/>
        </w:rPr>
        <w:t>DSe</w:t>
      </w:r>
      <w:proofErr w:type="spellEnd"/>
      <w:r w:rsidR="00667CDB" w:rsidRPr="008E20C4">
        <w:rPr>
          <w:lang w:val="en-IE"/>
        </w:rPr>
        <w:t xml:space="preserve"> and </w:t>
      </w:r>
      <w:proofErr w:type="spellStart"/>
      <w:r w:rsidR="00667CDB" w:rsidRPr="008E20C4">
        <w:rPr>
          <w:lang w:val="en-IE"/>
        </w:rPr>
        <w:t>DSp</w:t>
      </w:r>
      <w:proofErr w:type="spellEnd"/>
      <w:r w:rsidR="00667CDB" w:rsidRPr="008E20C4">
        <w:rPr>
          <w:lang w:val="en-IE"/>
        </w:rPr>
        <w:t xml:space="preserve"> are as accurate as possible. Ideally, they are derived from testing a panel of samples from</w:t>
      </w:r>
      <w:r w:rsidR="00667CDB" w:rsidRPr="008E20C4">
        <w:rPr>
          <w:i/>
          <w:lang w:val="en-IE"/>
        </w:rPr>
        <w:t xml:space="preserve"> </w:t>
      </w:r>
      <w:r w:rsidR="00667CDB" w:rsidRPr="008E20C4">
        <w:rPr>
          <w:strike/>
          <w:lang w:val="en-IE"/>
        </w:rPr>
        <w:t xml:space="preserve">reference </w:t>
      </w:r>
      <w:r w:rsidR="00667CDB" w:rsidRPr="008E20C4">
        <w:rPr>
          <w:lang w:val="en-IE"/>
        </w:rPr>
        <w:t>animals</w:t>
      </w:r>
      <w:r w:rsidR="00667CDB" w:rsidRPr="008E20C4">
        <w:rPr>
          <w:strike/>
          <w:lang w:val="en-IE"/>
        </w:rPr>
        <w:t>,</w:t>
      </w:r>
      <w:r w:rsidR="00667CDB" w:rsidRPr="008E20C4">
        <w:rPr>
          <w:lang w:val="en-IE"/>
        </w:rPr>
        <w:t xml:space="preserve"> of known history and infection status relative to the disease/infection in question and relevant to the country or region in which the test is to be used. An estimate of the area under the receiver operating characteristic (ROC) curve is a useful adjunct to </w:t>
      </w:r>
      <w:proofErr w:type="spellStart"/>
      <w:r w:rsidR="00667CDB" w:rsidRPr="008E20C4">
        <w:rPr>
          <w:lang w:val="en-IE"/>
        </w:rPr>
        <w:t>DSe</w:t>
      </w:r>
      <w:proofErr w:type="spellEnd"/>
      <w:r w:rsidR="00667CDB" w:rsidRPr="008E20C4">
        <w:rPr>
          <w:lang w:val="en-IE"/>
        </w:rPr>
        <w:t xml:space="preserve"> and </w:t>
      </w:r>
      <w:proofErr w:type="spellStart"/>
      <w:r w:rsidR="00667CDB" w:rsidRPr="008E20C4">
        <w:rPr>
          <w:lang w:val="en-IE"/>
        </w:rPr>
        <w:t>DSp</w:t>
      </w:r>
      <w:proofErr w:type="spellEnd"/>
      <w:r w:rsidR="00667CDB" w:rsidRPr="008E20C4">
        <w:rPr>
          <w:lang w:val="en-IE"/>
        </w:rPr>
        <w:t xml:space="preserve"> estimates for a quantitative diagnostic test because it assesses its global accuracy across all possible assay values (</w:t>
      </w:r>
      <w:r w:rsidR="00667CDB" w:rsidRPr="008E20C4">
        <w:rPr>
          <w:color w:val="000000"/>
          <w:lang w:val="en-IE"/>
        </w:rPr>
        <w:t xml:space="preserve">Greiner </w:t>
      </w:r>
      <w:r w:rsidR="00667CDB" w:rsidRPr="008E20C4">
        <w:rPr>
          <w:i/>
          <w:color w:val="000000"/>
          <w:lang w:val="en-IE"/>
        </w:rPr>
        <w:t>et al.,</w:t>
      </w:r>
      <w:r w:rsidR="00667CDB" w:rsidRPr="008E20C4">
        <w:rPr>
          <w:color w:val="000000"/>
          <w:lang w:val="en-IE"/>
        </w:rPr>
        <w:t xml:space="preserve"> 2000; Zweig &amp; Campbell, 1993</w:t>
      </w:r>
      <w:r w:rsidR="00667CDB" w:rsidRPr="008E20C4">
        <w:rPr>
          <w:lang w:val="en-IE"/>
        </w:rPr>
        <w:t>). This approach is described in chapter 2.2.5.</w:t>
      </w:r>
    </w:p>
    <w:p w14:paraId="687D1EE3" w14:textId="45ECDADB" w:rsidR="00667CDB" w:rsidRPr="008E20C4" w:rsidRDefault="00667CDB" w:rsidP="00667CDB">
      <w:pPr>
        <w:pStyle w:val="para1"/>
        <w:tabs>
          <w:tab w:val="clear" w:pos="-720"/>
        </w:tabs>
        <w:rPr>
          <w:lang w:val="en-IE"/>
        </w:rPr>
      </w:pPr>
      <w:r w:rsidRPr="008E20C4">
        <w:rPr>
          <w:noProof/>
          <w:u w:val="double"/>
          <w:lang w:val="en-IE"/>
        </w:rPr>
        <mc:AlternateContent>
          <mc:Choice Requires="wps">
            <w:drawing>
              <wp:anchor distT="45720" distB="45720" distL="114300" distR="114300" simplePos="0" relativeHeight="251658242" behindDoc="0" locked="0" layoutInCell="1" allowOverlap="1" wp14:anchorId="7028B8B5" wp14:editId="47245D6C">
                <wp:simplePos x="0" y="0"/>
                <wp:positionH relativeFrom="column">
                  <wp:posOffset>3780155</wp:posOffset>
                </wp:positionH>
                <wp:positionV relativeFrom="paragraph">
                  <wp:posOffset>76200</wp:posOffset>
                </wp:positionV>
                <wp:extent cx="2029460" cy="972820"/>
                <wp:effectExtent l="0" t="0" r="27940" b="17780"/>
                <wp:wrapSquare wrapText="bothSides"/>
                <wp:docPr id="1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9460" cy="972820"/>
                        </a:xfrm>
                        <a:prstGeom prst="rect">
                          <a:avLst/>
                        </a:prstGeom>
                        <a:solidFill>
                          <a:srgbClr val="FFFFFF"/>
                        </a:solidFill>
                        <a:ln w="9525">
                          <a:solidFill>
                            <a:srgbClr val="000000"/>
                          </a:solidFill>
                          <a:miter lim="800000"/>
                          <a:headEnd/>
                          <a:tailEnd/>
                        </a:ln>
                      </wps:spPr>
                      <wps:txbx>
                        <w:txbxContent>
                          <w:p w14:paraId="47DB655D" w14:textId="38202445" w:rsidR="00667CDB" w:rsidRPr="0000422D" w:rsidRDefault="00667CDB" w:rsidP="00667CDB">
                            <w:pPr>
                              <w:spacing w:line="240" w:lineRule="auto"/>
                              <w:rPr>
                                <w:rFonts w:ascii="Söhne" w:hAnsi="Söhne" w:cs="Arial"/>
                                <w:color w:val="000000"/>
                                <w:kern w:val="24"/>
                                <w:sz w:val="18"/>
                                <w:szCs w:val="18"/>
                              </w:rPr>
                            </w:pPr>
                            <w:r w:rsidRPr="00206529">
                              <w:rPr>
                                <w:rFonts w:ascii="Söhne" w:hAnsi="Söhne" w:cs="Arial"/>
                                <w:b/>
                                <w:bCs/>
                                <w:color w:val="000000"/>
                                <w:kern w:val="24"/>
                                <w:sz w:val="18"/>
                                <w:szCs w:val="18"/>
                                <w:u w:val="double"/>
                              </w:rPr>
                              <w:t>Case definition</w:t>
                            </w:r>
                            <w:r w:rsidRPr="00206529">
                              <w:rPr>
                                <w:rFonts w:ascii="Söhne" w:hAnsi="Söhne" w:cs="Arial"/>
                                <w:color w:val="000000"/>
                                <w:kern w:val="24"/>
                                <w:sz w:val="18"/>
                                <w:szCs w:val="18"/>
                                <w:u w:val="double"/>
                              </w:rPr>
                              <w:t xml:space="preserve">, </w:t>
                            </w:r>
                            <w:r w:rsidR="00082B00" w:rsidRPr="00206529">
                              <w:rPr>
                                <w:rFonts w:ascii="Söhne" w:hAnsi="Söhne" w:cs="Arial"/>
                                <w:color w:val="000000"/>
                                <w:kern w:val="24"/>
                                <w:sz w:val="18"/>
                                <w:szCs w:val="18"/>
                                <w:u w:val="double"/>
                              </w:rPr>
                              <w:t>e.g. what constitutes an infected animal and what constitutes a</w:t>
                            </w:r>
                            <w:r w:rsidR="008F7AE3">
                              <w:rPr>
                                <w:rFonts w:ascii="Söhne" w:hAnsi="Söhne" w:cs="Arial"/>
                                <w:color w:val="000000"/>
                                <w:kern w:val="24"/>
                                <w:sz w:val="18"/>
                                <w:szCs w:val="18"/>
                                <w:u w:val="double"/>
                              </w:rPr>
                              <w:t>n un</w:t>
                            </w:r>
                            <w:r w:rsidR="00082B00" w:rsidRPr="00206529">
                              <w:rPr>
                                <w:rFonts w:ascii="Söhne" w:hAnsi="Söhne" w:cs="Arial"/>
                                <w:color w:val="000000"/>
                                <w:kern w:val="24"/>
                                <w:sz w:val="18"/>
                                <w:szCs w:val="18"/>
                                <w:u w:val="double"/>
                              </w:rPr>
                              <w:t>infected animal, respectively, e.g. clinical signs, fever, results from a reference test, etc</w:t>
                            </w:r>
                            <w:r w:rsidR="00083AE8" w:rsidRPr="00206529">
                              <w:rPr>
                                <w:rFonts w:ascii="Söhne" w:hAnsi="Söhne" w:cs="Arial"/>
                                <w:color w:val="000000"/>
                                <w:kern w:val="24"/>
                                <w:sz w:val="18"/>
                                <w:szCs w:val="18"/>
                                <w:u w:val="double"/>
                              </w:rPr>
                              <w:t>.</w:t>
                            </w:r>
                            <w:r w:rsidR="00665CB7" w:rsidRPr="00206529">
                              <w:rPr>
                                <w:rFonts w:ascii="Söhne" w:hAnsi="Söhne" w:cs="Arial"/>
                                <w:color w:val="000000"/>
                                <w:kern w:val="24"/>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28B8B5" id="_x0000_t202" coordsize="21600,21600" o:spt="202" path="m,l,21600r21600,l21600,xe">
                <v:stroke joinstyle="miter"/>
                <v:path gradientshapeok="t" o:connecttype="rect"/>
              </v:shapetype>
              <v:shape id="Text Box 136" o:spid="_x0000_s1029" type="#_x0000_t202" style="position:absolute;left:0;text-align:left;margin-left:297.65pt;margin-top:6pt;width:159.8pt;height:76.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">
                <v:textbox>
                  <w:txbxContent>
                    <w:p w14:paraId="47DB655D" w14:textId="38202445" w:rsidR="00667CDB" w:rsidRPr="0000422D" w:rsidRDefault="00667CDB" w:rsidP="00667CDB">
                      <w:pPr>
                        <w:spacing w:line="240" w:lineRule="auto"/>
                        <w:rPr>
                          <w:rFonts w:ascii="Söhne" w:hAnsi="Söhne" w:cs="Arial"/>
                          <w:color w:val="000000"/>
                          <w:kern w:val="24"/>
                          <w:sz w:val="18"/>
                          <w:szCs w:val="18"/>
                        </w:rPr>
                      </w:pPr>
                      <w:r w:rsidRPr="00206529">
                        <w:rPr>
                          <w:rFonts w:ascii="Söhne" w:hAnsi="Söhne" w:cs="Arial"/>
                          <w:b/>
                          <w:bCs/>
                          <w:color w:val="000000"/>
                          <w:kern w:val="24"/>
                          <w:sz w:val="18"/>
                          <w:szCs w:val="18"/>
                          <w:u w:val="double"/>
                        </w:rPr>
                        <w:t>Case definition</w:t>
                      </w:r>
                      <w:r w:rsidRPr="00206529">
                        <w:rPr>
                          <w:rFonts w:ascii="Söhne" w:hAnsi="Söhne" w:cs="Arial"/>
                          <w:color w:val="000000"/>
                          <w:kern w:val="24"/>
                          <w:sz w:val="18"/>
                          <w:szCs w:val="18"/>
                          <w:u w:val="double"/>
                        </w:rPr>
                        <w:t xml:space="preserve">, </w:t>
                      </w:r>
                      <w:r w:rsidR="00082B00" w:rsidRPr="00206529">
                        <w:rPr>
                          <w:rFonts w:ascii="Söhne" w:hAnsi="Söhne" w:cs="Arial"/>
                          <w:color w:val="000000"/>
                          <w:kern w:val="24"/>
                          <w:sz w:val="18"/>
                          <w:szCs w:val="18"/>
                          <w:u w:val="double"/>
                        </w:rPr>
                        <w:t>e.g. what constitutes an infected animal and what constitutes a</w:t>
                      </w:r>
                      <w:r w:rsidR="008F7AE3">
                        <w:rPr>
                          <w:rFonts w:ascii="Söhne" w:hAnsi="Söhne" w:cs="Arial"/>
                          <w:color w:val="000000"/>
                          <w:kern w:val="24"/>
                          <w:sz w:val="18"/>
                          <w:szCs w:val="18"/>
                          <w:u w:val="double"/>
                        </w:rPr>
                        <w:t>n un</w:t>
                      </w:r>
                      <w:r w:rsidR="00082B00" w:rsidRPr="00206529">
                        <w:rPr>
                          <w:rFonts w:ascii="Söhne" w:hAnsi="Söhne" w:cs="Arial"/>
                          <w:color w:val="000000"/>
                          <w:kern w:val="24"/>
                          <w:sz w:val="18"/>
                          <w:szCs w:val="18"/>
                          <w:u w:val="double"/>
                        </w:rPr>
                        <w:t>infected animal, respectively, e.g. clinical signs, fever, results from a reference test, etc</w:t>
                      </w:r>
                      <w:r w:rsidR="00083AE8" w:rsidRPr="00206529">
                        <w:rPr>
                          <w:rFonts w:ascii="Söhne" w:hAnsi="Söhne" w:cs="Arial"/>
                          <w:color w:val="000000"/>
                          <w:kern w:val="24"/>
                          <w:sz w:val="18"/>
                          <w:szCs w:val="18"/>
                          <w:u w:val="double"/>
                        </w:rPr>
                        <w:t>.</w:t>
                      </w:r>
                      <w:r w:rsidR="00665CB7" w:rsidRPr="00206529">
                        <w:rPr>
                          <w:rFonts w:ascii="Söhne" w:hAnsi="Söhne" w:cs="Arial"/>
                          <w:color w:val="000000"/>
                          <w:kern w:val="24"/>
                          <w:sz w:val="18"/>
                          <w:szCs w:val="18"/>
                        </w:rPr>
                        <w:t xml:space="preserve"> </w:t>
                      </w:r>
                    </w:p>
                  </w:txbxContent>
                </v:textbox>
                <w10:wrap type="square"/>
              </v:shape>
            </w:pict>
          </mc:Fallback>
        </mc:AlternateContent>
      </w:r>
      <w:r w:rsidRPr="008E20C4">
        <w:rPr>
          <w:u w:val="double"/>
          <w:lang w:val="en-IE"/>
        </w:rPr>
        <w:t>Reference samples:</w:t>
      </w:r>
      <w:r w:rsidRPr="008E20C4">
        <w:rPr>
          <w:lang w:val="en-IE"/>
        </w:rPr>
        <w:t xml:space="preserve"> The designated number of known positive and known negative </w:t>
      </w:r>
      <w:r w:rsidRPr="008E20C4">
        <w:rPr>
          <w:u w:val="double"/>
          <w:lang w:val="en-IE"/>
        </w:rPr>
        <w:t>reference</w:t>
      </w:r>
      <w:r w:rsidRPr="008E20C4">
        <w:rPr>
          <w:lang w:val="en-IE"/>
        </w:rPr>
        <w:t xml:space="preserve"> samples will depend on the likely values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of the candidate assay and the desired confidence level for the estimates (Table </w:t>
      </w:r>
      <w:r w:rsidR="00C61E7F" w:rsidRPr="008E20C4">
        <w:rPr>
          <w:lang w:val="en-IE"/>
        </w:rPr>
        <w:t>2</w:t>
      </w:r>
      <w:r w:rsidRPr="008E20C4">
        <w:rPr>
          <w:lang w:val="en-IE"/>
        </w:rPr>
        <w:t xml:space="preserve"> and </w:t>
      </w:r>
      <w:r w:rsidRPr="008E20C4">
        <w:rPr>
          <w:color w:val="000000"/>
          <w:lang w:val="en-IE"/>
        </w:rPr>
        <w:t>Jacobson</w:t>
      </w:r>
      <w:r w:rsidRPr="008E20C4">
        <w:rPr>
          <w:smallCaps/>
          <w:color w:val="000000"/>
          <w:lang w:val="en-IE"/>
        </w:rPr>
        <w:t>, 1998</w:t>
      </w:r>
      <w:r w:rsidRPr="008E20C4">
        <w:rPr>
          <w:lang w:val="en-IE"/>
        </w:rPr>
        <w:t xml:space="preserve">). Table </w:t>
      </w:r>
      <w:r w:rsidR="00C61E7F" w:rsidRPr="008E20C4">
        <w:rPr>
          <w:lang w:val="en-IE"/>
        </w:rPr>
        <w:t>2</w:t>
      </w:r>
      <w:r w:rsidRPr="008E20C4">
        <w:rPr>
          <w:lang w:val="en-IE"/>
        </w:rPr>
        <w:t xml:space="preserve"> provides two panels of the theoretical number of samples required, when either a 5% or 2% error is allowed in the estimates of </w:t>
      </w:r>
      <w:proofErr w:type="spellStart"/>
      <w:r w:rsidRPr="008E20C4">
        <w:rPr>
          <w:lang w:val="en-IE"/>
        </w:rPr>
        <w:t>DSe</w:t>
      </w:r>
      <w:proofErr w:type="spellEnd"/>
      <w:r w:rsidRPr="008E20C4">
        <w:rPr>
          <w:lang w:val="en-IE"/>
        </w:rPr>
        <w:t xml:space="preserve"> or </w:t>
      </w:r>
      <w:proofErr w:type="spellStart"/>
      <w:r w:rsidRPr="008E20C4">
        <w:rPr>
          <w:lang w:val="en-IE"/>
        </w:rPr>
        <w:t>DSp</w:t>
      </w:r>
      <w:proofErr w:type="spellEnd"/>
      <w:r w:rsidRPr="008E20C4">
        <w:rPr>
          <w:lang w:val="en-IE"/>
        </w:rPr>
        <w:t xml:space="preserve">. Many samples are required to achieve a high confidence (typically 95%) in the estimates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when a small error margin in the estimate is desired. For example</w:t>
      </w:r>
      <w:r w:rsidR="00FB2EE4" w:rsidRPr="008E20C4">
        <w:rPr>
          <w:u w:val="double"/>
          <w:lang w:val="en-IE"/>
        </w:rPr>
        <w:t>,</w:t>
      </w:r>
      <w:r w:rsidRPr="008E20C4">
        <w:rPr>
          <w:lang w:val="en-IE"/>
        </w:rPr>
        <w:t xml:space="preserve"> comparison of </w:t>
      </w:r>
      <w:r w:rsidR="00FC7E69" w:rsidRPr="008E20C4">
        <w:rPr>
          <w:lang w:val="en-IE"/>
        </w:rPr>
        <w:t xml:space="preserve">a 2% vs 5% error for a likely </w:t>
      </w:r>
      <w:proofErr w:type="spellStart"/>
      <w:r w:rsidR="00FC7E69" w:rsidRPr="008E20C4">
        <w:rPr>
          <w:lang w:val="en-IE"/>
        </w:rPr>
        <w:t>DSe</w:t>
      </w:r>
      <w:proofErr w:type="spellEnd"/>
      <w:r w:rsidR="00FC7E69" w:rsidRPr="008E20C4">
        <w:rPr>
          <w:lang w:val="en-IE"/>
        </w:rPr>
        <w:t xml:space="preserve"> or </w:t>
      </w:r>
      <w:proofErr w:type="spellStart"/>
      <w:r w:rsidR="00FC7E69" w:rsidRPr="008E20C4">
        <w:rPr>
          <w:lang w:val="en-IE"/>
        </w:rPr>
        <w:t>DSp</w:t>
      </w:r>
      <w:proofErr w:type="spellEnd"/>
      <w:r w:rsidR="00FC7E69" w:rsidRPr="008E20C4">
        <w:rPr>
          <w:lang w:val="en-IE"/>
        </w:rPr>
        <w:t xml:space="preserve"> of 90% and 95% confidence shows a considerable increase (864 </w:t>
      </w:r>
      <w:r w:rsidR="00FC7E69" w:rsidRPr="008E20C4">
        <w:rPr>
          <w:i/>
          <w:lang w:val="en-IE"/>
        </w:rPr>
        <w:t>vs</w:t>
      </w:r>
      <w:r w:rsidR="00FC7E69" w:rsidRPr="008E20C4">
        <w:rPr>
          <w:lang w:val="en-IE"/>
        </w:rPr>
        <w:t xml:space="preserve"> 138) in the number of samples required. </w:t>
      </w:r>
      <w:r w:rsidR="00FC7E69" w:rsidRPr="008E20C4">
        <w:rPr>
          <w:u w:val="double"/>
          <w:lang w:val="en-IE"/>
        </w:rPr>
        <w:t>For the most economically important listed diseases, 99% confidence might be preferred.</w:t>
      </w:r>
      <w:r w:rsidR="00FC7E69" w:rsidRPr="008E20C4">
        <w:rPr>
          <w:lang w:val="en-IE"/>
        </w:rPr>
        <w:t xml:space="preserve"> Logistical and financial limitations may require that less than the statistically required sample size will be evaluated, in which case the confidence interval calculated for </w:t>
      </w:r>
      <w:proofErr w:type="spellStart"/>
      <w:r w:rsidR="00FC7E69" w:rsidRPr="008E20C4">
        <w:rPr>
          <w:lang w:val="en-IE"/>
        </w:rPr>
        <w:t>DSe</w:t>
      </w:r>
      <w:proofErr w:type="spellEnd"/>
      <w:r w:rsidR="00FC7E69" w:rsidRPr="008E20C4">
        <w:rPr>
          <w:lang w:val="en-IE"/>
        </w:rPr>
        <w:t xml:space="preserve"> and </w:t>
      </w:r>
      <w:proofErr w:type="spellStart"/>
      <w:r w:rsidR="00FC7E69" w:rsidRPr="008E20C4">
        <w:rPr>
          <w:lang w:val="en-IE"/>
        </w:rPr>
        <w:t>DSp</w:t>
      </w:r>
      <w:proofErr w:type="spellEnd"/>
      <w:r w:rsidR="00FC7E69" w:rsidRPr="008E20C4">
        <w:rPr>
          <w:lang w:val="en-IE"/>
        </w:rPr>
        <w:t xml:space="preserve"> will indicate less diagnostic confidence in the results. Sample size also may be limited by the fact that reference populations and </w:t>
      </w:r>
      <w:r w:rsidR="00FC7E69">
        <w:rPr>
          <w:lang w:val="en-IE"/>
        </w:rPr>
        <w:t>WOAH</w:t>
      </w:r>
      <w:r w:rsidR="00FC7E69" w:rsidRPr="008E20C4">
        <w:rPr>
          <w:lang w:val="en-IE"/>
        </w:rPr>
        <w:t xml:space="preserve"> reference standards may be lacking (see chapter 2.2.5 for further details). Therefore, it may be necessary to use </w:t>
      </w:r>
      <w:r w:rsidR="00FC7E69" w:rsidRPr="008E20C4">
        <w:rPr>
          <w:strike/>
          <w:lang w:val="en-IE"/>
        </w:rPr>
        <w:t xml:space="preserve">a sub-optimal number of </w:t>
      </w:r>
      <w:r w:rsidR="00FC7E69" w:rsidRPr="008E20C4">
        <w:rPr>
          <w:u w:val="double"/>
          <w:lang w:val="en-IE"/>
        </w:rPr>
        <w:t>fewer</w:t>
      </w:r>
      <w:r w:rsidR="00FC7E69" w:rsidRPr="008E20C4">
        <w:rPr>
          <w:lang w:val="en-IE"/>
        </w:rPr>
        <w:t xml:space="preserve"> samples initially. It is, however, highly desirable to enhance confidence and reduce error margin in the </w:t>
      </w:r>
      <w:proofErr w:type="spellStart"/>
      <w:r w:rsidR="00FC7E69" w:rsidRPr="008E20C4">
        <w:rPr>
          <w:lang w:val="en-IE"/>
        </w:rPr>
        <w:t>DSe</w:t>
      </w:r>
      <w:proofErr w:type="spellEnd"/>
      <w:r w:rsidR="00FC7E69" w:rsidRPr="008E20C4">
        <w:rPr>
          <w:lang w:val="en-IE"/>
        </w:rPr>
        <w:t xml:space="preserve"> and </w:t>
      </w:r>
      <w:proofErr w:type="spellStart"/>
      <w:r w:rsidR="00FC7E69" w:rsidRPr="008E20C4">
        <w:rPr>
          <w:lang w:val="en-IE"/>
        </w:rPr>
        <w:t>DSp</w:t>
      </w:r>
      <w:proofErr w:type="spellEnd"/>
      <w:r w:rsidR="00FC7E69" w:rsidRPr="008E20C4">
        <w:rPr>
          <w:lang w:val="en-IE"/>
        </w:rPr>
        <w:t xml:space="preserve"> estimates by adding more samples (of equivalent status to the original panel) as they become available.</w:t>
      </w:r>
    </w:p>
    <w:p w14:paraId="2316D5B0" w14:textId="52ADF909" w:rsidR="00667CDB" w:rsidRPr="008E20C4" w:rsidRDefault="00667CDB" w:rsidP="00CE2C66">
      <w:pPr>
        <w:pStyle w:val="Tabletitle"/>
        <w:rPr>
          <w:lang w:val="en-IE"/>
        </w:rPr>
      </w:pPr>
      <w:r w:rsidRPr="008E20C4">
        <w:rPr>
          <w:lang w:val="en-IE"/>
        </w:rPr>
        <w:t xml:space="preserve">Table </w:t>
      </w:r>
      <w:r w:rsidR="00C61E7F" w:rsidRPr="008E20C4">
        <w:rPr>
          <w:lang w:val="en-IE"/>
        </w:rPr>
        <w:t>2</w:t>
      </w:r>
      <w:r w:rsidRPr="008E20C4">
        <w:rPr>
          <w:lang w:val="en-IE"/>
        </w:rPr>
        <w:t xml:space="preserve">. Theoretical number of samples from animals of known infection status required for </w:t>
      </w:r>
      <w:r w:rsidRPr="008E20C4">
        <w:rPr>
          <w:lang w:val="en-IE"/>
        </w:rPr>
        <w:br/>
        <w:t>establishing diagnostic sensitivity (</w:t>
      </w:r>
      <w:proofErr w:type="spellStart"/>
      <w:r w:rsidRPr="008E20C4">
        <w:rPr>
          <w:lang w:val="en-IE"/>
        </w:rPr>
        <w:t>DSe</w:t>
      </w:r>
      <w:proofErr w:type="spellEnd"/>
      <w:r w:rsidRPr="008E20C4">
        <w:rPr>
          <w:lang w:val="en-IE"/>
        </w:rPr>
        <w:t>) and specificity (</w:t>
      </w:r>
      <w:proofErr w:type="spellStart"/>
      <w:r w:rsidRPr="008E20C4">
        <w:rPr>
          <w:lang w:val="en-IE"/>
        </w:rPr>
        <w:t>DSp</w:t>
      </w:r>
      <w:proofErr w:type="spellEnd"/>
      <w:r w:rsidRPr="008E20C4">
        <w:rPr>
          <w:lang w:val="en-IE"/>
        </w:rPr>
        <w:t xml:space="preserve">) estimates depending on likely value of </w:t>
      </w:r>
      <w:r w:rsidRPr="008E20C4">
        <w:rPr>
          <w:lang w:val="en-IE"/>
        </w:rPr>
        <w:br/>
      </w:r>
      <w:proofErr w:type="spellStart"/>
      <w:r w:rsidRPr="008E20C4">
        <w:rPr>
          <w:lang w:val="en-IE"/>
        </w:rPr>
        <w:t>DSe</w:t>
      </w:r>
      <w:proofErr w:type="spellEnd"/>
      <w:r w:rsidRPr="008E20C4">
        <w:rPr>
          <w:lang w:val="en-IE"/>
        </w:rPr>
        <w:t xml:space="preserve"> or </w:t>
      </w:r>
      <w:proofErr w:type="spellStart"/>
      <w:r w:rsidRPr="008E20C4">
        <w:rPr>
          <w:lang w:val="en-IE"/>
        </w:rPr>
        <w:t>DSp</w:t>
      </w:r>
      <w:proofErr w:type="spellEnd"/>
      <w:r w:rsidRPr="008E20C4">
        <w:rPr>
          <w:lang w:val="en-IE"/>
        </w:rPr>
        <w:t xml:space="preserve"> and desired error margin and </w:t>
      </w:r>
      <w:proofErr w:type="gramStart"/>
      <w:r w:rsidRPr="008E20C4">
        <w:rPr>
          <w:lang w:val="en-IE"/>
        </w:rPr>
        <w:t>confidence</w:t>
      </w:r>
      <w:proofErr w:type="gramEnd"/>
    </w:p>
    <w:tbl>
      <w:tblPr>
        <w:tblW w:w="7236" w:type="dxa"/>
        <w:jc w:val="center"/>
        <w:tblLook w:val="00A0" w:firstRow="1" w:lastRow="0" w:firstColumn="1" w:lastColumn="0" w:noHBand="0" w:noVBand="0"/>
      </w:tblPr>
      <w:tblGrid>
        <w:gridCol w:w="1462"/>
        <w:gridCol w:w="1047"/>
        <w:gridCol w:w="992"/>
        <w:gridCol w:w="993"/>
        <w:gridCol w:w="1041"/>
        <w:gridCol w:w="850"/>
        <w:gridCol w:w="851"/>
      </w:tblGrid>
      <w:tr w:rsidR="00667CDB" w:rsidRPr="008E20C4" w14:paraId="716921FB" w14:textId="77777777" w:rsidTr="004B3887">
        <w:trPr>
          <w:trHeight w:val="263"/>
          <w:jc w:val="center"/>
        </w:trPr>
        <w:tc>
          <w:tcPr>
            <w:tcW w:w="1462" w:type="dxa"/>
            <w:tcBorders>
              <w:top w:val="single" w:sz="4" w:space="0" w:color="auto"/>
              <w:left w:val="single" w:sz="8" w:space="0" w:color="auto"/>
              <w:bottom w:val="nil"/>
              <w:right w:val="single" w:sz="8" w:space="0" w:color="auto"/>
            </w:tcBorders>
            <w:noWrap/>
            <w:vAlign w:val="bottom"/>
          </w:tcPr>
          <w:p w14:paraId="3E109801" w14:textId="3446E9E8" w:rsidR="00667CDB" w:rsidRPr="008E20C4" w:rsidRDefault="00667CDB" w:rsidP="00220DD8">
            <w:pPr>
              <w:tabs>
                <w:tab w:val="clear" w:pos="-720"/>
              </w:tabs>
              <w:spacing w:before="120" w:after="120" w:line="240" w:lineRule="auto"/>
              <w:jc w:val="left"/>
              <w:rPr>
                <w:rFonts w:ascii="Söhne Kräftig" w:hAnsi="Söhne Kräftig" w:cs="Calibri"/>
                <w:color w:val="000000"/>
                <w:sz w:val="18"/>
                <w:szCs w:val="18"/>
                <w:lang w:val="en-IE" w:eastAsia="en-US"/>
              </w:rPr>
            </w:pPr>
          </w:p>
        </w:tc>
        <w:tc>
          <w:tcPr>
            <w:tcW w:w="3032" w:type="dxa"/>
            <w:gridSpan w:val="3"/>
            <w:tcBorders>
              <w:top w:val="single" w:sz="4" w:space="0" w:color="auto"/>
              <w:left w:val="nil"/>
              <w:bottom w:val="single" w:sz="4" w:space="0" w:color="auto"/>
              <w:right w:val="single" w:sz="8" w:space="0" w:color="000000"/>
            </w:tcBorders>
            <w:noWrap/>
            <w:vAlign w:val="bottom"/>
          </w:tcPr>
          <w:p w14:paraId="1DA43AC1"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b/>
                <w:bCs/>
                <w:color w:val="000000"/>
                <w:sz w:val="18"/>
                <w:szCs w:val="18"/>
                <w:lang w:val="en-IE" w:eastAsia="en-US"/>
              </w:rPr>
              <w:t>2%</w:t>
            </w:r>
            <w:r w:rsidRPr="008E20C4">
              <w:rPr>
                <w:rFonts w:ascii="Söhne Kräftig" w:hAnsi="Söhne Kräftig" w:cs="Arial"/>
                <w:color w:val="000000"/>
                <w:sz w:val="18"/>
                <w:szCs w:val="18"/>
                <w:lang w:val="en-IE" w:eastAsia="en-US"/>
              </w:rPr>
              <w:t xml:space="preserve"> error allowed in estimate of </w:t>
            </w:r>
            <w:proofErr w:type="spellStart"/>
            <w:r w:rsidRPr="008E20C4">
              <w:rPr>
                <w:rFonts w:ascii="Söhne Kräftig" w:hAnsi="Söhne Kräftig" w:cs="Arial"/>
                <w:color w:val="000000"/>
                <w:sz w:val="18"/>
                <w:szCs w:val="18"/>
                <w:lang w:val="en-IE" w:eastAsia="en-US"/>
              </w:rPr>
              <w:t>DSe</w:t>
            </w:r>
            <w:proofErr w:type="spellEnd"/>
            <w:r w:rsidRPr="008E20C4">
              <w:rPr>
                <w:rFonts w:ascii="Söhne Kräftig" w:hAnsi="Söhne Kräftig" w:cs="Arial"/>
                <w:color w:val="000000"/>
                <w:sz w:val="18"/>
                <w:szCs w:val="18"/>
                <w:lang w:val="en-IE" w:eastAsia="en-US"/>
              </w:rPr>
              <w:t xml:space="preserve"> and </w:t>
            </w:r>
            <w:proofErr w:type="spellStart"/>
            <w:r w:rsidRPr="008E20C4">
              <w:rPr>
                <w:rFonts w:ascii="Söhne Kräftig" w:hAnsi="Söhne Kräftig" w:cs="Arial"/>
                <w:color w:val="000000"/>
                <w:sz w:val="18"/>
                <w:szCs w:val="18"/>
                <w:lang w:val="en-IE" w:eastAsia="en-US"/>
              </w:rPr>
              <w:t>DSp</w:t>
            </w:r>
            <w:proofErr w:type="spellEnd"/>
          </w:p>
        </w:tc>
        <w:tc>
          <w:tcPr>
            <w:tcW w:w="2742" w:type="dxa"/>
            <w:gridSpan w:val="3"/>
            <w:tcBorders>
              <w:top w:val="single" w:sz="4" w:space="0" w:color="auto"/>
              <w:left w:val="nil"/>
              <w:bottom w:val="single" w:sz="4" w:space="0" w:color="auto"/>
              <w:right w:val="single" w:sz="8" w:space="0" w:color="000000"/>
            </w:tcBorders>
            <w:noWrap/>
            <w:vAlign w:val="bottom"/>
          </w:tcPr>
          <w:p w14:paraId="406EB02A"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b/>
                <w:bCs/>
                <w:color w:val="000000"/>
                <w:sz w:val="18"/>
                <w:szCs w:val="18"/>
                <w:lang w:val="en-IE" w:eastAsia="en-US"/>
              </w:rPr>
              <w:t>5%</w:t>
            </w:r>
            <w:r w:rsidRPr="008E20C4">
              <w:rPr>
                <w:rFonts w:ascii="Söhne Kräftig" w:hAnsi="Söhne Kräftig" w:cs="Arial"/>
                <w:color w:val="000000"/>
                <w:sz w:val="18"/>
                <w:szCs w:val="18"/>
                <w:lang w:val="en-IE" w:eastAsia="en-US"/>
              </w:rPr>
              <w:t xml:space="preserve"> error allowed in estimate of </w:t>
            </w:r>
            <w:proofErr w:type="spellStart"/>
            <w:r w:rsidRPr="008E20C4">
              <w:rPr>
                <w:rFonts w:ascii="Söhne Kräftig" w:hAnsi="Söhne Kräftig" w:cs="Arial"/>
                <w:color w:val="000000"/>
                <w:sz w:val="18"/>
                <w:szCs w:val="18"/>
                <w:lang w:val="en-IE" w:eastAsia="en-US"/>
              </w:rPr>
              <w:t>DSe</w:t>
            </w:r>
            <w:proofErr w:type="spellEnd"/>
            <w:r w:rsidRPr="008E20C4">
              <w:rPr>
                <w:rFonts w:ascii="Söhne Kräftig" w:hAnsi="Söhne Kräftig" w:cs="Arial"/>
                <w:color w:val="000000"/>
                <w:sz w:val="18"/>
                <w:szCs w:val="18"/>
                <w:lang w:val="en-IE" w:eastAsia="en-US"/>
              </w:rPr>
              <w:t xml:space="preserve"> and </w:t>
            </w:r>
            <w:proofErr w:type="spellStart"/>
            <w:r w:rsidRPr="008E20C4">
              <w:rPr>
                <w:rFonts w:ascii="Söhne Kräftig" w:hAnsi="Söhne Kräftig" w:cs="Arial"/>
                <w:color w:val="000000"/>
                <w:sz w:val="18"/>
                <w:szCs w:val="18"/>
                <w:lang w:val="en-IE" w:eastAsia="en-US"/>
              </w:rPr>
              <w:t>DSp</w:t>
            </w:r>
            <w:proofErr w:type="spellEnd"/>
          </w:p>
        </w:tc>
      </w:tr>
      <w:tr w:rsidR="007B3178" w:rsidRPr="008E20C4" w14:paraId="56D91E5B" w14:textId="77777777" w:rsidTr="00220DD8">
        <w:trPr>
          <w:trHeight w:val="263"/>
          <w:jc w:val="center"/>
        </w:trPr>
        <w:tc>
          <w:tcPr>
            <w:tcW w:w="1462" w:type="dxa"/>
            <w:vMerge w:val="restart"/>
            <w:tcBorders>
              <w:top w:val="nil"/>
              <w:left w:val="single" w:sz="8" w:space="0" w:color="auto"/>
              <w:right w:val="single" w:sz="8" w:space="0" w:color="auto"/>
            </w:tcBorders>
            <w:shd w:val="clear" w:color="000000" w:fill="FFFFFF"/>
            <w:noWrap/>
            <w:vAlign w:val="center"/>
          </w:tcPr>
          <w:p w14:paraId="69499B82" w14:textId="77777777" w:rsidR="00667CDB" w:rsidRPr="008E20C4" w:rsidRDefault="00667CDB" w:rsidP="00220DD8">
            <w:pPr>
              <w:tabs>
                <w:tab w:val="clear" w:pos="-720"/>
              </w:tabs>
              <w:spacing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 xml:space="preserve">Estimated </w:t>
            </w:r>
            <w:proofErr w:type="spellStart"/>
            <w:r w:rsidRPr="008E20C4">
              <w:rPr>
                <w:rFonts w:ascii="Söhne Kräftig" w:hAnsi="Söhne Kräftig" w:cs="Arial"/>
                <w:color w:val="000000"/>
                <w:sz w:val="18"/>
                <w:szCs w:val="18"/>
                <w:lang w:val="en-IE" w:eastAsia="en-US"/>
              </w:rPr>
              <w:t>DSe</w:t>
            </w:r>
            <w:proofErr w:type="spellEnd"/>
            <w:r w:rsidRPr="008E20C4">
              <w:rPr>
                <w:rFonts w:ascii="Söhne Kräftig" w:hAnsi="Söhne Kräftig" w:cs="Arial"/>
                <w:color w:val="000000"/>
                <w:sz w:val="18"/>
                <w:szCs w:val="18"/>
                <w:lang w:val="en-IE" w:eastAsia="en-US"/>
              </w:rPr>
              <w:t xml:space="preserve"> or </w:t>
            </w:r>
            <w:proofErr w:type="spellStart"/>
            <w:r w:rsidRPr="008E20C4">
              <w:rPr>
                <w:rFonts w:ascii="Söhne Kräftig" w:hAnsi="Söhne Kräftig" w:cs="Arial"/>
                <w:color w:val="000000"/>
                <w:sz w:val="18"/>
                <w:szCs w:val="18"/>
                <w:lang w:val="en-IE" w:eastAsia="en-US"/>
              </w:rPr>
              <w:t>DSp</w:t>
            </w:r>
            <w:proofErr w:type="spellEnd"/>
          </w:p>
        </w:tc>
        <w:tc>
          <w:tcPr>
            <w:tcW w:w="3032" w:type="dxa"/>
            <w:gridSpan w:val="3"/>
            <w:tcBorders>
              <w:top w:val="nil"/>
              <w:left w:val="nil"/>
              <w:bottom w:val="single" w:sz="4" w:space="0" w:color="auto"/>
              <w:right w:val="single" w:sz="8" w:space="0" w:color="000000"/>
            </w:tcBorders>
            <w:shd w:val="clear" w:color="000000" w:fill="FFFFFF"/>
            <w:noWrap/>
            <w:vAlign w:val="bottom"/>
          </w:tcPr>
          <w:p w14:paraId="47DFB7D9"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 xml:space="preserve">Confidence </w:t>
            </w:r>
          </w:p>
        </w:tc>
        <w:tc>
          <w:tcPr>
            <w:tcW w:w="2742" w:type="dxa"/>
            <w:gridSpan w:val="3"/>
            <w:tcBorders>
              <w:top w:val="nil"/>
              <w:left w:val="nil"/>
              <w:bottom w:val="single" w:sz="4" w:space="0" w:color="auto"/>
              <w:right w:val="single" w:sz="8" w:space="0" w:color="000000"/>
            </w:tcBorders>
            <w:shd w:val="clear" w:color="000000" w:fill="FFFFFF"/>
            <w:noWrap/>
            <w:vAlign w:val="bottom"/>
          </w:tcPr>
          <w:p w14:paraId="6C9CCFB4"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 xml:space="preserve">Confidence </w:t>
            </w:r>
          </w:p>
        </w:tc>
      </w:tr>
      <w:tr w:rsidR="007B3178" w:rsidRPr="008E20C4" w14:paraId="69352F5A" w14:textId="77777777" w:rsidTr="00220DD8">
        <w:trPr>
          <w:trHeight w:val="263"/>
          <w:jc w:val="center"/>
        </w:trPr>
        <w:tc>
          <w:tcPr>
            <w:tcW w:w="1462" w:type="dxa"/>
            <w:vMerge/>
            <w:tcBorders>
              <w:left w:val="single" w:sz="8" w:space="0" w:color="auto"/>
              <w:bottom w:val="single" w:sz="4" w:space="0" w:color="auto"/>
              <w:right w:val="single" w:sz="8" w:space="0" w:color="auto"/>
            </w:tcBorders>
            <w:shd w:val="clear" w:color="000000" w:fill="FFFFFF"/>
            <w:noWrap/>
            <w:vAlign w:val="bottom"/>
          </w:tcPr>
          <w:p w14:paraId="626E6D89" w14:textId="77777777" w:rsidR="00667CDB" w:rsidRPr="008E20C4" w:rsidRDefault="00667CDB" w:rsidP="00220DD8">
            <w:pPr>
              <w:tabs>
                <w:tab w:val="clear" w:pos="-720"/>
              </w:tabs>
              <w:spacing w:line="240" w:lineRule="auto"/>
              <w:jc w:val="center"/>
              <w:rPr>
                <w:rFonts w:ascii="Söhne Kräftig" w:hAnsi="Söhne Kräftig" w:cs="Arial"/>
                <w:color w:val="000000"/>
                <w:sz w:val="18"/>
                <w:szCs w:val="18"/>
                <w:lang w:val="en-IE" w:eastAsia="en-US"/>
              </w:rPr>
            </w:pPr>
          </w:p>
        </w:tc>
        <w:tc>
          <w:tcPr>
            <w:tcW w:w="1047" w:type="dxa"/>
            <w:tcBorders>
              <w:top w:val="nil"/>
              <w:left w:val="nil"/>
              <w:bottom w:val="single" w:sz="4" w:space="0" w:color="auto"/>
              <w:right w:val="nil"/>
            </w:tcBorders>
            <w:shd w:val="clear" w:color="000000" w:fill="FFFFFF"/>
            <w:noWrap/>
            <w:vAlign w:val="bottom"/>
          </w:tcPr>
          <w:p w14:paraId="416D10DD"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90%</w:t>
            </w:r>
          </w:p>
        </w:tc>
        <w:tc>
          <w:tcPr>
            <w:tcW w:w="992" w:type="dxa"/>
            <w:tcBorders>
              <w:top w:val="nil"/>
              <w:left w:val="nil"/>
              <w:bottom w:val="single" w:sz="4" w:space="0" w:color="auto"/>
              <w:right w:val="nil"/>
            </w:tcBorders>
            <w:shd w:val="clear" w:color="000000" w:fill="FFFFFF"/>
            <w:noWrap/>
            <w:vAlign w:val="bottom"/>
          </w:tcPr>
          <w:p w14:paraId="102CBDF0"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95%</w:t>
            </w:r>
          </w:p>
        </w:tc>
        <w:tc>
          <w:tcPr>
            <w:tcW w:w="993" w:type="dxa"/>
            <w:tcBorders>
              <w:top w:val="nil"/>
              <w:left w:val="nil"/>
              <w:bottom w:val="single" w:sz="4" w:space="0" w:color="auto"/>
              <w:right w:val="single" w:sz="8" w:space="0" w:color="auto"/>
            </w:tcBorders>
            <w:shd w:val="clear" w:color="000000" w:fill="FFFFFF"/>
            <w:noWrap/>
            <w:vAlign w:val="bottom"/>
          </w:tcPr>
          <w:p w14:paraId="1F7F56E3"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99%</w:t>
            </w:r>
          </w:p>
        </w:tc>
        <w:tc>
          <w:tcPr>
            <w:tcW w:w="1041" w:type="dxa"/>
            <w:tcBorders>
              <w:top w:val="nil"/>
              <w:left w:val="nil"/>
              <w:bottom w:val="single" w:sz="4" w:space="0" w:color="auto"/>
              <w:right w:val="nil"/>
            </w:tcBorders>
            <w:shd w:val="clear" w:color="000000" w:fill="FFFFFF"/>
            <w:noWrap/>
            <w:vAlign w:val="bottom"/>
          </w:tcPr>
          <w:p w14:paraId="73350CDE"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90%</w:t>
            </w:r>
          </w:p>
        </w:tc>
        <w:tc>
          <w:tcPr>
            <w:tcW w:w="850" w:type="dxa"/>
            <w:tcBorders>
              <w:top w:val="nil"/>
              <w:left w:val="nil"/>
              <w:bottom w:val="single" w:sz="4" w:space="0" w:color="auto"/>
              <w:right w:val="nil"/>
            </w:tcBorders>
            <w:shd w:val="clear" w:color="000000" w:fill="FFFFFF"/>
            <w:noWrap/>
            <w:vAlign w:val="bottom"/>
          </w:tcPr>
          <w:p w14:paraId="553B88A6"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95%</w:t>
            </w:r>
          </w:p>
        </w:tc>
        <w:tc>
          <w:tcPr>
            <w:tcW w:w="851" w:type="dxa"/>
            <w:tcBorders>
              <w:top w:val="nil"/>
              <w:left w:val="nil"/>
              <w:bottom w:val="single" w:sz="4" w:space="0" w:color="auto"/>
              <w:right w:val="single" w:sz="8" w:space="0" w:color="auto"/>
            </w:tcBorders>
            <w:shd w:val="clear" w:color="000000" w:fill="FFFFFF"/>
            <w:noWrap/>
            <w:vAlign w:val="bottom"/>
          </w:tcPr>
          <w:p w14:paraId="67F626A3" w14:textId="77777777" w:rsidR="00667CDB" w:rsidRPr="008E20C4" w:rsidRDefault="00667CDB" w:rsidP="00220DD8">
            <w:pPr>
              <w:tabs>
                <w:tab w:val="clear" w:pos="-720"/>
              </w:tabs>
              <w:spacing w:before="120" w:after="120" w:line="240" w:lineRule="auto"/>
              <w:jc w:val="center"/>
              <w:rPr>
                <w:rFonts w:ascii="Söhne Kräftig" w:hAnsi="Söhne Kräftig" w:cs="Arial"/>
                <w:color w:val="000000"/>
                <w:sz w:val="18"/>
                <w:szCs w:val="18"/>
                <w:lang w:val="en-IE" w:eastAsia="en-US"/>
              </w:rPr>
            </w:pPr>
            <w:r w:rsidRPr="008E20C4">
              <w:rPr>
                <w:rFonts w:ascii="Söhne Kräftig" w:hAnsi="Söhne Kräftig" w:cs="Arial"/>
                <w:color w:val="000000"/>
                <w:sz w:val="18"/>
                <w:szCs w:val="18"/>
                <w:lang w:val="en-IE" w:eastAsia="en-US"/>
              </w:rPr>
              <w:t>99%</w:t>
            </w:r>
          </w:p>
        </w:tc>
      </w:tr>
      <w:tr w:rsidR="007B3178" w:rsidRPr="008E20C4" w14:paraId="3BB44F28"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38667E5D"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90%</w:t>
            </w:r>
          </w:p>
        </w:tc>
        <w:tc>
          <w:tcPr>
            <w:tcW w:w="1047" w:type="dxa"/>
            <w:tcBorders>
              <w:top w:val="nil"/>
              <w:left w:val="nil"/>
              <w:bottom w:val="nil"/>
              <w:right w:val="nil"/>
            </w:tcBorders>
            <w:shd w:val="clear" w:color="000000" w:fill="FFFFFF"/>
            <w:noWrap/>
            <w:vAlign w:val="center"/>
          </w:tcPr>
          <w:p w14:paraId="4F0A9A7D"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610</w:t>
            </w:r>
          </w:p>
        </w:tc>
        <w:tc>
          <w:tcPr>
            <w:tcW w:w="992" w:type="dxa"/>
            <w:tcBorders>
              <w:top w:val="nil"/>
              <w:left w:val="nil"/>
              <w:bottom w:val="nil"/>
              <w:right w:val="nil"/>
            </w:tcBorders>
            <w:shd w:val="clear" w:color="000000" w:fill="FFFFFF"/>
            <w:noWrap/>
            <w:vAlign w:val="center"/>
          </w:tcPr>
          <w:p w14:paraId="64D58C0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864</w:t>
            </w:r>
          </w:p>
        </w:tc>
        <w:tc>
          <w:tcPr>
            <w:tcW w:w="993" w:type="dxa"/>
            <w:tcBorders>
              <w:top w:val="nil"/>
              <w:left w:val="nil"/>
              <w:bottom w:val="nil"/>
              <w:right w:val="single" w:sz="8" w:space="0" w:color="auto"/>
            </w:tcBorders>
            <w:shd w:val="clear" w:color="000000" w:fill="FFFFFF"/>
            <w:noWrap/>
            <w:vAlign w:val="center"/>
          </w:tcPr>
          <w:p w14:paraId="6F6A6BA4"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1493</w:t>
            </w:r>
          </w:p>
        </w:tc>
        <w:tc>
          <w:tcPr>
            <w:tcW w:w="1041" w:type="dxa"/>
            <w:tcBorders>
              <w:top w:val="nil"/>
              <w:left w:val="nil"/>
              <w:bottom w:val="nil"/>
              <w:right w:val="nil"/>
            </w:tcBorders>
            <w:noWrap/>
            <w:vAlign w:val="center"/>
          </w:tcPr>
          <w:p w14:paraId="60B07720"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98</w:t>
            </w:r>
          </w:p>
        </w:tc>
        <w:tc>
          <w:tcPr>
            <w:tcW w:w="850" w:type="dxa"/>
            <w:tcBorders>
              <w:top w:val="nil"/>
              <w:left w:val="nil"/>
              <w:bottom w:val="nil"/>
              <w:right w:val="nil"/>
            </w:tcBorders>
            <w:noWrap/>
            <w:vAlign w:val="center"/>
          </w:tcPr>
          <w:p w14:paraId="6CD6ECE6"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138</w:t>
            </w:r>
          </w:p>
        </w:tc>
        <w:tc>
          <w:tcPr>
            <w:tcW w:w="851" w:type="dxa"/>
            <w:tcBorders>
              <w:top w:val="nil"/>
              <w:left w:val="nil"/>
              <w:bottom w:val="nil"/>
              <w:right w:val="single" w:sz="8" w:space="0" w:color="auto"/>
            </w:tcBorders>
            <w:noWrap/>
            <w:vAlign w:val="center"/>
          </w:tcPr>
          <w:p w14:paraId="0C4B3170"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239</w:t>
            </w:r>
          </w:p>
        </w:tc>
      </w:tr>
      <w:tr w:rsidR="007B3178" w:rsidRPr="008E20C4" w14:paraId="3ACA07AA"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0F4D9796"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92%</w:t>
            </w:r>
          </w:p>
        </w:tc>
        <w:tc>
          <w:tcPr>
            <w:tcW w:w="1047" w:type="dxa"/>
            <w:tcBorders>
              <w:top w:val="nil"/>
              <w:left w:val="nil"/>
              <w:bottom w:val="nil"/>
              <w:right w:val="nil"/>
            </w:tcBorders>
            <w:shd w:val="clear" w:color="000000" w:fill="FFFFFF"/>
            <w:noWrap/>
            <w:vAlign w:val="center"/>
          </w:tcPr>
          <w:p w14:paraId="2EBD181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466</w:t>
            </w:r>
          </w:p>
        </w:tc>
        <w:tc>
          <w:tcPr>
            <w:tcW w:w="992" w:type="dxa"/>
            <w:tcBorders>
              <w:top w:val="nil"/>
              <w:left w:val="nil"/>
              <w:bottom w:val="nil"/>
              <w:right w:val="nil"/>
            </w:tcBorders>
            <w:shd w:val="clear" w:color="000000" w:fill="FFFFFF"/>
            <w:noWrap/>
            <w:vAlign w:val="center"/>
          </w:tcPr>
          <w:p w14:paraId="275289A5"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707</w:t>
            </w:r>
          </w:p>
        </w:tc>
        <w:tc>
          <w:tcPr>
            <w:tcW w:w="993" w:type="dxa"/>
            <w:tcBorders>
              <w:top w:val="nil"/>
              <w:left w:val="nil"/>
              <w:bottom w:val="nil"/>
              <w:right w:val="single" w:sz="8" w:space="0" w:color="auto"/>
            </w:tcBorders>
            <w:shd w:val="clear" w:color="000000" w:fill="FFFFFF"/>
            <w:noWrap/>
            <w:vAlign w:val="center"/>
          </w:tcPr>
          <w:p w14:paraId="24773D82"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1221</w:t>
            </w:r>
          </w:p>
        </w:tc>
        <w:tc>
          <w:tcPr>
            <w:tcW w:w="1041" w:type="dxa"/>
            <w:tcBorders>
              <w:top w:val="nil"/>
              <w:left w:val="nil"/>
              <w:bottom w:val="nil"/>
              <w:right w:val="nil"/>
            </w:tcBorders>
            <w:noWrap/>
            <w:vAlign w:val="center"/>
          </w:tcPr>
          <w:p w14:paraId="0D7F7168"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75</w:t>
            </w:r>
          </w:p>
        </w:tc>
        <w:tc>
          <w:tcPr>
            <w:tcW w:w="850" w:type="dxa"/>
            <w:tcBorders>
              <w:top w:val="nil"/>
              <w:left w:val="nil"/>
              <w:bottom w:val="nil"/>
              <w:right w:val="nil"/>
            </w:tcBorders>
            <w:noWrap/>
            <w:vAlign w:val="center"/>
          </w:tcPr>
          <w:p w14:paraId="6D2E59B4"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113</w:t>
            </w:r>
          </w:p>
        </w:tc>
        <w:tc>
          <w:tcPr>
            <w:tcW w:w="851" w:type="dxa"/>
            <w:tcBorders>
              <w:top w:val="nil"/>
              <w:left w:val="nil"/>
              <w:bottom w:val="nil"/>
              <w:right w:val="single" w:sz="8" w:space="0" w:color="auto"/>
            </w:tcBorders>
            <w:noWrap/>
            <w:vAlign w:val="center"/>
          </w:tcPr>
          <w:p w14:paraId="26342DB4"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195</w:t>
            </w:r>
          </w:p>
        </w:tc>
      </w:tr>
      <w:tr w:rsidR="007B3178" w:rsidRPr="008E20C4" w14:paraId="5B0D5F4F"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7394E437"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94%</w:t>
            </w:r>
          </w:p>
        </w:tc>
        <w:tc>
          <w:tcPr>
            <w:tcW w:w="1047" w:type="dxa"/>
            <w:tcBorders>
              <w:top w:val="nil"/>
              <w:left w:val="nil"/>
              <w:bottom w:val="nil"/>
              <w:right w:val="nil"/>
            </w:tcBorders>
            <w:shd w:val="clear" w:color="000000" w:fill="FFFFFF"/>
            <w:noWrap/>
            <w:vAlign w:val="center"/>
          </w:tcPr>
          <w:p w14:paraId="3203FB8E"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382</w:t>
            </w:r>
          </w:p>
        </w:tc>
        <w:tc>
          <w:tcPr>
            <w:tcW w:w="992" w:type="dxa"/>
            <w:tcBorders>
              <w:top w:val="nil"/>
              <w:left w:val="nil"/>
              <w:bottom w:val="nil"/>
              <w:right w:val="nil"/>
            </w:tcBorders>
            <w:shd w:val="clear" w:color="000000" w:fill="FFFFFF"/>
            <w:noWrap/>
            <w:vAlign w:val="center"/>
          </w:tcPr>
          <w:p w14:paraId="5DD64DE0"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542</w:t>
            </w:r>
          </w:p>
        </w:tc>
        <w:tc>
          <w:tcPr>
            <w:tcW w:w="993" w:type="dxa"/>
            <w:tcBorders>
              <w:top w:val="nil"/>
              <w:left w:val="nil"/>
              <w:bottom w:val="nil"/>
              <w:right w:val="single" w:sz="8" w:space="0" w:color="auto"/>
            </w:tcBorders>
            <w:shd w:val="clear" w:color="000000" w:fill="FFFFFF"/>
            <w:noWrap/>
            <w:vAlign w:val="center"/>
          </w:tcPr>
          <w:p w14:paraId="01767BA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935</w:t>
            </w:r>
          </w:p>
        </w:tc>
        <w:tc>
          <w:tcPr>
            <w:tcW w:w="1041" w:type="dxa"/>
            <w:tcBorders>
              <w:top w:val="nil"/>
              <w:left w:val="nil"/>
              <w:bottom w:val="nil"/>
              <w:right w:val="nil"/>
            </w:tcBorders>
            <w:noWrap/>
            <w:vAlign w:val="center"/>
          </w:tcPr>
          <w:p w14:paraId="39731B2D"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61</w:t>
            </w:r>
          </w:p>
        </w:tc>
        <w:tc>
          <w:tcPr>
            <w:tcW w:w="850" w:type="dxa"/>
            <w:tcBorders>
              <w:top w:val="nil"/>
              <w:left w:val="nil"/>
              <w:bottom w:val="nil"/>
              <w:right w:val="nil"/>
            </w:tcBorders>
            <w:noWrap/>
            <w:vAlign w:val="center"/>
          </w:tcPr>
          <w:p w14:paraId="0FE64ED7"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87</w:t>
            </w:r>
          </w:p>
        </w:tc>
        <w:tc>
          <w:tcPr>
            <w:tcW w:w="851" w:type="dxa"/>
            <w:tcBorders>
              <w:top w:val="nil"/>
              <w:left w:val="nil"/>
              <w:bottom w:val="nil"/>
              <w:right w:val="single" w:sz="8" w:space="0" w:color="auto"/>
            </w:tcBorders>
            <w:noWrap/>
            <w:vAlign w:val="center"/>
          </w:tcPr>
          <w:p w14:paraId="116B439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150</w:t>
            </w:r>
          </w:p>
        </w:tc>
      </w:tr>
      <w:tr w:rsidR="007B3178" w:rsidRPr="008E20C4" w14:paraId="54C3636A"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2B0E36E9"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95%</w:t>
            </w:r>
          </w:p>
        </w:tc>
        <w:tc>
          <w:tcPr>
            <w:tcW w:w="1047" w:type="dxa"/>
            <w:tcBorders>
              <w:top w:val="nil"/>
              <w:left w:val="nil"/>
              <w:bottom w:val="nil"/>
              <w:right w:val="nil"/>
            </w:tcBorders>
            <w:shd w:val="clear" w:color="000000" w:fill="FFFFFF"/>
            <w:noWrap/>
            <w:vAlign w:val="center"/>
          </w:tcPr>
          <w:p w14:paraId="5B5D60F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372</w:t>
            </w:r>
          </w:p>
        </w:tc>
        <w:tc>
          <w:tcPr>
            <w:tcW w:w="992" w:type="dxa"/>
            <w:tcBorders>
              <w:top w:val="nil"/>
              <w:left w:val="nil"/>
              <w:bottom w:val="nil"/>
              <w:right w:val="nil"/>
            </w:tcBorders>
            <w:shd w:val="clear" w:color="000000" w:fill="FFFFFF"/>
            <w:noWrap/>
            <w:vAlign w:val="center"/>
          </w:tcPr>
          <w:p w14:paraId="285E834F"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456</w:t>
            </w:r>
          </w:p>
        </w:tc>
        <w:tc>
          <w:tcPr>
            <w:tcW w:w="993" w:type="dxa"/>
            <w:tcBorders>
              <w:top w:val="nil"/>
              <w:left w:val="nil"/>
              <w:bottom w:val="nil"/>
              <w:right w:val="single" w:sz="8" w:space="0" w:color="auto"/>
            </w:tcBorders>
            <w:shd w:val="clear" w:color="000000" w:fill="FFFFFF"/>
            <w:noWrap/>
            <w:vAlign w:val="center"/>
          </w:tcPr>
          <w:p w14:paraId="4CE0266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788</w:t>
            </w:r>
          </w:p>
        </w:tc>
        <w:tc>
          <w:tcPr>
            <w:tcW w:w="1041" w:type="dxa"/>
            <w:tcBorders>
              <w:top w:val="nil"/>
              <w:left w:val="nil"/>
              <w:bottom w:val="nil"/>
              <w:right w:val="nil"/>
            </w:tcBorders>
            <w:noWrap/>
            <w:vAlign w:val="center"/>
          </w:tcPr>
          <w:p w14:paraId="4E2EC3F7"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60</w:t>
            </w:r>
          </w:p>
        </w:tc>
        <w:tc>
          <w:tcPr>
            <w:tcW w:w="850" w:type="dxa"/>
            <w:tcBorders>
              <w:top w:val="nil"/>
              <w:left w:val="nil"/>
              <w:bottom w:val="nil"/>
              <w:right w:val="nil"/>
            </w:tcBorders>
            <w:noWrap/>
            <w:vAlign w:val="center"/>
          </w:tcPr>
          <w:p w14:paraId="7320C68D"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73</w:t>
            </w:r>
          </w:p>
        </w:tc>
        <w:tc>
          <w:tcPr>
            <w:tcW w:w="851" w:type="dxa"/>
            <w:tcBorders>
              <w:top w:val="nil"/>
              <w:left w:val="nil"/>
              <w:bottom w:val="nil"/>
              <w:right w:val="single" w:sz="8" w:space="0" w:color="auto"/>
            </w:tcBorders>
            <w:noWrap/>
            <w:vAlign w:val="center"/>
          </w:tcPr>
          <w:p w14:paraId="4B6DF7A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126</w:t>
            </w:r>
          </w:p>
        </w:tc>
      </w:tr>
      <w:tr w:rsidR="007B3178" w:rsidRPr="008E20C4" w14:paraId="26040DA9"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66C9C2D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96%</w:t>
            </w:r>
          </w:p>
        </w:tc>
        <w:tc>
          <w:tcPr>
            <w:tcW w:w="1047" w:type="dxa"/>
            <w:tcBorders>
              <w:top w:val="nil"/>
              <w:left w:val="nil"/>
              <w:bottom w:val="nil"/>
              <w:right w:val="nil"/>
            </w:tcBorders>
            <w:shd w:val="clear" w:color="000000" w:fill="FFFFFF"/>
            <w:noWrap/>
            <w:vAlign w:val="center"/>
          </w:tcPr>
          <w:p w14:paraId="6545343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260</w:t>
            </w:r>
          </w:p>
        </w:tc>
        <w:tc>
          <w:tcPr>
            <w:tcW w:w="992" w:type="dxa"/>
            <w:tcBorders>
              <w:top w:val="nil"/>
              <w:left w:val="nil"/>
              <w:bottom w:val="nil"/>
              <w:right w:val="nil"/>
            </w:tcBorders>
            <w:shd w:val="clear" w:color="000000" w:fill="FFFFFF"/>
            <w:noWrap/>
            <w:vAlign w:val="center"/>
          </w:tcPr>
          <w:p w14:paraId="2AF1B21F"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369</w:t>
            </w:r>
          </w:p>
        </w:tc>
        <w:tc>
          <w:tcPr>
            <w:tcW w:w="993" w:type="dxa"/>
            <w:tcBorders>
              <w:top w:val="nil"/>
              <w:left w:val="nil"/>
              <w:bottom w:val="nil"/>
              <w:right w:val="single" w:sz="8" w:space="0" w:color="auto"/>
            </w:tcBorders>
            <w:shd w:val="clear" w:color="000000" w:fill="FFFFFF"/>
            <w:noWrap/>
            <w:vAlign w:val="center"/>
          </w:tcPr>
          <w:p w14:paraId="154B1E50"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637</w:t>
            </w:r>
          </w:p>
        </w:tc>
        <w:tc>
          <w:tcPr>
            <w:tcW w:w="1041" w:type="dxa"/>
            <w:tcBorders>
              <w:top w:val="nil"/>
              <w:left w:val="nil"/>
              <w:bottom w:val="nil"/>
              <w:right w:val="nil"/>
            </w:tcBorders>
            <w:noWrap/>
            <w:vAlign w:val="center"/>
          </w:tcPr>
          <w:p w14:paraId="7DD6AEBD"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42</w:t>
            </w:r>
          </w:p>
        </w:tc>
        <w:tc>
          <w:tcPr>
            <w:tcW w:w="850" w:type="dxa"/>
            <w:tcBorders>
              <w:top w:val="nil"/>
              <w:left w:val="nil"/>
              <w:bottom w:val="nil"/>
              <w:right w:val="nil"/>
            </w:tcBorders>
            <w:noWrap/>
            <w:vAlign w:val="center"/>
          </w:tcPr>
          <w:p w14:paraId="2FFA7409"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59</w:t>
            </w:r>
          </w:p>
        </w:tc>
        <w:tc>
          <w:tcPr>
            <w:tcW w:w="851" w:type="dxa"/>
            <w:tcBorders>
              <w:top w:val="nil"/>
              <w:left w:val="nil"/>
              <w:bottom w:val="nil"/>
              <w:right w:val="single" w:sz="8" w:space="0" w:color="auto"/>
            </w:tcBorders>
            <w:noWrap/>
            <w:vAlign w:val="center"/>
          </w:tcPr>
          <w:p w14:paraId="36423BF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102</w:t>
            </w:r>
          </w:p>
        </w:tc>
      </w:tr>
      <w:tr w:rsidR="007B3178" w:rsidRPr="008E20C4" w14:paraId="2AA05940"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048CE171"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97%</w:t>
            </w:r>
          </w:p>
        </w:tc>
        <w:tc>
          <w:tcPr>
            <w:tcW w:w="1047" w:type="dxa"/>
            <w:tcBorders>
              <w:top w:val="nil"/>
              <w:left w:val="nil"/>
              <w:bottom w:val="nil"/>
              <w:right w:val="nil"/>
            </w:tcBorders>
            <w:shd w:val="clear" w:color="000000" w:fill="FFFFFF"/>
            <w:noWrap/>
            <w:vAlign w:val="center"/>
          </w:tcPr>
          <w:p w14:paraId="2BB165BF"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197</w:t>
            </w:r>
          </w:p>
        </w:tc>
        <w:tc>
          <w:tcPr>
            <w:tcW w:w="992" w:type="dxa"/>
            <w:tcBorders>
              <w:top w:val="nil"/>
              <w:left w:val="nil"/>
              <w:bottom w:val="nil"/>
              <w:right w:val="nil"/>
            </w:tcBorders>
            <w:shd w:val="clear" w:color="000000" w:fill="FFFFFF"/>
            <w:noWrap/>
            <w:vAlign w:val="center"/>
          </w:tcPr>
          <w:p w14:paraId="4F9924F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279</w:t>
            </w:r>
          </w:p>
        </w:tc>
        <w:tc>
          <w:tcPr>
            <w:tcW w:w="993" w:type="dxa"/>
            <w:tcBorders>
              <w:top w:val="nil"/>
              <w:left w:val="nil"/>
              <w:bottom w:val="nil"/>
              <w:right w:val="single" w:sz="8" w:space="0" w:color="auto"/>
            </w:tcBorders>
            <w:shd w:val="clear" w:color="000000" w:fill="FFFFFF"/>
            <w:noWrap/>
            <w:vAlign w:val="center"/>
          </w:tcPr>
          <w:p w14:paraId="412C8DC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483</w:t>
            </w:r>
          </w:p>
        </w:tc>
        <w:tc>
          <w:tcPr>
            <w:tcW w:w="1041" w:type="dxa"/>
            <w:tcBorders>
              <w:top w:val="nil"/>
              <w:left w:val="nil"/>
              <w:bottom w:val="nil"/>
              <w:right w:val="nil"/>
            </w:tcBorders>
            <w:noWrap/>
            <w:vAlign w:val="center"/>
          </w:tcPr>
          <w:p w14:paraId="65489211"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32</w:t>
            </w:r>
          </w:p>
        </w:tc>
        <w:tc>
          <w:tcPr>
            <w:tcW w:w="850" w:type="dxa"/>
            <w:tcBorders>
              <w:top w:val="nil"/>
              <w:left w:val="nil"/>
              <w:bottom w:val="nil"/>
              <w:right w:val="nil"/>
            </w:tcBorders>
            <w:noWrap/>
            <w:vAlign w:val="center"/>
          </w:tcPr>
          <w:p w14:paraId="2C18708A"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45</w:t>
            </w:r>
          </w:p>
        </w:tc>
        <w:tc>
          <w:tcPr>
            <w:tcW w:w="851" w:type="dxa"/>
            <w:tcBorders>
              <w:top w:val="nil"/>
              <w:left w:val="nil"/>
              <w:bottom w:val="nil"/>
              <w:right w:val="single" w:sz="8" w:space="0" w:color="auto"/>
            </w:tcBorders>
            <w:noWrap/>
            <w:vAlign w:val="center"/>
          </w:tcPr>
          <w:p w14:paraId="40A23A38"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77</w:t>
            </w:r>
          </w:p>
        </w:tc>
      </w:tr>
      <w:tr w:rsidR="007B3178" w:rsidRPr="008E20C4" w14:paraId="15C47786" w14:textId="77777777" w:rsidTr="00220DD8">
        <w:trPr>
          <w:trHeight w:val="283"/>
          <w:jc w:val="center"/>
        </w:trPr>
        <w:tc>
          <w:tcPr>
            <w:tcW w:w="1462" w:type="dxa"/>
            <w:tcBorders>
              <w:top w:val="nil"/>
              <w:left w:val="single" w:sz="8" w:space="0" w:color="auto"/>
              <w:bottom w:val="nil"/>
              <w:right w:val="single" w:sz="8" w:space="0" w:color="auto"/>
            </w:tcBorders>
            <w:shd w:val="clear" w:color="000000" w:fill="FFFFFF"/>
            <w:noWrap/>
            <w:vAlign w:val="center"/>
          </w:tcPr>
          <w:p w14:paraId="648CBD19"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98%</w:t>
            </w:r>
          </w:p>
        </w:tc>
        <w:tc>
          <w:tcPr>
            <w:tcW w:w="1047" w:type="dxa"/>
            <w:tcBorders>
              <w:top w:val="nil"/>
              <w:left w:val="nil"/>
              <w:bottom w:val="nil"/>
              <w:right w:val="nil"/>
            </w:tcBorders>
            <w:shd w:val="clear" w:color="000000" w:fill="FFFFFF"/>
            <w:noWrap/>
            <w:vAlign w:val="center"/>
          </w:tcPr>
          <w:p w14:paraId="063F418D"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133</w:t>
            </w:r>
          </w:p>
        </w:tc>
        <w:tc>
          <w:tcPr>
            <w:tcW w:w="992" w:type="dxa"/>
            <w:tcBorders>
              <w:top w:val="nil"/>
              <w:left w:val="nil"/>
              <w:bottom w:val="nil"/>
              <w:right w:val="nil"/>
            </w:tcBorders>
            <w:shd w:val="clear" w:color="000000" w:fill="FFFFFF"/>
            <w:noWrap/>
            <w:vAlign w:val="center"/>
          </w:tcPr>
          <w:p w14:paraId="43C26D0E"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188</w:t>
            </w:r>
          </w:p>
        </w:tc>
        <w:tc>
          <w:tcPr>
            <w:tcW w:w="993" w:type="dxa"/>
            <w:tcBorders>
              <w:top w:val="nil"/>
              <w:left w:val="nil"/>
              <w:bottom w:val="nil"/>
              <w:right w:val="single" w:sz="8" w:space="0" w:color="auto"/>
            </w:tcBorders>
            <w:shd w:val="clear" w:color="000000" w:fill="FFFFFF"/>
            <w:noWrap/>
            <w:vAlign w:val="center"/>
          </w:tcPr>
          <w:p w14:paraId="14DE79B8"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325</w:t>
            </w:r>
          </w:p>
        </w:tc>
        <w:tc>
          <w:tcPr>
            <w:tcW w:w="1041" w:type="dxa"/>
            <w:tcBorders>
              <w:top w:val="nil"/>
              <w:left w:val="nil"/>
              <w:bottom w:val="nil"/>
              <w:right w:val="nil"/>
            </w:tcBorders>
            <w:noWrap/>
            <w:vAlign w:val="center"/>
          </w:tcPr>
          <w:p w14:paraId="35F05432"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21</w:t>
            </w:r>
          </w:p>
        </w:tc>
        <w:tc>
          <w:tcPr>
            <w:tcW w:w="850" w:type="dxa"/>
            <w:tcBorders>
              <w:top w:val="nil"/>
              <w:left w:val="nil"/>
              <w:bottom w:val="nil"/>
              <w:right w:val="nil"/>
            </w:tcBorders>
            <w:noWrap/>
            <w:vAlign w:val="center"/>
          </w:tcPr>
          <w:p w14:paraId="5FDADF86"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30</w:t>
            </w:r>
          </w:p>
        </w:tc>
        <w:tc>
          <w:tcPr>
            <w:tcW w:w="851" w:type="dxa"/>
            <w:tcBorders>
              <w:top w:val="nil"/>
              <w:left w:val="nil"/>
              <w:bottom w:val="nil"/>
              <w:right w:val="single" w:sz="8" w:space="0" w:color="auto"/>
            </w:tcBorders>
            <w:noWrap/>
            <w:vAlign w:val="center"/>
          </w:tcPr>
          <w:p w14:paraId="6ABDFDF4"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52</w:t>
            </w:r>
          </w:p>
        </w:tc>
      </w:tr>
      <w:tr w:rsidR="007B3178" w:rsidRPr="008E20C4" w14:paraId="7641D19B" w14:textId="77777777" w:rsidTr="00220DD8">
        <w:trPr>
          <w:trHeight w:val="340"/>
          <w:jc w:val="center"/>
        </w:trPr>
        <w:tc>
          <w:tcPr>
            <w:tcW w:w="1462" w:type="dxa"/>
            <w:tcBorders>
              <w:top w:val="nil"/>
              <w:left w:val="single" w:sz="8" w:space="0" w:color="auto"/>
              <w:bottom w:val="single" w:sz="8" w:space="0" w:color="auto"/>
              <w:right w:val="single" w:sz="8" w:space="0" w:color="auto"/>
            </w:tcBorders>
            <w:shd w:val="clear" w:color="000000" w:fill="FFFFFF"/>
            <w:noWrap/>
            <w:vAlign w:val="center"/>
          </w:tcPr>
          <w:p w14:paraId="2D2A0927"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99%</w:t>
            </w:r>
          </w:p>
        </w:tc>
        <w:tc>
          <w:tcPr>
            <w:tcW w:w="1047" w:type="dxa"/>
            <w:tcBorders>
              <w:top w:val="nil"/>
              <w:left w:val="nil"/>
              <w:bottom w:val="single" w:sz="8" w:space="0" w:color="auto"/>
              <w:right w:val="nil"/>
            </w:tcBorders>
            <w:shd w:val="clear" w:color="000000" w:fill="FFFFFF"/>
            <w:noWrap/>
            <w:vAlign w:val="center"/>
          </w:tcPr>
          <w:p w14:paraId="40ADDCD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67</w:t>
            </w:r>
          </w:p>
        </w:tc>
        <w:tc>
          <w:tcPr>
            <w:tcW w:w="992" w:type="dxa"/>
            <w:tcBorders>
              <w:top w:val="nil"/>
              <w:left w:val="nil"/>
              <w:bottom w:val="single" w:sz="8" w:space="0" w:color="auto"/>
              <w:right w:val="nil"/>
            </w:tcBorders>
            <w:shd w:val="clear" w:color="000000" w:fill="FFFFFF"/>
            <w:noWrap/>
            <w:vAlign w:val="center"/>
          </w:tcPr>
          <w:p w14:paraId="68FEA688"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95</w:t>
            </w:r>
          </w:p>
        </w:tc>
        <w:tc>
          <w:tcPr>
            <w:tcW w:w="993" w:type="dxa"/>
            <w:tcBorders>
              <w:top w:val="nil"/>
              <w:left w:val="nil"/>
              <w:bottom w:val="single" w:sz="8" w:space="0" w:color="auto"/>
              <w:right w:val="single" w:sz="8" w:space="0" w:color="auto"/>
            </w:tcBorders>
            <w:shd w:val="clear" w:color="000000" w:fill="FFFFFF"/>
            <w:noWrap/>
            <w:vAlign w:val="center"/>
          </w:tcPr>
          <w:p w14:paraId="0C479B9B"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164</w:t>
            </w:r>
          </w:p>
        </w:tc>
        <w:tc>
          <w:tcPr>
            <w:tcW w:w="1041" w:type="dxa"/>
            <w:tcBorders>
              <w:top w:val="nil"/>
              <w:left w:val="nil"/>
              <w:bottom w:val="single" w:sz="8" w:space="0" w:color="auto"/>
              <w:right w:val="nil"/>
            </w:tcBorders>
            <w:noWrap/>
            <w:vAlign w:val="center"/>
          </w:tcPr>
          <w:p w14:paraId="322947E0"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11</w:t>
            </w:r>
          </w:p>
        </w:tc>
        <w:tc>
          <w:tcPr>
            <w:tcW w:w="850" w:type="dxa"/>
            <w:tcBorders>
              <w:top w:val="nil"/>
              <w:left w:val="nil"/>
              <w:bottom w:val="single" w:sz="8" w:space="0" w:color="auto"/>
              <w:right w:val="nil"/>
            </w:tcBorders>
            <w:noWrap/>
            <w:vAlign w:val="center"/>
          </w:tcPr>
          <w:p w14:paraId="74B7298C"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15</w:t>
            </w:r>
          </w:p>
        </w:tc>
        <w:tc>
          <w:tcPr>
            <w:tcW w:w="851" w:type="dxa"/>
            <w:tcBorders>
              <w:top w:val="nil"/>
              <w:left w:val="nil"/>
              <w:bottom w:val="single" w:sz="8" w:space="0" w:color="auto"/>
              <w:right w:val="single" w:sz="8" w:space="0" w:color="auto"/>
            </w:tcBorders>
            <w:noWrap/>
            <w:vAlign w:val="center"/>
          </w:tcPr>
          <w:p w14:paraId="31C1E382" w14:textId="77777777" w:rsidR="00667CDB" w:rsidRPr="008E20C4" w:rsidRDefault="00667CDB" w:rsidP="00220DD8">
            <w:pPr>
              <w:tabs>
                <w:tab w:val="clear" w:pos="-720"/>
              </w:tabs>
              <w:spacing w:before="60" w:after="60" w:line="240" w:lineRule="auto"/>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26</w:t>
            </w:r>
          </w:p>
        </w:tc>
      </w:tr>
    </w:tbl>
    <w:p w14:paraId="392FEF22" w14:textId="5F99421B" w:rsidR="00667CDB" w:rsidRPr="008E20C4" w:rsidRDefault="00667CDB" w:rsidP="00FC7E69">
      <w:pPr>
        <w:pStyle w:val="a"/>
        <w:spacing w:before="240" w:after="220"/>
        <w:ind w:left="0" w:firstLine="0"/>
        <w:rPr>
          <w:rFonts w:ascii="Söhne" w:hAnsi="Söhne"/>
          <w:b w:val="0"/>
          <w:i/>
          <w:lang w:val="en-IE"/>
        </w:rPr>
      </w:pPr>
      <w:r w:rsidRPr="008E20C4">
        <w:rPr>
          <w:rFonts w:ascii="Söhne" w:hAnsi="Söhne"/>
          <w:b w:val="0"/>
          <w:sz w:val="18"/>
          <w:szCs w:val="18"/>
          <w:lang w:val="en-IE"/>
        </w:rPr>
        <w:t xml:space="preserve">The following are examples of reference populations and methodologies that may aid in </w:t>
      </w:r>
      <w:r w:rsidR="0084586F" w:rsidRPr="008E20C4">
        <w:rPr>
          <w:rFonts w:ascii="Söhne" w:hAnsi="Söhne"/>
          <w:b w:val="0"/>
          <w:strike/>
          <w:sz w:val="18"/>
          <w:szCs w:val="18"/>
          <w:lang w:val="en-IE"/>
        </w:rPr>
        <w:t>determining</w:t>
      </w:r>
      <w:r w:rsidR="00DF5900" w:rsidRPr="008E20C4">
        <w:rPr>
          <w:rFonts w:ascii="Söhne" w:hAnsi="Söhne"/>
          <w:b w:val="0"/>
          <w:strike/>
          <w:sz w:val="18"/>
          <w:szCs w:val="18"/>
          <w:lang w:val="en-IE"/>
        </w:rPr>
        <w:t xml:space="preserve"> </w:t>
      </w:r>
      <w:r w:rsidR="00E806DF" w:rsidRPr="008E20C4">
        <w:rPr>
          <w:rFonts w:ascii="Söhne" w:hAnsi="Söhne"/>
          <w:b w:val="0"/>
          <w:sz w:val="18"/>
          <w:szCs w:val="18"/>
          <w:u w:val="double"/>
          <w:lang w:val="en-IE"/>
        </w:rPr>
        <w:t>estimating</w:t>
      </w:r>
      <w:r w:rsidRPr="008E20C4">
        <w:rPr>
          <w:rFonts w:ascii="Söhne" w:hAnsi="Söhne"/>
          <w:b w:val="0"/>
          <w:sz w:val="18"/>
          <w:szCs w:val="18"/>
          <w:lang w:val="en-IE"/>
        </w:rPr>
        <w:t xml:space="preserve"> performance characteristics of the test being validated</w:t>
      </w:r>
      <w:r w:rsidRPr="008E20C4">
        <w:rPr>
          <w:rFonts w:ascii="Söhne" w:hAnsi="Söhne"/>
          <w:b w:val="0"/>
          <w:i/>
          <w:sz w:val="18"/>
          <w:szCs w:val="18"/>
          <w:lang w:val="en-IE"/>
        </w:rPr>
        <w:t xml:space="preserve">. </w:t>
      </w:r>
    </w:p>
    <w:p w14:paraId="7EF5AEEF" w14:textId="77777777" w:rsidR="00667CDB" w:rsidRPr="008E20C4" w:rsidRDefault="00667CDB" w:rsidP="00667CDB">
      <w:pPr>
        <w:pStyle w:val="11"/>
        <w:spacing w:after="220"/>
        <w:rPr>
          <w:lang w:val="en-IE"/>
        </w:rPr>
      </w:pPr>
      <w:r w:rsidRPr="008E20C4">
        <w:rPr>
          <w:lang w:val="en-IE"/>
        </w:rPr>
        <w:lastRenderedPageBreak/>
        <w:t>2.1.</w:t>
      </w:r>
      <w:r w:rsidRPr="008E20C4">
        <w:rPr>
          <w:lang w:val="en-IE"/>
        </w:rPr>
        <w:tab/>
        <w:t>Reference animal populations</w:t>
      </w:r>
    </w:p>
    <w:p w14:paraId="1C3FB3E6" w14:textId="69784052" w:rsidR="00667CDB" w:rsidRPr="008E20C4" w:rsidRDefault="00667CDB" w:rsidP="005F5894">
      <w:pPr>
        <w:pStyle w:val="11Para"/>
        <w:spacing w:after="220"/>
        <w:rPr>
          <w:bCs/>
          <w:lang w:val="en-IE"/>
        </w:rPr>
      </w:pPr>
      <w:r w:rsidRPr="008E20C4">
        <w:rPr>
          <w:lang w:val="en-IE"/>
        </w:rPr>
        <w:t>Ideally, selection of reference animals requires that important host variables in the target population are represented in animals chosen for being infected with or exposed to the target agent, or that have never been infected or exposed</w:t>
      </w:r>
      <w:r w:rsidR="00DF5900" w:rsidRPr="008E20C4">
        <w:rPr>
          <w:lang w:val="en-IE"/>
        </w:rPr>
        <w:t xml:space="preserve"> </w:t>
      </w:r>
      <w:r w:rsidR="00767E97" w:rsidRPr="008E20C4">
        <w:rPr>
          <w:u w:val="double"/>
          <w:lang w:val="en-IE"/>
        </w:rPr>
        <w:t xml:space="preserve">(Table </w:t>
      </w:r>
      <w:r w:rsidR="0030662B" w:rsidRPr="008E20C4">
        <w:rPr>
          <w:u w:val="double"/>
          <w:lang w:val="en-IE"/>
        </w:rPr>
        <w:t>4</w:t>
      </w:r>
      <w:r w:rsidR="00767E97" w:rsidRPr="008E20C4">
        <w:rPr>
          <w:u w:val="double"/>
          <w:lang w:val="en-IE"/>
        </w:rPr>
        <w:t>)</w:t>
      </w:r>
      <w:r w:rsidR="00DF5900" w:rsidRPr="008E20C4">
        <w:rPr>
          <w:lang w:val="en-IE"/>
        </w:rPr>
        <w:t>.</w:t>
      </w:r>
      <w:r w:rsidRPr="008E20C4">
        <w:rPr>
          <w:lang w:val="en-IE"/>
        </w:rPr>
        <w:t xml:space="preserve"> The variables to be noted include but are not limited to species, age, sex, breed, stage of infection, vaccination history, and relevant herd disease history (for further details see chapter 2.2.6).</w:t>
      </w:r>
      <w:r w:rsidR="00CD6C94" w:rsidRPr="008E20C4">
        <w:rPr>
          <w:u w:val="double"/>
          <w:lang w:val="en-IE"/>
        </w:rPr>
        <w:t xml:space="preserve"> After the initial detection of a novel disease, reference samples may not exist or be in limited quantities. In these situations, samples from experimental challenge studies might be the only available sample for initial validation of assays.</w:t>
      </w:r>
    </w:p>
    <w:p w14:paraId="52E53135" w14:textId="77777777" w:rsidR="00667CDB" w:rsidRPr="008E20C4" w:rsidRDefault="00667CDB" w:rsidP="00667CDB">
      <w:pPr>
        <w:pStyle w:val="111"/>
        <w:rPr>
          <w:lang w:val="en-IE"/>
        </w:rPr>
      </w:pPr>
      <w:r w:rsidRPr="008E20C4">
        <w:rPr>
          <w:lang w:val="en-IE"/>
        </w:rPr>
        <w:t>2.1.1.</w:t>
      </w:r>
      <w:r w:rsidRPr="008E20C4">
        <w:rPr>
          <w:lang w:val="en-IE"/>
        </w:rPr>
        <w:tab/>
        <w:t>Negative reference samples</w:t>
      </w:r>
    </w:p>
    <w:p w14:paraId="3D9D9000" w14:textId="77777777" w:rsidR="00667CDB" w:rsidRPr="008E20C4" w:rsidRDefault="00667CDB" w:rsidP="00667CDB">
      <w:pPr>
        <w:pStyle w:val="111Para"/>
        <w:spacing w:after="200"/>
        <w:rPr>
          <w:lang w:val="en-IE"/>
        </w:rPr>
      </w:pPr>
      <w:r w:rsidRPr="008E20C4">
        <w:rPr>
          <w:lang w:val="en-IE"/>
        </w:rPr>
        <w:t xml:space="preserve">True negative samples, from animals that have had no possible infection or exposure to the agent, may be difficult to locate. It is often possible to obtain these samples from countries or zones that have eradicated or have never had the disease in question. Such samples may be useful </w:t>
      </w:r>
      <w:proofErr w:type="gramStart"/>
      <w:r w:rsidRPr="008E20C4">
        <w:rPr>
          <w:lang w:val="en-IE"/>
        </w:rPr>
        <w:t>as long as</w:t>
      </w:r>
      <w:proofErr w:type="gramEnd"/>
      <w:r w:rsidRPr="008E20C4">
        <w:rPr>
          <w:lang w:val="en-IE"/>
        </w:rPr>
        <w:t xml:space="preserve"> the targeted population for the assay is sufficiently similar to the sample-source population. </w:t>
      </w:r>
    </w:p>
    <w:p w14:paraId="60AA305B" w14:textId="77777777" w:rsidR="00667CDB" w:rsidRPr="008E20C4" w:rsidRDefault="00667CDB" w:rsidP="00667CDB">
      <w:pPr>
        <w:pStyle w:val="111"/>
        <w:rPr>
          <w:lang w:val="en-IE"/>
        </w:rPr>
      </w:pPr>
      <w:r w:rsidRPr="008E20C4">
        <w:rPr>
          <w:lang w:val="en-IE"/>
        </w:rPr>
        <w:t>2.1.2.</w:t>
      </w:r>
      <w:r w:rsidRPr="008E20C4">
        <w:rPr>
          <w:lang w:val="en-IE"/>
        </w:rPr>
        <w:tab/>
        <w:t>Positive reference samples</w:t>
      </w:r>
    </w:p>
    <w:p w14:paraId="1F1BEE70" w14:textId="006FEA62" w:rsidR="002C63B3" w:rsidRPr="008E20C4" w:rsidRDefault="00667CDB" w:rsidP="002C63B3">
      <w:pPr>
        <w:pStyle w:val="111Para"/>
        <w:spacing w:after="200"/>
        <w:rPr>
          <w:lang w:val="en-IE"/>
        </w:rPr>
      </w:pPr>
      <w:r w:rsidRPr="008E20C4">
        <w:rPr>
          <w:lang w:val="en-IE"/>
        </w:rPr>
        <w:t xml:space="preserve">It is generally problematic to find </w:t>
      </w:r>
      <w:proofErr w:type="gramStart"/>
      <w:r w:rsidRPr="008E20C4">
        <w:rPr>
          <w:lang w:val="en-IE"/>
        </w:rPr>
        <w:t>sufficient numbers of</w:t>
      </w:r>
      <w:proofErr w:type="gramEnd"/>
      <w:r w:rsidRPr="008E20C4">
        <w:rPr>
          <w:lang w:val="en-IE"/>
        </w:rPr>
        <w:t xml:space="preserve"> true</w:t>
      </w:r>
      <w:r w:rsidR="00526582" w:rsidRPr="008E20C4">
        <w:rPr>
          <w:lang w:val="en-IE"/>
        </w:rPr>
        <w:t>-</w:t>
      </w:r>
      <w:r w:rsidRPr="008E20C4">
        <w:rPr>
          <w:lang w:val="en-IE"/>
        </w:rPr>
        <w:t xml:space="preserve">positive reference animals, as determined by isolation of the pathogen. It may be necessary to resort to samples from animals that have been identified by another test of sufficiently high accuracy, such as a validated nucleic acid detection assay. The candidate test is applied to these reference samples and results (positive and negative) are </w:t>
      </w:r>
      <w:proofErr w:type="gramStart"/>
      <w:r w:rsidRPr="008E20C4">
        <w:rPr>
          <w:lang w:val="en-IE"/>
        </w:rPr>
        <w:t>cross-classified</w:t>
      </w:r>
      <w:proofErr w:type="gramEnd"/>
      <w:r w:rsidRPr="008E20C4">
        <w:rPr>
          <w:lang w:val="en-IE"/>
        </w:rPr>
        <w:t xml:space="preserve"> in a 2 × 2 table. This has been called the “gold standard model” as it assumes the reference standard is perfect. A sample calculation is shown in Table </w:t>
      </w:r>
      <w:r w:rsidR="0030662B" w:rsidRPr="008E20C4">
        <w:rPr>
          <w:lang w:val="en-IE"/>
        </w:rPr>
        <w:t>4</w:t>
      </w:r>
      <w:r w:rsidRPr="008E20C4">
        <w:rPr>
          <w:lang w:val="en-IE"/>
        </w:rPr>
        <w:t xml:space="preserve"> in Section B.2.5</w:t>
      </w:r>
      <w:r w:rsidR="0084586F" w:rsidRPr="008E20C4">
        <w:rPr>
          <w:lang w:val="en-IE"/>
        </w:rPr>
        <w:t>).</w:t>
      </w:r>
      <w:r w:rsidR="002C63B3" w:rsidRPr="008E20C4">
        <w:rPr>
          <w:lang w:val="en-IE"/>
        </w:rPr>
        <w:t xml:space="preserve"> </w:t>
      </w:r>
      <w:r w:rsidR="002C63B3" w:rsidRPr="008E20C4">
        <w:rPr>
          <w:u w:val="double"/>
          <w:lang w:val="en-IE"/>
        </w:rPr>
        <w:t xml:space="preserve">Situations where a perfect reference is available for either positive or negative animals, and one where the reference is perfect for both are described </w:t>
      </w:r>
      <w:r w:rsidR="00CD3F15" w:rsidRPr="008E20C4">
        <w:rPr>
          <w:u w:val="double"/>
          <w:lang w:val="en-IE"/>
        </w:rPr>
        <w:t xml:space="preserve">for diagnostic test validation </w:t>
      </w:r>
      <w:r w:rsidR="002C63B3" w:rsidRPr="008E20C4">
        <w:rPr>
          <w:u w:val="double"/>
          <w:lang w:val="en-IE"/>
        </w:rPr>
        <w:t xml:space="preserve">by Heuer &amp; </w:t>
      </w:r>
      <w:r w:rsidR="00CD3F15" w:rsidRPr="008E20C4">
        <w:rPr>
          <w:u w:val="double"/>
          <w:lang w:val="en-IE"/>
        </w:rPr>
        <w:t xml:space="preserve">Stevenson </w:t>
      </w:r>
      <w:r w:rsidR="001464E1" w:rsidRPr="008E20C4">
        <w:rPr>
          <w:u w:val="double"/>
          <w:lang w:val="en-IE"/>
        </w:rPr>
        <w:t>(</w:t>
      </w:r>
      <w:r w:rsidR="00CD3F15" w:rsidRPr="008E20C4">
        <w:rPr>
          <w:u w:val="double"/>
          <w:lang w:val="en-IE"/>
        </w:rPr>
        <w:t>2021</w:t>
      </w:r>
      <w:r w:rsidR="001464E1" w:rsidRPr="008E20C4">
        <w:rPr>
          <w:u w:val="double"/>
          <w:lang w:val="en-IE"/>
        </w:rPr>
        <w:t>)</w:t>
      </w:r>
      <w:r w:rsidR="002C63B3" w:rsidRPr="008E20C4">
        <w:rPr>
          <w:u w:val="double"/>
          <w:lang w:val="en-IE"/>
        </w:rPr>
        <w:t>.</w:t>
      </w:r>
    </w:p>
    <w:p w14:paraId="40AA1E2C" w14:textId="77777777" w:rsidR="00667CDB" w:rsidRPr="008E20C4" w:rsidRDefault="00667CDB" w:rsidP="001464E1">
      <w:pPr>
        <w:pStyle w:val="11"/>
      </w:pPr>
      <w:r w:rsidRPr="008E20C4">
        <w:t>2.2.</w:t>
      </w:r>
      <w:r w:rsidRPr="008E20C4">
        <w:tab/>
      </w:r>
      <w:bookmarkStart w:id="8" w:name="_Hlk127179519"/>
      <w:r w:rsidRPr="008E20C4">
        <w:t>Samples from animals of unknown status</w:t>
      </w:r>
      <w:bookmarkEnd w:id="8"/>
    </w:p>
    <w:p w14:paraId="59544670" w14:textId="541334C4" w:rsidR="00667CDB" w:rsidRPr="008E20C4" w:rsidRDefault="006B3F8D" w:rsidP="740E9764">
      <w:pPr>
        <w:pStyle w:val="11Para"/>
        <w:spacing w:after="220"/>
        <w:rPr>
          <w:b/>
          <w:bCs/>
          <w:lang w:val="en-IE"/>
        </w:rPr>
      </w:pPr>
      <w:r w:rsidRPr="740E9764">
        <w:rPr>
          <w:u w:val="double"/>
          <w:lang w:val="en-IE"/>
        </w:rPr>
        <w:t>In some situations, the infection stat</w:t>
      </w:r>
      <w:r w:rsidR="006A5276" w:rsidRPr="740E9764">
        <w:rPr>
          <w:u w:val="double"/>
          <w:lang w:val="en-IE"/>
        </w:rPr>
        <w:t>u</w:t>
      </w:r>
      <w:r w:rsidRPr="740E9764">
        <w:rPr>
          <w:u w:val="double"/>
          <w:lang w:val="en-IE"/>
        </w:rPr>
        <w:t xml:space="preserve">s of a population </w:t>
      </w:r>
      <w:r w:rsidRPr="00D846D9">
        <w:rPr>
          <w:u w:val="double"/>
          <w:lang w:val="en-IE"/>
        </w:rPr>
        <w:t>may be known. If the population is known to be non-infected, then all animals</w:t>
      </w:r>
      <w:r w:rsidR="00972216" w:rsidRPr="00D846D9">
        <w:rPr>
          <w:u w:val="double"/>
          <w:lang w:val="en-IE"/>
        </w:rPr>
        <w:t xml:space="preserve"> in that population</w:t>
      </w:r>
      <w:r w:rsidRPr="00D846D9">
        <w:rPr>
          <w:u w:val="double"/>
          <w:lang w:val="en-IE"/>
        </w:rPr>
        <w:t xml:space="preserve"> are also</w:t>
      </w:r>
      <w:r w:rsidR="00972216" w:rsidRPr="00D846D9">
        <w:rPr>
          <w:u w:val="double"/>
          <w:lang w:val="en-IE"/>
        </w:rPr>
        <w:t xml:space="preserve"> assumed</w:t>
      </w:r>
      <w:r w:rsidRPr="00D846D9">
        <w:rPr>
          <w:u w:val="double"/>
          <w:lang w:val="en-IE"/>
        </w:rPr>
        <w:t xml:space="preserve"> to be non-infected. In an infected population, not all animals will be infected especially if the disease is not highly contagious</w:t>
      </w:r>
      <w:bookmarkStart w:id="9" w:name="_Hlk127179665"/>
      <w:r w:rsidR="00DF6970" w:rsidRPr="00F121FC">
        <w:rPr>
          <w:u w:val="double"/>
          <w:lang w:val="en-IE"/>
        </w:rPr>
        <w:t xml:space="preserve">. </w:t>
      </w:r>
      <w:r w:rsidR="00DF6970" w:rsidRPr="00D846D9">
        <w:rPr>
          <w:rFonts w:cstheme="minorBidi"/>
          <w:highlight w:val="yellow"/>
          <w:u w:val="double"/>
          <w:lang w:val="en-IE"/>
        </w:rPr>
        <w:t>Deducing the population’s status is more challenging if the</w:t>
      </w:r>
      <w:r w:rsidR="00FB2EE4" w:rsidRPr="00D846D9">
        <w:rPr>
          <w:u w:val="double"/>
          <w:lang w:val="en-IE"/>
        </w:rPr>
        <w:t xml:space="preserve"> infection is subclinical</w:t>
      </w:r>
      <w:r w:rsidRPr="00D846D9">
        <w:rPr>
          <w:u w:val="double"/>
          <w:lang w:val="en-IE"/>
        </w:rPr>
        <w:t xml:space="preserve"> or</w:t>
      </w:r>
      <w:r w:rsidR="00972216" w:rsidRPr="00D846D9">
        <w:rPr>
          <w:u w:val="double"/>
          <w:lang w:val="en-IE"/>
        </w:rPr>
        <w:t xml:space="preserve"> </w:t>
      </w:r>
      <w:r w:rsidR="00FC7E69">
        <w:rPr>
          <w:highlight w:val="yellow"/>
          <w:u w:val="double"/>
          <w:lang w:val="en-IE"/>
        </w:rPr>
        <w:t>covert</w:t>
      </w:r>
      <w:r w:rsidR="00D63DD0" w:rsidRPr="00D846D9">
        <w:rPr>
          <w:strike/>
          <w:highlight w:val="yellow"/>
          <w:lang w:val="en-IE"/>
        </w:rPr>
        <w:t xml:space="preserve"> </w:t>
      </w:r>
      <w:r w:rsidR="00972216" w:rsidRPr="001414B4">
        <w:rPr>
          <w:strike/>
          <w:highlight w:val="yellow"/>
          <w:lang w:val="en-IE"/>
        </w:rPr>
        <w:t xml:space="preserve">animals </w:t>
      </w:r>
      <w:r w:rsidR="00911626" w:rsidRPr="001414B4">
        <w:rPr>
          <w:rFonts w:cstheme="minorBidi"/>
          <w:strike/>
          <w:highlight w:val="yellow"/>
          <w:lang w:val="en-IE"/>
        </w:rPr>
        <w:t>may also be carriers rather than suffering active infection,</w:t>
      </w:r>
      <w:r w:rsidR="00911626" w:rsidRPr="00D846D9">
        <w:rPr>
          <w:rFonts w:cstheme="minorBidi"/>
          <w:highlight w:val="yellow"/>
          <w:u w:val="double"/>
          <w:lang w:val="en-IE"/>
        </w:rPr>
        <w:t xml:space="preserve"> or if animals</w:t>
      </w:r>
      <w:r w:rsidR="00911626" w:rsidRPr="00D846D9">
        <w:rPr>
          <w:rFonts w:cstheme="minorBidi"/>
          <w:u w:val="double"/>
          <w:lang w:val="en-IE"/>
        </w:rPr>
        <w:t xml:space="preserve"> </w:t>
      </w:r>
      <w:r w:rsidR="00972216" w:rsidRPr="00D846D9">
        <w:rPr>
          <w:u w:val="double"/>
          <w:lang w:val="en-IE"/>
        </w:rPr>
        <w:t>are</w:t>
      </w:r>
      <w:r w:rsidRPr="00D846D9">
        <w:rPr>
          <w:u w:val="double"/>
          <w:lang w:val="en-IE"/>
        </w:rPr>
        <w:t xml:space="preserve"> </w:t>
      </w:r>
      <w:bookmarkEnd w:id="9"/>
      <w:r w:rsidRPr="00D846D9">
        <w:rPr>
          <w:u w:val="double"/>
          <w:lang w:val="en-IE"/>
        </w:rPr>
        <w:t>protected by vaccination</w:t>
      </w:r>
      <w:r w:rsidR="00972216" w:rsidRPr="00D846D9">
        <w:rPr>
          <w:u w:val="double"/>
          <w:lang w:val="en-IE"/>
        </w:rPr>
        <w:t xml:space="preserve"> or prior exposure to a pathogen</w:t>
      </w:r>
      <w:r w:rsidR="00FB2EE4" w:rsidRPr="00D846D9">
        <w:rPr>
          <w:u w:val="double"/>
          <w:lang w:val="en-IE"/>
        </w:rPr>
        <w:t>.</w:t>
      </w:r>
      <w:r w:rsidR="00FB2EE4" w:rsidRPr="00D846D9">
        <w:rPr>
          <w:lang w:val="en-IE"/>
        </w:rPr>
        <w:t xml:space="preserve"> </w:t>
      </w:r>
      <w:r w:rsidR="00667CDB" w:rsidRPr="00D846D9">
        <w:rPr>
          <w:lang w:val="en-IE"/>
        </w:rPr>
        <w:t>When the so-called reference standard</w:t>
      </w:r>
      <w:r w:rsidR="00972216" w:rsidRPr="00D846D9">
        <w:rPr>
          <w:lang w:val="en-IE"/>
        </w:rPr>
        <w:t xml:space="preserve"> </w:t>
      </w:r>
      <w:r w:rsidR="00972216" w:rsidRPr="00D846D9">
        <w:rPr>
          <w:u w:val="double"/>
          <w:lang w:val="en-IE"/>
        </w:rPr>
        <w:t>(true infection s</w:t>
      </w:r>
      <w:r w:rsidR="009B29A8" w:rsidRPr="00D846D9">
        <w:rPr>
          <w:u w:val="double"/>
          <w:lang w:val="en-IE"/>
        </w:rPr>
        <w:t>tatu</w:t>
      </w:r>
      <w:r w:rsidR="00FB2EE4" w:rsidRPr="00D846D9">
        <w:rPr>
          <w:u w:val="double"/>
          <w:lang w:val="en-IE"/>
        </w:rPr>
        <w:t>s)</w:t>
      </w:r>
      <w:r w:rsidR="008C6A65" w:rsidRPr="00D846D9">
        <w:rPr>
          <w:lang w:val="en-IE"/>
        </w:rPr>
        <w:t xml:space="preserve"> </w:t>
      </w:r>
      <w:r w:rsidR="009B29A8" w:rsidRPr="00D846D9">
        <w:rPr>
          <w:lang w:val="en-IE"/>
        </w:rPr>
        <w:t xml:space="preserve">is </w:t>
      </w:r>
      <w:r w:rsidR="00FB2EE4" w:rsidRPr="00D846D9">
        <w:rPr>
          <w:lang w:val="en-IE"/>
        </w:rPr>
        <w:t>imperfect</w:t>
      </w:r>
      <w:r w:rsidR="00667CDB" w:rsidRPr="00D846D9">
        <w:rPr>
          <w:lang w:val="en-IE"/>
        </w:rPr>
        <w:t>, which is the rule with any diagnostic tests</w:t>
      </w:r>
      <w:r w:rsidR="009B29A8" w:rsidRPr="00D846D9">
        <w:rPr>
          <w:lang w:val="en-IE"/>
        </w:rPr>
        <w:t xml:space="preserve"> </w:t>
      </w:r>
      <w:r w:rsidR="009B29A8" w:rsidRPr="00D846D9">
        <w:rPr>
          <w:u w:val="double"/>
          <w:lang w:val="en-IE"/>
        </w:rPr>
        <w:t>used to test field samples</w:t>
      </w:r>
      <w:r w:rsidR="00667CDB" w:rsidRPr="00D846D9">
        <w:rPr>
          <w:lang w:val="en-IE"/>
        </w:rPr>
        <w:t xml:space="preserve">, estimates of </w:t>
      </w:r>
      <w:proofErr w:type="spellStart"/>
      <w:r w:rsidR="00667CDB" w:rsidRPr="00D846D9">
        <w:rPr>
          <w:lang w:val="en-IE"/>
        </w:rPr>
        <w:t>DSe</w:t>
      </w:r>
      <w:proofErr w:type="spellEnd"/>
      <w:r w:rsidR="00667CDB" w:rsidRPr="00D846D9">
        <w:rPr>
          <w:lang w:val="en-IE"/>
        </w:rPr>
        <w:t xml:space="preserve"> and </w:t>
      </w:r>
      <w:proofErr w:type="spellStart"/>
      <w:r w:rsidR="00667CDB" w:rsidRPr="00D846D9">
        <w:rPr>
          <w:lang w:val="en-IE"/>
        </w:rPr>
        <w:t>DSp</w:t>
      </w:r>
      <w:proofErr w:type="spellEnd"/>
      <w:r w:rsidR="00667CDB" w:rsidRPr="00D846D9">
        <w:rPr>
          <w:lang w:val="en-IE"/>
        </w:rPr>
        <w:t xml:space="preserve"> for the candidate assay based on this standard will be flawed. A way to overcome this problem is to perform</w:t>
      </w:r>
      <w:r w:rsidR="00667CDB" w:rsidRPr="740E9764">
        <w:rPr>
          <w:lang w:val="en-IE"/>
        </w:rPr>
        <w:t xml:space="preserve"> a latent class analysis </w:t>
      </w:r>
      <w:r w:rsidR="00526582" w:rsidRPr="740E9764">
        <w:rPr>
          <w:u w:val="double"/>
          <w:lang w:val="en-IE"/>
        </w:rPr>
        <w:t>(LCA)</w:t>
      </w:r>
      <w:r w:rsidR="00526582" w:rsidRPr="740E9764">
        <w:rPr>
          <w:lang w:val="en-IE"/>
        </w:rPr>
        <w:t xml:space="preserve"> </w:t>
      </w:r>
      <w:r w:rsidR="00667CDB" w:rsidRPr="740E9764">
        <w:rPr>
          <w:lang w:val="en-IE"/>
        </w:rPr>
        <w:t>of the joint results of</w:t>
      </w:r>
      <w:r w:rsidR="008C6A65" w:rsidRPr="740E9764">
        <w:rPr>
          <w:lang w:val="en-IE"/>
        </w:rPr>
        <w:t xml:space="preserve"> </w:t>
      </w:r>
      <w:r w:rsidR="00667CDB" w:rsidRPr="740E9764">
        <w:rPr>
          <w:lang w:val="en-IE"/>
        </w:rPr>
        <w:t xml:space="preserve">two </w:t>
      </w:r>
      <w:r w:rsidR="00667CDB" w:rsidRPr="740E9764">
        <w:rPr>
          <w:u w:val="double"/>
          <w:lang w:val="en-IE"/>
        </w:rPr>
        <w:t>or more</w:t>
      </w:r>
      <w:r w:rsidR="008C6A65" w:rsidRPr="740E9764">
        <w:rPr>
          <w:lang w:val="en-IE"/>
        </w:rPr>
        <w:t xml:space="preserve"> </w:t>
      </w:r>
      <w:r w:rsidR="00667CDB" w:rsidRPr="740E9764">
        <w:rPr>
          <w:lang w:val="en-IE"/>
        </w:rPr>
        <w:t>tests assuming neither test is perfect</w:t>
      </w:r>
      <w:r w:rsidR="007D5691" w:rsidRPr="740E9764">
        <w:rPr>
          <w:lang w:val="en-IE"/>
        </w:rPr>
        <w:t xml:space="preserve"> </w:t>
      </w:r>
      <w:r w:rsidR="00667CDB" w:rsidRPr="740E9764">
        <w:rPr>
          <w:u w:val="double"/>
          <w:lang w:val="en-IE"/>
        </w:rPr>
        <w:t>(</w:t>
      </w:r>
      <w:proofErr w:type="gramStart"/>
      <w:r w:rsidR="00667CDB" w:rsidRPr="740E9764">
        <w:rPr>
          <w:u w:val="double"/>
          <w:lang w:val="en-IE"/>
        </w:rPr>
        <w:t>e.g.</w:t>
      </w:r>
      <w:proofErr w:type="gramEnd"/>
      <w:r w:rsidR="00667CDB" w:rsidRPr="740E9764">
        <w:rPr>
          <w:u w:val="double"/>
          <w:lang w:val="en-IE"/>
        </w:rPr>
        <w:t xml:space="preserve"> </w:t>
      </w:r>
      <w:r w:rsidR="00B74A96" w:rsidRPr="740E9764">
        <w:rPr>
          <w:u w:val="double"/>
          <w:lang w:val="en-IE"/>
        </w:rPr>
        <w:t xml:space="preserve">Johnson </w:t>
      </w:r>
      <w:r w:rsidR="00B74A96" w:rsidRPr="740E9764">
        <w:rPr>
          <w:i/>
          <w:iCs/>
          <w:u w:val="double"/>
          <w:lang w:val="en-IE"/>
        </w:rPr>
        <w:t>et al.</w:t>
      </w:r>
      <w:r w:rsidR="001464E1" w:rsidRPr="740E9764">
        <w:rPr>
          <w:i/>
          <w:iCs/>
          <w:u w:val="double"/>
          <w:lang w:val="en-IE"/>
        </w:rPr>
        <w:t>,</w:t>
      </w:r>
      <w:r w:rsidR="00B74A96" w:rsidRPr="740E9764">
        <w:rPr>
          <w:u w:val="double"/>
          <w:lang w:val="en-IE"/>
        </w:rPr>
        <w:t xml:space="preserve"> 2019)</w:t>
      </w:r>
      <w:r w:rsidR="007D5691" w:rsidRPr="740E9764">
        <w:rPr>
          <w:lang w:val="en-IE"/>
        </w:rPr>
        <w:t>.</w:t>
      </w:r>
    </w:p>
    <w:p w14:paraId="649279C5" w14:textId="527E264F" w:rsidR="00100F2B" w:rsidRPr="008E20C4" w:rsidRDefault="00667CDB" w:rsidP="00100F2B">
      <w:pPr>
        <w:pStyle w:val="11Para"/>
        <w:spacing w:after="220"/>
        <w:rPr>
          <w:lang w:val="en-IE"/>
        </w:rPr>
      </w:pPr>
      <w:r w:rsidRPr="008E20C4">
        <w:rPr>
          <w:lang w:val="en-IE"/>
        </w:rPr>
        <w:t xml:space="preserve">Latent-class models do not rely on the assumption of a perfect reference test but rather estimate the accuracy of the candidate test and </w:t>
      </w:r>
      <w:proofErr w:type="gramStart"/>
      <w:r w:rsidR="0084586F" w:rsidRPr="008E20C4">
        <w:rPr>
          <w:strike/>
          <w:lang w:val="en-IE"/>
        </w:rPr>
        <w:t>the</w:t>
      </w:r>
      <w:r w:rsidR="007D5691" w:rsidRPr="008E20C4">
        <w:rPr>
          <w:strike/>
          <w:lang w:val="en-IE"/>
        </w:rPr>
        <w:t xml:space="preserve"> </w:t>
      </w:r>
      <w:r w:rsidRPr="008E20C4">
        <w:rPr>
          <w:u w:val="double"/>
          <w:lang w:val="en-IE"/>
        </w:rPr>
        <w:t>a</w:t>
      </w:r>
      <w:proofErr w:type="gramEnd"/>
      <w:r w:rsidRPr="008E20C4">
        <w:rPr>
          <w:lang w:val="en-IE"/>
        </w:rPr>
        <w:t xml:space="preserve"> reference </w:t>
      </w:r>
      <w:r w:rsidR="0084586F" w:rsidRPr="008E20C4">
        <w:rPr>
          <w:strike/>
          <w:lang w:val="en-IE"/>
        </w:rPr>
        <w:t>standard with</w:t>
      </w:r>
      <w:r w:rsidR="007D5691" w:rsidRPr="008E20C4">
        <w:rPr>
          <w:strike/>
          <w:lang w:val="en-IE"/>
        </w:rPr>
        <w:t xml:space="preserve"> </w:t>
      </w:r>
      <w:r w:rsidRPr="008E20C4">
        <w:rPr>
          <w:u w:val="double"/>
          <w:lang w:val="en-IE"/>
        </w:rPr>
        <w:t>test</w:t>
      </w:r>
      <w:r w:rsidR="008C6A65" w:rsidRPr="008E20C4">
        <w:rPr>
          <w:u w:val="double"/>
          <w:lang w:val="en-IE"/>
        </w:rPr>
        <w:t xml:space="preserve"> </w:t>
      </w:r>
      <w:r w:rsidRPr="008E20C4">
        <w:rPr>
          <w:u w:val="double"/>
          <w:lang w:val="en-IE"/>
        </w:rPr>
        <w:t>using</w:t>
      </w:r>
      <w:r w:rsidR="008C6A65" w:rsidRPr="008E20C4">
        <w:rPr>
          <w:lang w:val="en-IE"/>
        </w:rPr>
        <w:t xml:space="preserve"> </w:t>
      </w:r>
      <w:r w:rsidRPr="008E20C4">
        <w:rPr>
          <w:lang w:val="en-IE"/>
        </w:rPr>
        <w:t>the joint test results (</w:t>
      </w:r>
      <w:proofErr w:type="spellStart"/>
      <w:r w:rsidRPr="008E20C4">
        <w:rPr>
          <w:lang w:val="en-IE"/>
        </w:rPr>
        <w:t>Branscum</w:t>
      </w:r>
      <w:proofErr w:type="spellEnd"/>
      <w:r w:rsidRPr="008E20C4">
        <w:rPr>
          <w:lang w:val="en-IE"/>
        </w:rPr>
        <w:t xml:space="preserve"> </w:t>
      </w:r>
      <w:r w:rsidRPr="008E20C4">
        <w:rPr>
          <w:i/>
          <w:lang w:val="en-IE"/>
        </w:rPr>
        <w:t>et al.,</w:t>
      </w:r>
      <w:r w:rsidRPr="008E20C4">
        <w:rPr>
          <w:lang w:val="en-IE"/>
        </w:rPr>
        <w:t xml:space="preserve"> 2005; </w:t>
      </w:r>
      <w:proofErr w:type="spellStart"/>
      <w:r w:rsidRPr="008E20C4">
        <w:rPr>
          <w:lang w:val="en-IE"/>
        </w:rPr>
        <w:t>En</w:t>
      </w:r>
      <w:r w:rsidR="00DF63B8" w:rsidRPr="008E20C4">
        <w:rPr>
          <w:lang w:val="en-IE"/>
        </w:rPr>
        <w:t>o</w:t>
      </w:r>
      <w:r w:rsidRPr="008E20C4">
        <w:rPr>
          <w:lang w:val="en-IE"/>
        </w:rPr>
        <w:t>e</w:t>
      </w:r>
      <w:proofErr w:type="spellEnd"/>
      <w:r w:rsidRPr="008E20C4">
        <w:rPr>
          <w:lang w:val="en-IE"/>
        </w:rPr>
        <w:t xml:space="preserve"> </w:t>
      </w:r>
      <w:r w:rsidRPr="008E20C4">
        <w:rPr>
          <w:i/>
          <w:lang w:val="en-IE"/>
        </w:rPr>
        <w:t xml:space="preserve">et al., </w:t>
      </w:r>
      <w:r w:rsidRPr="008E20C4">
        <w:rPr>
          <w:lang w:val="en-IE"/>
        </w:rPr>
        <w:t xml:space="preserve">2000; Georgiadis </w:t>
      </w:r>
      <w:r w:rsidRPr="008E20C4">
        <w:rPr>
          <w:i/>
          <w:lang w:val="en-IE"/>
        </w:rPr>
        <w:t>et al.,</w:t>
      </w:r>
      <w:r w:rsidRPr="008E20C4">
        <w:rPr>
          <w:lang w:val="en-IE"/>
        </w:rPr>
        <w:t xml:space="preserve"> 2003; Hui &amp; Walter, 1980). If a Bayesian </w:t>
      </w:r>
      <w:r w:rsidR="0084586F" w:rsidRPr="008E20C4">
        <w:rPr>
          <w:strike/>
          <w:lang w:val="en-IE"/>
        </w:rPr>
        <w:t>latent class analysis is used, prior knowledge about the performance of the reference test and the candidate test can be incorporated into the analysis.</w:t>
      </w:r>
      <w:r w:rsidR="007D5691" w:rsidRPr="008E20C4">
        <w:rPr>
          <w:strike/>
          <w:lang w:val="en-IE"/>
        </w:rPr>
        <w:t xml:space="preserve"> </w:t>
      </w:r>
      <w:r w:rsidR="00AF51DB" w:rsidRPr="008E20C4">
        <w:rPr>
          <w:u w:val="double"/>
          <w:lang w:val="en-IE"/>
        </w:rPr>
        <w:t xml:space="preserve">framework </w:t>
      </w:r>
      <w:r w:rsidRPr="008E20C4">
        <w:rPr>
          <w:u w:val="double"/>
          <w:lang w:val="en-IE"/>
        </w:rPr>
        <w:t>is used</w:t>
      </w:r>
      <w:r w:rsidR="00AF51DB" w:rsidRPr="008E20C4">
        <w:rPr>
          <w:u w:val="double"/>
          <w:lang w:val="en-IE"/>
        </w:rPr>
        <w:t xml:space="preserve"> for the LCA</w:t>
      </w:r>
      <w:r w:rsidRPr="008E20C4">
        <w:rPr>
          <w:u w:val="double"/>
          <w:lang w:val="en-IE"/>
        </w:rPr>
        <w:t xml:space="preserve">, prior knowledge about the </w:t>
      </w:r>
      <w:proofErr w:type="spellStart"/>
      <w:r w:rsidRPr="008E20C4">
        <w:rPr>
          <w:u w:val="double"/>
          <w:lang w:val="en-IE"/>
        </w:rPr>
        <w:t>DSe</w:t>
      </w:r>
      <w:proofErr w:type="spellEnd"/>
      <w:r w:rsidRPr="008E20C4">
        <w:rPr>
          <w:u w:val="double"/>
          <w:lang w:val="en-IE"/>
        </w:rPr>
        <w:t xml:space="preserve"> and </w:t>
      </w:r>
      <w:proofErr w:type="spellStart"/>
      <w:r w:rsidRPr="008E20C4">
        <w:rPr>
          <w:u w:val="double"/>
          <w:lang w:val="en-IE"/>
        </w:rPr>
        <w:t>DSp</w:t>
      </w:r>
      <w:proofErr w:type="spellEnd"/>
      <w:r w:rsidRPr="008E20C4">
        <w:rPr>
          <w:u w:val="double"/>
          <w:lang w:val="en-IE"/>
        </w:rPr>
        <w:t xml:space="preserve"> of the reference test and the candidate test can be incorporated into the analysis.</w:t>
      </w:r>
      <w:r w:rsidR="00972216" w:rsidRPr="008E20C4">
        <w:rPr>
          <w:u w:val="double"/>
          <w:lang w:val="en-IE"/>
        </w:rPr>
        <w:t xml:space="preserve"> </w:t>
      </w:r>
      <w:r w:rsidR="009B29A8" w:rsidRPr="008E20C4">
        <w:rPr>
          <w:u w:val="double"/>
          <w:lang w:val="en-IE"/>
        </w:rPr>
        <w:t>The i</w:t>
      </w:r>
      <w:r w:rsidR="00972216" w:rsidRPr="008E20C4">
        <w:rPr>
          <w:u w:val="double"/>
          <w:lang w:val="en-IE"/>
        </w:rPr>
        <w:t xml:space="preserve">nfection status of source populations can </w:t>
      </w:r>
      <w:r w:rsidR="00FB2EE4" w:rsidRPr="008E20C4">
        <w:rPr>
          <w:u w:val="double"/>
          <w:lang w:val="en-IE"/>
        </w:rPr>
        <w:t xml:space="preserve">also </w:t>
      </w:r>
      <w:r w:rsidR="00972216" w:rsidRPr="008E20C4">
        <w:rPr>
          <w:u w:val="double"/>
          <w:lang w:val="en-IE"/>
        </w:rPr>
        <w:t xml:space="preserve">be </w:t>
      </w:r>
      <w:r w:rsidR="009A7444" w:rsidRPr="008E20C4">
        <w:rPr>
          <w:u w:val="double"/>
          <w:lang w:val="en-IE"/>
        </w:rPr>
        <w:t>specified</w:t>
      </w:r>
      <w:r w:rsidR="00972216" w:rsidRPr="008E20C4">
        <w:rPr>
          <w:u w:val="double"/>
          <w:lang w:val="en-IE"/>
        </w:rPr>
        <w:t xml:space="preserve"> in </w:t>
      </w:r>
      <w:r w:rsidR="009A7444" w:rsidRPr="008E20C4">
        <w:rPr>
          <w:u w:val="double"/>
          <w:lang w:val="en-IE"/>
        </w:rPr>
        <w:t xml:space="preserve">a </w:t>
      </w:r>
      <w:r w:rsidR="00972216" w:rsidRPr="008E20C4">
        <w:rPr>
          <w:u w:val="double"/>
          <w:lang w:val="en-IE"/>
        </w:rPr>
        <w:t>Bayesian LCA and inclusion of animal samples from known non-infected populations can enhance the ability of these models to estimate</w:t>
      </w:r>
      <w:r w:rsidR="009A7444" w:rsidRPr="008E20C4">
        <w:rPr>
          <w:u w:val="double"/>
          <w:lang w:val="en-IE"/>
        </w:rPr>
        <w:t xml:space="preserve"> </w:t>
      </w:r>
      <w:proofErr w:type="spellStart"/>
      <w:r w:rsidR="00972216" w:rsidRPr="008E20C4">
        <w:rPr>
          <w:u w:val="double"/>
          <w:lang w:val="en-IE"/>
        </w:rPr>
        <w:t>DSp</w:t>
      </w:r>
      <w:proofErr w:type="spellEnd"/>
      <w:r w:rsidR="00972216" w:rsidRPr="008E20C4">
        <w:rPr>
          <w:u w:val="double"/>
          <w:lang w:val="en-IE"/>
        </w:rPr>
        <w:t xml:space="preserve"> </w:t>
      </w:r>
      <w:r w:rsidR="009A7444" w:rsidRPr="008E20C4">
        <w:rPr>
          <w:u w:val="double"/>
          <w:lang w:val="en-IE"/>
        </w:rPr>
        <w:t>and other parameters in the model (</w:t>
      </w:r>
      <w:proofErr w:type="gramStart"/>
      <w:r w:rsidR="009A7444" w:rsidRPr="008E20C4">
        <w:rPr>
          <w:u w:val="double"/>
          <w:lang w:val="en-IE"/>
        </w:rPr>
        <w:t>e.g.</w:t>
      </w:r>
      <w:proofErr w:type="gramEnd"/>
      <w:r w:rsidR="009A7444" w:rsidRPr="008E20C4">
        <w:rPr>
          <w:u w:val="double"/>
          <w:lang w:val="en-IE"/>
        </w:rPr>
        <w:t xml:space="preserve"> </w:t>
      </w:r>
      <w:proofErr w:type="spellStart"/>
      <w:r w:rsidR="009A7444" w:rsidRPr="008E20C4">
        <w:rPr>
          <w:u w:val="double"/>
          <w:lang w:val="en-IE"/>
        </w:rPr>
        <w:t>DSe</w:t>
      </w:r>
      <w:proofErr w:type="spellEnd"/>
      <w:r w:rsidR="009A7444" w:rsidRPr="008E20C4">
        <w:rPr>
          <w:u w:val="double"/>
          <w:lang w:val="en-IE"/>
        </w:rPr>
        <w:t xml:space="preserve"> and prevalence</w:t>
      </w:r>
      <w:r w:rsidR="009B29A8" w:rsidRPr="008E20C4">
        <w:rPr>
          <w:u w:val="double"/>
          <w:lang w:val="en-IE"/>
        </w:rPr>
        <w:t>)</w:t>
      </w:r>
      <w:r w:rsidR="009A7444" w:rsidRPr="008E20C4">
        <w:rPr>
          <w:u w:val="double"/>
          <w:lang w:val="en-IE"/>
        </w:rPr>
        <w:t xml:space="preserve"> </w:t>
      </w:r>
      <w:r w:rsidR="00972216" w:rsidRPr="008E20C4">
        <w:rPr>
          <w:u w:val="double"/>
          <w:lang w:val="en-IE"/>
        </w:rPr>
        <w:t>more precisely</w:t>
      </w:r>
      <w:r w:rsidR="009B29A8" w:rsidRPr="008E20C4">
        <w:rPr>
          <w:u w:val="double"/>
          <w:lang w:val="en-IE"/>
        </w:rPr>
        <w:t xml:space="preserve"> than </w:t>
      </w:r>
      <w:r w:rsidR="00E806DF" w:rsidRPr="008E20C4">
        <w:rPr>
          <w:u w:val="double"/>
          <w:lang w:val="en-IE"/>
        </w:rPr>
        <w:t>would occur</w:t>
      </w:r>
      <w:r w:rsidR="009B29A8" w:rsidRPr="008E20C4">
        <w:rPr>
          <w:u w:val="double"/>
          <w:lang w:val="en-IE"/>
        </w:rPr>
        <w:t xml:space="preserve"> if only data from </w:t>
      </w:r>
      <w:r w:rsidR="00436E86" w:rsidRPr="008E20C4">
        <w:rPr>
          <w:u w:val="double"/>
          <w:lang w:val="en-IE"/>
        </w:rPr>
        <w:t xml:space="preserve">two </w:t>
      </w:r>
      <w:r w:rsidR="009B29A8" w:rsidRPr="008E20C4">
        <w:rPr>
          <w:u w:val="double"/>
          <w:lang w:val="en-IE"/>
        </w:rPr>
        <w:t xml:space="preserve">or more infected populations are </w:t>
      </w:r>
      <w:r w:rsidR="00FB2EE4" w:rsidRPr="008E20C4">
        <w:rPr>
          <w:u w:val="double"/>
          <w:lang w:val="en-IE"/>
        </w:rPr>
        <w:t>used.</w:t>
      </w:r>
      <w:r w:rsidR="00972216" w:rsidRPr="008E20C4">
        <w:rPr>
          <w:u w:val="double"/>
          <w:lang w:val="en-IE"/>
        </w:rPr>
        <w:t xml:space="preserve"> </w:t>
      </w:r>
      <w:r w:rsidR="00FC5E3B" w:rsidRPr="008E20C4">
        <w:rPr>
          <w:bCs/>
          <w:u w:val="double"/>
          <w:lang w:val="en-IE"/>
        </w:rPr>
        <w:t xml:space="preserve">Three key assumptions must normally be satisfied in </w:t>
      </w:r>
      <w:proofErr w:type="gramStart"/>
      <w:r w:rsidR="00FC5E3B" w:rsidRPr="008E20C4">
        <w:rPr>
          <w:bCs/>
          <w:u w:val="double"/>
          <w:lang w:val="en-IE"/>
        </w:rPr>
        <w:t>a</w:t>
      </w:r>
      <w:proofErr w:type="gramEnd"/>
      <w:r w:rsidR="00FC5E3B" w:rsidRPr="008E20C4">
        <w:rPr>
          <w:bCs/>
          <w:u w:val="double"/>
          <w:lang w:val="en-IE"/>
        </w:rPr>
        <w:t xml:space="preserve"> LC</w:t>
      </w:r>
      <w:r w:rsidR="00E806DF" w:rsidRPr="008E20C4">
        <w:rPr>
          <w:bCs/>
          <w:u w:val="double"/>
          <w:lang w:val="en-IE"/>
        </w:rPr>
        <w:t>A</w:t>
      </w:r>
      <w:r w:rsidR="00FC5E3B" w:rsidRPr="008E20C4">
        <w:rPr>
          <w:bCs/>
          <w:u w:val="double"/>
          <w:lang w:val="en-IE"/>
        </w:rPr>
        <w:t>: (1)</w:t>
      </w:r>
      <w:r w:rsidR="00B945C1" w:rsidRPr="008E20C4">
        <w:rPr>
          <w:bCs/>
          <w:u w:val="double"/>
          <w:lang w:val="en-IE"/>
        </w:rPr>
        <w:t> </w:t>
      </w:r>
      <w:r w:rsidR="00FC5E3B" w:rsidRPr="008E20C4">
        <w:rPr>
          <w:bCs/>
          <w:u w:val="double"/>
          <w:lang w:val="en-IE"/>
        </w:rPr>
        <w:t>when data from multiple populations are used, each population prevalence should be different;</w:t>
      </w:r>
      <w:r w:rsidR="008C6A65" w:rsidRPr="008E20C4">
        <w:rPr>
          <w:bCs/>
          <w:u w:val="double"/>
          <w:lang w:val="en-IE"/>
        </w:rPr>
        <w:t xml:space="preserve"> </w:t>
      </w:r>
      <w:r w:rsidR="00FC5E3B" w:rsidRPr="008E20C4">
        <w:rPr>
          <w:bCs/>
          <w:u w:val="double"/>
          <w:lang w:val="en-IE"/>
        </w:rPr>
        <w:t xml:space="preserve">(2) the </w:t>
      </w:r>
      <w:proofErr w:type="spellStart"/>
      <w:r w:rsidR="00FC5E3B" w:rsidRPr="008E20C4">
        <w:rPr>
          <w:bCs/>
          <w:u w:val="double"/>
          <w:lang w:val="en-IE"/>
        </w:rPr>
        <w:t>DSe</w:t>
      </w:r>
      <w:proofErr w:type="spellEnd"/>
      <w:r w:rsidR="00FC5E3B" w:rsidRPr="008E20C4">
        <w:rPr>
          <w:bCs/>
          <w:u w:val="double"/>
          <w:lang w:val="en-IE"/>
        </w:rPr>
        <w:t xml:space="preserve"> and </w:t>
      </w:r>
      <w:proofErr w:type="spellStart"/>
      <w:r w:rsidR="00FC5E3B" w:rsidRPr="008E20C4">
        <w:rPr>
          <w:bCs/>
          <w:u w:val="double"/>
          <w:lang w:val="en-IE"/>
        </w:rPr>
        <w:t>DSp</w:t>
      </w:r>
      <w:proofErr w:type="spellEnd"/>
      <w:r w:rsidR="00FC5E3B" w:rsidRPr="008E20C4">
        <w:rPr>
          <w:bCs/>
          <w:u w:val="double"/>
          <w:lang w:val="en-IE"/>
        </w:rPr>
        <w:t xml:space="preserve"> of the test are constant across test populations; and</w:t>
      </w:r>
      <w:r w:rsidR="008C6A65" w:rsidRPr="008E20C4">
        <w:rPr>
          <w:bCs/>
          <w:u w:val="double"/>
          <w:lang w:val="en-IE"/>
        </w:rPr>
        <w:t xml:space="preserve"> </w:t>
      </w:r>
      <w:r w:rsidR="00FC5E3B" w:rsidRPr="008E20C4">
        <w:rPr>
          <w:bCs/>
          <w:u w:val="double"/>
          <w:lang w:val="en-IE"/>
        </w:rPr>
        <w:t>(3) the tests are conditionally independent. However, if conditional dependence exists between the index and reference tests (</w:t>
      </w:r>
      <w:proofErr w:type="gramStart"/>
      <w:r w:rsidR="00FC5E3B" w:rsidRPr="008E20C4">
        <w:rPr>
          <w:bCs/>
          <w:u w:val="double"/>
          <w:lang w:val="en-IE"/>
        </w:rPr>
        <w:t>e.g.</w:t>
      </w:r>
      <w:proofErr w:type="gramEnd"/>
      <w:r w:rsidR="00FC5E3B" w:rsidRPr="008E20C4">
        <w:rPr>
          <w:bCs/>
          <w:u w:val="double"/>
          <w:lang w:val="en-IE"/>
        </w:rPr>
        <w:t xml:space="preserve"> they both measure a similar analyte), latent class models (LCM) with different dependence structure have been developed to model the conditional dependence among tests.</w:t>
      </w:r>
      <w:r w:rsidR="00FC5E3B" w:rsidRPr="008E20C4">
        <w:rPr>
          <w:bCs/>
          <w:lang w:val="en-IE"/>
        </w:rPr>
        <w:t xml:space="preserve"> </w:t>
      </w:r>
    </w:p>
    <w:p w14:paraId="07D11B56" w14:textId="35A41DB3" w:rsidR="00767E97" w:rsidRPr="008E20C4" w:rsidRDefault="00667CDB" w:rsidP="00100F2B">
      <w:pPr>
        <w:pStyle w:val="11Para"/>
        <w:spacing w:after="220"/>
        <w:rPr>
          <w:lang w:val="en-IE"/>
        </w:rPr>
      </w:pPr>
      <w:r w:rsidRPr="008E20C4">
        <w:rPr>
          <w:lang w:val="en-IE"/>
        </w:rPr>
        <w:t xml:space="preserve">Because </w:t>
      </w:r>
      <w:r w:rsidR="0084586F" w:rsidRPr="008E20C4">
        <w:rPr>
          <w:strike/>
          <w:lang w:val="en-IE"/>
        </w:rPr>
        <w:t>these statistical models</w:t>
      </w:r>
      <w:r w:rsidR="003B7D00" w:rsidRPr="008E20C4">
        <w:rPr>
          <w:strike/>
          <w:lang w:val="en-IE"/>
        </w:rPr>
        <w:t xml:space="preserve"> </w:t>
      </w:r>
      <w:r w:rsidR="009A7444" w:rsidRPr="00FC7E69">
        <w:rPr>
          <w:strike/>
          <w:highlight w:val="yellow"/>
          <w:lang w:val="en-IE"/>
        </w:rPr>
        <w:t>B</w:t>
      </w:r>
      <w:r w:rsidR="00F347D7" w:rsidRPr="00FC7E69">
        <w:rPr>
          <w:strike/>
          <w:highlight w:val="yellow"/>
          <w:lang w:val="en-IE"/>
        </w:rPr>
        <w:t>LCM</w:t>
      </w:r>
      <w:r w:rsidR="009A7444" w:rsidRPr="00FC7E69">
        <w:rPr>
          <w:strike/>
          <w:highlight w:val="yellow"/>
          <w:lang w:val="en-IE"/>
        </w:rPr>
        <w:t xml:space="preserve"> </w:t>
      </w:r>
      <w:r w:rsidR="00BE6E8D" w:rsidRPr="00FC7E69">
        <w:rPr>
          <w:highlight w:val="yellow"/>
          <w:u w:val="double"/>
          <w:lang w:val="en-IE"/>
        </w:rPr>
        <w:t>B</w:t>
      </w:r>
      <w:r w:rsidR="00BE6E8D" w:rsidRPr="00735569">
        <w:rPr>
          <w:highlight w:val="yellow"/>
          <w:u w:val="double"/>
          <w:lang w:val="en-IE"/>
        </w:rPr>
        <w:t>ay</w:t>
      </w:r>
      <w:r w:rsidR="00FC7E69">
        <w:rPr>
          <w:highlight w:val="yellow"/>
          <w:u w:val="double"/>
          <w:lang w:val="en-IE"/>
        </w:rPr>
        <w:t>es</w:t>
      </w:r>
      <w:r w:rsidR="00BE6E8D" w:rsidRPr="00735569">
        <w:rPr>
          <w:highlight w:val="yellow"/>
          <w:u w:val="double"/>
          <w:lang w:val="en-IE"/>
        </w:rPr>
        <w:t>ian latent class models</w:t>
      </w:r>
      <w:r w:rsidR="00BE6E8D" w:rsidRPr="00735569">
        <w:rPr>
          <w:lang w:val="en-IE"/>
        </w:rPr>
        <w:t xml:space="preserve"> </w:t>
      </w:r>
      <w:r w:rsidRPr="008E20C4">
        <w:rPr>
          <w:lang w:val="en-IE"/>
        </w:rPr>
        <w:t xml:space="preserve">are complex and require </w:t>
      </w:r>
      <w:r w:rsidR="00F347D7" w:rsidRPr="008E20C4">
        <w:rPr>
          <w:u w:val="double"/>
          <w:lang w:val="en-IE"/>
        </w:rPr>
        <w:t>adherence to</w:t>
      </w:r>
      <w:r w:rsidR="00F347D7" w:rsidRPr="008E20C4">
        <w:rPr>
          <w:lang w:val="en-IE"/>
        </w:rPr>
        <w:t xml:space="preserve"> </w:t>
      </w:r>
      <w:r w:rsidRPr="008E20C4">
        <w:rPr>
          <w:lang w:val="en-IE"/>
        </w:rPr>
        <w:t xml:space="preserve">critical assumptions, statistical assistance should be sought to help guide the analysis and describe the sampling from the target population(s), the characteristics of other tests included in the analysis, the appropriate choice of model and the estimation methods </w:t>
      </w:r>
      <w:r w:rsidR="009A7444" w:rsidRPr="008E20C4">
        <w:rPr>
          <w:u w:val="double"/>
          <w:lang w:val="en-IE"/>
        </w:rPr>
        <w:t>should be</w:t>
      </w:r>
      <w:r w:rsidR="009A7444" w:rsidRPr="008E20C4">
        <w:rPr>
          <w:lang w:val="en-IE"/>
        </w:rPr>
        <w:t xml:space="preserve"> </w:t>
      </w:r>
      <w:r w:rsidRPr="008E20C4">
        <w:rPr>
          <w:lang w:val="en-IE"/>
        </w:rPr>
        <w:t>based on peer-reviewed literature (see chapter 2.2.5 for details</w:t>
      </w:r>
      <w:r w:rsidR="002E47FB" w:rsidRPr="008E20C4">
        <w:rPr>
          <w:lang w:val="en-IE"/>
        </w:rPr>
        <w:t xml:space="preserve"> </w:t>
      </w:r>
      <w:r w:rsidR="00B74A96" w:rsidRPr="008E20C4">
        <w:rPr>
          <w:u w:val="double"/>
          <w:lang w:val="en-IE"/>
        </w:rPr>
        <w:t xml:space="preserve">and </w:t>
      </w:r>
      <w:r w:rsidR="002E47FB" w:rsidRPr="008E20C4">
        <w:rPr>
          <w:u w:val="double"/>
          <w:lang w:val="en-IE"/>
        </w:rPr>
        <w:t xml:space="preserve">Cheung </w:t>
      </w:r>
      <w:r w:rsidR="002E47FB" w:rsidRPr="008E20C4">
        <w:rPr>
          <w:i/>
          <w:iCs/>
          <w:u w:val="double"/>
          <w:lang w:val="en-IE"/>
        </w:rPr>
        <w:t>et al.</w:t>
      </w:r>
      <w:r w:rsidR="003B7D00" w:rsidRPr="008E20C4">
        <w:rPr>
          <w:i/>
          <w:iCs/>
          <w:u w:val="double"/>
          <w:lang w:val="en-IE"/>
        </w:rPr>
        <w:t>,</w:t>
      </w:r>
      <w:r w:rsidR="002E47FB" w:rsidRPr="008E20C4">
        <w:rPr>
          <w:u w:val="double"/>
          <w:lang w:val="en-IE"/>
        </w:rPr>
        <w:t xml:space="preserve"> 2021</w:t>
      </w:r>
      <w:r w:rsidR="00EF3580" w:rsidRPr="008E20C4">
        <w:rPr>
          <w:u w:val="double"/>
          <w:lang w:val="en-IE"/>
        </w:rPr>
        <w:t>). Sample size calculations for a LCA require assistance from a statistician or epidemiologist with experience with the techniques</w:t>
      </w:r>
      <w:r w:rsidR="00EF3580" w:rsidRPr="008E20C4">
        <w:rPr>
          <w:lang w:val="en-IE"/>
        </w:rPr>
        <w:t>.</w:t>
      </w:r>
    </w:p>
    <w:p w14:paraId="00D3AB4D" w14:textId="1A69EA7D" w:rsidR="00F75A96" w:rsidRPr="008E20C4" w:rsidRDefault="0030662B" w:rsidP="00CE2C66">
      <w:pPr>
        <w:pStyle w:val="Tabletitle"/>
        <w:rPr>
          <w:lang w:val="en-IE"/>
        </w:rPr>
      </w:pPr>
      <w:r w:rsidRPr="008E20C4">
        <w:rPr>
          <w:lang w:val="en-US"/>
        </w:rPr>
        <w:t>Table 3</w:t>
      </w:r>
      <w:r w:rsidR="00996B33" w:rsidRPr="008E20C4">
        <w:rPr>
          <w:lang w:val="en-US"/>
        </w:rPr>
        <w:t xml:space="preserve">. </w:t>
      </w:r>
      <w:r w:rsidR="00F75A96" w:rsidRPr="008E20C4">
        <w:rPr>
          <w:rFonts w:eastAsiaTheme="majorEastAsia"/>
          <w:lang w:val="en-US"/>
        </w:rPr>
        <w:t>Source populations for test validation samples</w:t>
      </w:r>
      <w:r w:rsidR="00E24735" w:rsidRPr="008E20C4">
        <w:rPr>
          <w:rFonts w:eastAsiaTheme="majorEastAsia"/>
          <w:lang w:val="en-US"/>
        </w:rPr>
        <w:t>.</w:t>
      </w:r>
    </w:p>
    <w:tbl>
      <w:tblPr>
        <w:tblStyle w:val="TableGrid"/>
        <w:tblW w:w="0" w:type="auto"/>
        <w:tblInd w:w="851" w:type="dxa"/>
        <w:tblLook w:val="04A0" w:firstRow="1" w:lastRow="0" w:firstColumn="1" w:lastColumn="0" w:noHBand="0" w:noVBand="1"/>
      </w:tblPr>
      <w:tblGrid>
        <w:gridCol w:w="2741"/>
        <w:gridCol w:w="2742"/>
        <w:gridCol w:w="2738"/>
      </w:tblGrid>
      <w:tr w:rsidR="005054F6" w:rsidRPr="008E20C4" w14:paraId="2C91FF8C" w14:textId="77777777" w:rsidTr="0DA665C6">
        <w:tc>
          <w:tcPr>
            <w:tcW w:w="2741" w:type="dxa"/>
            <w:tcBorders>
              <w:top w:val="nil"/>
              <w:left w:val="nil"/>
              <w:bottom w:val="single" w:sz="4" w:space="0" w:color="auto"/>
              <w:right w:val="nil"/>
            </w:tcBorders>
          </w:tcPr>
          <w:p w14:paraId="4092F183" w14:textId="372DAD51" w:rsidR="00F75A96" w:rsidRPr="008E20C4" w:rsidRDefault="00996B33" w:rsidP="005054F6">
            <w:pPr>
              <w:pStyle w:val="11Para"/>
              <w:spacing w:before="120" w:after="120"/>
              <w:ind w:left="0"/>
              <w:jc w:val="center"/>
              <w:rPr>
                <w:rFonts w:ascii="Söhne Kräftig" w:hAnsi="Söhne Kräftig"/>
                <w:lang w:val="en-IE"/>
              </w:rPr>
            </w:pPr>
            <w:r w:rsidRPr="008E20C4">
              <w:rPr>
                <w:rFonts w:ascii="Söhne Kräftig" w:hAnsi="Söhne Kräftig"/>
                <w:lang w:val="en-US"/>
              </w:rPr>
              <w:lastRenderedPageBreak/>
              <w:t xml:space="preserve">Reference sample banks </w:t>
            </w:r>
            <w:r w:rsidR="005054F6" w:rsidRPr="008E20C4">
              <w:rPr>
                <w:rFonts w:ascii="Söhne Kräftig" w:hAnsi="Söhne Kräftig"/>
                <w:lang w:val="en-US"/>
              </w:rPr>
              <w:br/>
            </w:r>
            <w:r w:rsidRPr="008E20C4">
              <w:rPr>
                <w:rFonts w:ascii="Söhne Kräftig" w:hAnsi="Söhne Kräftig"/>
                <w:lang w:val="en-US"/>
              </w:rPr>
              <w:t>(</w:t>
            </w:r>
            <w:proofErr w:type="gramStart"/>
            <w:r w:rsidRPr="008E20C4">
              <w:rPr>
                <w:rFonts w:ascii="Söhne Kräftig" w:hAnsi="Söhne Kräftig"/>
                <w:lang w:val="en-US"/>
              </w:rPr>
              <w:t>e.g.</w:t>
            </w:r>
            <w:proofErr w:type="gramEnd"/>
            <w:r w:rsidRPr="008E20C4">
              <w:rPr>
                <w:rFonts w:ascii="Söhne Kräftig" w:hAnsi="Söhne Kräftig"/>
                <w:lang w:val="en-US"/>
              </w:rPr>
              <w:t xml:space="preserve"> from ref labs)</w:t>
            </w:r>
          </w:p>
        </w:tc>
        <w:tc>
          <w:tcPr>
            <w:tcW w:w="2742" w:type="dxa"/>
            <w:tcBorders>
              <w:top w:val="nil"/>
              <w:left w:val="nil"/>
              <w:bottom w:val="single" w:sz="4" w:space="0" w:color="auto"/>
              <w:right w:val="nil"/>
            </w:tcBorders>
          </w:tcPr>
          <w:p w14:paraId="6047F924" w14:textId="1E12B916" w:rsidR="00F75A96" w:rsidRPr="008E20C4" w:rsidRDefault="00996B33" w:rsidP="005054F6">
            <w:pPr>
              <w:pStyle w:val="11Para"/>
              <w:spacing w:before="120" w:after="120"/>
              <w:ind w:left="0"/>
              <w:jc w:val="center"/>
              <w:rPr>
                <w:rFonts w:ascii="Söhne Kräftig" w:hAnsi="Söhne Kräftig"/>
                <w:lang w:val="en-IE"/>
              </w:rPr>
            </w:pPr>
            <w:r w:rsidRPr="008E20C4">
              <w:rPr>
                <w:rFonts w:ascii="Söhne Kräftig" w:hAnsi="Söhne Kräftig"/>
                <w:lang w:val="en-US"/>
              </w:rPr>
              <w:t>Field populations with animals of unknown infection status</w:t>
            </w:r>
          </w:p>
        </w:tc>
        <w:tc>
          <w:tcPr>
            <w:tcW w:w="2738" w:type="dxa"/>
            <w:tcBorders>
              <w:top w:val="nil"/>
              <w:left w:val="nil"/>
              <w:bottom w:val="single" w:sz="4" w:space="0" w:color="auto"/>
              <w:right w:val="nil"/>
            </w:tcBorders>
          </w:tcPr>
          <w:p w14:paraId="442DD004" w14:textId="366C0419" w:rsidR="00F75A96" w:rsidRPr="008E20C4" w:rsidRDefault="00996B33" w:rsidP="005054F6">
            <w:pPr>
              <w:pStyle w:val="11Para"/>
              <w:spacing w:before="120" w:after="120"/>
              <w:ind w:left="0"/>
              <w:jc w:val="center"/>
              <w:rPr>
                <w:rFonts w:ascii="Söhne Kräftig" w:hAnsi="Söhne Kräftig"/>
                <w:lang w:val="en-IE"/>
              </w:rPr>
            </w:pPr>
            <w:r w:rsidRPr="008E20C4">
              <w:rPr>
                <w:rFonts w:ascii="Söhne Kräftig" w:hAnsi="Söhne Kräftig"/>
                <w:lang w:val="en-US"/>
              </w:rPr>
              <w:t>Experimental challenge trials</w:t>
            </w:r>
          </w:p>
        </w:tc>
      </w:tr>
      <w:tr w:rsidR="005054F6" w:rsidRPr="008E20C4" w14:paraId="0E54FB5B" w14:textId="77777777" w:rsidTr="0DA665C6">
        <w:tc>
          <w:tcPr>
            <w:tcW w:w="2741" w:type="dxa"/>
            <w:tcBorders>
              <w:top w:val="single" w:sz="4" w:space="0" w:color="auto"/>
            </w:tcBorders>
          </w:tcPr>
          <w:p w14:paraId="330E7675" w14:textId="77777777" w:rsidR="00996B33" w:rsidRPr="008E20C4" w:rsidRDefault="00996B33" w:rsidP="005054F6">
            <w:pPr>
              <w:pStyle w:val="11Para"/>
              <w:spacing w:before="120" w:after="60"/>
              <w:ind w:left="0"/>
              <w:jc w:val="center"/>
              <w:rPr>
                <w:b/>
                <w:bCs/>
                <w:sz w:val="16"/>
                <w:szCs w:val="16"/>
                <w:lang w:val="en-IE"/>
              </w:rPr>
            </w:pPr>
            <w:r w:rsidRPr="008E20C4">
              <w:rPr>
                <w:b/>
                <w:bCs/>
                <w:sz w:val="16"/>
                <w:szCs w:val="16"/>
                <w:lang w:val="en-US"/>
              </w:rPr>
              <w:t>Advantages</w:t>
            </w:r>
          </w:p>
          <w:p w14:paraId="4CE345D0" w14:textId="77777777" w:rsidR="00996B33" w:rsidRPr="008E20C4" w:rsidRDefault="00996B33" w:rsidP="003D491F">
            <w:pPr>
              <w:pStyle w:val="11Para"/>
              <w:numPr>
                <w:ilvl w:val="0"/>
                <w:numId w:val="3"/>
              </w:numPr>
              <w:spacing w:before="60" w:after="60"/>
              <w:ind w:left="320" w:hanging="320"/>
              <w:jc w:val="left"/>
              <w:rPr>
                <w:sz w:val="16"/>
                <w:szCs w:val="16"/>
                <w:lang w:val="en-IE"/>
              </w:rPr>
            </w:pPr>
            <w:r w:rsidRPr="008E20C4">
              <w:rPr>
                <w:sz w:val="16"/>
                <w:szCs w:val="16"/>
                <w:lang w:val="en-US"/>
              </w:rPr>
              <w:t xml:space="preserve">Infection status </w:t>
            </w:r>
            <w:proofErr w:type="gramStart"/>
            <w:r w:rsidRPr="008E20C4">
              <w:rPr>
                <w:sz w:val="16"/>
                <w:szCs w:val="16"/>
                <w:lang w:val="en-US"/>
              </w:rPr>
              <w:t>known</w:t>
            </w:r>
            <w:proofErr w:type="gramEnd"/>
          </w:p>
          <w:p w14:paraId="45FA1833" w14:textId="77777777" w:rsidR="00996B33" w:rsidRPr="008E20C4" w:rsidRDefault="00996B33" w:rsidP="003D491F">
            <w:pPr>
              <w:pStyle w:val="11Para"/>
              <w:numPr>
                <w:ilvl w:val="0"/>
                <w:numId w:val="3"/>
              </w:numPr>
              <w:spacing w:before="60" w:after="60"/>
              <w:ind w:left="320" w:hanging="320"/>
              <w:jc w:val="left"/>
              <w:rPr>
                <w:sz w:val="16"/>
                <w:szCs w:val="16"/>
                <w:lang w:val="en-IE"/>
              </w:rPr>
            </w:pPr>
            <w:r w:rsidRPr="008E20C4">
              <w:rPr>
                <w:sz w:val="16"/>
                <w:szCs w:val="16"/>
                <w:lang w:val="en-US"/>
              </w:rPr>
              <w:t>Simple statistical analysis</w:t>
            </w:r>
          </w:p>
          <w:p w14:paraId="267F3BFD" w14:textId="77777777" w:rsidR="00996B33" w:rsidRPr="008E20C4" w:rsidRDefault="00996B33" w:rsidP="00996B33">
            <w:pPr>
              <w:pStyle w:val="11Para"/>
              <w:spacing w:before="60" w:after="60"/>
              <w:ind w:left="0"/>
              <w:jc w:val="center"/>
              <w:rPr>
                <w:b/>
                <w:bCs/>
                <w:sz w:val="16"/>
                <w:szCs w:val="16"/>
                <w:lang w:val="en-IE"/>
              </w:rPr>
            </w:pPr>
            <w:r w:rsidRPr="008E20C4">
              <w:rPr>
                <w:b/>
                <w:bCs/>
                <w:sz w:val="16"/>
                <w:szCs w:val="16"/>
                <w:lang w:val="en-US"/>
              </w:rPr>
              <w:t>Limitations</w:t>
            </w:r>
          </w:p>
          <w:p w14:paraId="7A2D1C1E" w14:textId="77777777" w:rsidR="00996B33" w:rsidRPr="008E20C4" w:rsidRDefault="00996B33" w:rsidP="003D491F">
            <w:pPr>
              <w:pStyle w:val="11Para"/>
              <w:numPr>
                <w:ilvl w:val="0"/>
                <w:numId w:val="4"/>
              </w:numPr>
              <w:spacing w:before="60" w:after="60"/>
              <w:ind w:left="320" w:hanging="320"/>
              <w:jc w:val="left"/>
              <w:rPr>
                <w:sz w:val="16"/>
                <w:szCs w:val="16"/>
                <w:lang w:val="en-IE"/>
              </w:rPr>
            </w:pPr>
            <w:r w:rsidRPr="008E20C4">
              <w:rPr>
                <w:sz w:val="16"/>
                <w:szCs w:val="16"/>
                <w:lang w:val="en-US"/>
              </w:rPr>
              <w:t>Often not available for rare or new diseases</w:t>
            </w:r>
          </w:p>
          <w:p w14:paraId="2F9CA87B" w14:textId="77777777" w:rsidR="00996B33" w:rsidRPr="008E20C4" w:rsidRDefault="00996B33" w:rsidP="003D491F">
            <w:pPr>
              <w:pStyle w:val="11Para"/>
              <w:numPr>
                <w:ilvl w:val="0"/>
                <w:numId w:val="4"/>
              </w:numPr>
              <w:spacing w:before="60" w:after="60"/>
              <w:ind w:left="320" w:hanging="320"/>
              <w:jc w:val="left"/>
              <w:rPr>
                <w:sz w:val="16"/>
                <w:szCs w:val="16"/>
                <w:lang w:val="en-IE"/>
              </w:rPr>
            </w:pPr>
            <w:r w:rsidRPr="008E20C4">
              <w:rPr>
                <w:sz w:val="16"/>
                <w:szCs w:val="16"/>
                <w:lang w:val="en-US"/>
              </w:rPr>
              <w:t xml:space="preserve">May not be representative of animals to be tested in the </w:t>
            </w:r>
            <w:proofErr w:type="gramStart"/>
            <w:r w:rsidRPr="008E20C4">
              <w:rPr>
                <w:sz w:val="16"/>
                <w:szCs w:val="16"/>
                <w:lang w:val="en-US"/>
              </w:rPr>
              <w:t>future</w:t>
            </w:r>
            <w:proofErr w:type="gramEnd"/>
          </w:p>
          <w:p w14:paraId="78056C62" w14:textId="43F57CA8" w:rsidR="00F75A96" w:rsidRPr="008E20C4" w:rsidRDefault="00996B33" w:rsidP="003D491F">
            <w:pPr>
              <w:pStyle w:val="11Para"/>
              <w:numPr>
                <w:ilvl w:val="0"/>
                <w:numId w:val="4"/>
              </w:numPr>
              <w:spacing w:before="60" w:after="60"/>
              <w:ind w:left="320" w:hanging="320"/>
              <w:jc w:val="left"/>
              <w:rPr>
                <w:sz w:val="16"/>
                <w:szCs w:val="16"/>
                <w:lang w:val="en-IE"/>
              </w:rPr>
            </w:pPr>
            <w:r w:rsidRPr="008E20C4">
              <w:rPr>
                <w:sz w:val="16"/>
                <w:szCs w:val="16"/>
                <w:lang w:val="en-US"/>
              </w:rPr>
              <w:t>Clinical status, results of other tests and demographic information may be missing</w:t>
            </w:r>
          </w:p>
        </w:tc>
        <w:tc>
          <w:tcPr>
            <w:tcW w:w="2742" w:type="dxa"/>
            <w:tcBorders>
              <w:top w:val="single" w:sz="4" w:space="0" w:color="auto"/>
            </w:tcBorders>
          </w:tcPr>
          <w:p w14:paraId="39EDACF8" w14:textId="77777777" w:rsidR="00996B33" w:rsidRPr="008E20C4" w:rsidRDefault="00996B33" w:rsidP="005054F6">
            <w:pPr>
              <w:pStyle w:val="11Para"/>
              <w:spacing w:before="120" w:after="60"/>
              <w:ind w:left="0"/>
              <w:jc w:val="center"/>
              <w:rPr>
                <w:b/>
                <w:bCs/>
                <w:sz w:val="16"/>
                <w:szCs w:val="16"/>
                <w:lang w:val="en-IE"/>
              </w:rPr>
            </w:pPr>
            <w:r w:rsidRPr="008E20C4">
              <w:rPr>
                <w:b/>
                <w:bCs/>
                <w:sz w:val="16"/>
                <w:szCs w:val="16"/>
                <w:lang w:val="en-US"/>
              </w:rPr>
              <w:t>Advantages</w:t>
            </w:r>
          </w:p>
          <w:p w14:paraId="6E116C60" w14:textId="77777777" w:rsidR="00996B33" w:rsidRPr="008E20C4" w:rsidRDefault="00996B33" w:rsidP="003D491F">
            <w:pPr>
              <w:pStyle w:val="11Para"/>
              <w:numPr>
                <w:ilvl w:val="0"/>
                <w:numId w:val="5"/>
              </w:numPr>
              <w:spacing w:before="60" w:after="60"/>
              <w:ind w:left="273" w:hanging="273"/>
              <w:jc w:val="left"/>
              <w:rPr>
                <w:sz w:val="16"/>
                <w:szCs w:val="16"/>
                <w:lang w:val="en-IE"/>
              </w:rPr>
            </w:pPr>
            <w:r w:rsidRPr="008E20C4">
              <w:rPr>
                <w:sz w:val="16"/>
                <w:szCs w:val="16"/>
                <w:lang w:val="en-US"/>
              </w:rPr>
              <w:t xml:space="preserve">Representative of animals to be tested in </w:t>
            </w:r>
            <w:proofErr w:type="gramStart"/>
            <w:r w:rsidRPr="008E20C4">
              <w:rPr>
                <w:sz w:val="16"/>
                <w:szCs w:val="16"/>
                <w:lang w:val="en-US"/>
              </w:rPr>
              <w:t>future</w:t>
            </w:r>
            <w:proofErr w:type="gramEnd"/>
          </w:p>
          <w:p w14:paraId="2D778740" w14:textId="77777777" w:rsidR="00996B33" w:rsidRPr="008E20C4" w:rsidRDefault="00996B33" w:rsidP="003D491F">
            <w:pPr>
              <w:pStyle w:val="11Para"/>
              <w:numPr>
                <w:ilvl w:val="0"/>
                <w:numId w:val="5"/>
              </w:numPr>
              <w:spacing w:before="60" w:after="60"/>
              <w:ind w:left="273" w:hanging="273"/>
              <w:jc w:val="left"/>
              <w:rPr>
                <w:sz w:val="16"/>
                <w:szCs w:val="16"/>
                <w:lang w:val="en-IE"/>
              </w:rPr>
            </w:pPr>
            <w:r w:rsidRPr="008E20C4">
              <w:rPr>
                <w:sz w:val="16"/>
                <w:szCs w:val="16"/>
                <w:lang w:val="en-US"/>
              </w:rPr>
              <w:t xml:space="preserve">Latent class models (LCM) used for data analysis: infection status of population and covariates can be </w:t>
            </w:r>
            <w:proofErr w:type="gramStart"/>
            <w:r w:rsidRPr="008E20C4">
              <w:rPr>
                <w:sz w:val="16"/>
                <w:szCs w:val="16"/>
                <w:lang w:val="en-US"/>
              </w:rPr>
              <w:t>added</w:t>
            </w:r>
            <w:proofErr w:type="gramEnd"/>
          </w:p>
          <w:p w14:paraId="5D8C7D23" w14:textId="77777777" w:rsidR="00996B33" w:rsidRPr="008E20C4" w:rsidRDefault="00996B33" w:rsidP="003D491F">
            <w:pPr>
              <w:pStyle w:val="11Para"/>
              <w:numPr>
                <w:ilvl w:val="0"/>
                <w:numId w:val="5"/>
              </w:numPr>
              <w:spacing w:before="60" w:after="60"/>
              <w:ind w:left="273" w:hanging="273"/>
              <w:jc w:val="left"/>
              <w:rPr>
                <w:sz w:val="16"/>
                <w:szCs w:val="16"/>
                <w:lang w:val="en-IE"/>
              </w:rPr>
            </w:pPr>
            <w:r w:rsidRPr="008E20C4">
              <w:rPr>
                <w:sz w:val="16"/>
                <w:szCs w:val="16"/>
                <w:lang w:val="en-US"/>
              </w:rPr>
              <w:t xml:space="preserve">Assessment of accuracy of multiple assays is </w:t>
            </w:r>
            <w:proofErr w:type="gramStart"/>
            <w:r w:rsidRPr="008E20C4">
              <w:rPr>
                <w:sz w:val="16"/>
                <w:szCs w:val="16"/>
                <w:lang w:val="en-US"/>
              </w:rPr>
              <w:t>possible</w:t>
            </w:r>
            <w:proofErr w:type="gramEnd"/>
            <w:r w:rsidRPr="008E20C4">
              <w:rPr>
                <w:sz w:val="16"/>
                <w:szCs w:val="16"/>
                <w:lang w:val="en-US"/>
              </w:rPr>
              <w:t xml:space="preserve"> </w:t>
            </w:r>
          </w:p>
          <w:p w14:paraId="71A98E37" w14:textId="1793230E" w:rsidR="00996B33" w:rsidRPr="008E20C4" w:rsidRDefault="00996B33" w:rsidP="00996B33">
            <w:pPr>
              <w:pStyle w:val="11Para"/>
              <w:spacing w:before="60" w:after="60"/>
              <w:ind w:left="0"/>
              <w:jc w:val="center"/>
              <w:rPr>
                <w:b/>
                <w:bCs/>
                <w:sz w:val="16"/>
                <w:szCs w:val="16"/>
                <w:lang w:val="en-IE"/>
              </w:rPr>
            </w:pPr>
            <w:r w:rsidRPr="008E20C4">
              <w:rPr>
                <w:b/>
                <w:bCs/>
                <w:sz w:val="16"/>
                <w:szCs w:val="16"/>
                <w:lang w:val="en-US"/>
              </w:rPr>
              <w:t>Limitations</w:t>
            </w:r>
          </w:p>
          <w:p w14:paraId="031BD33B" w14:textId="46E1901A" w:rsidR="00F75A96" w:rsidRPr="008E20C4" w:rsidRDefault="00996B33" w:rsidP="003D491F">
            <w:pPr>
              <w:pStyle w:val="11Para"/>
              <w:numPr>
                <w:ilvl w:val="0"/>
                <w:numId w:val="6"/>
              </w:numPr>
              <w:spacing w:before="60" w:after="60"/>
              <w:ind w:left="295" w:hanging="283"/>
              <w:jc w:val="left"/>
              <w:rPr>
                <w:sz w:val="16"/>
                <w:szCs w:val="16"/>
                <w:lang w:val="en-IE"/>
              </w:rPr>
            </w:pPr>
            <w:r w:rsidRPr="008E20C4">
              <w:rPr>
                <w:sz w:val="16"/>
                <w:szCs w:val="16"/>
                <w:lang w:val="en-US"/>
              </w:rPr>
              <w:t>LCM requires expertise and training, and adherence to model assumptions</w:t>
            </w:r>
          </w:p>
        </w:tc>
        <w:tc>
          <w:tcPr>
            <w:tcW w:w="2738" w:type="dxa"/>
            <w:tcBorders>
              <w:top w:val="single" w:sz="4" w:space="0" w:color="auto"/>
            </w:tcBorders>
          </w:tcPr>
          <w:p w14:paraId="24B25E6E" w14:textId="77777777" w:rsidR="00996B33" w:rsidRPr="008E20C4" w:rsidRDefault="00996B33" w:rsidP="005054F6">
            <w:pPr>
              <w:pStyle w:val="11Para"/>
              <w:spacing w:before="120" w:after="60"/>
              <w:ind w:left="0"/>
              <w:jc w:val="center"/>
              <w:rPr>
                <w:b/>
                <w:bCs/>
                <w:sz w:val="16"/>
                <w:szCs w:val="16"/>
                <w:lang w:val="en-IE"/>
              </w:rPr>
            </w:pPr>
            <w:r w:rsidRPr="008E20C4">
              <w:rPr>
                <w:b/>
                <w:bCs/>
                <w:sz w:val="16"/>
                <w:szCs w:val="16"/>
                <w:lang w:val="en-US"/>
              </w:rPr>
              <w:t>Advantages</w:t>
            </w:r>
          </w:p>
          <w:p w14:paraId="69DD57E8" w14:textId="77777777" w:rsidR="00996B33" w:rsidRPr="008E20C4" w:rsidRDefault="00996B33" w:rsidP="003D491F">
            <w:pPr>
              <w:pStyle w:val="11Para"/>
              <w:numPr>
                <w:ilvl w:val="0"/>
                <w:numId w:val="6"/>
              </w:numPr>
              <w:spacing w:before="60" w:after="60"/>
              <w:ind w:left="284" w:hanging="284"/>
              <w:jc w:val="left"/>
              <w:rPr>
                <w:sz w:val="16"/>
                <w:szCs w:val="16"/>
                <w:lang w:val="en-IE"/>
              </w:rPr>
            </w:pPr>
            <w:r w:rsidRPr="008E20C4">
              <w:rPr>
                <w:sz w:val="16"/>
                <w:szCs w:val="16"/>
                <w:lang w:val="en-US"/>
              </w:rPr>
              <w:t xml:space="preserve">Infection status based on challenge </w:t>
            </w:r>
            <w:proofErr w:type="gramStart"/>
            <w:r w:rsidRPr="008E20C4">
              <w:rPr>
                <w:sz w:val="16"/>
                <w:szCs w:val="16"/>
                <w:lang w:val="en-US"/>
              </w:rPr>
              <w:t>group</w:t>
            </w:r>
            <w:proofErr w:type="gramEnd"/>
          </w:p>
          <w:p w14:paraId="6B825717" w14:textId="77777777" w:rsidR="00996B33" w:rsidRPr="008E20C4" w:rsidRDefault="00996B33" w:rsidP="003D491F">
            <w:pPr>
              <w:pStyle w:val="11Para"/>
              <w:numPr>
                <w:ilvl w:val="0"/>
                <w:numId w:val="6"/>
              </w:numPr>
              <w:spacing w:before="60" w:after="60"/>
              <w:ind w:left="284" w:hanging="284"/>
              <w:jc w:val="left"/>
              <w:rPr>
                <w:sz w:val="16"/>
                <w:szCs w:val="16"/>
                <w:lang w:val="en-IE"/>
              </w:rPr>
            </w:pPr>
            <w:r w:rsidRPr="008E20C4">
              <w:rPr>
                <w:sz w:val="16"/>
                <w:szCs w:val="16"/>
                <w:lang w:val="en-US"/>
              </w:rPr>
              <w:t>Assessment of “diagnostic window” of an assay</w:t>
            </w:r>
          </w:p>
          <w:p w14:paraId="0253F835" w14:textId="77777777" w:rsidR="00996B33" w:rsidRPr="008E20C4" w:rsidRDefault="00996B33" w:rsidP="00996B33">
            <w:pPr>
              <w:pStyle w:val="11Para"/>
              <w:spacing w:before="60" w:after="60"/>
              <w:ind w:left="0"/>
              <w:jc w:val="center"/>
              <w:rPr>
                <w:b/>
                <w:bCs/>
                <w:sz w:val="16"/>
                <w:szCs w:val="16"/>
                <w:lang w:val="en-IE"/>
              </w:rPr>
            </w:pPr>
            <w:r w:rsidRPr="008E20C4">
              <w:rPr>
                <w:b/>
                <w:bCs/>
                <w:sz w:val="16"/>
                <w:szCs w:val="16"/>
                <w:lang w:val="en-US"/>
              </w:rPr>
              <w:t>Limitations</w:t>
            </w:r>
          </w:p>
          <w:p w14:paraId="5EB5575A" w14:textId="1857D4F7" w:rsidR="00545241" w:rsidRPr="008E20C4" w:rsidRDefault="00207E8B" w:rsidP="00545241">
            <w:pPr>
              <w:pStyle w:val="11Para"/>
              <w:numPr>
                <w:ilvl w:val="0"/>
                <w:numId w:val="7"/>
              </w:numPr>
              <w:spacing w:before="60" w:after="60"/>
              <w:ind w:left="284" w:hanging="284"/>
              <w:jc w:val="left"/>
              <w:rPr>
                <w:sz w:val="16"/>
                <w:szCs w:val="16"/>
                <w:u w:val="double"/>
                <w:lang w:val="en-IE"/>
              </w:rPr>
            </w:pPr>
            <w:r w:rsidRPr="008E20C4">
              <w:rPr>
                <w:rStyle w:val="cf01"/>
                <w:rFonts w:ascii="Söhne" w:hAnsi="Söhne"/>
                <w:sz w:val="16"/>
                <w:szCs w:val="16"/>
                <w:u w:val="double"/>
                <w:lang w:val="en-IE"/>
              </w:rPr>
              <w:t>S</w:t>
            </w:r>
            <w:r w:rsidRPr="008E20C4">
              <w:rPr>
                <w:rStyle w:val="cf01"/>
                <w:sz w:val="16"/>
                <w:szCs w:val="16"/>
                <w:u w:val="double"/>
                <w:lang w:val="en-IE"/>
              </w:rPr>
              <w:t>amples</w:t>
            </w:r>
            <w:r w:rsidR="00545241" w:rsidRPr="008E20C4">
              <w:rPr>
                <w:rStyle w:val="cf01"/>
                <w:rFonts w:ascii="Söhne" w:hAnsi="Söhne"/>
                <w:sz w:val="16"/>
                <w:szCs w:val="16"/>
                <w:u w:val="double"/>
              </w:rPr>
              <w:t xml:space="preserve"> from challenge trials may not mirror samples collected in the </w:t>
            </w:r>
            <w:proofErr w:type="gramStart"/>
            <w:r w:rsidR="00545241" w:rsidRPr="008E20C4">
              <w:rPr>
                <w:rStyle w:val="cf01"/>
                <w:rFonts w:ascii="Söhne" w:hAnsi="Söhne"/>
                <w:sz w:val="16"/>
                <w:szCs w:val="16"/>
                <w:u w:val="double"/>
              </w:rPr>
              <w:t>field</w:t>
            </w:r>
            <w:proofErr w:type="gramEnd"/>
          </w:p>
          <w:p w14:paraId="6A65BDA0" w14:textId="77777777" w:rsidR="00996B33" w:rsidRPr="008E20C4" w:rsidRDefault="00996B33" w:rsidP="003D491F">
            <w:pPr>
              <w:pStyle w:val="11Para"/>
              <w:numPr>
                <w:ilvl w:val="0"/>
                <w:numId w:val="7"/>
              </w:numPr>
              <w:spacing w:before="60" w:after="60"/>
              <w:ind w:left="284" w:hanging="284"/>
              <w:jc w:val="left"/>
              <w:rPr>
                <w:sz w:val="16"/>
                <w:szCs w:val="16"/>
                <w:lang w:val="en-IE"/>
              </w:rPr>
            </w:pPr>
            <w:r w:rsidRPr="008E20C4">
              <w:rPr>
                <w:sz w:val="16"/>
                <w:szCs w:val="16"/>
                <w:lang w:val="en-US"/>
              </w:rPr>
              <w:t>Often a secondary outcome in a pathogenesis study</w:t>
            </w:r>
          </w:p>
          <w:p w14:paraId="5C28A20E" w14:textId="77777777" w:rsidR="00996B33" w:rsidRPr="008E20C4" w:rsidRDefault="00996B33" w:rsidP="003D491F">
            <w:pPr>
              <w:pStyle w:val="11Para"/>
              <w:numPr>
                <w:ilvl w:val="0"/>
                <w:numId w:val="7"/>
              </w:numPr>
              <w:spacing w:before="60" w:after="60"/>
              <w:ind w:left="284" w:hanging="284"/>
              <w:jc w:val="left"/>
              <w:rPr>
                <w:sz w:val="16"/>
                <w:szCs w:val="16"/>
                <w:lang w:val="en-IE"/>
              </w:rPr>
            </w:pPr>
            <w:r w:rsidRPr="008E20C4">
              <w:rPr>
                <w:sz w:val="16"/>
                <w:szCs w:val="16"/>
                <w:lang w:val="en-US"/>
              </w:rPr>
              <w:t xml:space="preserve">Route of exposure, infectious dose, and other experimental conditions can be </w:t>
            </w:r>
            <w:proofErr w:type="gramStart"/>
            <w:r w:rsidRPr="008E20C4">
              <w:rPr>
                <w:sz w:val="16"/>
                <w:szCs w:val="16"/>
                <w:lang w:val="en-US"/>
              </w:rPr>
              <w:t>influential</w:t>
            </w:r>
            <w:proofErr w:type="gramEnd"/>
            <w:r w:rsidRPr="008E20C4">
              <w:rPr>
                <w:sz w:val="16"/>
                <w:szCs w:val="16"/>
                <w:lang w:val="en-US"/>
              </w:rPr>
              <w:t xml:space="preserve"> </w:t>
            </w:r>
          </w:p>
          <w:p w14:paraId="1DDDD864" w14:textId="77777777" w:rsidR="00996B33" w:rsidRPr="008E20C4" w:rsidRDefault="00996B33" w:rsidP="003D491F">
            <w:pPr>
              <w:pStyle w:val="11Para"/>
              <w:numPr>
                <w:ilvl w:val="0"/>
                <w:numId w:val="7"/>
              </w:numPr>
              <w:spacing w:before="60" w:after="60"/>
              <w:ind w:left="284" w:hanging="284"/>
              <w:jc w:val="left"/>
              <w:rPr>
                <w:sz w:val="16"/>
                <w:szCs w:val="16"/>
                <w:lang w:val="en-IE"/>
              </w:rPr>
            </w:pPr>
            <w:r w:rsidRPr="008E20C4">
              <w:rPr>
                <w:sz w:val="16"/>
                <w:szCs w:val="16"/>
                <w:lang w:val="en-US"/>
              </w:rPr>
              <w:t>Best suited to acute infections</w:t>
            </w:r>
          </w:p>
          <w:p w14:paraId="5D833A00" w14:textId="7020E8D9" w:rsidR="00F75A96" w:rsidRPr="008E20C4" w:rsidRDefault="00996B33" w:rsidP="003D491F">
            <w:pPr>
              <w:pStyle w:val="11Para"/>
              <w:numPr>
                <w:ilvl w:val="0"/>
                <w:numId w:val="7"/>
              </w:numPr>
              <w:spacing w:before="60" w:after="120"/>
              <w:ind w:left="284" w:hanging="284"/>
              <w:jc w:val="left"/>
              <w:rPr>
                <w:sz w:val="16"/>
                <w:szCs w:val="16"/>
                <w:lang w:val="en-IE"/>
              </w:rPr>
            </w:pPr>
            <w:r w:rsidRPr="008E20C4">
              <w:rPr>
                <w:sz w:val="16"/>
                <w:szCs w:val="16"/>
                <w:lang w:val="en-US"/>
              </w:rPr>
              <w:t>Ethical considerations</w:t>
            </w:r>
          </w:p>
        </w:tc>
      </w:tr>
    </w:tbl>
    <w:p w14:paraId="43301BAE" w14:textId="77777777" w:rsidR="00667CDB" w:rsidRPr="008E20C4" w:rsidRDefault="00667CDB" w:rsidP="005054F6">
      <w:pPr>
        <w:pStyle w:val="11"/>
        <w:spacing w:before="240"/>
        <w:rPr>
          <w:lang w:val="en-IE"/>
        </w:rPr>
      </w:pPr>
      <w:r w:rsidRPr="008E20C4">
        <w:rPr>
          <w:lang w:val="en-IE"/>
        </w:rPr>
        <w:t>2.3.</w:t>
      </w:r>
      <w:r w:rsidRPr="008E20C4">
        <w:rPr>
          <w:lang w:val="en-IE"/>
        </w:rPr>
        <w:tab/>
        <w:t>Experimentally infected or vaccinated reference animals</w:t>
      </w:r>
    </w:p>
    <w:p w14:paraId="27A2B95B" w14:textId="41BE982A" w:rsidR="00667CDB" w:rsidRPr="008E20C4" w:rsidRDefault="00667CDB" w:rsidP="00667CDB">
      <w:pPr>
        <w:pStyle w:val="11Para"/>
        <w:spacing w:after="220"/>
        <w:rPr>
          <w:lang w:val="en-IE"/>
        </w:rPr>
      </w:pPr>
      <w:r w:rsidRPr="008E20C4">
        <w:rPr>
          <w:lang w:val="en-IE"/>
        </w:rPr>
        <w:t>Samples obtained sequentially from experimentally infected or vaccinated animals are useful for determining the kinetics of antibody responses or the presence/absence of antigen or organisms in samples from such animals</w:t>
      </w:r>
      <w:r w:rsidR="003B7D00" w:rsidRPr="008E20C4">
        <w:rPr>
          <w:lang w:val="en-IE"/>
        </w:rPr>
        <w:t xml:space="preserve"> </w:t>
      </w:r>
      <w:r w:rsidR="00767E97" w:rsidRPr="008E20C4">
        <w:rPr>
          <w:u w:val="double"/>
          <w:lang w:val="en-IE"/>
        </w:rPr>
        <w:t>(</w:t>
      </w:r>
      <w:r w:rsidR="0030662B" w:rsidRPr="008E20C4">
        <w:rPr>
          <w:u w:val="double"/>
          <w:lang w:val="en-IE"/>
        </w:rPr>
        <w:t>Table 3</w:t>
      </w:r>
      <w:r w:rsidR="00767E97" w:rsidRPr="008E20C4">
        <w:rPr>
          <w:u w:val="double"/>
          <w:lang w:val="en-IE"/>
        </w:rPr>
        <w:t>)</w:t>
      </w:r>
      <w:r w:rsidR="003B7D00" w:rsidRPr="008E20C4">
        <w:rPr>
          <w:lang w:val="en-IE"/>
        </w:rPr>
        <w:t xml:space="preserve">. </w:t>
      </w:r>
      <w:r w:rsidRPr="008E20C4">
        <w:rPr>
          <w:lang w:val="en-IE"/>
        </w:rPr>
        <w:t xml:space="preserve">However, multiple serially acquired pre- and post-exposure results from individual animals are not acceptable for establishing estimates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because the statistical requirement of independent observations is violated. Single time-point sampling of individual experimental animals can be acceptable (</w:t>
      </w:r>
      <w:proofErr w:type="gramStart"/>
      <w:r w:rsidRPr="008E20C4">
        <w:rPr>
          <w:lang w:val="en-IE"/>
        </w:rPr>
        <w:t>e.g.</w:t>
      </w:r>
      <w:proofErr w:type="gramEnd"/>
      <w:r w:rsidRPr="008E20C4">
        <w:rPr>
          <w:lang w:val="en-IE"/>
        </w:rPr>
        <w:t xml:space="preserve"> one sample randomly chosen from each animal). Nevertheless</w:t>
      </w:r>
      <w:r w:rsidR="00F347D7" w:rsidRPr="008E20C4">
        <w:rPr>
          <w:u w:val="double"/>
          <w:lang w:val="en-IE"/>
        </w:rPr>
        <w:t>,</w:t>
      </w:r>
      <w:r w:rsidRPr="008E20C4">
        <w:rPr>
          <w:lang w:val="en-IE"/>
        </w:rPr>
        <w:t xml:space="preserve"> it should be noted that for indirect methods of analyte detection, exposure to organisms under experimental conditions, or vaccination, may elicit antibody responses that are not quantitatively and qualitatively typical of natural infection in the target population (</w:t>
      </w:r>
      <w:r w:rsidRPr="008E20C4">
        <w:rPr>
          <w:color w:val="000000"/>
          <w:lang w:val="en-IE"/>
        </w:rPr>
        <w:t>Jacobson</w:t>
      </w:r>
      <w:r w:rsidRPr="008E20C4">
        <w:rPr>
          <w:smallCaps/>
          <w:color w:val="000000"/>
          <w:lang w:val="en-IE"/>
        </w:rPr>
        <w:t>, 1998</w:t>
      </w:r>
      <w:r w:rsidRPr="008E20C4">
        <w:rPr>
          <w:lang w:val="en-IE"/>
        </w:rPr>
        <w:t xml:space="preserve">). The strain of organism, dose, and route of administration to experimental animals are examples of variables that may introduce error when extrapolating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estimates to the target population. In cases when the near-impossibility of obtaining suitable reference samples from naturally exposed animals necessitates the use of samples from experimental animals for validation studies, the resulting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measures should be considered as</w:t>
      </w:r>
      <w:r w:rsidR="00B74A96" w:rsidRPr="008E20C4">
        <w:rPr>
          <w:lang w:val="en-IE"/>
        </w:rPr>
        <w:t xml:space="preserve"> </w:t>
      </w:r>
      <w:r w:rsidR="009A7444" w:rsidRPr="008E20C4">
        <w:rPr>
          <w:u w:val="double"/>
          <w:lang w:val="en-IE"/>
        </w:rPr>
        <w:t>“</w:t>
      </w:r>
      <w:r w:rsidR="00B74A96" w:rsidRPr="008E20C4">
        <w:rPr>
          <w:u w:val="double"/>
          <w:lang w:val="en-IE"/>
        </w:rPr>
        <w:t>proof</w:t>
      </w:r>
      <w:r w:rsidR="009A7444" w:rsidRPr="008E20C4">
        <w:rPr>
          <w:u w:val="double"/>
          <w:lang w:val="en-IE"/>
        </w:rPr>
        <w:t>-</w:t>
      </w:r>
      <w:r w:rsidR="00B74A96" w:rsidRPr="008E20C4">
        <w:rPr>
          <w:u w:val="double"/>
          <w:lang w:val="en-IE"/>
        </w:rPr>
        <w:t>of</w:t>
      </w:r>
      <w:r w:rsidR="009A7444" w:rsidRPr="008E20C4">
        <w:rPr>
          <w:u w:val="double"/>
          <w:lang w:val="en-IE"/>
        </w:rPr>
        <w:t>-</w:t>
      </w:r>
      <w:r w:rsidR="00B74A96" w:rsidRPr="008E20C4">
        <w:rPr>
          <w:u w:val="double"/>
          <w:lang w:val="en-IE"/>
        </w:rPr>
        <w:t>concept</w:t>
      </w:r>
      <w:r w:rsidR="009A7444" w:rsidRPr="008E20C4">
        <w:rPr>
          <w:u w:val="double"/>
          <w:lang w:val="en-IE"/>
        </w:rPr>
        <w:t>”</w:t>
      </w:r>
      <w:r w:rsidR="00B74A96" w:rsidRPr="008E20C4">
        <w:rPr>
          <w:u w:val="double"/>
          <w:lang w:val="en-IE"/>
        </w:rPr>
        <w:t xml:space="preserve"> </w:t>
      </w:r>
      <w:r w:rsidR="009A7444" w:rsidRPr="008E20C4">
        <w:rPr>
          <w:u w:val="double"/>
          <w:lang w:val="en-IE"/>
        </w:rPr>
        <w:t xml:space="preserve">results </w:t>
      </w:r>
      <w:r w:rsidR="00B74A96" w:rsidRPr="008E20C4">
        <w:rPr>
          <w:u w:val="double"/>
          <w:lang w:val="en-IE"/>
        </w:rPr>
        <w:t>and</w:t>
      </w:r>
      <w:r w:rsidRPr="008E20C4">
        <w:rPr>
          <w:u w:val="double"/>
          <w:lang w:val="en-IE"/>
        </w:rPr>
        <w:t xml:space="preserve"> </w:t>
      </w:r>
      <w:r w:rsidRPr="008E20C4">
        <w:rPr>
          <w:lang w:val="en-IE"/>
        </w:rPr>
        <w:t xml:space="preserve">less than ideal estimates of the true </w:t>
      </w:r>
      <w:proofErr w:type="spellStart"/>
      <w:r w:rsidRPr="008E20C4">
        <w:rPr>
          <w:lang w:val="en-IE"/>
        </w:rPr>
        <w:t>DSp</w:t>
      </w:r>
      <w:proofErr w:type="spellEnd"/>
      <w:r w:rsidRPr="008E20C4">
        <w:rPr>
          <w:lang w:val="en-IE"/>
        </w:rPr>
        <w:t xml:space="preserve"> and </w:t>
      </w:r>
      <w:proofErr w:type="spellStart"/>
      <w:r w:rsidRPr="008E20C4">
        <w:rPr>
          <w:lang w:val="en-IE"/>
        </w:rPr>
        <w:t>DSe</w:t>
      </w:r>
      <w:proofErr w:type="spellEnd"/>
      <w:r w:rsidRPr="008E20C4">
        <w:rPr>
          <w:lang w:val="en-IE"/>
        </w:rPr>
        <w:t>.</w:t>
      </w:r>
    </w:p>
    <w:p w14:paraId="28AD950D" w14:textId="5C44E4EB" w:rsidR="00667CDB" w:rsidRPr="008E20C4" w:rsidRDefault="00667CDB" w:rsidP="00667CDB">
      <w:pPr>
        <w:pStyle w:val="11"/>
        <w:spacing w:after="220"/>
        <w:rPr>
          <w:lang w:val="en-IE"/>
        </w:rPr>
      </w:pPr>
      <w:r w:rsidRPr="008E20C4">
        <w:rPr>
          <w:lang w:val="en-IE"/>
        </w:rPr>
        <w:t>2.4.</w:t>
      </w:r>
      <w:r w:rsidRPr="008E20C4">
        <w:rPr>
          <w:lang w:val="en-IE"/>
        </w:rPr>
        <w:tab/>
      </w:r>
      <w:r w:rsidR="00857AF4" w:rsidRPr="008E20C4">
        <w:rPr>
          <w:u w:val="double"/>
          <w:lang w:val="en-IE"/>
        </w:rPr>
        <w:t>Selection of a</w:t>
      </w:r>
      <w:r w:rsidR="00857AF4" w:rsidRPr="008E20C4">
        <w:rPr>
          <w:lang w:val="en-IE"/>
        </w:rPr>
        <w:t xml:space="preserve"> c</w:t>
      </w:r>
      <w:r w:rsidRPr="008E20C4">
        <w:rPr>
          <w:lang w:val="en-IE"/>
        </w:rPr>
        <w:t xml:space="preserve">ut-off (threshold) </w:t>
      </w:r>
      <w:r w:rsidR="0084586F" w:rsidRPr="008E20C4">
        <w:rPr>
          <w:strike/>
          <w:lang w:val="en-IE"/>
        </w:rPr>
        <w:t xml:space="preserve">determination </w:t>
      </w:r>
      <w:r w:rsidR="00857AF4" w:rsidRPr="008E20C4">
        <w:rPr>
          <w:u w:val="double"/>
          <w:lang w:val="en-IE"/>
        </w:rPr>
        <w:t xml:space="preserve">value for classification </w:t>
      </w:r>
      <w:r w:rsidR="00CB7F54" w:rsidRPr="008E20C4">
        <w:rPr>
          <w:u w:val="double"/>
          <w:lang w:val="en-IE"/>
        </w:rPr>
        <w:t xml:space="preserve">of </w:t>
      </w:r>
      <w:r w:rsidR="00857AF4" w:rsidRPr="008E20C4">
        <w:rPr>
          <w:u w:val="double"/>
          <w:lang w:val="en-IE"/>
        </w:rPr>
        <w:t>test results</w:t>
      </w:r>
    </w:p>
    <w:p w14:paraId="263BE805" w14:textId="4663D875" w:rsidR="00667CDB" w:rsidRPr="008E20C4" w:rsidRDefault="00667CDB" w:rsidP="00667CDB">
      <w:pPr>
        <w:pStyle w:val="11Para"/>
        <w:spacing w:after="220"/>
        <w:rPr>
          <w:lang w:val="en-IE"/>
        </w:rPr>
      </w:pPr>
      <w:r w:rsidRPr="008E20C4">
        <w:rPr>
          <w:lang w:val="en-IE"/>
        </w:rPr>
        <w:t xml:space="preserve">To obtain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estimates of the candidate assay, which is measured on a continuous scale, the test results </w:t>
      </w:r>
      <w:r w:rsidR="00C5368D" w:rsidRPr="008E20C4">
        <w:rPr>
          <w:lang w:val="en-IE"/>
        </w:rPr>
        <w:t xml:space="preserve">must </w:t>
      </w:r>
      <w:r w:rsidRPr="008E20C4">
        <w:rPr>
          <w:lang w:val="en-IE"/>
        </w:rPr>
        <w:t xml:space="preserve">first be reduced to two (positive or negative) or three (positive, intermediate [doubtful] or negative) categories of test results. This is accomplished by insertion of one or two cut-off points (threshold or decision limits) on the scale of test results. The selection of the cut-off(s) should reflect the intended purpose of the assay and its </w:t>
      </w:r>
      <w:proofErr w:type="gramStart"/>
      <w:r w:rsidRPr="008E20C4">
        <w:rPr>
          <w:lang w:val="en-IE"/>
        </w:rPr>
        <w:t>application,</w:t>
      </w:r>
      <w:r w:rsidR="00FB2EE4" w:rsidRPr="008E20C4">
        <w:rPr>
          <w:lang w:val="en-IE"/>
        </w:rPr>
        <w:t xml:space="preserve"> </w:t>
      </w:r>
      <w:r w:rsidRPr="008E20C4">
        <w:rPr>
          <w:lang w:val="en-IE"/>
        </w:rPr>
        <w:t>and</w:t>
      </w:r>
      <w:proofErr w:type="gramEnd"/>
      <w:r w:rsidRPr="008E20C4">
        <w:rPr>
          <w:lang w:val="en-IE"/>
        </w:rPr>
        <w:t xml:space="preserve"> must support the required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of the assay. Options and descriptive methods for determining the best way to express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are available (</w:t>
      </w:r>
      <w:proofErr w:type="spellStart"/>
      <w:r w:rsidRPr="008E20C4">
        <w:rPr>
          <w:lang w:val="en-IE"/>
        </w:rPr>
        <w:t>Branscum</w:t>
      </w:r>
      <w:proofErr w:type="spellEnd"/>
      <w:r w:rsidRPr="008E20C4">
        <w:rPr>
          <w:lang w:val="en-IE"/>
        </w:rPr>
        <w:t xml:space="preserve"> </w:t>
      </w:r>
      <w:r w:rsidRPr="008E20C4">
        <w:rPr>
          <w:i/>
          <w:lang w:val="en-IE"/>
        </w:rPr>
        <w:t>et al</w:t>
      </w:r>
      <w:r w:rsidRPr="008E20C4">
        <w:rPr>
          <w:lang w:val="en-IE"/>
        </w:rPr>
        <w:t xml:space="preserve">., 2005; Georgiadis </w:t>
      </w:r>
      <w:r w:rsidRPr="008E20C4">
        <w:rPr>
          <w:i/>
          <w:lang w:val="en-IE"/>
        </w:rPr>
        <w:t>et al.,</w:t>
      </w:r>
      <w:r w:rsidRPr="008E20C4">
        <w:rPr>
          <w:lang w:val="en-IE"/>
        </w:rPr>
        <w:t xml:space="preserve"> 2003; Greiner </w:t>
      </w:r>
      <w:r w:rsidRPr="008E20C4">
        <w:rPr>
          <w:i/>
          <w:lang w:val="en-IE"/>
        </w:rPr>
        <w:t>et al.,</w:t>
      </w:r>
      <w:r w:rsidRPr="008E20C4">
        <w:rPr>
          <w:lang w:val="en-IE"/>
        </w:rPr>
        <w:t xml:space="preserve"> 1995; 2000; </w:t>
      </w:r>
      <w:r w:rsidRPr="008E20C4">
        <w:rPr>
          <w:color w:val="000000"/>
          <w:lang w:val="en-IE"/>
        </w:rPr>
        <w:t>Jacobson</w:t>
      </w:r>
      <w:r w:rsidRPr="008E20C4">
        <w:rPr>
          <w:smallCaps/>
          <w:color w:val="000000"/>
          <w:lang w:val="en-IE"/>
        </w:rPr>
        <w:t>, 1998;</w:t>
      </w:r>
      <w:r w:rsidRPr="008E20C4">
        <w:rPr>
          <w:lang w:val="en-IE"/>
        </w:rPr>
        <w:t xml:space="preserve"> </w:t>
      </w:r>
      <w:r w:rsidRPr="008E20C4">
        <w:rPr>
          <w:color w:val="000000"/>
          <w:lang w:val="en-IE"/>
        </w:rPr>
        <w:t>Zweig &amp; Campbell, 1993;</w:t>
      </w:r>
      <w:r w:rsidRPr="008E20C4">
        <w:rPr>
          <w:lang w:val="en-IE"/>
        </w:rPr>
        <w:t xml:space="preserve"> and chapter 2.2.5). If considerable overlap occurs in the distributions of test values from known infected and uninfected animals, it is impossible to select a single cut-off that will accurately classify these animals according to their infection status. Rather than a single cut-off, two cut-offs can be selected that define a high </w:t>
      </w:r>
      <w:proofErr w:type="spellStart"/>
      <w:r w:rsidRPr="008E20C4">
        <w:rPr>
          <w:lang w:val="en-IE"/>
        </w:rPr>
        <w:t>DSe</w:t>
      </w:r>
      <w:proofErr w:type="spellEnd"/>
      <w:r w:rsidRPr="008E20C4">
        <w:rPr>
          <w:lang w:val="en-IE"/>
        </w:rPr>
        <w:t xml:space="preserve"> (</w:t>
      </w:r>
      <w:proofErr w:type="gramStart"/>
      <w:r w:rsidRPr="008E20C4">
        <w:rPr>
          <w:lang w:val="en-IE"/>
        </w:rPr>
        <w:t>e.g.</w:t>
      </w:r>
      <w:proofErr w:type="gramEnd"/>
      <w:r w:rsidRPr="008E20C4">
        <w:rPr>
          <w:lang w:val="en-IE"/>
        </w:rPr>
        <w:t xml:space="preserve"> inclusion of 99% of the values from infected animals), and a high </w:t>
      </w:r>
      <w:proofErr w:type="spellStart"/>
      <w:r w:rsidRPr="008E20C4">
        <w:rPr>
          <w:lang w:val="en-IE"/>
        </w:rPr>
        <w:t>DSp</w:t>
      </w:r>
      <w:proofErr w:type="spellEnd"/>
      <w:r w:rsidRPr="008E20C4">
        <w:rPr>
          <w:lang w:val="en-IE"/>
        </w:rPr>
        <w:t xml:space="preserve"> (e.g. 99% of the values from uninfected animals) (Greiner </w:t>
      </w:r>
      <w:r w:rsidRPr="008E20C4">
        <w:rPr>
          <w:i/>
          <w:lang w:val="en-IE"/>
        </w:rPr>
        <w:t>et al.,</w:t>
      </w:r>
      <w:r w:rsidRPr="008E20C4">
        <w:rPr>
          <w:lang w:val="en-IE"/>
        </w:rPr>
        <w:t xml:space="preserve"> 1995).</w:t>
      </w:r>
    </w:p>
    <w:p w14:paraId="6340C88D" w14:textId="4782D8F7" w:rsidR="00667CDB" w:rsidRPr="008E20C4" w:rsidRDefault="00667CDB" w:rsidP="00667CDB">
      <w:pPr>
        <w:pStyle w:val="11Para"/>
        <w:spacing w:after="220"/>
        <w:rPr>
          <w:lang w:val="en-IE"/>
        </w:rPr>
      </w:pPr>
      <w:r w:rsidRPr="008E20C4">
        <w:rPr>
          <w:lang w:val="en-IE"/>
        </w:rPr>
        <w:t xml:space="preserve">The main difficulty in establishing cut-offs based on diagnostic performance characteristics is the lack of availability of the required number of well-characterised </w:t>
      </w:r>
      <w:r w:rsidR="00CB7F54" w:rsidRPr="008E20C4">
        <w:rPr>
          <w:u w:val="double"/>
          <w:lang w:val="en-IE"/>
        </w:rPr>
        <w:t>(reference)</w:t>
      </w:r>
      <w:r w:rsidR="00CB7F54" w:rsidRPr="008E20C4">
        <w:rPr>
          <w:lang w:val="en-IE"/>
        </w:rPr>
        <w:t xml:space="preserve"> </w:t>
      </w:r>
      <w:r w:rsidRPr="008E20C4">
        <w:rPr>
          <w:lang w:val="en-IE"/>
        </w:rPr>
        <w:t xml:space="preserve">samples. Alternatives are discussed in Section B.2.6 on provisional acceptance of an assay during accrual of data to enhance estimates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w:t>
      </w:r>
    </w:p>
    <w:p w14:paraId="475AC707" w14:textId="619ACB54" w:rsidR="00667CDB" w:rsidRPr="008E20C4" w:rsidRDefault="00667CDB" w:rsidP="00667CDB">
      <w:pPr>
        <w:pStyle w:val="11"/>
        <w:spacing w:after="220"/>
        <w:rPr>
          <w:lang w:val="en-IE"/>
        </w:rPr>
      </w:pPr>
      <w:r w:rsidRPr="008E20C4">
        <w:rPr>
          <w:lang w:val="en-IE"/>
        </w:rPr>
        <w:t>2.5.</w:t>
      </w:r>
      <w:r w:rsidRPr="008E20C4">
        <w:rPr>
          <w:lang w:val="en-IE"/>
        </w:rPr>
        <w:tab/>
        <w:t xml:space="preserve">Calculation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based on test results of reference </w:t>
      </w:r>
      <w:proofErr w:type="gramStart"/>
      <w:r w:rsidRPr="008E20C4">
        <w:rPr>
          <w:lang w:val="en-IE"/>
        </w:rPr>
        <w:t>samples</w:t>
      </w:r>
      <w:proofErr w:type="gramEnd"/>
    </w:p>
    <w:p w14:paraId="0092306A" w14:textId="28069A15" w:rsidR="00667CDB" w:rsidRPr="008E20C4" w:rsidRDefault="00667CDB" w:rsidP="00667CDB">
      <w:pPr>
        <w:pStyle w:val="11Para"/>
        <w:spacing w:after="220"/>
        <w:rPr>
          <w:lang w:val="en-IE"/>
        </w:rPr>
      </w:pPr>
      <w:r w:rsidRPr="008E20C4">
        <w:rPr>
          <w:lang w:val="en-IE"/>
        </w:rPr>
        <w:t xml:space="preserve">A typical method for determining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estimates is to test the reference samples in the new assay, and cross tabulate the categorical test results in a 2 × 2 table. In a hypothetical example, assume the test developer has selected a sample size for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for the new assay under the assumption that the most likely values are 97% (</w:t>
      </w:r>
      <w:proofErr w:type="spellStart"/>
      <w:r w:rsidRPr="008E20C4">
        <w:rPr>
          <w:lang w:val="en-IE"/>
        </w:rPr>
        <w:t>DSe</w:t>
      </w:r>
      <w:proofErr w:type="spellEnd"/>
      <w:r w:rsidRPr="008E20C4">
        <w:rPr>
          <w:lang w:val="en-IE"/>
        </w:rPr>
        <w:t>) and 99% (</w:t>
      </w:r>
      <w:proofErr w:type="spellStart"/>
      <w:r w:rsidRPr="008E20C4">
        <w:rPr>
          <w:lang w:val="en-IE"/>
        </w:rPr>
        <w:t>DSp</w:t>
      </w:r>
      <w:proofErr w:type="spellEnd"/>
      <w:r w:rsidRPr="008E20C4">
        <w:rPr>
          <w:lang w:val="en-IE"/>
        </w:rPr>
        <w:t xml:space="preserve">), respectively, with a desired confidence of 95% for both estimates. The desired error margin in the estimates was set at 2%. Table </w:t>
      </w:r>
      <w:r w:rsidR="009423A6" w:rsidRPr="008E20C4">
        <w:rPr>
          <w:lang w:val="en-IE"/>
        </w:rPr>
        <w:t>4</w:t>
      </w:r>
      <w:r w:rsidRPr="008E20C4">
        <w:rPr>
          <w:lang w:val="en-IE"/>
        </w:rPr>
        <w:t xml:space="preserve"> indicates that 279 samples from known infected animals are required for the </w:t>
      </w:r>
      <w:proofErr w:type="spellStart"/>
      <w:r w:rsidRPr="008E20C4">
        <w:rPr>
          <w:lang w:val="en-IE"/>
        </w:rPr>
        <w:t>DSe</w:t>
      </w:r>
      <w:proofErr w:type="spellEnd"/>
      <w:r w:rsidRPr="008E20C4">
        <w:rPr>
          <w:lang w:val="en-IE"/>
        </w:rPr>
        <w:t xml:space="preserve"> </w:t>
      </w:r>
      <w:r w:rsidRPr="008E20C4">
        <w:rPr>
          <w:lang w:val="en-IE"/>
        </w:rPr>
        <w:lastRenderedPageBreak/>
        <w:t xml:space="preserve">assessment, and 95 known negative samples are needed for establishing the </w:t>
      </w:r>
      <w:proofErr w:type="spellStart"/>
      <w:r w:rsidRPr="008E20C4">
        <w:rPr>
          <w:lang w:val="en-IE"/>
        </w:rPr>
        <w:t>DSp</w:t>
      </w:r>
      <w:proofErr w:type="spellEnd"/>
      <w:r w:rsidRPr="008E20C4">
        <w:rPr>
          <w:lang w:val="en-IE"/>
        </w:rPr>
        <w:t xml:space="preserve"> estimate. </w:t>
      </w:r>
      <w:r w:rsidR="00030B7C" w:rsidRPr="008E20C4">
        <w:rPr>
          <w:u w:val="double"/>
          <w:lang w:val="en-IE"/>
        </w:rPr>
        <w:t>Assume that</w:t>
      </w:r>
      <w:r w:rsidR="00030B7C" w:rsidRPr="008E20C4">
        <w:rPr>
          <w:lang w:val="en-IE"/>
        </w:rPr>
        <w:t xml:space="preserve"> t</w:t>
      </w:r>
      <w:r w:rsidRPr="008E20C4">
        <w:rPr>
          <w:lang w:val="en-IE"/>
        </w:rPr>
        <w:t xml:space="preserve">he samples were then run </w:t>
      </w:r>
      <w:r w:rsidR="0084586F" w:rsidRPr="008E20C4">
        <w:rPr>
          <w:strike/>
          <w:lang w:val="en-IE"/>
        </w:rPr>
        <w:t>in</w:t>
      </w:r>
      <w:r w:rsidR="003B7D00" w:rsidRPr="008E20C4">
        <w:rPr>
          <w:strike/>
          <w:lang w:val="en-IE"/>
        </w:rPr>
        <w:t xml:space="preserve"> </w:t>
      </w:r>
      <w:r w:rsidR="00F07E90" w:rsidRPr="008E20C4">
        <w:rPr>
          <w:u w:val="double"/>
          <w:lang w:val="en-IE"/>
        </w:rPr>
        <w:t>with</w:t>
      </w:r>
      <w:r w:rsidRPr="008E20C4">
        <w:rPr>
          <w:lang w:val="en-IE"/>
        </w:rPr>
        <w:t xml:space="preserve"> the new assay. Table </w:t>
      </w:r>
      <w:r w:rsidR="0030662B" w:rsidRPr="008E20C4">
        <w:rPr>
          <w:lang w:val="en-IE"/>
        </w:rPr>
        <w:t>4</w:t>
      </w:r>
      <w:r w:rsidRPr="008E20C4">
        <w:rPr>
          <w:lang w:val="en-IE"/>
        </w:rPr>
        <w:t xml:space="preserve"> is a hypothetical set of results from which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estimates have been obtained.</w:t>
      </w:r>
    </w:p>
    <w:p w14:paraId="7A4B1E96" w14:textId="77777777" w:rsidR="00206529" w:rsidRDefault="00206529">
      <w:pPr>
        <w:tabs>
          <w:tab w:val="clear" w:pos="-720"/>
        </w:tabs>
        <w:spacing w:after="160" w:line="259" w:lineRule="auto"/>
        <w:jc w:val="left"/>
        <w:rPr>
          <w:rFonts w:ascii="Söhne Kräftig" w:hAnsi="Söhne Kräftig" w:cs="Ottawa"/>
          <w:b/>
          <w:bCs/>
          <w:i/>
          <w:iCs/>
          <w:sz w:val="18"/>
          <w:szCs w:val="18"/>
          <w:lang w:val="en-IE" w:eastAsia="en-US"/>
        </w:rPr>
      </w:pPr>
      <w:r>
        <w:rPr>
          <w:lang w:val="en-IE"/>
        </w:rPr>
        <w:br w:type="page"/>
      </w:r>
    </w:p>
    <w:p w14:paraId="0357EFF5" w14:textId="31FAB6FF" w:rsidR="00667CDB" w:rsidRPr="008E20C4" w:rsidRDefault="00667CDB" w:rsidP="00CE2C66">
      <w:pPr>
        <w:pStyle w:val="Tabletitle"/>
        <w:rPr>
          <w:lang w:val="en-IE"/>
        </w:rPr>
      </w:pPr>
      <w:r w:rsidRPr="008E20C4">
        <w:rPr>
          <w:lang w:val="en-IE"/>
        </w:rPr>
        <w:lastRenderedPageBreak/>
        <w:t xml:space="preserve">Table </w:t>
      </w:r>
      <w:r w:rsidR="0030662B" w:rsidRPr="008E20C4">
        <w:rPr>
          <w:lang w:val="en-IE"/>
        </w:rPr>
        <w:t>4</w:t>
      </w:r>
      <w:r w:rsidRPr="008E20C4">
        <w:rPr>
          <w:lang w:val="en-IE"/>
        </w:rPr>
        <w:t xml:space="preserve">. Diagnostic sensitivity and specificity estimates calculated from hypothetical </w:t>
      </w:r>
      <w:r w:rsidRPr="008E20C4">
        <w:rPr>
          <w:lang w:val="en-IE"/>
        </w:rPr>
        <w:br/>
        <w:t xml:space="preserve">set of results for samples tested from known infected and non-infected </w:t>
      </w:r>
      <w:proofErr w:type="gramStart"/>
      <w:r w:rsidRPr="008E20C4">
        <w:rPr>
          <w:lang w:val="en-IE"/>
        </w:rPr>
        <w:t>populations</w:t>
      </w:r>
      <w:proofErr w:type="gramEnd"/>
    </w:p>
    <w:tbl>
      <w:tblPr>
        <w:tblW w:w="6405" w:type="dxa"/>
        <w:jc w:val="center"/>
        <w:tblLook w:val="00A0" w:firstRow="1" w:lastRow="0" w:firstColumn="1" w:lastColumn="0" w:noHBand="0" w:noVBand="0"/>
      </w:tblPr>
      <w:tblGrid>
        <w:gridCol w:w="847"/>
        <w:gridCol w:w="1222"/>
        <w:gridCol w:w="1155"/>
        <w:gridCol w:w="1019"/>
        <w:gridCol w:w="1056"/>
        <w:gridCol w:w="1106"/>
      </w:tblGrid>
      <w:tr w:rsidR="00667CDB" w:rsidRPr="008E20C4" w14:paraId="1EB73C82" w14:textId="77777777" w:rsidTr="004B3887">
        <w:trPr>
          <w:trHeight w:val="342"/>
          <w:jc w:val="center"/>
        </w:trPr>
        <w:tc>
          <w:tcPr>
            <w:tcW w:w="847" w:type="dxa"/>
            <w:tcBorders>
              <w:top w:val="nil"/>
              <w:left w:val="nil"/>
              <w:bottom w:val="nil"/>
              <w:right w:val="nil"/>
            </w:tcBorders>
            <w:noWrap/>
            <w:vAlign w:val="bottom"/>
          </w:tcPr>
          <w:p w14:paraId="5F9D4C3D" w14:textId="77777777" w:rsidR="00667CDB" w:rsidRPr="008E20C4" w:rsidRDefault="00667CDB" w:rsidP="00220DD8">
            <w:pPr>
              <w:tabs>
                <w:tab w:val="clear" w:pos="-720"/>
              </w:tabs>
              <w:spacing w:line="240" w:lineRule="auto"/>
              <w:jc w:val="left"/>
              <w:rPr>
                <w:rFonts w:ascii="Söhne" w:hAnsi="Söhne" w:cs="Arial"/>
                <w:color w:val="000000"/>
                <w:sz w:val="18"/>
                <w:szCs w:val="18"/>
                <w:lang w:val="en-IE" w:eastAsia="en-US"/>
              </w:rPr>
            </w:pPr>
          </w:p>
        </w:tc>
        <w:tc>
          <w:tcPr>
            <w:tcW w:w="1222" w:type="dxa"/>
            <w:tcBorders>
              <w:top w:val="nil"/>
              <w:left w:val="nil"/>
              <w:bottom w:val="nil"/>
              <w:right w:val="single" w:sz="4" w:space="0" w:color="auto"/>
            </w:tcBorders>
            <w:noWrap/>
            <w:vAlign w:val="bottom"/>
          </w:tcPr>
          <w:p w14:paraId="3082BB60"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c>
          <w:tcPr>
            <w:tcW w:w="4336" w:type="dxa"/>
            <w:gridSpan w:val="4"/>
            <w:tcBorders>
              <w:top w:val="single" w:sz="4" w:space="0" w:color="auto"/>
              <w:left w:val="single" w:sz="4" w:space="0" w:color="auto"/>
              <w:bottom w:val="single" w:sz="4" w:space="0" w:color="auto"/>
              <w:right w:val="single" w:sz="4" w:space="0" w:color="auto"/>
            </w:tcBorders>
            <w:vAlign w:val="center"/>
          </w:tcPr>
          <w:p w14:paraId="225B2C17"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Number of reference samples required*</w:t>
            </w:r>
          </w:p>
        </w:tc>
      </w:tr>
      <w:tr w:rsidR="007B3178" w:rsidRPr="008E20C4" w14:paraId="7A0027C7" w14:textId="77777777" w:rsidTr="00220DD8">
        <w:trPr>
          <w:trHeight w:val="342"/>
          <w:jc w:val="center"/>
        </w:trPr>
        <w:tc>
          <w:tcPr>
            <w:tcW w:w="847" w:type="dxa"/>
            <w:tcBorders>
              <w:top w:val="nil"/>
              <w:left w:val="nil"/>
              <w:bottom w:val="nil"/>
              <w:right w:val="nil"/>
            </w:tcBorders>
            <w:noWrap/>
            <w:vAlign w:val="bottom"/>
          </w:tcPr>
          <w:p w14:paraId="76990C02" w14:textId="77777777" w:rsidR="00667CDB" w:rsidRPr="008E20C4" w:rsidRDefault="00667CDB" w:rsidP="00220DD8">
            <w:pPr>
              <w:tabs>
                <w:tab w:val="clear" w:pos="-720"/>
              </w:tabs>
              <w:spacing w:line="240" w:lineRule="auto"/>
              <w:jc w:val="left"/>
              <w:rPr>
                <w:rFonts w:ascii="Söhne" w:hAnsi="Söhne" w:cs="Arial"/>
                <w:color w:val="000000"/>
                <w:sz w:val="18"/>
                <w:szCs w:val="18"/>
                <w:lang w:val="en-IE" w:eastAsia="en-US"/>
              </w:rPr>
            </w:pPr>
          </w:p>
        </w:tc>
        <w:tc>
          <w:tcPr>
            <w:tcW w:w="1222" w:type="dxa"/>
            <w:tcBorders>
              <w:top w:val="nil"/>
              <w:left w:val="nil"/>
              <w:bottom w:val="single" w:sz="4" w:space="0" w:color="auto"/>
              <w:right w:val="single" w:sz="4" w:space="0" w:color="auto"/>
            </w:tcBorders>
            <w:noWrap/>
            <w:vAlign w:val="bottom"/>
          </w:tcPr>
          <w:p w14:paraId="686E9F30"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r w:rsidRPr="008E20C4">
              <w:rPr>
                <w:rFonts w:ascii="Söhne" w:hAnsi="Söhne" w:cs="Arial"/>
                <w:color w:val="000000"/>
                <w:sz w:val="18"/>
                <w:szCs w:val="18"/>
                <w:lang w:val="en-IE" w:eastAsia="en-US"/>
              </w:rPr>
              <w:t> </w:t>
            </w:r>
          </w:p>
        </w:tc>
        <w:tc>
          <w:tcPr>
            <w:tcW w:w="2174" w:type="dxa"/>
            <w:gridSpan w:val="2"/>
            <w:tcBorders>
              <w:top w:val="single" w:sz="4" w:space="0" w:color="auto"/>
              <w:left w:val="nil"/>
              <w:bottom w:val="single" w:sz="12" w:space="0" w:color="auto"/>
              <w:right w:val="single" w:sz="4" w:space="0" w:color="000000"/>
            </w:tcBorders>
            <w:noWrap/>
            <w:vAlign w:val="center"/>
          </w:tcPr>
          <w:p w14:paraId="76DDD504"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Known positive (279)</w:t>
            </w:r>
          </w:p>
        </w:tc>
        <w:tc>
          <w:tcPr>
            <w:tcW w:w="2162" w:type="dxa"/>
            <w:gridSpan w:val="2"/>
            <w:tcBorders>
              <w:top w:val="single" w:sz="4" w:space="0" w:color="auto"/>
              <w:left w:val="nil"/>
              <w:bottom w:val="single" w:sz="12" w:space="0" w:color="auto"/>
              <w:right w:val="single" w:sz="4" w:space="0" w:color="000000"/>
            </w:tcBorders>
            <w:noWrap/>
            <w:vAlign w:val="center"/>
          </w:tcPr>
          <w:p w14:paraId="3741FFD4"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Known negative (95)</w:t>
            </w:r>
          </w:p>
        </w:tc>
      </w:tr>
      <w:tr w:rsidR="007B3178" w:rsidRPr="008E20C4" w14:paraId="5B734918" w14:textId="77777777" w:rsidTr="00220DD8">
        <w:trPr>
          <w:trHeight w:val="342"/>
          <w:jc w:val="center"/>
        </w:trPr>
        <w:tc>
          <w:tcPr>
            <w:tcW w:w="847" w:type="dxa"/>
            <w:vMerge w:val="restart"/>
            <w:tcBorders>
              <w:top w:val="nil"/>
              <w:left w:val="nil"/>
              <w:bottom w:val="nil"/>
              <w:right w:val="single" w:sz="4" w:space="0" w:color="auto"/>
            </w:tcBorders>
            <w:vAlign w:val="center"/>
          </w:tcPr>
          <w:p w14:paraId="7302ED3C" w14:textId="77777777" w:rsidR="00667CDB" w:rsidRPr="008E20C4" w:rsidRDefault="00667CDB" w:rsidP="00220DD8">
            <w:pPr>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Test results</w:t>
            </w:r>
          </w:p>
        </w:tc>
        <w:tc>
          <w:tcPr>
            <w:tcW w:w="1222" w:type="dxa"/>
            <w:vMerge w:val="restart"/>
            <w:tcBorders>
              <w:top w:val="nil"/>
              <w:left w:val="single" w:sz="4" w:space="0" w:color="auto"/>
              <w:bottom w:val="single" w:sz="4" w:space="0" w:color="000000"/>
              <w:right w:val="single" w:sz="12" w:space="0" w:color="000000"/>
            </w:tcBorders>
            <w:noWrap/>
            <w:vAlign w:val="center"/>
          </w:tcPr>
          <w:p w14:paraId="5253FF05"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Positive</w:t>
            </w:r>
          </w:p>
        </w:tc>
        <w:tc>
          <w:tcPr>
            <w:tcW w:w="1155" w:type="dxa"/>
            <w:vMerge w:val="restart"/>
            <w:tcBorders>
              <w:top w:val="single" w:sz="12" w:space="0" w:color="auto"/>
              <w:left w:val="single" w:sz="12" w:space="0" w:color="000000"/>
              <w:bottom w:val="single" w:sz="12" w:space="0" w:color="auto"/>
              <w:right w:val="nil"/>
            </w:tcBorders>
            <w:noWrap/>
            <w:vAlign w:val="center"/>
          </w:tcPr>
          <w:p w14:paraId="7B6B5621"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270</w:t>
            </w:r>
          </w:p>
        </w:tc>
        <w:tc>
          <w:tcPr>
            <w:tcW w:w="1019" w:type="dxa"/>
            <w:tcBorders>
              <w:top w:val="single" w:sz="12" w:space="0" w:color="auto"/>
              <w:left w:val="nil"/>
              <w:bottom w:val="single" w:sz="4" w:space="0" w:color="auto"/>
              <w:right w:val="single" w:sz="12" w:space="0" w:color="auto"/>
            </w:tcBorders>
            <w:noWrap/>
            <w:vAlign w:val="center"/>
          </w:tcPr>
          <w:p w14:paraId="5FD41EBB"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 </w:t>
            </w:r>
          </w:p>
        </w:tc>
        <w:tc>
          <w:tcPr>
            <w:tcW w:w="1056" w:type="dxa"/>
            <w:tcBorders>
              <w:top w:val="single" w:sz="12" w:space="0" w:color="auto"/>
              <w:left w:val="single" w:sz="12" w:space="0" w:color="auto"/>
              <w:bottom w:val="single" w:sz="4" w:space="0" w:color="auto"/>
              <w:right w:val="nil"/>
            </w:tcBorders>
            <w:noWrap/>
            <w:vAlign w:val="center"/>
          </w:tcPr>
          <w:p w14:paraId="67ABD7C1"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 </w:t>
            </w:r>
          </w:p>
        </w:tc>
        <w:tc>
          <w:tcPr>
            <w:tcW w:w="1106" w:type="dxa"/>
            <w:vMerge w:val="restart"/>
            <w:tcBorders>
              <w:top w:val="single" w:sz="12" w:space="0" w:color="auto"/>
              <w:left w:val="nil"/>
              <w:bottom w:val="single" w:sz="12" w:space="0" w:color="auto"/>
              <w:right w:val="single" w:sz="12" w:space="0" w:color="000000"/>
            </w:tcBorders>
            <w:noWrap/>
            <w:vAlign w:val="center"/>
          </w:tcPr>
          <w:p w14:paraId="4680EF90"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7</w:t>
            </w:r>
          </w:p>
        </w:tc>
      </w:tr>
      <w:tr w:rsidR="007B3178" w:rsidRPr="008E20C4" w14:paraId="591DFFD2" w14:textId="77777777" w:rsidTr="00220DD8">
        <w:trPr>
          <w:trHeight w:val="342"/>
          <w:jc w:val="center"/>
        </w:trPr>
        <w:tc>
          <w:tcPr>
            <w:tcW w:w="847" w:type="dxa"/>
            <w:vMerge/>
            <w:tcBorders>
              <w:top w:val="nil"/>
              <w:left w:val="nil"/>
              <w:bottom w:val="nil"/>
              <w:right w:val="single" w:sz="4" w:space="0" w:color="auto"/>
            </w:tcBorders>
            <w:vAlign w:val="center"/>
          </w:tcPr>
          <w:p w14:paraId="70C7F921" w14:textId="77777777" w:rsidR="00667CDB" w:rsidRPr="008E20C4" w:rsidRDefault="00667CDB" w:rsidP="00220DD8">
            <w:pPr>
              <w:tabs>
                <w:tab w:val="clear" w:pos="-720"/>
              </w:tabs>
              <w:spacing w:line="240" w:lineRule="auto"/>
              <w:jc w:val="left"/>
              <w:rPr>
                <w:rFonts w:ascii="Söhne" w:hAnsi="Söhne" w:cs="Arial"/>
                <w:color w:val="000000"/>
                <w:sz w:val="18"/>
                <w:szCs w:val="18"/>
                <w:lang w:val="en-IE" w:eastAsia="en-US"/>
              </w:rPr>
            </w:pPr>
          </w:p>
        </w:tc>
        <w:tc>
          <w:tcPr>
            <w:tcW w:w="1222" w:type="dxa"/>
            <w:vMerge/>
            <w:tcBorders>
              <w:top w:val="nil"/>
              <w:left w:val="single" w:sz="4" w:space="0" w:color="auto"/>
              <w:bottom w:val="single" w:sz="4" w:space="0" w:color="000000"/>
              <w:right w:val="single" w:sz="12" w:space="0" w:color="000000"/>
            </w:tcBorders>
            <w:vAlign w:val="center"/>
          </w:tcPr>
          <w:p w14:paraId="42AD57E8"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c>
          <w:tcPr>
            <w:tcW w:w="1155" w:type="dxa"/>
            <w:vMerge/>
            <w:tcBorders>
              <w:top w:val="single" w:sz="8" w:space="0" w:color="000000"/>
              <w:left w:val="single" w:sz="12" w:space="0" w:color="000000"/>
              <w:bottom w:val="single" w:sz="12" w:space="0" w:color="auto"/>
              <w:right w:val="nil"/>
            </w:tcBorders>
            <w:vAlign w:val="center"/>
          </w:tcPr>
          <w:p w14:paraId="0F122EEF"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c>
          <w:tcPr>
            <w:tcW w:w="1019" w:type="dxa"/>
            <w:tcBorders>
              <w:top w:val="single" w:sz="4" w:space="0" w:color="auto"/>
              <w:left w:val="single" w:sz="4" w:space="0" w:color="auto"/>
              <w:bottom w:val="single" w:sz="12" w:space="0" w:color="auto"/>
              <w:right w:val="single" w:sz="12" w:space="0" w:color="auto"/>
            </w:tcBorders>
            <w:noWrap/>
            <w:vAlign w:val="center"/>
          </w:tcPr>
          <w:p w14:paraId="479F3D86"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TP</w:t>
            </w:r>
          </w:p>
        </w:tc>
        <w:tc>
          <w:tcPr>
            <w:tcW w:w="1056" w:type="dxa"/>
            <w:tcBorders>
              <w:top w:val="nil"/>
              <w:left w:val="single" w:sz="12" w:space="0" w:color="auto"/>
              <w:bottom w:val="single" w:sz="12" w:space="0" w:color="auto"/>
              <w:right w:val="single" w:sz="4" w:space="0" w:color="auto"/>
            </w:tcBorders>
            <w:noWrap/>
            <w:vAlign w:val="center"/>
          </w:tcPr>
          <w:p w14:paraId="43080815"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FP</w:t>
            </w:r>
          </w:p>
        </w:tc>
        <w:tc>
          <w:tcPr>
            <w:tcW w:w="1106" w:type="dxa"/>
            <w:vMerge/>
            <w:tcBorders>
              <w:top w:val="single" w:sz="8" w:space="0" w:color="000000"/>
              <w:left w:val="nil"/>
              <w:bottom w:val="single" w:sz="12" w:space="0" w:color="auto"/>
              <w:right w:val="single" w:sz="12" w:space="0" w:color="000000"/>
            </w:tcBorders>
            <w:vAlign w:val="center"/>
          </w:tcPr>
          <w:p w14:paraId="262AF5A2"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r>
      <w:tr w:rsidR="007B3178" w:rsidRPr="008E20C4" w14:paraId="298E6655" w14:textId="77777777" w:rsidTr="00220DD8">
        <w:trPr>
          <w:trHeight w:val="342"/>
          <w:jc w:val="center"/>
        </w:trPr>
        <w:tc>
          <w:tcPr>
            <w:tcW w:w="847" w:type="dxa"/>
            <w:vMerge/>
            <w:tcBorders>
              <w:top w:val="nil"/>
              <w:left w:val="nil"/>
              <w:bottom w:val="nil"/>
              <w:right w:val="single" w:sz="4" w:space="0" w:color="auto"/>
            </w:tcBorders>
            <w:vAlign w:val="center"/>
          </w:tcPr>
          <w:p w14:paraId="6EEC0F6D" w14:textId="77777777" w:rsidR="00667CDB" w:rsidRPr="008E20C4" w:rsidRDefault="00667CDB" w:rsidP="00220DD8">
            <w:pPr>
              <w:tabs>
                <w:tab w:val="clear" w:pos="-720"/>
              </w:tabs>
              <w:spacing w:line="240" w:lineRule="auto"/>
              <w:jc w:val="left"/>
              <w:rPr>
                <w:rFonts w:ascii="Söhne" w:hAnsi="Söhne" w:cs="Arial"/>
                <w:color w:val="000000"/>
                <w:sz w:val="18"/>
                <w:szCs w:val="18"/>
                <w:lang w:val="en-IE" w:eastAsia="en-US"/>
              </w:rPr>
            </w:pPr>
          </w:p>
        </w:tc>
        <w:tc>
          <w:tcPr>
            <w:tcW w:w="1222" w:type="dxa"/>
            <w:vMerge w:val="restart"/>
            <w:tcBorders>
              <w:top w:val="nil"/>
              <w:left w:val="single" w:sz="4" w:space="0" w:color="auto"/>
              <w:bottom w:val="single" w:sz="4" w:space="0" w:color="000000"/>
              <w:right w:val="single" w:sz="12" w:space="0" w:color="000000"/>
            </w:tcBorders>
            <w:noWrap/>
            <w:vAlign w:val="center"/>
          </w:tcPr>
          <w:p w14:paraId="7118B744"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Negative</w:t>
            </w:r>
          </w:p>
        </w:tc>
        <w:tc>
          <w:tcPr>
            <w:tcW w:w="1155" w:type="dxa"/>
            <w:vMerge w:val="restart"/>
            <w:tcBorders>
              <w:top w:val="single" w:sz="12" w:space="0" w:color="auto"/>
              <w:left w:val="single" w:sz="12" w:space="0" w:color="000000"/>
              <w:bottom w:val="single" w:sz="12" w:space="0" w:color="000000"/>
              <w:right w:val="single" w:sz="6" w:space="0" w:color="auto"/>
            </w:tcBorders>
            <w:noWrap/>
            <w:vAlign w:val="center"/>
          </w:tcPr>
          <w:p w14:paraId="5C3B907B"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9</w:t>
            </w:r>
          </w:p>
        </w:tc>
        <w:tc>
          <w:tcPr>
            <w:tcW w:w="1019" w:type="dxa"/>
            <w:tcBorders>
              <w:top w:val="single" w:sz="12" w:space="0" w:color="auto"/>
              <w:left w:val="single" w:sz="6" w:space="0" w:color="auto"/>
              <w:bottom w:val="single" w:sz="4" w:space="0" w:color="auto"/>
              <w:right w:val="single" w:sz="12" w:space="0" w:color="auto"/>
            </w:tcBorders>
            <w:noWrap/>
            <w:vAlign w:val="center"/>
          </w:tcPr>
          <w:p w14:paraId="7422A45C"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FN</w:t>
            </w:r>
          </w:p>
        </w:tc>
        <w:tc>
          <w:tcPr>
            <w:tcW w:w="1056" w:type="dxa"/>
            <w:tcBorders>
              <w:top w:val="single" w:sz="12" w:space="0" w:color="auto"/>
              <w:left w:val="single" w:sz="12" w:space="0" w:color="auto"/>
              <w:bottom w:val="single" w:sz="4" w:space="0" w:color="auto"/>
              <w:right w:val="single" w:sz="6" w:space="0" w:color="auto"/>
            </w:tcBorders>
            <w:noWrap/>
            <w:vAlign w:val="center"/>
          </w:tcPr>
          <w:p w14:paraId="700849EA"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TN</w:t>
            </w:r>
          </w:p>
        </w:tc>
        <w:tc>
          <w:tcPr>
            <w:tcW w:w="1106" w:type="dxa"/>
            <w:vMerge w:val="restart"/>
            <w:tcBorders>
              <w:top w:val="single" w:sz="12" w:space="0" w:color="auto"/>
              <w:left w:val="single" w:sz="6" w:space="0" w:color="auto"/>
              <w:bottom w:val="single" w:sz="12" w:space="0" w:color="000000"/>
              <w:right w:val="single" w:sz="12" w:space="0" w:color="000000"/>
            </w:tcBorders>
            <w:noWrap/>
            <w:vAlign w:val="center"/>
          </w:tcPr>
          <w:p w14:paraId="090896D0"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88</w:t>
            </w:r>
          </w:p>
        </w:tc>
      </w:tr>
      <w:tr w:rsidR="007B3178" w:rsidRPr="008E20C4" w14:paraId="2BEBA7B1" w14:textId="77777777" w:rsidTr="00220DD8">
        <w:trPr>
          <w:trHeight w:val="342"/>
          <w:jc w:val="center"/>
        </w:trPr>
        <w:tc>
          <w:tcPr>
            <w:tcW w:w="847" w:type="dxa"/>
            <w:vMerge/>
            <w:tcBorders>
              <w:top w:val="nil"/>
              <w:left w:val="nil"/>
              <w:bottom w:val="nil"/>
              <w:right w:val="single" w:sz="4" w:space="0" w:color="auto"/>
            </w:tcBorders>
            <w:vAlign w:val="center"/>
          </w:tcPr>
          <w:p w14:paraId="56F88A44" w14:textId="77777777" w:rsidR="00667CDB" w:rsidRPr="008E20C4" w:rsidRDefault="00667CDB" w:rsidP="00220DD8">
            <w:pPr>
              <w:tabs>
                <w:tab w:val="clear" w:pos="-720"/>
              </w:tabs>
              <w:spacing w:line="240" w:lineRule="auto"/>
              <w:jc w:val="left"/>
              <w:rPr>
                <w:rFonts w:ascii="Söhne" w:hAnsi="Söhne" w:cs="Arial"/>
                <w:color w:val="000000"/>
                <w:sz w:val="18"/>
                <w:szCs w:val="18"/>
                <w:lang w:val="en-IE" w:eastAsia="en-US"/>
              </w:rPr>
            </w:pPr>
          </w:p>
        </w:tc>
        <w:tc>
          <w:tcPr>
            <w:tcW w:w="1222" w:type="dxa"/>
            <w:vMerge/>
            <w:tcBorders>
              <w:top w:val="nil"/>
              <w:left w:val="single" w:sz="4" w:space="0" w:color="auto"/>
              <w:bottom w:val="single" w:sz="4" w:space="0" w:color="000000"/>
              <w:right w:val="single" w:sz="12" w:space="0" w:color="000000"/>
            </w:tcBorders>
            <w:vAlign w:val="center"/>
          </w:tcPr>
          <w:p w14:paraId="17DD462C"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c>
          <w:tcPr>
            <w:tcW w:w="1155" w:type="dxa"/>
            <w:vMerge/>
            <w:tcBorders>
              <w:top w:val="single" w:sz="12" w:space="0" w:color="000000"/>
              <w:left w:val="single" w:sz="12" w:space="0" w:color="000000"/>
              <w:bottom w:val="single" w:sz="12" w:space="0" w:color="000000"/>
            </w:tcBorders>
            <w:vAlign w:val="center"/>
          </w:tcPr>
          <w:p w14:paraId="1ED9B5F1"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c>
          <w:tcPr>
            <w:tcW w:w="1019" w:type="dxa"/>
            <w:tcBorders>
              <w:top w:val="single" w:sz="4" w:space="0" w:color="auto"/>
              <w:bottom w:val="single" w:sz="12" w:space="0" w:color="auto"/>
              <w:right w:val="single" w:sz="12" w:space="0" w:color="auto"/>
            </w:tcBorders>
            <w:noWrap/>
            <w:vAlign w:val="center"/>
          </w:tcPr>
          <w:p w14:paraId="21259B9F"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 </w:t>
            </w:r>
          </w:p>
        </w:tc>
        <w:tc>
          <w:tcPr>
            <w:tcW w:w="1056" w:type="dxa"/>
            <w:tcBorders>
              <w:top w:val="single" w:sz="4" w:space="0" w:color="auto"/>
              <w:left w:val="single" w:sz="12" w:space="0" w:color="auto"/>
              <w:bottom w:val="single" w:sz="12" w:space="0" w:color="auto"/>
            </w:tcBorders>
            <w:noWrap/>
            <w:vAlign w:val="center"/>
          </w:tcPr>
          <w:p w14:paraId="3ACFD7A9" w14:textId="77777777" w:rsidR="00667CDB" w:rsidRPr="008E20C4" w:rsidRDefault="00667CDB" w:rsidP="00220DD8">
            <w:pPr>
              <w:keepLines/>
              <w:tabs>
                <w:tab w:val="clear" w:pos="-720"/>
              </w:tabs>
              <w:spacing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 </w:t>
            </w:r>
          </w:p>
        </w:tc>
        <w:tc>
          <w:tcPr>
            <w:tcW w:w="1106" w:type="dxa"/>
            <w:vMerge/>
            <w:tcBorders>
              <w:top w:val="single" w:sz="12" w:space="0" w:color="000000"/>
              <w:left w:val="nil"/>
              <w:bottom w:val="single" w:sz="12" w:space="0" w:color="000000"/>
              <w:right w:val="single" w:sz="12" w:space="0" w:color="000000"/>
            </w:tcBorders>
            <w:vAlign w:val="center"/>
          </w:tcPr>
          <w:p w14:paraId="52915160" w14:textId="77777777" w:rsidR="00667CDB" w:rsidRPr="008E20C4" w:rsidRDefault="00667CDB" w:rsidP="00220DD8">
            <w:pPr>
              <w:keepLines/>
              <w:tabs>
                <w:tab w:val="clear" w:pos="-720"/>
              </w:tabs>
              <w:spacing w:line="240" w:lineRule="auto"/>
              <w:jc w:val="left"/>
              <w:rPr>
                <w:rFonts w:ascii="Söhne" w:hAnsi="Söhne" w:cs="Arial"/>
                <w:color w:val="000000"/>
                <w:sz w:val="18"/>
                <w:szCs w:val="18"/>
                <w:lang w:val="en-IE" w:eastAsia="en-US"/>
              </w:rPr>
            </w:pPr>
          </w:p>
        </w:tc>
      </w:tr>
      <w:tr w:rsidR="00667CDB" w:rsidRPr="008E20C4" w14:paraId="45C368F3" w14:textId="77777777" w:rsidTr="004B3887">
        <w:trPr>
          <w:trHeight w:val="342"/>
          <w:jc w:val="center"/>
        </w:trPr>
        <w:tc>
          <w:tcPr>
            <w:tcW w:w="847" w:type="dxa"/>
            <w:tcBorders>
              <w:top w:val="nil"/>
              <w:left w:val="nil"/>
              <w:bottom w:val="nil"/>
              <w:right w:val="nil"/>
            </w:tcBorders>
            <w:noWrap/>
            <w:vAlign w:val="bottom"/>
          </w:tcPr>
          <w:p w14:paraId="0A8D06A6" w14:textId="77777777" w:rsidR="00667CDB" w:rsidRPr="008E20C4" w:rsidRDefault="00667CDB" w:rsidP="00220DD8">
            <w:pPr>
              <w:tabs>
                <w:tab w:val="clear" w:pos="-720"/>
              </w:tabs>
              <w:spacing w:before="60" w:after="60" w:line="240" w:lineRule="auto"/>
              <w:jc w:val="left"/>
              <w:rPr>
                <w:rFonts w:ascii="Söhne" w:hAnsi="Söhne" w:cs="Arial"/>
                <w:color w:val="000000"/>
                <w:sz w:val="18"/>
                <w:szCs w:val="18"/>
                <w:lang w:val="en-IE" w:eastAsia="en-US"/>
              </w:rPr>
            </w:pPr>
          </w:p>
        </w:tc>
        <w:tc>
          <w:tcPr>
            <w:tcW w:w="1222" w:type="dxa"/>
            <w:tcBorders>
              <w:top w:val="nil"/>
              <w:left w:val="nil"/>
              <w:bottom w:val="nil"/>
              <w:right w:val="single" w:sz="6" w:space="0" w:color="auto"/>
            </w:tcBorders>
            <w:noWrap/>
            <w:vAlign w:val="bottom"/>
          </w:tcPr>
          <w:p w14:paraId="5F44BD82" w14:textId="77777777" w:rsidR="00667CDB" w:rsidRPr="008E20C4" w:rsidRDefault="00667CDB" w:rsidP="00220DD8">
            <w:pPr>
              <w:keepLines/>
              <w:tabs>
                <w:tab w:val="clear" w:pos="-720"/>
              </w:tabs>
              <w:spacing w:before="60" w:after="60" w:line="240" w:lineRule="auto"/>
              <w:jc w:val="left"/>
              <w:rPr>
                <w:rFonts w:ascii="Söhne" w:hAnsi="Söhne" w:cs="Arial"/>
                <w:color w:val="000000"/>
                <w:sz w:val="18"/>
                <w:szCs w:val="18"/>
                <w:lang w:val="en-IE" w:eastAsia="en-US"/>
              </w:rPr>
            </w:pPr>
          </w:p>
        </w:tc>
        <w:tc>
          <w:tcPr>
            <w:tcW w:w="2174" w:type="dxa"/>
            <w:gridSpan w:val="2"/>
            <w:tcBorders>
              <w:top w:val="single" w:sz="8" w:space="0" w:color="auto"/>
              <w:left w:val="single" w:sz="6" w:space="0" w:color="auto"/>
              <w:right w:val="single" w:sz="6" w:space="0" w:color="auto"/>
            </w:tcBorders>
            <w:vAlign w:val="bottom"/>
          </w:tcPr>
          <w:p w14:paraId="6B270EB3" w14:textId="77777777" w:rsidR="00667CDB" w:rsidRPr="008E20C4" w:rsidRDefault="00667CDB" w:rsidP="00220DD8">
            <w:pPr>
              <w:keepLines/>
              <w:tabs>
                <w:tab w:val="clear" w:pos="-720"/>
              </w:tabs>
              <w:spacing w:before="60" w:after="60"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Diagnostic sensitivity*</w:t>
            </w:r>
          </w:p>
        </w:tc>
        <w:tc>
          <w:tcPr>
            <w:tcW w:w="2162" w:type="dxa"/>
            <w:gridSpan w:val="2"/>
            <w:tcBorders>
              <w:top w:val="single" w:sz="8" w:space="0" w:color="auto"/>
              <w:left w:val="single" w:sz="6" w:space="0" w:color="auto"/>
              <w:right w:val="single" w:sz="6" w:space="0" w:color="auto"/>
            </w:tcBorders>
            <w:vAlign w:val="bottom"/>
          </w:tcPr>
          <w:p w14:paraId="546BC723" w14:textId="77777777" w:rsidR="00667CDB" w:rsidRPr="008E20C4" w:rsidRDefault="00667CDB" w:rsidP="00220DD8">
            <w:pPr>
              <w:keepLines/>
              <w:tabs>
                <w:tab w:val="clear" w:pos="-720"/>
              </w:tabs>
              <w:spacing w:before="60" w:after="60"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Diagnostic specificity*</w:t>
            </w:r>
          </w:p>
        </w:tc>
      </w:tr>
      <w:tr w:rsidR="00667CDB" w:rsidRPr="008E20C4" w14:paraId="73EB8290" w14:textId="77777777" w:rsidTr="004B3887">
        <w:trPr>
          <w:trHeight w:val="325"/>
          <w:jc w:val="center"/>
        </w:trPr>
        <w:tc>
          <w:tcPr>
            <w:tcW w:w="847" w:type="dxa"/>
            <w:tcBorders>
              <w:top w:val="nil"/>
              <w:left w:val="nil"/>
              <w:bottom w:val="nil"/>
              <w:right w:val="nil"/>
            </w:tcBorders>
            <w:noWrap/>
            <w:vAlign w:val="bottom"/>
          </w:tcPr>
          <w:p w14:paraId="749E06F2" w14:textId="77777777" w:rsidR="00667CDB" w:rsidRPr="008E20C4" w:rsidRDefault="00667CDB" w:rsidP="00220DD8">
            <w:pPr>
              <w:tabs>
                <w:tab w:val="clear" w:pos="-720"/>
              </w:tabs>
              <w:spacing w:before="60" w:after="60" w:line="240" w:lineRule="auto"/>
              <w:jc w:val="left"/>
              <w:rPr>
                <w:rFonts w:ascii="Söhne" w:hAnsi="Söhne" w:cs="Arial"/>
                <w:color w:val="000000"/>
                <w:sz w:val="18"/>
                <w:szCs w:val="18"/>
                <w:lang w:val="en-IE" w:eastAsia="en-US"/>
              </w:rPr>
            </w:pPr>
          </w:p>
        </w:tc>
        <w:tc>
          <w:tcPr>
            <w:tcW w:w="1222" w:type="dxa"/>
            <w:tcBorders>
              <w:top w:val="nil"/>
              <w:left w:val="nil"/>
              <w:right w:val="single" w:sz="6" w:space="0" w:color="auto"/>
            </w:tcBorders>
            <w:noWrap/>
            <w:vAlign w:val="bottom"/>
          </w:tcPr>
          <w:p w14:paraId="6D7D557E" w14:textId="77777777" w:rsidR="00667CDB" w:rsidRPr="008E20C4" w:rsidRDefault="00667CDB" w:rsidP="00220DD8">
            <w:pPr>
              <w:keepLines/>
              <w:tabs>
                <w:tab w:val="clear" w:pos="-720"/>
              </w:tabs>
              <w:spacing w:before="60" w:after="60" w:line="240" w:lineRule="auto"/>
              <w:jc w:val="left"/>
              <w:rPr>
                <w:rFonts w:ascii="Söhne" w:hAnsi="Söhne" w:cs="Arial"/>
                <w:color w:val="000000"/>
                <w:sz w:val="18"/>
                <w:szCs w:val="18"/>
                <w:lang w:val="en-IE" w:eastAsia="en-US"/>
              </w:rPr>
            </w:pPr>
          </w:p>
        </w:tc>
        <w:tc>
          <w:tcPr>
            <w:tcW w:w="2174" w:type="dxa"/>
            <w:gridSpan w:val="2"/>
            <w:tcBorders>
              <w:left w:val="single" w:sz="6" w:space="0" w:color="auto"/>
              <w:right w:val="single" w:sz="6" w:space="0" w:color="auto"/>
            </w:tcBorders>
            <w:noWrap/>
            <w:vAlign w:val="bottom"/>
          </w:tcPr>
          <w:p w14:paraId="7C45AC0B" w14:textId="77777777" w:rsidR="00667CDB" w:rsidRPr="008E20C4" w:rsidRDefault="00667CDB" w:rsidP="00220DD8">
            <w:pPr>
              <w:keepLines/>
              <w:tabs>
                <w:tab w:val="clear" w:pos="-720"/>
              </w:tabs>
              <w:spacing w:before="60" w:after="60"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TP</w:t>
            </w:r>
            <w:proofErr w:type="gramStart"/>
            <w:r w:rsidRPr="008E20C4">
              <w:rPr>
                <w:rFonts w:ascii="Söhne" w:hAnsi="Söhne" w:cs="Arial"/>
                <w:color w:val="000000"/>
                <w:sz w:val="18"/>
                <w:szCs w:val="18"/>
                <w:lang w:val="en-IE" w:eastAsia="en-US"/>
              </w:rPr>
              <w:t>/(</w:t>
            </w:r>
            <w:proofErr w:type="gramEnd"/>
            <w:r w:rsidRPr="008E20C4">
              <w:rPr>
                <w:rFonts w:ascii="Söhne" w:hAnsi="Söhne" w:cs="Arial"/>
                <w:color w:val="000000"/>
                <w:sz w:val="18"/>
                <w:szCs w:val="18"/>
                <w:lang w:val="en-IE" w:eastAsia="en-US"/>
              </w:rPr>
              <w:t>TP + FN)</w:t>
            </w:r>
          </w:p>
        </w:tc>
        <w:tc>
          <w:tcPr>
            <w:tcW w:w="2162" w:type="dxa"/>
            <w:gridSpan w:val="2"/>
            <w:tcBorders>
              <w:top w:val="nil"/>
              <w:left w:val="single" w:sz="6" w:space="0" w:color="auto"/>
              <w:right w:val="single" w:sz="6" w:space="0" w:color="auto"/>
            </w:tcBorders>
            <w:noWrap/>
            <w:vAlign w:val="bottom"/>
          </w:tcPr>
          <w:p w14:paraId="17E62A25" w14:textId="77777777" w:rsidR="00667CDB" w:rsidRPr="008E20C4" w:rsidRDefault="00667CDB" w:rsidP="00220DD8">
            <w:pPr>
              <w:keepLines/>
              <w:tabs>
                <w:tab w:val="clear" w:pos="-720"/>
              </w:tabs>
              <w:spacing w:before="60" w:after="60" w:line="240" w:lineRule="auto"/>
              <w:jc w:val="center"/>
              <w:rPr>
                <w:rFonts w:ascii="Söhne" w:hAnsi="Söhne" w:cs="Arial"/>
                <w:color w:val="000000"/>
                <w:sz w:val="18"/>
                <w:szCs w:val="18"/>
                <w:lang w:val="en-IE" w:eastAsia="en-US"/>
              </w:rPr>
            </w:pPr>
            <w:r w:rsidRPr="008E20C4">
              <w:rPr>
                <w:rFonts w:ascii="Söhne" w:hAnsi="Söhne" w:cs="Arial"/>
                <w:color w:val="000000"/>
                <w:sz w:val="18"/>
                <w:szCs w:val="18"/>
                <w:lang w:val="en-IE" w:eastAsia="en-US"/>
              </w:rPr>
              <w:t>TN</w:t>
            </w:r>
            <w:proofErr w:type="gramStart"/>
            <w:r w:rsidRPr="008E20C4">
              <w:rPr>
                <w:rFonts w:ascii="Söhne" w:hAnsi="Söhne" w:cs="Arial"/>
                <w:color w:val="000000"/>
                <w:sz w:val="18"/>
                <w:szCs w:val="18"/>
                <w:lang w:val="en-IE" w:eastAsia="en-US"/>
              </w:rPr>
              <w:t>/(</w:t>
            </w:r>
            <w:proofErr w:type="gramEnd"/>
            <w:r w:rsidRPr="008E20C4">
              <w:rPr>
                <w:rFonts w:ascii="Söhne" w:hAnsi="Söhne" w:cs="Arial"/>
                <w:color w:val="000000"/>
                <w:sz w:val="18"/>
                <w:szCs w:val="18"/>
                <w:lang w:val="en-IE" w:eastAsia="en-US"/>
              </w:rPr>
              <w:t>TN + FP)</w:t>
            </w:r>
          </w:p>
        </w:tc>
      </w:tr>
      <w:tr w:rsidR="00667CDB" w:rsidRPr="008E20C4" w14:paraId="24986240" w14:textId="77777777" w:rsidTr="004B3887">
        <w:trPr>
          <w:trHeight w:val="325"/>
          <w:jc w:val="center"/>
        </w:trPr>
        <w:tc>
          <w:tcPr>
            <w:tcW w:w="847" w:type="dxa"/>
            <w:tcBorders>
              <w:top w:val="nil"/>
              <w:left w:val="nil"/>
              <w:bottom w:val="nil"/>
              <w:right w:val="nil"/>
            </w:tcBorders>
            <w:noWrap/>
            <w:vAlign w:val="bottom"/>
          </w:tcPr>
          <w:p w14:paraId="2CFCC633" w14:textId="77777777" w:rsidR="00667CDB" w:rsidRPr="008E20C4" w:rsidRDefault="00667CDB" w:rsidP="00220DD8">
            <w:pPr>
              <w:tabs>
                <w:tab w:val="clear" w:pos="-720"/>
              </w:tabs>
              <w:spacing w:after="120" w:line="240" w:lineRule="auto"/>
              <w:jc w:val="left"/>
              <w:rPr>
                <w:rFonts w:ascii="Söhne" w:hAnsi="Söhne" w:cs="Arial"/>
                <w:color w:val="000000"/>
                <w:sz w:val="18"/>
                <w:szCs w:val="18"/>
                <w:lang w:val="en-IE" w:eastAsia="en-US"/>
              </w:rPr>
            </w:pPr>
          </w:p>
        </w:tc>
        <w:tc>
          <w:tcPr>
            <w:tcW w:w="1222" w:type="dxa"/>
            <w:tcBorders>
              <w:top w:val="nil"/>
              <w:left w:val="nil"/>
              <w:right w:val="single" w:sz="4" w:space="0" w:color="auto"/>
            </w:tcBorders>
            <w:noWrap/>
            <w:vAlign w:val="bottom"/>
          </w:tcPr>
          <w:p w14:paraId="784C5DFA" w14:textId="77777777" w:rsidR="00667CDB" w:rsidRPr="008E20C4" w:rsidRDefault="00667CDB" w:rsidP="00220DD8">
            <w:pPr>
              <w:keepLines/>
              <w:tabs>
                <w:tab w:val="clear" w:pos="-720"/>
              </w:tabs>
              <w:spacing w:after="120" w:line="240" w:lineRule="auto"/>
              <w:jc w:val="left"/>
              <w:rPr>
                <w:rFonts w:ascii="Söhne" w:hAnsi="Söhne" w:cs="Arial"/>
                <w:color w:val="000000"/>
                <w:sz w:val="18"/>
                <w:szCs w:val="18"/>
                <w:lang w:val="en-IE" w:eastAsia="en-US"/>
              </w:rPr>
            </w:pPr>
            <w:r w:rsidRPr="008E20C4">
              <w:rPr>
                <w:rFonts w:ascii="Söhne" w:hAnsi="Söhne" w:cs="Arial"/>
                <w:color w:val="000000"/>
                <w:sz w:val="18"/>
                <w:szCs w:val="18"/>
                <w:lang w:val="en-IE" w:eastAsia="en-US"/>
              </w:rPr>
              <w:t> </w:t>
            </w:r>
          </w:p>
        </w:tc>
        <w:tc>
          <w:tcPr>
            <w:tcW w:w="2174" w:type="dxa"/>
            <w:gridSpan w:val="2"/>
            <w:tcBorders>
              <w:top w:val="nil"/>
              <w:left w:val="single" w:sz="4" w:space="0" w:color="auto"/>
              <w:bottom w:val="single" w:sz="4" w:space="0" w:color="auto"/>
              <w:right w:val="single" w:sz="4" w:space="0" w:color="auto"/>
            </w:tcBorders>
            <w:noWrap/>
            <w:vAlign w:val="bottom"/>
          </w:tcPr>
          <w:p w14:paraId="24BE3CA7" w14:textId="77777777" w:rsidR="00667CDB" w:rsidRPr="008E20C4" w:rsidRDefault="00667CDB" w:rsidP="00220DD8">
            <w:pPr>
              <w:keepLines/>
              <w:tabs>
                <w:tab w:val="clear" w:pos="-720"/>
              </w:tabs>
              <w:spacing w:after="120" w:line="240" w:lineRule="auto"/>
              <w:jc w:val="center"/>
              <w:rPr>
                <w:rFonts w:ascii="Söhne" w:hAnsi="Söhne" w:cs="Arial"/>
                <w:color w:val="000000"/>
                <w:sz w:val="18"/>
                <w:szCs w:val="18"/>
                <w:lang w:val="en-IE" w:eastAsia="en-US"/>
              </w:rPr>
            </w:pPr>
            <w:r w:rsidRPr="008E20C4">
              <w:rPr>
                <w:rFonts w:ascii="Söhne" w:hAnsi="Söhne" w:cs="Arial"/>
                <w:b/>
                <w:color w:val="000000"/>
                <w:sz w:val="18"/>
                <w:szCs w:val="18"/>
                <w:lang w:val="en-IE" w:eastAsia="en-US"/>
              </w:rPr>
              <w:t>96.8%</w:t>
            </w:r>
            <w:r w:rsidRPr="008E20C4">
              <w:rPr>
                <w:rFonts w:ascii="Söhne" w:hAnsi="Söhne" w:cs="Arial"/>
                <w:color w:val="000000"/>
                <w:sz w:val="18"/>
                <w:szCs w:val="18"/>
                <w:lang w:val="en-IE" w:eastAsia="en-US"/>
              </w:rPr>
              <w:t xml:space="preserve"> (94.0 – 98.5</w:t>
            </w:r>
            <w:proofErr w:type="gramStart"/>
            <w:r w:rsidRPr="008E20C4">
              <w:rPr>
                <w:rFonts w:ascii="Söhne" w:hAnsi="Söhne" w:cs="Arial"/>
                <w:color w:val="000000"/>
                <w:sz w:val="18"/>
                <w:szCs w:val="18"/>
                <w:lang w:val="en-IE" w:eastAsia="en-US"/>
              </w:rPr>
              <w:t>%)*</w:t>
            </w:r>
            <w:proofErr w:type="gramEnd"/>
            <w:r w:rsidRPr="008E20C4">
              <w:rPr>
                <w:rFonts w:ascii="Söhne" w:hAnsi="Söhne" w:cs="Arial"/>
                <w:color w:val="000000"/>
                <w:sz w:val="18"/>
                <w:szCs w:val="18"/>
                <w:lang w:val="en-IE" w:eastAsia="en-US"/>
              </w:rPr>
              <w:t>*</w:t>
            </w:r>
          </w:p>
        </w:tc>
        <w:tc>
          <w:tcPr>
            <w:tcW w:w="2162" w:type="dxa"/>
            <w:gridSpan w:val="2"/>
            <w:tcBorders>
              <w:top w:val="nil"/>
              <w:left w:val="single" w:sz="4" w:space="0" w:color="auto"/>
              <w:bottom w:val="single" w:sz="4" w:space="0" w:color="auto"/>
              <w:right w:val="single" w:sz="4" w:space="0" w:color="auto"/>
            </w:tcBorders>
            <w:noWrap/>
            <w:vAlign w:val="bottom"/>
          </w:tcPr>
          <w:p w14:paraId="31299DD3" w14:textId="77777777" w:rsidR="00667CDB" w:rsidRPr="008E20C4" w:rsidRDefault="00667CDB" w:rsidP="00220DD8">
            <w:pPr>
              <w:keepLines/>
              <w:tabs>
                <w:tab w:val="clear" w:pos="-720"/>
              </w:tabs>
              <w:spacing w:after="120" w:line="240" w:lineRule="auto"/>
              <w:jc w:val="center"/>
              <w:rPr>
                <w:rFonts w:ascii="Söhne" w:hAnsi="Söhne" w:cs="Arial"/>
                <w:color w:val="000000"/>
                <w:sz w:val="18"/>
                <w:szCs w:val="18"/>
                <w:lang w:val="en-IE" w:eastAsia="en-US"/>
              </w:rPr>
            </w:pPr>
            <w:r w:rsidRPr="008E20C4">
              <w:rPr>
                <w:rFonts w:ascii="Söhne" w:hAnsi="Söhne" w:cs="Arial"/>
                <w:b/>
                <w:color w:val="000000"/>
                <w:sz w:val="18"/>
                <w:szCs w:val="18"/>
                <w:lang w:val="en-IE" w:eastAsia="en-US"/>
              </w:rPr>
              <w:t>92.6%</w:t>
            </w:r>
            <w:r w:rsidRPr="008E20C4">
              <w:rPr>
                <w:rFonts w:ascii="Söhne" w:hAnsi="Söhne" w:cs="Arial"/>
                <w:color w:val="000000"/>
                <w:sz w:val="18"/>
                <w:szCs w:val="18"/>
                <w:lang w:val="en-IE" w:eastAsia="en-US"/>
              </w:rPr>
              <w:t xml:space="preserve"> (85.4 – 97.0</w:t>
            </w:r>
            <w:proofErr w:type="gramStart"/>
            <w:r w:rsidRPr="008E20C4">
              <w:rPr>
                <w:rFonts w:ascii="Söhne" w:hAnsi="Söhne" w:cs="Arial"/>
                <w:color w:val="000000"/>
                <w:sz w:val="18"/>
                <w:szCs w:val="18"/>
                <w:lang w:val="en-IE" w:eastAsia="en-US"/>
              </w:rPr>
              <w:t>%)*</w:t>
            </w:r>
            <w:proofErr w:type="gramEnd"/>
            <w:r w:rsidRPr="008E20C4">
              <w:rPr>
                <w:rFonts w:ascii="Söhne" w:hAnsi="Söhne" w:cs="Arial"/>
                <w:color w:val="000000"/>
                <w:sz w:val="18"/>
                <w:szCs w:val="18"/>
                <w:lang w:val="en-IE" w:eastAsia="en-US"/>
              </w:rPr>
              <w:t>*</w:t>
            </w:r>
          </w:p>
        </w:tc>
      </w:tr>
    </w:tbl>
    <w:p w14:paraId="04FDE661" w14:textId="4D3CA2AD" w:rsidR="00667CDB" w:rsidRPr="008E20C4" w:rsidRDefault="00667CDB" w:rsidP="00B945C1">
      <w:pPr>
        <w:tabs>
          <w:tab w:val="clear" w:pos="-720"/>
        </w:tabs>
        <w:spacing w:before="120" w:line="240" w:lineRule="auto"/>
        <w:ind w:left="1871"/>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 xml:space="preserve">*Based on Table </w:t>
      </w:r>
      <w:r w:rsidR="00454F4E" w:rsidRPr="008E20C4">
        <w:rPr>
          <w:rFonts w:ascii="Söhne" w:hAnsi="Söhne" w:cs="Arial"/>
          <w:color w:val="000000"/>
          <w:sz w:val="16"/>
          <w:szCs w:val="16"/>
          <w:lang w:val="en-IE" w:eastAsia="en-US"/>
        </w:rPr>
        <w:t>2</w:t>
      </w:r>
      <w:r w:rsidRPr="008E20C4">
        <w:rPr>
          <w:rFonts w:ascii="Söhne" w:hAnsi="Söhne" w:cs="Arial"/>
          <w:color w:val="000000"/>
          <w:sz w:val="16"/>
          <w:szCs w:val="16"/>
          <w:lang w:val="en-IE" w:eastAsia="en-US"/>
        </w:rPr>
        <w:t xml:space="preserve"> for an assay with the following parameters:</w:t>
      </w:r>
    </w:p>
    <w:p w14:paraId="1B7BC266" w14:textId="77777777" w:rsidR="00667CDB" w:rsidRPr="008E20C4" w:rsidRDefault="00667CDB" w:rsidP="00B945C1">
      <w:pPr>
        <w:tabs>
          <w:tab w:val="clear" w:pos="-720"/>
        </w:tabs>
        <w:spacing w:line="240" w:lineRule="auto"/>
        <w:ind w:left="1871" w:right="57"/>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 xml:space="preserve">1) Prior to testing, estimated </w:t>
      </w:r>
      <w:proofErr w:type="spellStart"/>
      <w:r w:rsidRPr="008E20C4">
        <w:rPr>
          <w:rFonts w:ascii="Söhne" w:hAnsi="Söhne" w:cs="Arial"/>
          <w:color w:val="000000"/>
          <w:sz w:val="16"/>
          <w:szCs w:val="16"/>
          <w:lang w:val="en-IE" w:eastAsia="en-US"/>
        </w:rPr>
        <w:t>DSe</w:t>
      </w:r>
      <w:proofErr w:type="spellEnd"/>
      <w:r w:rsidRPr="008E20C4">
        <w:rPr>
          <w:rFonts w:ascii="Söhne" w:hAnsi="Söhne" w:cs="Arial"/>
          <w:color w:val="000000"/>
          <w:sz w:val="16"/>
          <w:szCs w:val="16"/>
          <w:lang w:val="en-IE" w:eastAsia="en-US"/>
        </w:rPr>
        <w:t xml:space="preserve"> of 97% and </w:t>
      </w:r>
      <w:proofErr w:type="spellStart"/>
      <w:r w:rsidRPr="008E20C4">
        <w:rPr>
          <w:rFonts w:ascii="Söhne" w:hAnsi="Söhne" w:cs="Arial"/>
          <w:color w:val="000000"/>
          <w:sz w:val="16"/>
          <w:szCs w:val="16"/>
          <w:lang w:val="en-IE" w:eastAsia="en-US"/>
        </w:rPr>
        <w:t>DSp</w:t>
      </w:r>
      <w:proofErr w:type="spellEnd"/>
      <w:r w:rsidRPr="008E20C4">
        <w:rPr>
          <w:rFonts w:ascii="Söhne" w:hAnsi="Söhne" w:cs="Arial"/>
          <w:color w:val="000000"/>
          <w:sz w:val="16"/>
          <w:szCs w:val="16"/>
          <w:lang w:val="en-IE" w:eastAsia="en-US"/>
        </w:rPr>
        <w:t xml:space="preserve"> of 99%</w:t>
      </w:r>
    </w:p>
    <w:p w14:paraId="75DD8E81" w14:textId="77777777" w:rsidR="00667CDB" w:rsidRPr="008E20C4" w:rsidRDefault="00667CDB" w:rsidP="00B945C1">
      <w:pPr>
        <w:tabs>
          <w:tab w:val="clear" w:pos="-720"/>
        </w:tabs>
        <w:spacing w:line="240" w:lineRule="auto"/>
        <w:ind w:left="1871" w:right="57"/>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 xml:space="preserve">2) 95% = required confidence in </w:t>
      </w:r>
      <w:proofErr w:type="spellStart"/>
      <w:r w:rsidRPr="008E20C4">
        <w:rPr>
          <w:rFonts w:ascii="Söhne" w:hAnsi="Söhne" w:cs="Arial"/>
          <w:color w:val="000000"/>
          <w:sz w:val="16"/>
          <w:szCs w:val="16"/>
          <w:lang w:val="en-IE" w:eastAsia="en-US"/>
        </w:rPr>
        <w:t>DSe</w:t>
      </w:r>
      <w:proofErr w:type="spellEnd"/>
      <w:r w:rsidRPr="008E20C4">
        <w:rPr>
          <w:rFonts w:ascii="Söhne" w:hAnsi="Söhne" w:cs="Arial"/>
          <w:color w:val="000000"/>
          <w:sz w:val="16"/>
          <w:szCs w:val="16"/>
          <w:lang w:val="en-IE" w:eastAsia="en-US"/>
        </w:rPr>
        <w:t xml:space="preserve"> and </w:t>
      </w:r>
      <w:proofErr w:type="spellStart"/>
      <w:r w:rsidRPr="008E20C4">
        <w:rPr>
          <w:rFonts w:ascii="Söhne" w:hAnsi="Söhne" w:cs="Arial"/>
          <w:color w:val="000000"/>
          <w:sz w:val="16"/>
          <w:szCs w:val="16"/>
          <w:lang w:val="en-IE" w:eastAsia="en-US"/>
        </w:rPr>
        <w:t>DSp</w:t>
      </w:r>
      <w:proofErr w:type="spellEnd"/>
      <w:r w:rsidRPr="008E20C4">
        <w:rPr>
          <w:rFonts w:ascii="Söhne" w:hAnsi="Söhne" w:cs="Arial"/>
          <w:color w:val="000000"/>
          <w:sz w:val="16"/>
          <w:szCs w:val="16"/>
          <w:lang w:val="en-IE" w:eastAsia="en-US"/>
        </w:rPr>
        <w:t xml:space="preserve"> estimates</w:t>
      </w:r>
    </w:p>
    <w:p w14:paraId="4FB0E7B1" w14:textId="77777777" w:rsidR="00667CDB" w:rsidRPr="008E20C4" w:rsidRDefault="00667CDB" w:rsidP="00B945C1">
      <w:pPr>
        <w:tabs>
          <w:tab w:val="clear" w:pos="-720"/>
        </w:tabs>
        <w:spacing w:line="240" w:lineRule="auto"/>
        <w:ind w:left="1871" w:right="57"/>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 xml:space="preserve">3) 2% = Error margin in the estimates of </w:t>
      </w:r>
      <w:proofErr w:type="spellStart"/>
      <w:r w:rsidRPr="008E20C4">
        <w:rPr>
          <w:rFonts w:ascii="Söhne" w:hAnsi="Söhne" w:cs="Arial"/>
          <w:color w:val="000000"/>
          <w:sz w:val="16"/>
          <w:szCs w:val="16"/>
          <w:lang w:val="en-IE" w:eastAsia="en-US"/>
        </w:rPr>
        <w:t>DSe</w:t>
      </w:r>
      <w:proofErr w:type="spellEnd"/>
      <w:r w:rsidRPr="008E20C4">
        <w:rPr>
          <w:rFonts w:ascii="Söhne" w:hAnsi="Söhne" w:cs="Arial"/>
          <w:color w:val="000000"/>
          <w:sz w:val="16"/>
          <w:szCs w:val="16"/>
          <w:lang w:val="en-IE" w:eastAsia="en-US"/>
        </w:rPr>
        <w:t xml:space="preserve"> and </w:t>
      </w:r>
      <w:proofErr w:type="spellStart"/>
      <w:r w:rsidRPr="008E20C4">
        <w:rPr>
          <w:rFonts w:ascii="Söhne" w:hAnsi="Söhne" w:cs="Arial"/>
          <w:color w:val="000000"/>
          <w:sz w:val="16"/>
          <w:szCs w:val="16"/>
          <w:lang w:val="en-IE" w:eastAsia="en-US"/>
        </w:rPr>
        <w:t>DSp</w:t>
      </w:r>
      <w:proofErr w:type="spellEnd"/>
    </w:p>
    <w:p w14:paraId="50B562D1" w14:textId="77777777" w:rsidR="00667CDB" w:rsidRPr="008E20C4" w:rsidRDefault="00667CDB" w:rsidP="00B945C1">
      <w:pPr>
        <w:tabs>
          <w:tab w:val="clear" w:pos="-720"/>
        </w:tabs>
        <w:spacing w:line="240" w:lineRule="auto"/>
        <w:ind w:left="1871"/>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TP and FP = True Positive &amp; False Positive, respectively</w:t>
      </w:r>
    </w:p>
    <w:p w14:paraId="599CCCE2" w14:textId="77777777" w:rsidR="00667CDB" w:rsidRPr="008E20C4" w:rsidRDefault="00667CDB" w:rsidP="00B945C1">
      <w:pPr>
        <w:tabs>
          <w:tab w:val="clear" w:pos="-720"/>
        </w:tabs>
        <w:spacing w:line="240" w:lineRule="auto"/>
        <w:ind w:left="1871"/>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TN and FN = True Negative and False Negative, respectively</w:t>
      </w:r>
    </w:p>
    <w:p w14:paraId="6F6CD596" w14:textId="77777777" w:rsidR="00667CDB" w:rsidRPr="008E20C4" w:rsidRDefault="00667CDB" w:rsidP="00B945C1">
      <w:pPr>
        <w:tabs>
          <w:tab w:val="clear" w:pos="-720"/>
        </w:tabs>
        <w:spacing w:line="240" w:lineRule="auto"/>
        <w:ind w:left="1871"/>
        <w:jc w:val="center"/>
        <w:rPr>
          <w:rFonts w:ascii="Söhne" w:hAnsi="Söhne" w:cs="Arial"/>
          <w:color w:val="000000"/>
          <w:sz w:val="16"/>
          <w:szCs w:val="16"/>
          <w:lang w:val="en-IE" w:eastAsia="en-US"/>
        </w:rPr>
      </w:pPr>
      <w:r w:rsidRPr="008E20C4">
        <w:rPr>
          <w:rFonts w:ascii="Söhne" w:hAnsi="Söhne" w:cs="Arial"/>
          <w:color w:val="000000"/>
          <w:sz w:val="16"/>
          <w:szCs w:val="16"/>
          <w:lang w:val="en-IE" w:eastAsia="en-US"/>
        </w:rPr>
        <w:t xml:space="preserve">**95% exact binomial confidence limits for </w:t>
      </w:r>
      <w:proofErr w:type="spellStart"/>
      <w:r w:rsidRPr="008E20C4">
        <w:rPr>
          <w:rFonts w:ascii="Söhne" w:hAnsi="Söhne" w:cs="Arial"/>
          <w:color w:val="000000"/>
          <w:sz w:val="16"/>
          <w:szCs w:val="16"/>
          <w:lang w:val="en-IE" w:eastAsia="en-US"/>
        </w:rPr>
        <w:t>DSe</w:t>
      </w:r>
      <w:proofErr w:type="spellEnd"/>
      <w:r w:rsidRPr="008E20C4">
        <w:rPr>
          <w:rFonts w:ascii="Söhne" w:hAnsi="Söhne" w:cs="Arial"/>
          <w:color w:val="000000"/>
          <w:sz w:val="16"/>
          <w:szCs w:val="16"/>
          <w:lang w:val="en-IE" w:eastAsia="en-US"/>
        </w:rPr>
        <w:t xml:space="preserve"> and </w:t>
      </w:r>
      <w:proofErr w:type="spellStart"/>
      <w:r w:rsidRPr="008E20C4">
        <w:rPr>
          <w:rFonts w:ascii="Söhne" w:hAnsi="Söhne" w:cs="Arial"/>
          <w:color w:val="000000"/>
          <w:sz w:val="16"/>
          <w:szCs w:val="16"/>
          <w:lang w:val="en-IE" w:eastAsia="en-US"/>
        </w:rPr>
        <w:t>DSp</w:t>
      </w:r>
      <w:proofErr w:type="spellEnd"/>
      <w:r w:rsidRPr="008E20C4">
        <w:rPr>
          <w:rFonts w:ascii="Söhne" w:hAnsi="Söhne" w:cs="Arial"/>
          <w:color w:val="000000"/>
          <w:sz w:val="16"/>
          <w:szCs w:val="16"/>
          <w:lang w:val="en-IE" w:eastAsia="en-US"/>
        </w:rPr>
        <w:t xml:space="preserve"> calculated values </w:t>
      </w:r>
      <w:r w:rsidRPr="008E20C4">
        <w:rPr>
          <w:rFonts w:ascii="Söhne" w:hAnsi="Söhne" w:cs="Arial"/>
          <w:color w:val="000000"/>
          <w:sz w:val="16"/>
          <w:szCs w:val="16"/>
          <w:lang w:val="en-IE" w:eastAsia="en-US"/>
        </w:rPr>
        <w:br/>
        <w:t>(see chapter 2.2.5 for information on confidence limits)</w:t>
      </w:r>
    </w:p>
    <w:p w14:paraId="3D4AD361" w14:textId="17DD5AE6" w:rsidR="00667CDB" w:rsidRPr="008E20C4" w:rsidRDefault="00667CDB" w:rsidP="00667CDB">
      <w:pPr>
        <w:pStyle w:val="11Para"/>
        <w:spacing w:before="240"/>
        <w:rPr>
          <w:lang w:val="en-IE"/>
        </w:rPr>
      </w:pPr>
      <w:r w:rsidRPr="008E20C4">
        <w:rPr>
          <w:lang w:val="en-IE"/>
        </w:rPr>
        <w:t xml:space="preserve">In this example, the </w:t>
      </w:r>
      <w:proofErr w:type="spellStart"/>
      <w:r w:rsidRPr="008E20C4">
        <w:rPr>
          <w:lang w:val="en-IE"/>
        </w:rPr>
        <w:t>DSe</w:t>
      </w:r>
      <w:proofErr w:type="spellEnd"/>
      <w:r w:rsidRPr="008E20C4">
        <w:rPr>
          <w:lang w:val="en-IE"/>
        </w:rPr>
        <w:t xml:space="preserve"> estimate is as anticipated, but the </w:t>
      </w:r>
      <w:proofErr w:type="spellStart"/>
      <w:r w:rsidRPr="008E20C4">
        <w:rPr>
          <w:lang w:val="en-IE"/>
        </w:rPr>
        <w:t>DSp</w:t>
      </w:r>
      <w:proofErr w:type="spellEnd"/>
      <w:r w:rsidRPr="008E20C4">
        <w:rPr>
          <w:lang w:val="en-IE"/>
        </w:rPr>
        <w:t xml:space="preserve"> is much lower (92%) than the anticipated value of 99%. </w:t>
      </w:r>
      <w:proofErr w:type="gramStart"/>
      <w:r w:rsidRPr="008E20C4">
        <w:rPr>
          <w:lang w:val="en-IE"/>
        </w:rPr>
        <w:t>As a consequence</w:t>
      </w:r>
      <w:proofErr w:type="gramEnd"/>
      <w:r w:rsidRPr="008E20C4">
        <w:rPr>
          <w:lang w:val="en-IE"/>
        </w:rPr>
        <w:t xml:space="preserve">, the width of the confidence interval for </w:t>
      </w:r>
      <w:proofErr w:type="spellStart"/>
      <w:r w:rsidRPr="008E20C4">
        <w:rPr>
          <w:lang w:val="en-IE"/>
        </w:rPr>
        <w:t>DSp</w:t>
      </w:r>
      <w:proofErr w:type="spellEnd"/>
      <w:r w:rsidRPr="008E20C4">
        <w:rPr>
          <w:lang w:val="en-IE"/>
        </w:rPr>
        <w:t xml:space="preserve"> is greater than expected. Re-inspection of Table </w:t>
      </w:r>
      <w:r w:rsidR="00454F4E" w:rsidRPr="008E20C4">
        <w:rPr>
          <w:lang w:val="en-IE"/>
        </w:rPr>
        <w:t xml:space="preserve">2 </w:t>
      </w:r>
      <w:r w:rsidRPr="008E20C4">
        <w:rPr>
          <w:lang w:val="en-IE"/>
        </w:rPr>
        <w:t xml:space="preserve">indicates that 707 samples are necessary to achieve an error margin of ± 2% at a DSP of 92% but such an increase in sample size might not be feasible (see chapter 2.2.5 for further details). </w:t>
      </w:r>
    </w:p>
    <w:p w14:paraId="7A9BFBB0" w14:textId="77777777" w:rsidR="00667CDB" w:rsidRPr="008E20C4" w:rsidRDefault="00667CDB" w:rsidP="009032D9">
      <w:pPr>
        <w:pStyle w:val="11"/>
        <w:rPr>
          <w:szCs w:val="20"/>
          <w:lang w:val="en-IE"/>
        </w:rPr>
      </w:pPr>
      <w:r w:rsidRPr="008E20C4">
        <w:rPr>
          <w:lang w:val="en-IE"/>
        </w:rPr>
        <w:t>2.6.</w:t>
      </w:r>
      <w:r w:rsidRPr="008E20C4">
        <w:rPr>
          <w:lang w:val="en-IE"/>
        </w:rPr>
        <w:tab/>
        <w:t xml:space="preserve">Provisional assay </w:t>
      </w:r>
      <w:r w:rsidRPr="008E20C4">
        <w:rPr>
          <w:szCs w:val="20"/>
          <w:lang w:val="en-IE"/>
        </w:rPr>
        <w:t>recognition</w:t>
      </w:r>
      <w:r w:rsidRPr="008E20C4">
        <w:rPr>
          <w:rStyle w:val="FootnoteReference"/>
          <w:szCs w:val="20"/>
          <w:lang w:val="en-IE"/>
        </w:rPr>
        <w:footnoteReference w:id="9"/>
      </w:r>
    </w:p>
    <w:p w14:paraId="4D138BC4" w14:textId="77777777" w:rsidR="00667CDB" w:rsidRPr="008E20C4" w:rsidRDefault="00667CDB" w:rsidP="00667CDB">
      <w:pPr>
        <w:pStyle w:val="11Para"/>
        <w:rPr>
          <w:lang w:val="en-IE"/>
        </w:rPr>
      </w:pPr>
      <w:r w:rsidRPr="008E20C4">
        <w:rPr>
          <w:lang w:val="en-IE"/>
        </w:rPr>
        <w:t xml:space="preserve">There are situations where it is not possible or desirable to fulfil Stage 2 of the Validation Pathway because appropriate samples from the target population are scarce and animals are difficult to access (such as for transboundary infectious diseases or wildlife diseases). </w:t>
      </w:r>
    </w:p>
    <w:p w14:paraId="01E5CFB9" w14:textId="73A4C4E1" w:rsidR="00667CDB" w:rsidRPr="008E20C4" w:rsidRDefault="00667CDB" w:rsidP="00667CDB">
      <w:pPr>
        <w:pStyle w:val="11Para"/>
        <w:rPr>
          <w:lang w:val="en-IE"/>
        </w:rPr>
      </w:pPr>
      <w:r w:rsidRPr="008E20C4">
        <w:rPr>
          <w:lang w:val="en-IE"/>
        </w:rPr>
        <w:t xml:space="preserve">Experience has shown that the greatest obstacle for continuing through Stage 2 of the Validation Pathway is the number of defined samples required to calculate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The formula is well </w:t>
      </w:r>
      <w:proofErr w:type="gramStart"/>
      <w:r w:rsidRPr="008E20C4">
        <w:rPr>
          <w:lang w:val="en-IE"/>
        </w:rPr>
        <w:t>known</w:t>
      </w:r>
      <w:proofErr w:type="gramEnd"/>
      <w:r w:rsidRPr="008E20C4">
        <w:rPr>
          <w:lang w:val="en-IE"/>
        </w:rPr>
        <w:t xml:space="preserve"> and tables are available for determining the number of samples required to estimate various levels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depending on the desired error margin and the level of confidence in the estimates (Table </w:t>
      </w:r>
      <w:r w:rsidR="00454F4E" w:rsidRPr="008E20C4">
        <w:rPr>
          <w:lang w:val="en-IE"/>
        </w:rPr>
        <w:t>2</w:t>
      </w:r>
      <w:r w:rsidRPr="008E20C4">
        <w:rPr>
          <w:lang w:val="en-IE"/>
        </w:rPr>
        <w:t xml:space="preserve"> and </w:t>
      </w:r>
      <w:r w:rsidRPr="008E20C4">
        <w:rPr>
          <w:color w:val="000000"/>
          <w:lang w:val="en-IE"/>
        </w:rPr>
        <w:t>Jacobson</w:t>
      </w:r>
      <w:r w:rsidRPr="008E20C4">
        <w:rPr>
          <w:smallCaps/>
          <w:color w:val="000000"/>
          <w:lang w:val="en-IE"/>
        </w:rPr>
        <w:t>, 1998</w:t>
      </w:r>
      <w:r w:rsidRPr="008E20C4">
        <w:rPr>
          <w:lang w:val="en-IE"/>
        </w:rPr>
        <w:t>). The formula assumes that the myriad of host/organism factors that may affect the test outcome are all accounted for. Since that assumption may be questionable, the estimated sample sizes are at best minimal. For a disease that is not endemic or widespread, it may be impossible, initially, to obtain the number of samples required, but over time, accrual of additional data will allow adjustment of the cut-off (threshold) or if no adjustment is needed, enhance confidence in the estimates.</w:t>
      </w:r>
    </w:p>
    <w:bookmarkStart w:id="10" w:name="_Hlk104648332"/>
    <w:p w14:paraId="685EA6CC" w14:textId="77777777" w:rsidR="00667CDB" w:rsidRPr="008E20C4" w:rsidRDefault="00667CDB" w:rsidP="00667CDB">
      <w:pPr>
        <w:pStyle w:val="11Para"/>
        <w:rPr>
          <w:lang w:val="en-IE"/>
        </w:rPr>
      </w:pPr>
      <w:r w:rsidRPr="008E20C4">
        <w:rPr>
          <w:noProof/>
          <w:lang w:val="en-IE"/>
        </w:rPr>
        <w:lastRenderedPageBreak/>
        <mc:AlternateContent>
          <mc:Choice Requires="wps">
            <w:drawing>
              <wp:anchor distT="45720" distB="45720" distL="114300" distR="114300" simplePos="0" relativeHeight="251658243" behindDoc="0" locked="0" layoutInCell="1" allowOverlap="1" wp14:anchorId="52E21544" wp14:editId="75ACB554">
                <wp:simplePos x="0" y="0"/>
                <wp:positionH relativeFrom="column">
                  <wp:posOffset>3620770</wp:posOffset>
                </wp:positionH>
                <wp:positionV relativeFrom="paragraph">
                  <wp:posOffset>362585</wp:posOffset>
                </wp:positionV>
                <wp:extent cx="2156460" cy="1976755"/>
                <wp:effectExtent l="0" t="0" r="15240" b="23495"/>
                <wp:wrapSquare wrapText="bothSides"/>
                <wp:docPr id="137"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6460" cy="1976755"/>
                        </a:xfrm>
                        <a:prstGeom prst="rect">
                          <a:avLst/>
                        </a:prstGeom>
                        <a:solidFill>
                          <a:srgbClr val="FFFFFF"/>
                        </a:solidFill>
                        <a:ln w="9525">
                          <a:solidFill>
                            <a:srgbClr val="000000"/>
                          </a:solidFill>
                          <a:miter lim="800000"/>
                          <a:headEnd/>
                          <a:tailEnd/>
                        </a:ln>
                      </wps:spPr>
                      <wps:txbx>
                        <w:txbxContent>
                          <w:p w14:paraId="2D5B1FDE" w14:textId="77777777" w:rsidR="00667CDB" w:rsidRPr="003B7D00" w:rsidRDefault="00667CDB" w:rsidP="00667CDB">
                            <w:pPr>
                              <w:spacing w:line="240" w:lineRule="auto"/>
                              <w:rPr>
                                <w:rFonts w:ascii="Söhne" w:hAnsi="Söhne" w:cs="Arial"/>
                                <w:b/>
                                <w:bCs/>
                                <w:sz w:val="18"/>
                                <w:szCs w:val="18"/>
                                <w:u w:val="double"/>
                              </w:rPr>
                            </w:pPr>
                            <w:r w:rsidRPr="003B7D00">
                              <w:rPr>
                                <w:rFonts w:ascii="Söhne" w:hAnsi="Söhne" w:cs="Arial"/>
                                <w:b/>
                                <w:bCs/>
                                <w:sz w:val="18"/>
                                <w:szCs w:val="18"/>
                                <w:u w:val="double"/>
                              </w:rPr>
                              <w:t>Provisional recognition</w:t>
                            </w:r>
                          </w:p>
                          <w:p w14:paraId="1BE25640" w14:textId="5B5DAC21" w:rsidR="00667CDB" w:rsidRPr="003B7D00" w:rsidRDefault="00371C58" w:rsidP="00667CDB">
                            <w:pPr>
                              <w:spacing w:line="240" w:lineRule="auto"/>
                              <w:rPr>
                                <w:rFonts w:ascii="Söhne" w:hAnsi="Söhne" w:cs="Arial"/>
                                <w:i/>
                                <w:iCs/>
                                <w:sz w:val="18"/>
                                <w:szCs w:val="18"/>
                                <w:u w:val="double"/>
                              </w:rPr>
                            </w:pPr>
                            <w:r w:rsidRPr="003B7D00">
                              <w:rPr>
                                <w:rFonts w:ascii="Söhne" w:hAnsi="Söhne" w:cs="Arial"/>
                                <w:sz w:val="18"/>
                                <w:szCs w:val="18"/>
                                <w:u w:val="double"/>
                              </w:rPr>
                              <w:t>T</w:t>
                            </w:r>
                            <w:r w:rsidR="00667CDB" w:rsidRPr="003B7D00">
                              <w:rPr>
                                <w:rFonts w:ascii="Söhne" w:hAnsi="Söhne" w:cs="Arial"/>
                                <w:sz w:val="18"/>
                                <w:szCs w:val="18"/>
                                <w:u w:val="double"/>
                              </w:rPr>
                              <w:t>est with acceptable ASe and ASp, repeatability and promising preliminary DSe and DSp</w:t>
                            </w:r>
                            <w:r w:rsidRPr="003B7D00">
                              <w:rPr>
                                <w:rFonts w:ascii="Söhne" w:hAnsi="Söhne" w:cs="Arial"/>
                                <w:sz w:val="18"/>
                                <w:szCs w:val="18"/>
                                <w:u w:val="double"/>
                              </w:rPr>
                              <w:t xml:space="preserve"> </w:t>
                            </w:r>
                            <w:r w:rsidRPr="003B7D00">
                              <w:rPr>
                                <w:rFonts w:ascii="Söhne" w:hAnsi="Söhne" w:cs="Arial"/>
                                <w:sz w:val="18"/>
                                <w:szCs w:val="18"/>
                                <w:u w:val="double"/>
                                <w:lang w:val="en-IE"/>
                              </w:rPr>
                              <w:t>based on a small select panel of well-characterised samples containing the targeted analyte and a preliminary estimate of reproducibility</w:t>
                            </w:r>
                            <w:r w:rsidR="00257B80" w:rsidRPr="003B7D00">
                              <w:rPr>
                                <w:rFonts w:ascii="Söhne" w:hAnsi="Söhne" w:cs="Arial"/>
                                <w:sz w:val="18"/>
                                <w:szCs w:val="18"/>
                                <w:u w:val="double"/>
                                <w:lang w:val="en-IE"/>
                              </w:rPr>
                              <w:t>.</w:t>
                            </w:r>
                            <w:r w:rsidR="00667CDB" w:rsidRPr="003B7D00">
                              <w:rPr>
                                <w:rFonts w:ascii="Söhne" w:hAnsi="Söhne" w:cs="Arial"/>
                                <w:sz w:val="18"/>
                                <w:szCs w:val="18"/>
                                <w:u w:val="double"/>
                              </w:rPr>
                              <w:t xml:space="preserve"> </w:t>
                            </w:r>
                            <w:r w:rsidR="00257B80" w:rsidRPr="003B7D00">
                              <w:rPr>
                                <w:rFonts w:ascii="Söhne" w:hAnsi="Söhne" w:cs="Arial"/>
                                <w:sz w:val="18"/>
                                <w:szCs w:val="18"/>
                                <w:u w:val="double"/>
                              </w:rPr>
                              <w:t xml:space="preserve">Results </w:t>
                            </w:r>
                            <w:r w:rsidR="00667CDB" w:rsidRPr="003B7D00">
                              <w:rPr>
                                <w:rFonts w:ascii="Söhne" w:hAnsi="Söhne" w:cs="Arial"/>
                                <w:sz w:val="18"/>
                                <w:szCs w:val="18"/>
                                <w:u w:val="double"/>
                              </w:rPr>
                              <w:t>can be provisionally recogni</w:t>
                            </w:r>
                            <w:r w:rsidR="00343068" w:rsidRPr="003B7D00">
                              <w:rPr>
                                <w:rFonts w:ascii="Söhne" w:hAnsi="Söhne" w:cs="Arial"/>
                                <w:sz w:val="18"/>
                                <w:szCs w:val="18"/>
                                <w:u w:val="double"/>
                              </w:rPr>
                              <w:t>s</w:t>
                            </w:r>
                            <w:r w:rsidR="00667CDB" w:rsidRPr="003B7D00">
                              <w:rPr>
                                <w:rFonts w:ascii="Söhne" w:hAnsi="Söhne" w:cs="Arial"/>
                                <w:sz w:val="18"/>
                                <w:szCs w:val="18"/>
                                <w:u w:val="double"/>
                              </w:rPr>
                              <w:t xml:space="preserve">ed until </w:t>
                            </w:r>
                            <w:r w:rsidR="00D75486" w:rsidRPr="003B7D00">
                              <w:rPr>
                                <w:rFonts w:ascii="Söhne" w:hAnsi="Söhne" w:cs="Arial"/>
                                <w:sz w:val="18"/>
                                <w:szCs w:val="18"/>
                                <w:u w:val="double"/>
                              </w:rPr>
                              <w:t xml:space="preserve">adequate samples sizes for both DSe and DSp </w:t>
                            </w:r>
                            <w:r w:rsidR="00E42910" w:rsidRPr="003B7D00">
                              <w:rPr>
                                <w:rFonts w:ascii="Söhne" w:hAnsi="Söhne" w:cs="Arial"/>
                                <w:sz w:val="18"/>
                                <w:szCs w:val="18"/>
                                <w:u w:val="double"/>
                              </w:rPr>
                              <w:t xml:space="preserve">are obtained (refer to Table </w:t>
                            </w:r>
                            <w:r w:rsidR="00644EF6">
                              <w:rPr>
                                <w:rFonts w:ascii="Söhne" w:hAnsi="Söhne" w:cs="Arial"/>
                                <w:sz w:val="18"/>
                                <w:szCs w:val="18"/>
                                <w:u w:val="double"/>
                              </w:rPr>
                              <w:t>2</w:t>
                            </w:r>
                            <w:r w:rsidR="00E42910" w:rsidRPr="003B7D00">
                              <w:rPr>
                                <w:rFonts w:ascii="Söhne" w:hAnsi="Söhne" w:cs="Arial"/>
                                <w:sz w:val="18"/>
                                <w:szCs w:val="18"/>
                                <w:u w:val="double"/>
                              </w:rPr>
                              <w:t xml:space="preserve">) and a more extensive reproducibility study is done to </w:t>
                            </w:r>
                            <w:r w:rsidR="00667CDB" w:rsidRPr="003B7D00">
                              <w:rPr>
                                <w:rFonts w:ascii="Söhne" w:hAnsi="Söhne" w:cs="Arial"/>
                                <w:sz w:val="18"/>
                                <w:szCs w:val="18"/>
                                <w:u w:val="double"/>
                              </w:rPr>
                              <w:t>confirm overall fitness-for-purpose</w:t>
                            </w:r>
                            <w:r w:rsidR="00667CDB" w:rsidRPr="003B7D00">
                              <w:rPr>
                                <w:rFonts w:ascii="Söhne" w:hAnsi="Söhne" w:cs="Arial"/>
                                <w:i/>
                                <w:iCs/>
                                <w:sz w:val="18"/>
                                <w:szCs w:val="18"/>
                                <w:u w:val="doubl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E21544" id="Text Box 137" o:spid="_x0000_s1030" type="#_x0000_t202" style="position:absolute;left:0;text-align:left;margin-left:285.1pt;margin-top:28.55pt;width:169.8pt;height:155.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">
                <v:textbox>
                  <w:txbxContent>
                    <w:p w14:paraId="2D5B1FDE" w14:textId="77777777" w:rsidR="00667CDB" w:rsidRPr="003B7D00" w:rsidRDefault="00667CDB" w:rsidP="00667CDB">
                      <w:pPr>
                        <w:spacing w:line="240" w:lineRule="auto"/>
                        <w:rPr>
                          <w:rFonts w:ascii="Söhne" w:hAnsi="Söhne" w:cs="Arial"/>
                          <w:b/>
                          <w:bCs/>
                          <w:sz w:val="18"/>
                          <w:szCs w:val="18"/>
                          <w:u w:val="double"/>
                        </w:rPr>
                      </w:pPr>
                      <w:r w:rsidRPr="003B7D00">
                        <w:rPr>
                          <w:rFonts w:ascii="Söhne" w:hAnsi="Söhne" w:cs="Arial"/>
                          <w:b/>
                          <w:bCs/>
                          <w:sz w:val="18"/>
                          <w:szCs w:val="18"/>
                          <w:u w:val="double"/>
                        </w:rPr>
                        <w:t>Provisional recognition</w:t>
                      </w:r>
                    </w:p>
                    <w:p w14:paraId="1BE25640" w14:textId="5B5DAC21" w:rsidR="00667CDB" w:rsidRPr="003B7D00" w:rsidRDefault="00371C58" w:rsidP="00667CDB">
                      <w:pPr>
                        <w:spacing w:line="240" w:lineRule="auto"/>
                        <w:rPr>
                          <w:rFonts w:ascii="Söhne" w:hAnsi="Söhne" w:cs="Arial"/>
                          <w:i/>
                          <w:iCs/>
                          <w:sz w:val="18"/>
                          <w:szCs w:val="18"/>
                          <w:u w:val="double"/>
                        </w:rPr>
                      </w:pPr>
                      <w:r w:rsidRPr="003B7D00">
                        <w:rPr>
                          <w:rFonts w:ascii="Söhne" w:hAnsi="Söhne" w:cs="Arial"/>
                          <w:sz w:val="18"/>
                          <w:szCs w:val="18"/>
                          <w:u w:val="double"/>
                        </w:rPr>
                        <w:t>T</w:t>
                      </w:r>
                      <w:r w:rsidR="00667CDB" w:rsidRPr="003B7D00">
                        <w:rPr>
                          <w:rFonts w:ascii="Söhne" w:hAnsi="Söhne" w:cs="Arial"/>
                          <w:sz w:val="18"/>
                          <w:szCs w:val="18"/>
                          <w:u w:val="double"/>
                        </w:rPr>
                        <w:t>est with acceptable ASe and ASp, repeatability and promising preliminary DSe and DSp</w:t>
                      </w:r>
                      <w:r w:rsidRPr="003B7D00">
                        <w:rPr>
                          <w:rFonts w:ascii="Söhne" w:hAnsi="Söhne" w:cs="Arial"/>
                          <w:sz w:val="18"/>
                          <w:szCs w:val="18"/>
                          <w:u w:val="double"/>
                        </w:rPr>
                        <w:t xml:space="preserve"> </w:t>
                      </w:r>
                      <w:r w:rsidRPr="003B7D00">
                        <w:rPr>
                          <w:rFonts w:ascii="Söhne" w:hAnsi="Söhne" w:cs="Arial"/>
                          <w:sz w:val="18"/>
                          <w:szCs w:val="18"/>
                          <w:u w:val="double"/>
                          <w:lang w:val="en-IE"/>
                        </w:rPr>
                        <w:t>based on a small select panel of well-characterised samples containing the targeted analyte and a preliminary estimate of reproducibility</w:t>
                      </w:r>
                      <w:r w:rsidR="00257B80" w:rsidRPr="003B7D00">
                        <w:rPr>
                          <w:rFonts w:ascii="Söhne" w:hAnsi="Söhne" w:cs="Arial"/>
                          <w:sz w:val="18"/>
                          <w:szCs w:val="18"/>
                          <w:u w:val="double"/>
                          <w:lang w:val="en-IE"/>
                        </w:rPr>
                        <w:t>.</w:t>
                      </w:r>
                      <w:r w:rsidR="00667CDB" w:rsidRPr="003B7D00">
                        <w:rPr>
                          <w:rFonts w:ascii="Söhne" w:hAnsi="Söhne" w:cs="Arial"/>
                          <w:sz w:val="18"/>
                          <w:szCs w:val="18"/>
                          <w:u w:val="double"/>
                        </w:rPr>
                        <w:t xml:space="preserve"> </w:t>
                      </w:r>
                      <w:r w:rsidR="00257B80" w:rsidRPr="003B7D00">
                        <w:rPr>
                          <w:rFonts w:ascii="Söhne" w:hAnsi="Söhne" w:cs="Arial"/>
                          <w:sz w:val="18"/>
                          <w:szCs w:val="18"/>
                          <w:u w:val="double"/>
                        </w:rPr>
                        <w:t xml:space="preserve">Results </w:t>
                      </w:r>
                      <w:r w:rsidR="00667CDB" w:rsidRPr="003B7D00">
                        <w:rPr>
                          <w:rFonts w:ascii="Söhne" w:hAnsi="Söhne" w:cs="Arial"/>
                          <w:sz w:val="18"/>
                          <w:szCs w:val="18"/>
                          <w:u w:val="double"/>
                        </w:rPr>
                        <w:t>can be provisionally recogni</w:t>
                      </w:r>
                      <w:r w:rsidR="00343068" w:rsidRPr="003B7D00">
                        <w:rPr>
                          <w:rFonts w:ascii="Söhne" w:hAnsi="Söhne" w:cs="Arial"/>
                          <w:sz w:val="18"/>
                          <w:szCs w:val="18"/>
                          <w:u w:val="double"/>
                        </w:rPr>
                        <w:t>s</w:t>
                      </w:r>
                      <w:r w:rsidR="00667CDB" w:rsidRPr="003B7D00">
                        <w:rPr>
                          <w:rFonts w:ascii="Söhne" w:hAnsi="Söhne" w:cs="Arial"/>
                          <w:sz w:val="18"/>
                          <w:szCs w:val="18"/>
                          <w:u w:val="double"/>
                        </w:rPr>
                        <w:t xml:space="preserve">ed until </w:t>
                      </w:r>
                      <w:r w:rsidR="00D75486" w:rsidRPr="003B7D00">
                        <w:rPr>
                          <w:rFonts w:ascii="Söhne" w:hAnsi="Söhne" w:cs="Arial"/>
                          <w:sz w:val="18"/>
                          <w:szCs w:val="18"/>
                          <w:u w:val="double"/>
                        </w:rPr>
                        <w:t xml:space="preserve">adequate samples sizes for both DSe and DSp </w:t>
                      </w:r>
                      <w:r w:rsidR="00E42910" w:rsidRPr="003B7D00">
                        <w:rPr>
                          <w:rFonts w:ascii="Söhne" w:hAnsi="Söhne" w:cs="Arial"/>
                          <w:sz w:val="18"/>
                          <w:szCs w:val="18"/>
                          <w:u w:val="double"/>
                        </w:rPr>
                        <w:t xml:space="preserve">are obtained (refer to Table </w:t>
                      </w:r>
                      <w:r w:rsidR="00644EF6">
                        <w:rPr>
                          <w:rFonts w:ascii="Söhne" w:hAnsi="Söhne" w:cs="Arial"/>
                          <w:sz w:val="18"/>
                          <w:szCs w:val="18"/>
                          <w:u w:val="double"/>
                        </w:rPr>
                        <w:t>2</w:t>
                      </w:r>
                      <w:r w:rsidR="00E42910" w:rsidRPr="003B7D00">
                        <w:rPr>
                          <w:rFonts w:ascii="Söhne" w:hAnsi="Söhne" w:cs="Arial"/>
                          <w:sz w:val="18"/>
                          <w:szCs w:val="18"/>
                          <w:u w:val="double"/>
                        </w:rPr>
                        <w:t xml:space="preserve">) and a more extensive reproducibility study is done to </w:t>
                      </w:r>
                      <w:r w:rsidR="00667CDB" w:rsidRPr="003B7D00">
                        <w:rPr>
                          <w:rFonts w:ascii="Söhne" w:hAnsi="Söhne" w:cs="Arial"/>
                          <w:sz w:val="18"/>
                          <w:szCs w:val="18"/>
                          <w:u w:val="double"/>
                        </w:rPr>
                        <w:t>confirm overall fitness-for-purpose</w:t>
                      </w:r>
                      <w:r w:rsidR="00667CDB" w:rsidRPr="003B7D00">
                        <w:rPr>
                          <w:rFonts w:ascii="Söhne" w:hAnsi="Söhne" w:cs="Arial"/>
                          <w:i/>
                          <w:iCs/>
                          <w:sz w:val="18"/>
                          <w:szCs w:val="18"/>
                          <w:u w:val="double"/>
                        </w:rPr>
                        <w:t>.</w:t>
                      </w:r>
                    </w:p>
                  </w:txbxContent>
                </v:textbox>
                <w10:wrap type="square"/>
              </v:shape>
            </w:pict>
          </mc:Fallback>
        </mc:AlternateContent>
      </w:r>
      <w:r w:rsidRPr="008E20C4">
        <w:rPr>
          <w:lang w:val="en-IE"/>
        </w:rPr>
        <w:t>Provisional recognition defines an assay that has been assessed through Stage 1 for critical assay benchmark parameters (</w:t>
      </w:r>
      <w:proofErr w:type="spellStart"/>
      <w:r w:rsidRPr="008E20C4">
        <w:rPr>
          <w:lang w:val="en-IE"/>
        </w:rPr>
        <w:t>ASe</w:t>
      </w:r>
      <w:proofErr w:type="spellEnd"/>
      <w:r w:rsidRPr="008E20C4">
        <w:rPr>
          <w:lang w:val="en-IE"/>
        </w:rPr>
        <w:t xml:space="preserve">, </w:t>
      </w:r>
      <w:proofErr w:type="spellStart"/>
      <w:r w:rsidRPr="008E20C4">
        <w:rPr>
          <w:lang w:val="en-IE"/>
        </w:rPr>
        <w:t>ASp</w:t>
      </w:r>
      <w:proofErr w:type="spellEnd"/>
      <w:r w:rsidRPr="008E20C4">
        <w:rPr>
          <w:lang w:val="en-IE"/>
        </w:rPr>
        <w:t xml:space="preserve"> and repeatability) with, in addition, a preliminary estimate of </w:t>
      </w:r>
      <w:proofErr w:type="spellStart"/>
      <w:r w:rsidRPr="008E20C4">
        <w:rPr>
          <w:lang w:val="en-IE"/>
        </w:rPr>
        <w:t>DSp</w:t>
      </w:r>
      <w:proofErr w:type="spellEnd"/>
      <w:r w:rsidRPr="008E20C4">
        <w:rPr>
          <w:lang w:val="en-IE"/>
        </w:rPr>
        <w:t xml:space="preserve"> and </w:t>
      </w:r>
      <w:proofErr w:type="spellStart"/>
      <w:r w:rsidRPr="008E20C4">
        <w:rPr>
          <w:lang w:val="en-IE"/>
        </w:rPr>
        <w:t>DSe</w:t>
      </w:r>
      <w:proofErr w:type="spellEnd"/>
      <w:r w:rsidRPr="008E20C4">
        <w:rPr>
          <w:lang w:val="en-IE"/>
        </w:rPr>
        <w:t xml:space="preserve"> based on a small select panel of well-characterised samples containing the targeted analyte and a preliminary estimate of reproducibility. This represents partial completion of Stage 2. Preliminary reproducibility estimates of the candidate assay could be done using the select panel of well-characterised samples to enhance provisional acceptance status for the assay. The candidate test method is then duplicated in laboratories in at least two different institutes, and the panel of samples is evaluated using the candidate assay in each of these laboratories, using the same protocol, same reagents as specified in the protocol, and comparable equipment. This is a scaled-down version of the reproducibility study in Stage 3 of assay validation. In following this procedure of provisional </w:t>
      </w:r>
      <w:proofErr w:type="gramStart"/>
      <w:r w:rsidRPr="008E20C4">
        <w:rPr>
          <w:lang w:val="en-IE"/>
        </w:rPr>
        <w:t>recognition</w:t>
      </w:r>
      <w:proofErr w:type="gramEnd"/>
      <w:r w:rsidRPr="008E20C4">
        <w:rPr>
          <w:lang w:val="en-IE"/>
        </w:rPr>
        <w:t xml:space="preserve"> the test protocol must not be varied.</w:t>
      </w:r>
    </w:p>
    <w:p w14:paraId="1231E1F7" w14:textId="77777777" w:rsidR="00667CDB" w:rsidRPr="008E20C4" w:rsidRDefault="00667CDB" w:rsidP="00667CDB">
      <w:pPr>
        <w:pStyle w:val="11Para"/>
        <w:rPr>
          <w:lang w:val="en-IE"/>
        </w:rPr>
      </w:pPr>
      <w:r w:rsidRPr="008E20C4">
        <w:rPr>
          <w:lang w:val="en-IE"/>
        </w:rPr>
        <w:t xml:space="preserve">Provisional recognition of an assay by state or national authorities means that the assay has not been evaluated for diagnostic performance characteristics. As such, the laboratory should develop and follow a protocol for adding and evaluating samples, as they become available, to fulfil this requirement. Ideally, this process should be limited to a specific timeframe in which such an accrual would be directed toward fulfilling Stages 2 and 3 of the validation </w:t>
      </w:r>
      <w:proofErr w:type="gramStart"/>
      <w:r w:rsidRPr="008E20C4">
        <w:rPr>
          <w:lang w:val="en-IE"/>
        </w:rPr>
        <w:t>pathway</w:t>
      </w:r>
      <w:proofErr w:type="gramEnd"/>
      <w:r w:rsidRPr="008E20C4">
        <w:rPr>
          <w:lang w:val="en-IE"/>
        </w:rPr>
        <w:t>, and to particular situations (emergencies, minor species, no other test available, etc.)</w:t>
      </w:r>
    </w:p>
    <w:bookmarkEnd w:id="10"/>
    <w:p w14:paraId="1EB682E5" w14:textId="77777777" w:rsidR="00667CDB" w:rsidRPr="008E20C4" w:rsidRDefault="00667CDB" w:rsidP="00667CDB">
      <w:pPr>
        <w:pStyle w:val="1"/>
        <w:rPr>
          <w:lang w:val="en-IE"/>
        </w:rPr>
      </w:pPr>
      <w:r w:rsidRPr="008E20C4">
        <w:rPr>
          <w:lang w:val="en-IE"/>
        </w:rPr>
        <w:t>3.</w:t>
      </w:r>
      <w:r w:rsidRPr="008E20C4">
        <w:rPr>
          <w:lang w:val="en-IE"/>
        </w:rPr>
        <w:tab/>
        <w:t>Stage 3 – Reproducibility and augmented repeatability estimates</w:t>
      </w:r>
    </w:p>
    <w:p w14:paraId="5AC84D94" w14:textId="77777777" w:rsidR="00667CDB" w:rsidRPr="008E20C4" w:rsidRDefault="00667CDB" w:rsidP="00667CDB">
      <w:pPr>
        <w:pStyle w:val="11"/>
        <w:rPr>
          <w:lang w:val="en-IE"/>
        </w:rPr>
      </w:pPr>
      <w:r w:rsidRPr="008E20C4">
        <w:rPr>
          <w:lang w:val="en-IE"/>
        </w:rPr>
        <w:t>3.1.</w:t>
      </w:r>
      <w:r w:rsidRPr="008E20C4">
        <w:rPr>
          <w:lang w:val="en-IE"/>
        </w:rPr>
        <w:tab/>
        <w:t xml:space="preserve">Reproducibility </w:t>
      </w:r>
    </w:p>
    <w:p w14:paraId="5154FE0E" w14:textId="752BAC1C" w:rsidR="00667CDB" w:rsidRPr="008E20C4" w:rsidRDefault="00667CDB" w:rsidP="00667CDB">
      <w:pPr>
        <w:pStyle w:val="11Para"/>
        <w:rPr>
          <w:sz w:val="16"/>
          <w:lang w:val="en-IE"/>
        </w:rPr>
      </w:pPr>
      <w:r w:rsidRPr="008E20C4">
        <w:rPr>
          <w:bCs/>
          <w:lang w:val="en-IE"/>
        </w:rPr>
        <w:t xml:space="preserve">Reproducibility is </w:t>
      </w:r>
      <w:r w:rsidRPr="008E20C4">
        <w:rPr>
          <w:lang w:val="en-IE"/>
        </w:rPr>
        <w:t xml:space="preserve">the ability of a test method to provide consistent results, as determined by estimates of precision, when applied to aliquots of the same samples tested in different laboratories, preferably located in distinct or different regions or countries using the identical assay (protocol, </w:t>
      </w:r>
      <w:proofErr w:type="gramStart"/>
      <w:r w:rsidRPr="008E20C4">
        <w:rPr>
          <w:lang w:val="en-IE"/>
        </w:rPr>
        <w:t>reagents</w:t>
      </w:r>
      <w:proofErr w:type="gramEnd"/>
      <w:r w:rsidRPr="008E20C4">
        <w:rPr>
          <w:lang w:val="en-IE"/>
        </w:rPr>
        <w:t xml:space="preserve"> and controls). To assess the reproducibility of an assay, each of at least three laboratories should test the same panel of samples (blinded) containing a suggested minimum of 20 samples, with identical aliquots going to each laboratory (see chapter 2.2.6</w:t>
      </w:r>
      <w:r w:rsidR="00DD3515" w:rsidRPr="008E20C4">
        <w:rPr>
          <w:lang w:val="en-IE"/>
        </w:rPr>
        <w:t>)</w:t>
      </w:r>
      <w:r w:rsidRPr="008E20C4">
        <w:rPr>
          <w:lang w:val="en-IE"/>
        </w:rPr>
        <w:t>.</w:t>
      </w:r>
      <w:r w:rsidR="003B7D00" w:rsidRPr="008E20C4">
        <w:rPr>
          <w:lang w:val="en-IE"/>
        </w:rPr>
        <w:t xml:space="preserve"> </w:t>
      </w:r>
      <w:r w:rsidRPr="008E20C4">
        <w:rPr>
          <w:lang w:val="en-IE"/>
        </w:rPr>
        <w:t>This exercise also generates preliminary data on non-random effects attributable to deployment of the assay to other laboratories. In addition, within-laboratory repeatability estimates are augmented by the replicates used in the reproducibility studies. Measurements of precision can be estimated for both the reproducibility and repeatability data (see chapter 2.2.4 for further explanation of the topic and its application).</w:t>
      </w:r>
      <w:r w:rsidR="003B7D00" w:rsidRPr="008E20C4">
        <w:rPr>
          <w:lang w:val="en-IE"/>
        </w:rPr>
        <w:t xml:space="preserve"> </w:t>
      </w:r>
      <w:r w:rsidR="000F0BFF" w:rsidRPr="008E20C4">
        <w:rPr>
          <w:u w:val="double"/>
          <w:lang w:val="en-IE"/>
        </w:rPr>
        <w:t xml:space="preserve">Factors affecting testing reproducibility among laboratories and practical examples of proficiency testing and interlaboratory comparison testing are provided by </w:t>
      </w:r>
      <w:r w:rsidR="00536D15" w:rsidRPr="008E20C4">
        <w:rPr>
          <w:u w:val="double"/>
          <w:lang w:val="en-IE"/>
        </w:rPr>
        <w:t xml:space="preserve">Johnson &amp; </w:t>
      </w:r>
      <w:proofErr w:type="spellStart"/>
      <w:r w:rsidR="00536D15" w:rsidRPr="008E20C4">
        <w:rPr>
          <w:u w:val="double"/>
          <w:lang w:val="en-IE"/>
        </w:rPr>
        <w:t>Cabuang</w:t>
      </w:r>
      <w:proofErr w:type="spellEnd"/>
      <w:r w:rsidR="00536D15" w:rsidRPr="008E20C4">
        <w:rPr>
          <w:u w:val="double"/>
          <w:lang w:val="en-IE"/>
        </w:rPr>
        <w:t xml:space="preserve"> (2021) and </w:t>
      </w:r>
      <w:r w:rsidR="000F0BFF" w:rsidRPr="008E20C4">
        <w:rPr>
          <w:u w:val="double"/>
          <w:lang w:val="en-IE"/>
        </w:rPr>
        <w:t xml:space="preserve">Waugh </w:t>
      </w:r>
      <w:r w:rsidR="008B0BD0" w:rsidRPr="008E20C4">
        <w:rPr>
          <w:u w:val="double"/>
          <w:lang w:val="en-IE"/>
        </w:rPr>
        <w:t>&amp; Clark</w:t>
      </w:r>
      <w:r w:rsidR="00536D15" w:rsidRPr="008E20C4">
        <w:rPr>
          <w:u w:val="double"/>
          <w:lang w:val="en-IE"/>
        </w:rPr>
        <w:t xml:space="preserve"> (</w:t>
      </w:r>
      <w:r w:rsidR="008B0BD0" w:rsidRPr="008E20C4">
        <w:rPr>
          <w:u w:val="double"/>
          <w:lang w:val="en-IE"/>
        </w:rPr>
        <w:t>2021</w:t>
      </w:r>
      <w:r w:rsidR="00536D15" w:rsidRPr="008E20C4">
        <w:rPr>
          <w:u w:val="double"/>
          <w:lang w:val="en-IE"/>
        </w:rPr>
        <w:t>)</w:t>
      </w:r>
      <w:r w:rsidR="000F0BFF" w:rsidRPr="008E20C4">
        <w:rPr>
          <w:u w:val="double"/>
          <w:lang w:val="en-IE"/>
        </w:rPr>
        <w:t xml:space="preserve">. A case study with FMD for selection and use of reference panels is presented in </w:t>
      </w:r>
      <w:proofErr w:type="spellStart"/>
      <w:r w:rsidR="000F0BFF" w:rsidRPr="008E20C4">
        <w:rPr>
          <w:u w:val="double"/>
          <w:lang w:val="en-IE"/>
        </w:rPr>
        <w:t>Ludi</w:t>
      </w:r>
      <w:proofErr w:type="spellEnd"/>
      <w:r w:rsidR="000F0BFF" w:rsidRPr="008E20C4">
        <w:rPr>
          <w:u w:val="double"/>
          <w:lang w:val="en-IE"/>
        </w:rPr>
        <w:t xml:space="preserve"> </w:t>
      </w:r>
      <w:r w:rsidR="000F0BFF" w:rsidRPr="008E20C4">
        <w:rPr>
          <w:i/>
          <w:iCs/>
          <w:u w:val="double"/>
          <w:lang w:val="en-IE"/>
        </w:rPr>
        <w:t>et al</w:t>
      </w:r>
      <w:r w:rsidR="005662FB" w:rsidRPr="008E20C4">
        <w:rPr>
          <w:i/>
          <w:iCs/>
          <w:u w:val="double"/>
          <w:lang w:val="en-IE"/>
        </w:rPr>
        <w:t>.</w:t>
      </w:r>
      <w:r w:rsidR="000F0BFF" w:rsidRPr="008E20C4">
        <w:rPr>
          <w:u w:val="double"/>
          <w:lang w:val="en-IE"/>
        </w:rPr>
        <w:t xml:space="preserve"> </w:t>
      </w:r>
      <w:r w:rsidR="005662FB" w:rsidRPr="008E20C4">
        <w:rPr>
          <w:u w:val="double"/>
          <w:lang w:val="en-IE"/>
        </w:rPr>
        <w:t>(</w:t>
      </w:r>
      <w:r w:rsidR="000F0BFF" w:rsidRPr="008E20C4">
        <w:rPr>
          <w:u w:val="double"/>
          <w:lang w:val="en-IE"/>
        </w:rPr>
        <w:t>2021</w:t>
      </w:r>
      <w:r w:rsidR="005662FB" w:rsidRPr="008E20C4">
        <w:rPr>
          <w:u w:val="double"/>
          <w:lang w:val="en-IE"/>
        </w:rPr>
        <w:t>)</w:t>
      </w:r>
      <w:r w:rsidR="000F0BFF" w:rsidRPr="008E20C4">
        <w:rPr>
          <w:u w:val="double"/>
          <w:lang w:val="en-IE"/>
        </w:rPr>
        <w:t xml:space="preserve"> an</w:t>
      </w:r>
      <w:r w:rsidR="00DD3515" w:rsidRPr="008E20C4">
        <w:rPr>
          <w:u w:val="double"/>
          <w:lang w:val="en-IE"/>
        </w:rPr>
        <w:t>d</w:t>
      </w:r>
      <w:r w:rsidR="000F0BFF" w:rsidRPr="008E20C4">
        <w:rPr>
          <w:u w:val="double"/>
          <w:lang w:val="en-IE"/>
        </w:rPr>
        <w:t xml:space="preserve"> the </w:t>
      </w:r>
      <w:r w:rsidR="00D97D40" w:rsidRPr="008E20C4">
        <w:rPr>
          <w:u w:val="double"/>
          <w:lang w:val="en-IE"/>
        </w:rPr>
        <w:t>value of virtual biobanks for transparency purposes with respect to reagents and samples used during test development an</w:t>
      </w:r>
      <w:r w:rsidR="00DD3515" w:rsidRPr="008E20C4">
        <w:rPr>
          <w:u w:val="double"/>
          <w:lang w:val="en-IE"/>
        </w:rPr>
        <w:t>d</w:t>
      </w:r>
      <w:r w:rsidR="00D97D40" w:rsidRPr="008E20C4">
        <w:rPr>
          <w:u w:val="double"/>
          <w:lang w:val="en-IE"/>
        </w:rPr>
        <w:t xml:space="preserve"> validation </w:t>
      </w:r>
      <w:r w:rsidR="004B14BE" w:rsidRPr="008E20C4">
        <w:rPr>
          <w:u w:val="double"/>
          <w:lang w:val="en-IE"/>
        </w:rPr>
        <w:t>i</w:t>
      </w:r>
      <w:r w:rsidR="006C55CC" w:rsidRPr="008E20C4">
        <w:rPr>
          <w:u w:val="double"/>
          <w:lang w:val="en-IE"/>
        </w:rPr>
        <w:t xml:space="preserve">s </w:t>
      </w:r>
      <w:r w:rsidR="00A44751" w:rsidRPr="008E20C4">
        <w:rPr>
          <w:u w:val="double"/>
          <w:lang w:val="en-IE"/>
        </w:rPr>
        <w:t>repor</w:t>
      </w:r>
      <w:r w:rsidR="006C55CC" w:rsidRPr="008E20C4">
        <w:rPr>
          <w:u w:val="double"/>
          <w:lang w:val="en-IE"/>
        </w:rPr>
        <w:t>t</w:t>
      </w:r>
      <w:r w:rsidR="00A44751" w:rsidRPr="008E20C4">
        <w:rPr>
          <w:u w:val="double"/>
          <w:lang w:val="en-IE"/>
        </w:rPr>
        <w:t xml:space="preserve">ed </w:t>
      </w:r>
      <w:r w:rsidR="00D97D40" w:rsidRPr="008E20C4">
        <w:rPr>
          <w:u w:val="double"/>
          <w:lang w:val="en-IE"/>
        </w:rPr>
        <w:t xml:space="preserve">by Watson </w:t>
      </w:r>
      <w:r w:rsidR="00D97D40" w:rsidRPr="008E20C4">
        <w:rPr>
          <w:i/>
          <w:iCs/>
          <w:u w:val="double"/>
          <w:lang w:val="en-IE"/>
        </w:rPr>
        <w:t>et al</w:t>
      </w:r>
      <w:r w:rsidR="003B7D00" w:rsidRPr="008E20C4">
        <w:rPr>
          <w:i/>
          <w:iCs/>
          <w:u w:val="double"/>
          <w:lang w:val="en-IE"/>
        </w:rPr>
        <w:t>.,</w:t>
      </w:r>
      <w:r w:rsidR="00D97D40" w:rsidRPr="008E20C4">
        <w:rPr>
          <w:u w:val="double"/>
          <w:lang w:val="en-IE"/>
        </w:rPr>
        <w:t xml:space="preserve"> 2021.</w:t>
      </w:r>
      <w:r w:rsidR="000F0BFF" w:rsidRPr="008E20C4">
        <w:rPr>
          <w:u w:val="double"/>
          <w:lang w:val="en-IE"/>
        </w:rPr>
        <w:t xml:space="preserve"> </w:t>
      </w:r>
    </w:p>
    <w:p w14:paraId="44A35061" w14:textId="1AE21B8B" w:rsidR="00667CDB" w:rsidRPr="008E20C4" w:rsidRDefault="00667CDB" w:rsidP="00667CDB">
      <w:pPr>
        <w:pStyle w:val="11Para"/>
        <w:rPr>
          <w:lang w:val="en-IE"/>
        </w:rPr>
      </w:pPr>
      <w:r w:rsidRPr="008E20C4">
        <w:rPr>
          <w:lang w:val="en-IE"/>
        </w:rPr>
        <w:t xml:space="preserve">For </w:t>
      </w:r>
      <w:r w:rsidR="00FC7E69" w:rsidRPr="00FC7E69">
        <w:rPr>
          <w:highlight w:val="yellow"/>
          <w:u w:val="double"/>
          <w:lang w:val="en-IE"/>
        </w:rPr>
        <w:t>POCTs</w:t>
      </w:r>
      <w:r w:rsidR="00FC7E69" w:rsidRPr="00FC7E69">
        <w:rPr>
          <w:strike/>
          <w:highlight w:val="yellow"/>
          <w:lang w:val="en-IE"/>
        </w:rPr>
        <w:t xml:space="preserve"> </w:t>
      </w:r>
      <w:r w:rsidRPr="00FC7E69">
        <w:rPr>
          <w:strike/>
          <w:highlight w:val="yellow"/>
          <w:lang w:val="en-IE"/>
        </w:rPr>
        <w:t>field tests</w:t>
      </w:r>
      <w:r w:rsidRPr="008E20C4">
        <w:rPr>
          <w:lang w:val="en-IE"/>
        </w:rPr>
        <w:t>, reproducibility should be evaluated under the conditions of intended use.</w:t>
      </w:r>
    </w:p>
    <w:p w14:paraId="484F654A" w14:textId="77777777" w:rsidR="00667CDB" w:rsidRPr="008E20C4" w:rsidRDefault="00667CDB" w:rsidP="00667CDB">
      <w:pPr>
        <w:pStyle w:val="11"/>
        <w:rPr>
          <w:lang w:val="en-IE"/>
        </w:rPr>
      </w:pPr>
      <w:r w:rsidRPr="008E20C4">
        <w:rPr>
          <w:lang w:val="en-IE"/>
        </w:rPr>
        <w:t>3.2.</w:t>
      </w:r>
      <w:r w:rsidRPr="008E20C4">
        <w:rPr>
          <w:lang w:val="en-IE"/>
        </w:rPr>
        <w:tab/>
        <w:t>Designation of a validated assay</w:t>
      </w:r>
    </w:p>
    <w:p w14:paraId="28EDAFBC" w14:textId="77777777" w:rsidR="00667CDB" w:rsidRPr="008E20C4" w:rsidRDefault="00667CDB" w:rsidP="00667CDB">
      <w:pPr>
        <w:pStyle w:val="11Para"/>
        <w:rPr>
          <w:lang w:val="en-IE"/>
        </w:rPr>
      </w:pPr>
      <w:r w:rsidRPr="008E20C4">
        <w:rPr>
          <w:lang w:val="en-IE"/>
        </w:rPr>
        <w:t>On completion of Stage 3 validation, assuming the earlier stages have been fully and satisfactorily completed, the assay may be designated as “validated for the original intended purpose”. Retention of this designation is dependent on continual monitoring of the assay performance, as described in Section 5.1.</w:t>
      </w:r>
    </w:p>
    <w:p w14:paraId="417B8FB2" w14:textId="77777777" w:rsidR="00667CDB" w:rsidRPr="008E20C4" w:rsidRDefault="00667CDB" w:rsidP="00667CDB">
      <w:pPr>
        <w:pStyle w:val="1"/>
        <w:spacing w:after="200"/>
        <w:rPr>
          <w:szCs w:val="24"/>
          <w:lang w:val="en-IE"/>
        </w:rPr>
      </w:pPr>
      <w:r w:rsidRPr="008E20C4">
        <w:rPr>
          <w:lang w:val="en-IE"/>
        </w:rPr>
        <w:t>4.</w:t>
      </w:r>
      <w:r w:rsidRPr="008E20C4">
        <w:rPr>
          <w:lang w:val="en-IE"/>
        </w:rPr>
        <w:tab/>
      </w:r>
      <w:r w:rsidRPr="008E20C4">
        <w:rPr>
          <w:szCs w:val="24"/>
          <w:lang w:val="en-IE"/>
        </w:rPr>
        <w:t>Stage 4 – Programme implementation</w:t>
      </w:r>
    </w:p>
    <w:p w14:paraId="3C4475AF" w14:textId="77777777" w:rsidR="00667CDB" w:rsidRPr="008E20C4" w:rsidRDefault="00667CDB" w:rsidP="00667CDB">
      <w:pPr>
        <w:pStyle w:val="para1"/>
        <w:spacing w:after="200"/>
        <w:rPr>
          <w:lang w:val="en-IE"/>
        </w:rPr>
      </w:pPr>
      <w:r w:rsidRPr="008E20C4">
        <w:rPr>
          <w:lang w:val="en-IE"/>
        </w:rPr>
        <w:t>The successful deployment of an assay provides additional and valuable evidence for its performance according to the expectations. Moreover, the (true) prevalence of the diagnostic trait in the target population is an important factor that needs to be accounted for as described below.</w:t>
      </w:r>
    </w:p>
    <w:p w14:paraId="3E160B13" w14:textId="6D69A13C" w:rsidR="00D16FEF" w:rsidRPr="008E20C4" w:rsidRDefault="00667CDB" w:rsidP="00667CDB">
      <w:pPr>
        <w:pStyle w:val="11"/>
        <w:spacing w:after="200"/>
        <w:rPr>
          <w:rFonts w:ascii="Söhne Kräftig" w:hAnsi="Söhne Kräftig"/>
          <w:sz w:val="18"/>
          <w:lang w:val="en-IE"/>
        </w:rPr>
      </w:pPr>
      <w:r w:rsidRPr="008E20C4">
        <w:rPr>
          <w:lang w:val="en-IE"/>
        </w:rPr>
        <w:t>4.1.</w:t>
      </w:r>
      <w:r w:rsidRPr="008E20C4">
        <w:rPr>
          <w:lang w:val="en-IE"/>
        </w:rPr>
        <w:tab/>
        <w:t>Fitness for use</w:t>
      </w:r>
    </w:p>
    <w:p w14:paraId="698417BC" w14:textId="77777777" w:rsidR="00667CDB" w:rsidRPr="008E20C4" w:rsidRDefault="00667CDB" w:rsidP="00667CDB">
      <w:pPr>
        <w:pStyle w:val="11Para"/>
        <w:spacing w:after="200"/>
        <w:rPr>
          <w:lang w:val="en-IE"/>
        </w:rPr>
      </w:pPr>
      <w:r w:rsidRPr="008E20C4">
        <w:rPr>
          <w:bCs/>
          <w:lang w:val="en-IE"/>
        </w:rPr>
        <w:t>While this chapter deals with validation and fitness for purpose from a scientific perspective, it should also be noted that</w:t>
      </w:r>
      <w:r w:rsidRPr="008E20C4">
        <w:rPr>
          <w:lang w:val="en-IE"/>
        </w:rPr>
        <w:t xml:space="preserve"> other practical factors might impact the utility of an assay with respect to its intended application. These factors include not only the diagnostic suitability of the assay, but also its acceptability by scientific and regulatory communities, acceptability to the client, and feasibility given available laboratory resources. For some diseases, </w:t>
      </w:r>
      <w:r w:rsidRPr="008E20C4">
        <w:rPr>
          <w:lang w:val="en-IE"/>
        </w:rPr>
        <w:lastRenderedPageBreak/>
        <w:t xml:space="preserve">multiple assays might be available for use in combination in disease control and surveillance programmes and hence, an assay’s utility might need to be assessed by evaluating incremental changes in </w:t>
      </w:r>
      <w:proofErr w:type="spellStart"/>
      <w:r w:rsidRPr="008E20C4">
        <w:rPr>
          <w:lang w:val="en-IE"/>
        </w:rPr>
        <w:t>DSe</w:t>
      </w:r>
      <w:proofErr w:type="spellEnd"/>
      <w:r w:rsidRPr="008E20C4">
        <w:rPr>
          <w:lang w:val="en-IE"/>
        </w:rPr>
        <w:t xml:space="preserve">, </w:t>
      </w:r>
      <w:proofErr w:type="spellStart"/>
      <w:r w:rsidRPr="008E20C4">
        <w:rPr>
          <w:lang w:val="en-IE"/>
        </w:rPr>
        <w:t>DSp</w:t>
      </w:r>
      <w:proofErr w:type="spellEnd"/>
      <w:r w:rsidRPr="008E20C4">
        <w:rPr>
          <w:lang w:val="en-IE"/>
        </w:rPr>
        <w:t xml:space="preserve"> and predictive values of the combined tests.</w:t>
      </w:r>
    </w:p>
    <w:p w14:paraId="73BBCE08" w14:textId="5ED87BFE" w:rsidR="008804B8" w:rsidRPr="008E20C4" w:rsidRDefault="00667CDB" w:rsidP="00667CDB">
      <w:pPr>
        <w:pStyle w:val="11Para"/>
        <w:spacing w:after="200"/>
        <w:rPr>
          <w:b/>
          <w:bCs/>
          <w:lang w:val="en-IE"/>
        </w:rPr>
      </w:pPr>
      <w:r w:rsidRPr="008E20C4">
        <w:rPr>
          <w:lang w:val="en-IE"/>
        </w:rPr>
        <w:t xml:space="preserve">An inability to meet operational requirements of an assay also may make it unfit for its intended use. Such requirements may include performance costs, equipment availability, level of technical sophistication and interpretation skills, kit/reagent availability, shelf life, transport requirements, safety, biosecurity, sample throughput, turn-around times for test results, aspects of quality control and quality assurance, and whether the assay can practically be deployed to other laboratories. Test kits used in the field are highly desirable from an ease-of-use viewpoint, but because they are performed outside the confines of a controlled laboratory environment, they require added precautions to maintain fitness for purpose (Crowther </w:t>
      </w:r>
      <w:r w:rsidRPr="008E20C4">
        <w:rPr>
          <w:i/>
          <w:lang w:val="en-IE"/>
        </w:rPr>
        <w:t>et al.,</w:t>
      </w:r>
      <w:r w:rsidRPr="008E20C4">
        <w:rPr>
          <w:lang w:val="en-IE"/>
        </w:rPr>
        <w:t xml:space="preserve"> 2006</w:t>
      </w:r>
      <w:r w:rsidR="003B7D00" w:rsidRPr="008E20C4">
        <w:rPr>
          <w:u w:val="double"/>
          <w:lang w:val="en-IE"/>
        </w:rPr>
        <w:t>;</w:t>
      </w:r>
      <w:r w:rsidR="00EE5369" w:rsidRPr="008E20C4">
        <w:rPr>
          <w:u w:val="double"/>
          <w:lang w:val="en-IE"/>
        </w:rPr>
        <w:t xml:space="preserve"> Halpin </w:t>
      </w:r>
      <w:r w:rsidR="00EE5369" w:rsidRPr="008E20C4">
        <w:rPr>
          <w:i/>
          <w:iCs/>
          <w:u w:val="double"/>
          <w:lang w:val="en-IE"/>
        </w:rPr>
        <w:t>et al</w:t>
      </w:r>
      <w:r w:rsidR="003B7D00" w:rsidRPr="008E20C4">
        <w:rPr>
          <w:i/>
          <w:iCs/>
          <w:u w:val="double"/>
          <w:lang w:val="en-IE"/>
        </w:rPr>
        <w:t>.,</w:t>
      </w:r>
      <w:r w:rsidR="00EE5369" w:rsidRPr="008E20C4">
        <w:rPr>
          <w:u w:val="double"/>
          <w:lang w:val="en-IE"/>
        </w:rPr>
        <w:t xml:space="preserve"> 2021</w:t>
      </w:r>
      <w:r w:rsidR="003B7D00" w:rsidRPr="008E20C4">
        <w:rPr>
          <w:lang w:val="en-IE"/>
        </w:rPr>
        <w:t>).</w:t>
      </w:r>
      <w:r w:rsidR="00EE5369" w:rsidRPr="008E20C4">
        <w:rPr>
          <w:lang w:val="en-IE"/>
        </w:rPr>
        <w:t xml:space="preserve"> </w:t>
      </w:r>
      <w:r w:rsidR="0065354C" w:rsidRPr="008E20C4">
        <w:rPr>
          <w:u w:val="double"/>
          <w:lang w:val="en-IE"/>
        </w:rPr>
        <w:t>E</w:t>
      </w:r>
      <w:r w:rsidR="00EE5369" w:rsidRPr="008E20C4">
        <w:rPr>
          <w:u w:val="double"/>
          <w:lang w:val="en-IE"/>
        </w:rPr>
        <w:t xml:space="preserve">xamples </w:t>
      </w:r>
      <w:r w:rsidR="0065354C" w:rsidRPr="008E20C4">
        <w:rPr>
          <w:u w:val="double"/>
          <w:lang w:val="en-IE"/>
        </w:rPr>
        <w:t>supporting each of the</w:t>
      </w:r>
      <w:r w:rsidR="0065354C" w:rsidRPr="00D846D9">
        <w:rPr>
          <w:lang w:val="en-IE"/>
        </w:rPr>
        <w:t xml:space="preserve"> </w:t>
      </w:r>
      <w:r w:rsidR="003A5E36" w:rsidRPr="00D846D9">
        <w:rPr>
          <w:strike/>
          <w:highlight w:val="yellow"/>
          <w:lang w:val="en-IE"/>
        </w:rPr>
        <w:t>seven</w:t>
      </w:r>
      <w:r w:rsidR="0065354C" w:rsidRPr="00D846D9">
        <w:rPr>
          <w:strike/>
          <w:highlight w:val="yellow"/>
          <w:lang w:val="en-IE"/>
        </w:rPr>
        <w:t xml:space="preserve"> </w:t>
      </w:r>
      <w:r w:rsidR="00CD5D59" w:rsidRPr="00D846D9">
        <w:rPr>
          <w:highlight w:val="yellow"/>
          <w:u w:val="double"/>
          <w:lang w:val="en-IE"/>
        </w:rPr>
        <w:t>six</w:t>
      </w:r>
      <w:r w:rsidR="00CD5D59" w:rsidRPr="008E20C4">
        <w:rPr>
          <w:u w:val="double"/>
          <w:lang w:val="en-IE"/>
        </w:rPr>
        <w:t xml:space="preserve"> </w:t>
      </w:r>
      <w:r w:rsidR="0065354C" w:rsidRPr="008E20C4">
        <w:rPr>
          <w:u w:val="double"/>
          <w:lang w:val="en-IE"/>
        </w:rPr>
        <w:t xml:space="preserve">purposes </w:t>
      </w:r>
      <w:r w:rsidR="00EE5369" w:rsidRPr="008E20C4">
        <w:rPr>
          <w:u w:val="double"/>
          <w:lang w:val="en-IE"/>
        </w:rPr>
        <w:t xml:space="preserve">are provided in </w:t>
      </w:r>
      <w:r w:rsidR="0065354C" w:rsidRPr="001414B4">
        <w:rPr>
          <w:strike/>
          <w:highlight w:val="yellow"/>
          <w:lang w:val="en-IE"/>
        </w:rPr>
        <w:t>“</w:t>
      </w:r>
      <w:r w:rsidR="001414B4" w:rsidRPr="001414B4">
        <w:rPr>
          <w:highlight w:val="yellow"/>
          <w:u w:val="double"/>
          <w:lang w:val="en-IE"/>
        </w:rPr>
        <w:t>Table</w:t>
      </w:r>
      <w:r w:rsidR="001414B4">
        <w:rPr>
          <w:u w:val="double"/>
          <w:lang w:val="en-IE"/>
        </w:rPr>
        <w:t xml:space="preserve"> </w:t>
      </w:r>
      <w:r w:rsidR="00EE5369" w:rsidRPr="008E20C4">
        <w:rPr>
          <w:u w:val="double"/>
          <w:lang w:val="en-IE"/>
        </w:rPr>
        <w:t xml:space="preserve">1 </w:t>
      </w:r>
      <w:r w:rsidR="00EE5369" w:rsidRPr="001414B4">
        <w:rPr>
          <w:strike/>
          <w:highlight w:val="yellow"/>
          <w:lang w:val="en-IE"/>
        </w:rPr>
        <w:t>Definition of the intended purpose of an assay</w:t>
      </w:r>
      <w:r w:rsidR="00C56FFA" w:rsidRPr="001414B4">
        <w:rPr>
          <w:strike/>
          <w:highlight w:val="yellow"/>
          <w:lang w:val="en-IE"/>
        </w:rPr>
        <w:t>”</w:t>
      </w:r>
      <w:r w:rsidR="001414B4" w:rsidRPr="001414B4">
        <w:rPr>
          <w:strike/>
          <w:highlight w:val="yellow"/>
          <w:lang w:val="en-IE"/>
        </w:rPr>
        <w:t xml:space="preserve"> </w:t>
      </w:r>
      <w:r w:rsidR="001414B4" w:rsidRPr="001414B4">
        <w:rPr>
          <w:i/>
          <w:iCs/>
          <w:highlight w:val="yellow"/>
          <w:u w:val="double"/>
          <w:lang w:val="en-IE"/>
        </w:rPr>
        <w:t xml:space="preserve">Test purposes and relative importance of diagnostic sensitivity </w:t>
      </w:r>
      <w:r w:rsidR="001414B4" w:rsidRPr="001414B4">
        <w:rPr>
          <w:highlight w:val="yellow"/>
          <w:u w:val="double"/>
          <w:lang w:val="en-IE"/>
        </w:rPr>
        <w:t>(</w:t>
      </w:r>
      <w:proofErr w:type="spellStart"/>
      <w:r w:rsidR="001414B4" w:rsidRPr="001414B4">
        <w:rPr>
          <w:i/>
          <w:iCs/>
          <w:highlight w:val="yellow"/>
          <w:u w:val="double"/>
          <w:lang w:val="en-IE"/>
        </w:rPr>
        <w:t>DSe</w:t>
      </w:r>
      <w:proofErr w:type="spellEnd"/>
      <w:r w:rsidR="001414B4" w:rsidRPr="001414B4">
        <w:rPr>
          <w:highlight w:val="yellow"/>
          <w:u w:val="double"/>
          <w:lang w:val="en-IE"/>
        </w:rPr>
        <w:t xml:space="preserve">), </w:t>
      </w:r>
      <w:r w:rsidR="001414B4" w:rsidRPr="001414B4">
        <w:rPr>
          <w:i/>
          <w:iCs/>
          <w:highlight w:val="yellow"/>
          <w:u w:val="double"/>
          <w:lang w:val="en-IE"/>
        </w:rPr>
        <w:t xml:space="preserve">diagnostic specificity </w:t>
      </w:r>
      <w:r w:rsidR="001414B4" w:rsidRPr="001414B4">
        <w:rPr>
          <w:highlight w:val="yellow"/>
          <w:u w:val="double"/>
          <w:lang w:val="en-IE"/>
        </w:rPr>
        <w:t>(</w:t>
      </w:r>
      <w:proofErr w:type="spellStart"/>
      <w:r w:rsidR="001414B4" w:rsidRPr="001414B4">
        <w:rPr>
          <w:i/>
          <w:iCs/>
          <w:highlight w:val="yellow"/>
          <w:u w:val="double"/>
          <w:lang w:val="en-IE"/>
        </w:rPr>
        <w:t>DSp</w:t>
      </w:r>
      <w:proofErr w:type="spellEnd"/>
      <w:r w:rsidR="001414B4" w:rsidRPr="001414B4">
        <w:rPr>
          <w:highlight w:val="yellow"/>
          <w:u w:val="double"/>
          <w:lang w:val="en-IE"/>
        </w:rPr>
        <w:t>)</w:t>
      </w:r>
      <w:r w:rsidR="001414B4" w:rsidRPr="001414B4">
        <w:rPr>
          <w:i/>
          <w:iCs/>
          <w:highlight w:val="yellow"/>
          <w:u w:val="double"/>
          <w:lang w:val="en-IE"/>
        </w:rPr>
        <w:t xml:space="preserve">, positive predictive value </w:t>
      </w:r>
      <w:r w:rsidR="001414B4" w:rsidRPr="001414B4">
        <w:rPr>
          <w:highlight w:val="yellow"/>
          <w:u w:val="double"/>
          <w:lang w:val="en-IE"/>
        </w:rPr>
        <w:t>(</w:t>
      </w:r>
      <w:r w:rsidR="001414B4" w:rsidRPr="001414B4">
        <w:rPr>
          <w:i/>
          <w:iCs/>
          <w:highlight w:val="yellow"/>
          <w:u w:val="double"/>
          <w:lang w:val="en-IE"/>
        </w:rPr>
        <w:t>PV+</w:t>
      </w:r>
      <w:r w:rsidR="001414B4" w:rsidRPr="001414B4">
        <w:rPr>
          <w:highlight w:val="yellow"/>
          <w:u w:val="double"/>
          <w:lang w:val="en-IE"/>
        </w:rPr>
        <w:t xml:space="preserve">), </w:t>
      </w:r>
      <w:r w:rsidR="001414B4" w:rsidRPr="001414B4">
        <w:rPr>
          <w:i/>
          <w:iCs/>
          <w:highlight w:val="yellow"/>
          <w:u w:val="double"/>
          <w:lang w:val="en-IE"/>
        </w:rPr>
        <w:t xml:space="preserve">negative predictive value </w:t>
      </w:r>
      <w:r w:rsidR="001414B4" w:rsidRPr="001414B4">
        <w:rPr>
          <w:highlight w:val="yellow"/>
          <w:u w:val="double"/>
          <w:lang w:val="en-IE"/>
        </w:rPr>
        <w:t>(</w:t>
      </w:r>
      <w:r w:rsidR="001414B4" w:rsidRPr="001414B4">
        <w:rPr>
          <w:i/>
          <w:iCs/>
          <w:highlight w:val="yellow"/>
          <w:u w:val="double"/>
          <w:lang w:val="en-IE"/>
        </w:rPr>
        <w:t>PV–</w:t>
      </w:r>
      <w:r w:rsidR="001414B4" w:rsidRPr="001414B4">
        <w:rPr>
          <w:highlight w:val="yellow"/>
          <w:u w:val="double"/>
          <w:lang w:val="en-IE"/>
        </w:rPr>
        <w:t>)</w:t>
      </w:r>
      <w:r w:rsidR="001414B4" w:rsidRPr="001414B4">
        <w:rPr>
          <w:i/>
          <w:iCs/>
          <w:highlight w:val="yellow"/>
          <w:u w:val="double"/>
          <w:lang w:val="en-IE"/>
        </w:rPr>
        <w:t xml:space="preserve">, likelihood ratio of a positive test result </w:t>
      </w:r>
      <w:r w:rsidR="001414B4" w:rsidRPr="001414B4">
        <w:rPr>
          <w:highlight w:val="yellow"/>
          <w:u w:val="double"/>
          <w:lang w:val="en-IE"/>
        </w:rPr>
        <w:t>(</w:t>
      </w:r>
      <w:r w:rsidR="001414B4" w:rsidRPr="001414B4">
        <w:rPr>
          <w:i/>
          <w:iCs/>
          <w:highlight w:val="yellow"/>
          <w:u w:val="double"/>
          <w:lang w:val="en-IE"/>
        </w:rPr>
        <w:t>LR+</w:t>
      </w:r>
      <w:r w:rsidR="001414B4" w:rsidRPr="001414B4">
        <w:rPr>
          <w:highlight w:val="yellow"/>
          <w:u w:val="double"/>
          <w:lang w:val="en-IE"/>
        </w:rPr>
        <w:t xml:space="preserve">) </w:t>
      </w:r>
      <w:r w:rsidR="001414B4" w:rsidRPr="001414B4">
        <w:rPr>
          <w:i/>
          <w:iCs/>
          <w:highlight w:val="yellow"/>
          <w:u w:val="double"/>
          <w:lang w:val="en-IE"/>
        </w:rPr>
        <w:t xml:space="preserve">and likelihood ratio of a negative test result </w:t>
      </w:r>
      <w:r w:rsidR="001414B4" w:rsidRPr="001414B4">
        <w:rPr>
          <w:highlight w:val="yellow"/>
          <w:u w:val="double"/>
          <w:lang w:val="en-IE"/>
        </w:rPr>
        <w:t>(</w:t>
      </w:r>
      <w:r w:rsidR="001414B4" w:rsidRPr="001414B4">
        <w:rPr>
          <w:i/>
          <w:iCs/>
          <w:highlight w:val="yellow"/>
          <w:u w:val="double"/>
          <w:lang w:val="en-IE"/>
        </w:rPr>
        <w:t>LR–</w:t>
      </w:r>
      <w:r w:rsidR="001414B4" w:rsidRPr="001414B4">
        <w:rPr>
          <w:highlight w:val="yellow"/>
          <w:u w:val="double"/>
          <w:lang w:val="en-IE"/>
        </w:rPr>
        <w:t>)</w:t>
      </w:r>
      <w:r w:rsidR="0065354C" w:rsidRPr="001414B4">
        <w:rPr>
          <w:highlight w:val="yellow"/>
          <w:u w:val="double"/>
          <w:lang w:val="en-IE"/>
        </w:rPr>
        <w:t>.</w:t>
      </w:r>
      <w:r w:rsidR="008C6A65" w:rsidRPr="008E20C4">
        <w:rPr>
          <w:bCs/>
          <w:lang w:val="en-IE"/>
        </w:rPr>
        <w:t xml:space="preserve"> </w:t>
      </w:r>
    </w:p>
    <w:p w14:paraId="17B38033" w14:textId="77777777" w:rsidR="00667CDB" w:rsidRPr="008E20C4" w:rsidRDefault="00667CDB" w:rsidP="00246CB6">
      <w:pPr>
        <w:pStyle w:val="11"/>
        <w:rPr>
          <w:lang w:val="en-IE"/>
        </w:rPr>
      </w:pPr>
      <w:r w:rsidRPr="008E20C4">
        <w:rPr>
          <w:lang w:val="en-IE"/>
        </w:rPr>
        <w:t>4.2.</w:t>
      </w:r>
      <w:r w:rsidRPr="008E20C4">
        <w:rPr>
          <w:lang w:val="en-IE"/>
        </w:rPr>
        <w:tab/>
        <w:t>Interpretation of test results</w:t>
      </w:r>
    </w:p>
    <w:p w14:paraId="5C49D933" w14:textId="77777777" w:rsidR="00667CDB" w:rsidRPr="008E20C4" w:rsidRDefault="00667CDB" w:rsidP="00667CDB">
      <w:pPr>
        <w:pStyle w:val="11Para"/>
        <w:spacing w:after="200"/>
        <w:rPr>
          <w:b/>
          <w:lang w:val="en-IE"/>
        </w:rPr>
      </w:pPr>
      <w:r w:rsidRPr="008E20C4">
        <w:rPr>
          <w:i/>
          <w:lang w:val="en-IE"/>
        </w:rPr>
        <w:t xml:space="preserve">Predictive values of test results: The positive </w:t>
      </w:r>
      <w:r w:rsidRPr="008E20C4">
        <w:rPr>
          <w:lang w:val="en-IE"/>
        </w:rPr>
        <w:t xml:space="preserve">predictive value (PPV) is the probability that an animal that has tested positive is in fact positive </w:t>
      </w:r>
      <w:proofErr w:type="gramStart"/>
      <w:r w:rsidRPr="008E20C4">
        <w:rPr>
          <w:lang w:val="en-IE"/>
        </w:rPr>
        <w:t>with regard to</w:t>
      </w:r>
      <w:proofErr w:type="gramEnd"/>
      <w:r w:rsidRPr="008E20C4">
        <w:rPr>
          <w:lang w:val="en-IE"/>
        </w:rPr>
        <w:t xml:space="preserve"> the true diagnostic status. The negative predictive value (NPV) is the probability that an animal that has tested negative is in fact negative </w:t>
      </w:r>
      <w:proofErr w:type="gramStart"/>
      <w:r w:rsidRPr="008E20C4">
        <w:rPr>
          <w:lang w:val="en-IE"/>
        </w:rPr>
        <w:t>with regard to</w:t>
      </w:r>
      <w:proofErr w:type="gramEnd"/>
      <w:r w:rsidRPr="008E20C4">
        <w:rPr>
          <w:lang w:val="en-IE"/>
        </w:rPr>
        <w:t xml:space="preserve"> the true diagnostic status.</w:t>
      </w:r>
      <w:r w:rsidRPr="008E20C4">
        <w:rPr>
          <w:b/>
          <w:lang w:val="en-IE"/>
        </w:rPr>
        <w:t xml:space="preserve"> </w:t>
      </w:r>
    </w:p>
    <w:p w14:paraId="181E6DF8" w14:textId="4A8F5D30" w:rsidR="00667CDB" w:rsidRPr="008E20C4" w:rsidRDefault="00667CDB" w:rsidP="00667CDB">
      <w:pPr>
        <w:pStyle w:val="11Para"/>
        <w:spacing w:after="200"/>
        <w:rPr>
          <w:lang w:val="en-IE"/>
        </w:rPr>
      </w:pPr>
      <w:r w:rsidRPr="008E20C4">
        <w:rPr>
          <w:lang w:val="en-IE"/>
        </w:rPr>
        <w:t>Predictive values of test results are an application of Bayes</w:t>
      </w:r>
      <w:r w:rsidR="00057916" w:rsidRPr="008E20C4">
        <w:rPr>
          <w:lang w:val="en-IE"/>
        </w:rPr>
        <w:t>’</w:t>
      </w:r>
      <w:r w:rsidRPr="008E20C4">
        <w:rPr>
          <w:lang w:val="en-IE"/>
        </w:rPr>
        <w:t xml:space="preserve"> theorem and are calculated as follows:</w:t>
      </w:r>
    </w:p>
    <w:p w14:paraId="5F390E86" w14:textId="52C53417" w:rsidR="008D0591" w:rsidRPr="008E20C4" w:rsidRDefault="00BC638A" w:rsidP="008D0591">
      <w:pPr>
        <w:pStyle w:val="paraa"/>
        <w:jc w:val="center"/>
        <w:rPr>
          <w:rFonts w:ascii="Söhne" w:hAnsi="Söhne"/>
          <w:strike/>
          <w:lang w:val="en-IE"/>
        </w:rPr>
      </w:pPr>
      <w:r w:rsidRPr="008E20C4">
        <w:rPr>
          <w:i/>
          <w:strike/>
          <w:noProof/>
          <w:lang w:val="en-IE"/>
        </w:rPr>
        <mc:AlternateContent>
          <mc:Choice Requires="wpi">
            <w:drawing>
              <wp:anchor distT="0" distB="0" distL="114300" distR="114300" simplePos="0" relativeHeight="251658249" behindDoc="0" locked="0" layoutInCell="1" allowOverlap="1" wp14:anchorId="726C34EA" wp14:editId="67A54B87">
                <wp:simplePos x="0" y="0"/>
                <wp:positionH relativeFrom="column">
                  <wp:posOffset>3056009</wp:posOffset>
                </wp:positionH>
                <wp:positionV relativeFrom="paragraph">
                  <wp:posOffset>70660</wp:posOffset>
                </wp:positionV>
                <wp:extent cx="305640" cy="9720"/>
                <wp:effectExtent l="38100" t="38100" r="37465" b="47625"/>
                <wp:wrapNone/>
                <wp:docPr id="300" name="Ink 300"/>
                <wp:cNvGraphicFramePr/>
                <a:graphic xmlns:a="http://schemas.openxmlformats.org/drawingml/2006/main">
                  <a:graphicData uri="http://schemas.microsoft.com/office/word/2010/wordprocessingInk">
                    <w14:contentPart bwMode="auto" r:id="rId20">
                      <w14:nvContentPartPr>
                        <w14:cNvContentPartPr/>
                      </w14:nvContentPartPr>
                      <w14:xfrm>
                        <a:off x="0" y="0"/>
                        <a:ext cx="305640" cy="9720"/>
                      </w14:xfrm>
                    </w14:contentPart>
                  </a:graphicData>
                </a:graphic>
              </wp:anchor>
            </w:drawing>
          </mc:Choice>
          <mc:Fallback>
            <w:pict>
              <v:shapetype w14:anchorId="0AA24A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00" o:spid="_x0000_s1026" type="#_x0000_t75" style="position:absolute;margin-left:240.3pt;margin-top:5.2pt;width:24.75pt;height:1.4pt;z-index:251658249;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">
                <v:imagedata r:id="rId25" o:title=""/>
              </v:shape>
            </w:pict>
          </mc:Fallback>
        </mc:AlternateContent>
      </w:r>
      <w:r w:rsidR="0000422D" w:rsidRPr="008E20C4">
        <w:rPr>
          <w:i/>
          <w:strike/>
          <w:noProof/>
          <w:lang w:val="en-IE"/>
        </w:rPr>
        <mc:AlternateContent>
          <mc:Choice Requires="wpi">
            <w:drawing>
              <wp:anchor distT="0" distB="0" distL="114300" distR="114300" simplePos="0" relativeHeight="251658248" behindDoc="0" locked="0" layoutInCell="1" allowOverlap="1" wp14:anchorId="2E2159C9" wp14:editId="59245473">
                <wp:simplePos x="0" y="0"/>
                <wp:positionH relativeFrom="column">
                  <wp:posOffset>3057139</wp:posOffset>
                </wp:positionH>
                <wp:positionV relativeFrom="paragraph">
                  <wp:posOffset>106431</wp:posOffset>
                </wp:positionV>
                <wp:extent cx="360" cy="360"/>
                <wp:effectExtent l="38100" t="38100" r="38100" b="38100"/>
                <wp:wrapNone/>
                <wp:docPr id="288" name="Ink 288"/>
                <wp:cNvGraphicFramePr/>
                <a:graphic xmlns:a="http://schemas.openxmlformats.org/drawingml/2006/main">
                  <a:graphicData uri="http://schemas.microsoft.com/office/word/2010/wordprocessingInk">
                    <w14:contentPart bwMode="auto" r:id="rId26">
                      <w14:nvContentPartPr>
                        <w14:cNvContentPartPr/>
                      </w14:nvContentPartPr>
                      <w14:xfrm>
                        <a:off x="0" y="0"/>
                        <a:ext cx="360" cy="360"/>
                      </w14:xfrm>
                    </w14:contentPart>
                  </a:graphicData>
                </a:graphic>
              </wp:anchor>
            </w:drawing>
          </mc:Choice>
          <mc:Fallback>
            <w:pict>
              <v:shape w14:anchorId="44B3CDB3" id="Ink 288" o:spid="_x0000_s1026" type="#_x0000_t75" style="position:absolute;margin-left:240.35pt;margin-top:8.05pt;width:.75pt;height:.75pt;z-index:2516582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">
                <v:imagedata r:id="rId27" o:title=""/>
              </v:shape>
            </w:pict>
          </mc:Fallback>
        </mc:AlternateContent>
      </w:r>
      <w:r w:rsidR="0000422D" w:rsidRPr="008E20C4">
        <w:rPr>
          <w:i/>
          <w:strike/>
          <w:noProof/>
          <w:lang w:val="en-IE"/>
        </w:rPr>
        <mc:AlternateContent>
          <mc:Choice Requires="wpi">
            <w:drawing>
              <wp:anchor distT="0" distB="0" distL="114300" distR="114300" simplePos="0" relativeHeight="251658247" behindDoc="0" locked="0" layoutInCell="1" allowOverlap="1" wp14:anchorId="7263C144" wp14:editId="1C48FDC4">
                <wp:simplePos x="0" y="0"/>
                <wp:positionH relativeFrom="column">
                  <wp:posOffset>3391939</wp:posOffset>
                </wp:positionH>
                <wp:positionV relativeFrom="paragraph">
                  <wp:posOffset>65751</wp:posOffset>
                </wp:positionV>
                <wp:extent cx="360" cy="360"/>
                <wp:effectExtent l="38100" t="38100" r="38100" b="38100"/>
                <wp:wrapNone/>
                <wp:docPr id="284" name="Ink 28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pict>
              <v:shape w14:anchorId="6AC703D5" id="Ink 284" o:spid="_x0000_s1026" type="#_x0000_t75" style="position:absolute;margin-left:266.75pt;margin-top:4.85pt;width:.75pt;height:.75pt;z-index:251658247;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">
                <v:imagedata r:id="rId27" o:title=""/>
              </v:shape>
            </w:pict>
          </mc:Fallback>
        </mc:AlternateContent>
      </w:r>
      <w:r w:rsidR="00653BB6" w:rsidRPr="008E20C4">
        <w:rPr>
          <w:rFonts w:ascii="Söhne" w:hAnsi="Söhne"/>
          <w:i/>
          <w:strike/>
          <w:lang w:val="en-IE"/>
        </w:rPr>
        <w:t>PPV</w:t>
      </w:r>
      <w:r w:rsidR="0084586F" w:rsidRPr="008E20C4">
        <w:rPr>
          <w:rFonts w:ascii="Söhne" w:hAnsi="Söhne"/>
          <w:strike/>
          <w:lang w:val="en-IE"/>
        </w:rPr>
        <w:t xml:space="preserve"> = </w:t>
      </w:r>
      <w:r w:rsidR="001D0650" w:rsidRPr="008E20C4">
        <w:rPr>
          <w:rFonts w:ascii="Söhne" w:hAnsi="Söhne"/>
          <w:strike/>
          <w:lang w:val="en-IE"/>
        </w:rPr>
        <w:fldChar w:fldCharType="begin"/>
      </w:r>
      <w:r w:rsidR="0084586F" w:rsidRPr="008E20C4">
        <w:rPr>
          <w:rFonts w:ascii="Söhne" w:hAnsi="Söhne"/>
          <w:strike/>
          <w:lang w:val="en-IE"/>
        </w:rPr>
        <w:instrText xml:space="preserve">EQ \f ( </w:instrText>
      </w:r>
      <w:r w:rsidR="00653BB6" w:rsidRPr="008E20C4">
        <w:rPr>
          <w:rFonts w:ascii="Söhne" w:hAnsi="Söhne"/>
          <w:i/>
          <w:strike/>
          <w:lang w:val="en-IE"/>
        </w:rPr>
        <w:instrText>P</w:instrText>
      </w:r>
      <w:r w:rsidR="0084586F" w:rsidRPr="008E20C4">
        <w:rPr>
          <w:rFonts w:ascii="Söhne" w:hAnsi="Söhne"/>
          <w:strike/>
          <w:lang w:val="en-IE"/>
        </w:rPr>
        <w:instrText xml:space="preserve"> </w:instrText>
      </w:r>
      <w:r w:rsidR="0084586F" w:rsidRPr="008E20C4">
        <w:rPr>
          <w:rFonts w:ascii="Söhne" w:eastAsia="Symbol" w:hAnsi="Söhne" w:cs="Symbol"/>
          <w:strike/>
          <w:lang w:val="en-IE"/>
        </w:rPr>
        <w:instrText>´</w:instrText>
      </w:r>
      <w:r w:rsidR="0084586F" w:rsidRPr="008E20C4">
        <w:rPr>
          <w:rFonts w:ascii="Söhne" w:hAnsi="Söhne"/>
          <w:strike/>
          <w:lang w:val="en-IE"/>
        </w:rPr>
        <w:instrText xml:space="preserve"> </w:instrText>
      </w:r>
      <w:r w:rsidR="00653BB6" w:rsidRPr="008E20C4">
        <w:rPr>
          <w:rFonts w:ascii="Söhne" w:hAnsi="Söhne"/>
          <w:i/>
          <w:strike/>
          <w:lang w:val="en-IE"/>
        </w:rPr>
        <w:instrText>DSe</w:instrText>
      </w:r>
      <w:r w:rsidR="0084586F" w:rsidRPr="008E20C4">
        <w:rPr>
          <w:rFonts w:ascii="Söhne" w:hAnsi="Söhne"/>
          <w:strike/>
          <w:lang w:val="en-IE"/>
        </w:rPr>
        <w:instrText xml:space="preserve">; </w:instrText>
      </w:r>
      <w:r w:rsidR="00653BB6" w:rsidRPr="008E20C4">
        <w:rPr>
          <w:rFonts w:ascii="Söhne" w:hAnsi="Söhne"/>
          <w:i/>
          <w:strike/>
          <w:lang w:val="en-IE"/>
        </w:rPr>
        <w:instrText>P</w:instrText>
      </w:r>
      <w:r w:rsidR="0084586F" w:rsidRPr="008E20C4">
        <w:rPr>
          <w:rFonts w:ascii="Söhne" w:hAnsi="Söhne"/>
          <w:strike/>
          <w:lang w:val="en-IE"/>
        </w:rPr>
        <w:instrText xml:space="preserve"> </w:instrText>
      </w:r>
      <w:r w:rsidR="0084586F" w:rsidRPr="008E20C4">
        <w:rPr>
          <w:rFonts w:ascii="Söhne" w:eastAsia="Symbol" w:hAnsi="Söhne" w:cs="Symbol"/>
          <w:strike/>
          <w:lang w:val="en-IE"/>
        </w:rPr>
        <w:instrText>´</w:instrText>
      </w:r>
      <w:r w:rsidR="0084586F" w:rsidRPr="008E20C4">
        <w:rPr>
          <w:rFonts w:ascii="Söhne" w:hAnsi="Söhne"/>
          <w:strike/>
          <w:lang w:val="en-IE"/>
        </w:rPr>
        <w:instrText xml:space="preserve"> </w:instrText>
      </w:r>
      <w:r w:rsidR="00653BB6" w:rsidRPr="008E20C4">
        <w:rPr>
          <w:rFonts w:ascii="Söhne" w:hAnsi="Söhne"/>
          <w:i/>
          <w:strike/>
          <w:lang w:val="en-IE"/>
        </w:rPr>
        <w:instrText>DSe</w:instrText>
      </w:r>
      <w:r w:rsidR="0084586F" w:rsidRPr="008E20C4">
        <w:rPr>
          <w:rFonts w:ascii="Söhne" w:hAnsi="Söhne"/>
          <w:strike/>
          <w:lang w:val="en-IE"/>
        </w:rPr>
        <w:instrText xml:space="preserve"> + (1 - </w:instrText>
      </w:r>
      <w:r w:rsidR="00653BB6" w:rsidRPr="008E20C4">
        <w:rPr>
          <w:rFonts w:ascii="Söhne" w:hAnsi="Söhne"/>
          <w:i/>
          <w:strike/>
          <w:lang w:val="en-IE"/>
        </w:rPr>
        <w:instrText>P</w:instrText>
      </w:r>
      <w:r w:rsidR="0084586F" w:rsidRPr="008E20C4">
        <w:rPr>
          <w:rFonts w:ascii="Söhne" w:hAnsi="Söhne"/>
          <w:strike/>
          <w:lang w:val="en-IE"/>
        </w:rPr>
        <w:instrText xml:space="preserve">) </w:instrText>
      </w:r>
      <w:r w:rsidR="0084586F" w:rsidRPr="008E20C4">
        <w:rPr>
          <w:rFonts w:ascii="Söhne" w:eastAsia="Symbol" w:hAnsi="Söhne" w:cs="Symbol"/>
          <w:strike/>
          <w:lang w:val="en-IE"/>
        </w:rPr>
        <w:instrText>´</w:instrText>
      </w:r>
      <w:r w:rsidR="0084586F" w:rsidRPr="008E20C4">
        <w:rPr>
          <w:rFonts w:ascii="Söhne" w:hAnsi="Söhne"/>
          <w:strike/>
          <w:lang w:val="en-IE"/>
        </w:rPr>
        <w:instrText xml:space="preserve"> (1-</w:instrText>
      </w:r>
      <w:r w:rsidR="00653BB6" w:rsidRPr="008E20C4">
        <w:rPr>
          <w:rFonts w:ascii="Söhne" w:hAnsi="Söhne"/>
          <w:i/>
          <w:strike/>
          <w:lang w:val="en-IE"/>
        </w:rPr>
        <w:instrText>DSp</w:instrText>
      </w:r>
      <w:r w:rsidR="0084586F" w:rsidRPr="008E20C4">
        <w:rPr>
          <w:rFonts w:ascii="Söhne" w:hAnsi="Söhne"/>
          <w:strike/>
          <w:lang w:val="en-IE"/>
        </w:rPr>
        <w:instrText xml:space="preserve"> )) </w:instrText>
      </w:r>
      <w:r w:rsidR="001D0650" w:rsidRPr="008E20C4">
        <w:rPr>
          <w:rFonts w:ascii="Söhne" w:hAnsi="Söhne"/>
          <w:strike/>
          <w:lang w:val="en-IE"/>
        </w:rPr>
        <w:fldChar w:fldCharType="end"/>
      </w:r>
    </w:p>
    <w:p w14:paraId="1CC99CB3" w14:textId="3B789960" w:rsidR="001D4700" w:rsidRPr="008E20C4" w:rsidRDefault="00667CDB" w:rsidP="00667CDB">
      <w:pPr>
        <w:pStyle w:val="paraa"/>
        <w:jc w:val="center"/>
        <w:rPr>
          <w:rFonts w:ascii="Söhne" w:hAnsi="Söhne"/>
          <w:bCs/>
          <w:u w:val="double"/>
          <w:lang w:val="en-IE"/>
        </w:rPr>
      </w:pPr>
      <m:oMathPara>
        <m:oMath>
          <m:r>
            <w:rPr>
              <w:rFonts w:ascii="Cambria Math" w:hAnsi="Cambria Math"/>
              <w:u w:val="double"/>
              <w:lang w:val="en-IE"/>
            </w:rPr>
            <m:t>PPV=</m:t>
          </m:r>
          <m:f>
            <m:fPr>
              <m:ctrlPr>
                <w:rPr>
                  <w:rFonts w:ascii="Cambria Math" w:hAnsi="Cambria Math"/>
                  <w:i/>
                  <w:u w:val="double"/>
                  <w:lang w:val="en-IE"/>
                </w:rPr>
              </m:ctrlPr>
            </m:fPr>
            <m:num>
              <m:r>
                <w:rPr>
                  <w:rFonts w:ascii="Cambria Math" w:hAnsi="Cambria Math"/>
                  <w:u w:val="double"/>
                  <w:lang w:val="en-IE"/>
                </w:rPr>
                <m:t>P x DSe</m:t>
              </m:r>
            </m:num>
            <m:den>
              <m:r>
                <w:rPr>
                  <w:rFonts w:ascii="Cambria Math" w:hAnsi="Cambria Math"/>
                  <w:u w:val="double"/>
                  <w:lang w:val="en-IE"/>
                </w:rPr>
                <m:t>P x DSe+</m:t>
              </m:r>
              <m:d>
                <m:dPr>
                  <m:ctrlPr>
                    <w:rPr>
                      <w:rFonts w:ascii="Cambria Math" w:hAnsi="Cambria Math"/>
                      <w:i/>
                      <w:u w:val="double"/>
                      <w:lang w:val="en-IE"/>
                    </w:rPr>
                  </m:ctrlPr>
                </m:dPr>
                <m:e>
                  <m:r>
                    <w:rPr>
                      <w:rFonts w:ascii="Cambria Math" w:hAnsi="Cambria Math"/>
                      <w:u w:val="double"/>
                      <w:lang w:val="en-IE"/>
                    </w:rPr>
                    <m:t>1-P</m:t>
                  </m:r>
                </m:e>
              </m:d>
              <m:r>
                <w:rPr>
                  <w:rFonts w:ascii="Cambria Math" w:hAnsi="Cambria Math"/>
                  <w:u w:val="double"/>
                  <w:lang w:val="en-IE"/>
                </w:rPr>
                <m:t xml:space="preserve"> x (1-DSp)</m:t>
              </m:r>
            </m:den>
          </m:f>
          <m:r>
            <m:rPr>
              <m:sty m:val="p"/>
            </m:rPr>
            <w:rPr>
              <w:rFonts w:ascii="Cambria Math" w:hAnsi="Cambria Math"/>
              <w:u w:val="double"/>
              <w:lang w:val="en-IE"/>
            </w:rPr>
            <w:br/>
          </m:r>
        </m:oMath>
      </m:oMathPara>
    </w:p>
    <w:p w14:paraId="626D80E8" w14:textId="574F6B06" w:rsidR="00667CDB" w:rsidRPr="008E20C4" w:rsidRDefault="00667CDB" w:rsidP="00667CDB">
      <w:pPr>
        <w:pStyle w:val="paraa"/>
        <w:jc w:val="center"/>
        <w:rPr>
          <w:rFonts w:ascii="Söhne" w:hAnsi="Söhne"/>
          <w:lang w:val="en-IE"/>
        </w:rPr>
      </w:pPr>
      <w:r w:rsidRPr="008E20C4">
        <w:rPr>
          <w:rFonts w:ascii="Söhne" w:hAnsi="Söhne"/>
          <w:lang w:val="en-IE"/>
        </w:rPr>
        <w:t>and</w:t>
      </w:r>
    </w:p>
    <w:p w14:paraId="2AEF0C8A" w14:textId="0921061E" w:rsidR="0084586F" w:rsidRPr="008E20C4" w:rsidRDefault="00BC638A" w:rsidP="008D0591">
      <w:pPr>
        <w:pStyle w:val="paraa"/>
        <w:jc w:val="center"/>
        <w:rPr>
          <w:rFonts w:ascii="Söhne" w:hAnsi="Söhne"/>
          <w:strike/>
          <w:lang w:val="en-IE"/>
        </w:rPr>
      </w:pPr>
      <w:r w:rsidRPr="008E20C4">
        <w:rPr>
          <w:i/>
          <w:strike/>
          <w:noProof/>
          <w:lang w:val="en-IE"/>
        </w:rPr>
        <mc:AlternateContent>
          <mc:Choice Requires="wpi">
            <w:drawing>
              <wp:anchor distT="0" distB="0" distL="114300" distR="114300" simplePos="0" relativeHeight="251658250" behindDoc="0" locked="0" layoutInCell="1" allowOverlap="1" wp14:anchorId="52F46ED6" wp14:editId="4A759FC8">
                <wp:simplePos x="0" y="0"/>
                <wp:positionH relativeFrom="column">
                  <wp:posOffset>3067169</wp:posOffset>
                </wp:positionH>
                <wp:positionV relativeFrom="paragraph">
                  <wp:posOffset>67401</wp:posOffset>
                </wp:positionV>
                <wp:extent cx="349200" cy="18360"/>
                <wp:effectExtent l="38100" t="38100" r="32385" b="39370"/>
                <wp:wrapNone/>
                <wp:docPr id="301" name="Ink 301"/>
                <wp:cNvGraphicFramePr/>
                <a:graphic xmlns:a="http://schemas.openxmlformats.org/drawingml/2006/main">
                  <a:graphicData uri="http://schemas.microsoft.com/office/word/2010/wordprocessingInk">
                    <w14:contentPart bwMode="auto" r:id="rId29">
                      <w14:nvContentPartPr>
                        <w14:cNvContentPartPr/>
                      </w14:nvContentPartPr>
                      <w14:xfrm>
                        <a:off x="0" y="0"/>
                        <a:ext cx="349200" cy="18360"/>
                      </w14:xfrm>
                    </w14:contentPart>
                  </a:graphicData>
                </a:graphic>
              </wp:anchor>
            </w:drawing>
          </mc:Choice>
          <mc:Fallback>
            <w:pict>
              <v:shape w14:anchorId="44C0F072" id="Ink 301" o:spid="_x0000_s1026" type="#_x0000_t75" style="position:absolute;margin-left:241.15pt;margin-top:4.95pt;width:28.25pt;height:2.2pt;z-index:25165825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">
                <v:imagedata r:id="rId30" o:title=""/>
              </v:shape>
            </w:pict>
          </mc:Fallback>
        </mc:AlternateContent>
      </w:r>
      <w:r w:rsidR="00653BB6" w:rsidRPr="008E20C4">
        <w:rPr>
          <w:rFonts w:ascii="Söhne" w:hAnsi="Söhne"/>
          <w:i/>
          <w:strike/>
          <w:lang w:val="en-IE"/>
        </w:rPr>
        <w:t>NPV</w:t>
      </w:r>
      <w:r w:rsidR="0084586F" w:rsidRPr="008E20C4">
        <w:rPr>
          <w:rFonts w:ascii="Söhne" w:hAnsi="Söhne"/>
          <w:strike/>
          <w:lang w:val="en-IE"/>
        </w:rPr>
        <w:t xml:space="preserve"> = </w:t>
      </w:r>
      <w:r w:rsidR="001D0650" w:rsidRPr="008E20C4">
        <w:rPr>
          <w:rFonts w:ascii="Söhne" w:hAnsi="Söhne"/>
          <w:strike/>
          <w:lang w:val="en-IE"/>
        </w:rPr>
        <w:fldChar w:fldCharType="begin"/>
      </w:r>
      <w:r w:rsidR="0084586F" w:rsidRPr="008E20C4">
        <w:rPr>
          <w:rFonts w:ascii="Söhne" w:hAnsi="Söhne"/>
          <w:strike/>
          <w:lang w:val="en-IE"/>
        </w:rPr>
        <w:instrText xml:space="preserve">EQ \f ( (1 - </w:instrText>
      </w:r>
      <w:r w:rsidR="0084586F" w:rsidRPr="008E20C4">
        <w:rPr>
          <w:rFonts w:ascii="Söhne" w:hAnsi="Söhne"/>
          <w:i/>
          <w:strike/>
          <w:lang w:val="en-IE"/>
        </w:rPr>
        <w:instrText>P</w:instrText>
      </w:r>
      <w:r w:rsidR="00653BB6" w:rsidRPr="008E20C4">
        <w:rPr>
          <w:rFonts w:ascii="Söhne" w:hAnsi="Söhne"/>
          <w:strike/>
          <w:lang w:val="en-IE"/>
        </w:rPr>
        <w:instrText>)</w:instrText>
      </w:r>
      <w:r w:rsidR="0084586F" w:rsidRPr="008E20C4">
        <w:rPr>
          <w:rFonts w:ascii="Söhne" w:hAnsi="Söhne"/>
          <w:strike/>
          <w:lang w:val="en-IE"/>
        </w:rPr>
        <w:instrText xml:space="preserve"> </w:instrText>
      </w:r>
      <w:r w:rsidR="0084586F" w:rsidRPr="008E20C4">
        <w:rPr>
          <w:rFonts w:ascii="Söhne" w:eastAsia="Symbol" w:hAnsi="Söhne" w:cs="Symbol"/>
          <w:strike/>
          <w:lang w:val="en-IE"/>
        </w:rPr>
        <w:instrText>´</w:instrText>
      </w:r>
      <w:r w:rsidR="0084586F" w:rsidRPr="008E20C4">
        <w:rPr>
          <w:rFonts w:ascii="Söhne" w:hAnsi="Söhne"/>
          <w:strike/>
          <w:lang w:val="en-IE"/>
        </w:rPr>
        <w:instrText xml:space="preserve"> </w:instrText>
      </w:r>
      <w:r w:rsidR="0084586F" w:rsidRPr="008E20C4">
        <w:rPr>
          <w:rFonts w:ascii="Söhne" w:hAnsi="Söhne"/>
          <w:i/>
          <w:strike/>
          <w:lang w:val="en-IE"/>
        </w:rPr>
        <w:instrText>DSp</w:instrText>
      </w:r>
      <w:r w:rsidR="0084586F" w:rsidRPr="008E20C4">
        <w:rPr>
          <w:rFonts w:ascii="Söhne" w:hAnsi="Söhne"/>
          <w:strike/>
          <w:lang w:val="en-IE"/>
        </w:rPr>
        <w:instrText xml:space="preserve">; </w:instrText>
      </w:r>
      <w:r w:rsidR="0084586F" w:rsidRPr="008E20C4">
        <w:rPr>
          <w:rFonts w:ascii="Söhne" w:hAnsi="Söhne"/>
          <w:i/>
          <w:strike/>
          <w:lang w:val="en-IE"/>
        </w:rPr>
        <w:instrText>P</w:instrText>
      </w:r>
      <w:r w:rsidR="0084586F" w:rsidRPr="008E20C4">
        <w:rPr>
          <w:rFonts w:ascii="Söhne" w:hAnsi="Söhne"/>
          <w:strike/>
          <w:lang w:val="en-IE"/>
        </w:rPr>
        <w:instrText xml:space="preserve"> </w:instrText>
      </w:r>
      <w:r w:rsidR="0084586F" w:rsidRPr="008E20C4">
        <w:rPr>
          <w:rFonts w:ascii="Söhne" w:eastAsia="Symbol" w:hAnsi="Söhne" w:cs="Symbol"/>
          <w:strike/>
          <w:lang w:val="en-IE"/>
        </w:rPr>
        <w:instrText>´</w:instrText>
      </w:r>
      <w:r w:rsidR="0084586F" w:rsidRPr="008E20C4">
        <w:rPr>
          <w:rFonts w:ascii="Söhne" w:hAnsi="Söhne"/>
          <w:strike/>
          <w:lang w:val="en-IE"/>
        </w:rPr>
        <w:instrText xml:space="preserve"> (1 - </w:instrText>
      </w:r>
      <w:r w:rsidR="0084586F" w:rsidRPr="008E20C4">
        <w:rPr>
          <w:rFonts w:ascii="Söhne" w:hAnsi="Söhne"/>
          <w:i/>
          <w:strike/>
          <w:lang w:val="en-IE"/>
        </w:rPr>
        <w:instrText>DSe</w:instrText>
      </w:r>
      <w:r w:rsidR="00653BB6" w:rsidRPr="008E20C4">
        <w:rPr>
          <w:rFonts w:ascii="Söhne" w:hAnsi="Söhne"/>
          <w:strike/>
          <w:lang w:val="en-IE"/>
        </w:rPr>
        <w:instrText>)</w:instrText>
      </w:r>
      <w:r w:rsidR="0084586F" w:rsidRPr="008E20C4">
        <w:rPr>
          <w:rFonts w:ascii="Söhne" w:hAnsi="Söhne"/>
          <w:strike/>
          <w:lang w:val="en-IE"/>
        </w:rPr>
        <w:instrText xml:space="preserve"> + (1 - </w:instrText>
      </w:r>
      <w:r w:rsidR="0084586F" w:rsidRPr="008E20C4">
        <w:rPr>
          <w:rFonts w:ascii="Söhne" w:hAnsi="Söhne"/>
          <w:i/>
          <w:strike/>
          <w:lang w:val="en-IE"/>
        </w:rPr>
        <w:instrText>P</w:instrText>
      </w:r>
      <w:r w:rsidR="0084586F" w:rsidRPr="008E20C4">
        <w:rPr>
          <w:rFonts w:ascii="Söhne" w:hAnsi="Söhne"/>
          <w:strike/>
          <w:lang w:val="en-IE"/>
        </w:rPr>
        <w:instrText xml:space="preserve">) </w:instrText>
      </w:r>
      <w:r w:rsidR="0084586F" w:rsidRPr="008E20C4">
        <w:rPr>
          <w:rFonts w:ascii="Söhne" w:eastAsia="Symbol" w:hAnsi="Söhne" w:cs="Symbol"/>
          <w:strike/>
          <w:lang w:val="en-IE"/>
        </w:rPr>
        <w:instrText>´</w:instrText>
      </w:r>
      <w:r w:rsidR="0084586F" w:rsidRPr="008E20C4">
        <w:rPr>
          <w:rFonts w:ascii="Söhne" w:hAnsi="Söhne"/>
          <w:strike/>
          <w:lang w:val="en-IE"/>
        </w:rPr>
        <w:instrText xml:space="preserve"> </w:instrText>
      </w:r>
      <w:r w:rsidR="0084586F" w:rsidRPr="008E20C4">
        <w:rPr>
          <w:rFonts w:ascii="Söhne" w:hAnsi="Söhne"/>
          <w:i/>
          <w:strike/>
          <w:lang w:val="en-IE"/>
        </w:rPr>
        <w:instrText>DSp</w:instrText>
      </w:r>
      <w:r w:rsidR="0084586F" w:rsidRPr="008E20C4">
        <w:rPr>
          <w:rFonts w:ascii="Söhne" w:hAnsi="Söhne"/>
          <w:strike/>
          <w:lang w:val="en-IE"/>
        </w:rPr>
        <w:instrText xml:space="preserve">) </w:instrText>
      </w:r>
      <w:r w:rsidR="001D0650" w:rsidRPr="008E20C4">
        <w:rPr>
          <w:rFonts w:ascii="Söhne" w:hAnsi="Söhne"/>
          <w:strike/>
          <w:lang w:val="en-IE"/>
        </w:rPr>
        <w:fldChar w:fldCharType="end"/>
      </w:r>
    </w:p>
    <w:p w14:paraId="1DF73EDE" w14:textId="77777777" w:rsidR="00667CDB" w:rsidRPr="008E20C4" w:rsidRDefault="00667CDB" w:rsidP="00667CDB">
      <w:pPr>
        <w:pStyle w:val="paraa"/>
        <w:jc w:val="center"/>
        <w:rPr>
          <w:rFonts w:ascii="Söhne" w:hAnsi="Söhne"/>
          <w:bCs/>
          <w:u w:val="double"/>
          <w:lang w:val="en-IE"/>
        </w:rPr>
      </w:pPr>
      <m:oMathPara>
        <m:oMath>
          <m:r>
            <w:rPr>
              <w:rFonts w:ascii="Cambria Math" w:hAnsi="Cambria Math"/>
              <w:u w:val="double"/>
              <w:lang w:val="en-IE"/>
            </w:rPr>
            <m:t>NPV=</m:t>
          </m:r>
          <m:f>
            <m:fPr>
              <m:ctrlPr>
                <w:rPr>
                  <w:rFonts w:ascii="Cambria Math" w:hAnsi="Cambria Math"/>
                  <w:i/>
                  <w:u w:val="double"/>
                  <w:lang w:val="en-IE"/>
                </w:rPr>
              </m:ctrlPr>
            </m:fPr>
            <m:num>
              <m:d>
                <m:dPr>
                  <m:ctrlPr>
                    <w:rPr>
                      <w:rFonts w:ascii="Cambria Math" w:hAnsi="Cambria Math"/>
                      <w:i/>
                      <w:u w:val="double"/>
                      <w:lang w:val="en-IE"/>
                    </w:rPr>
                  </m:ctrlPr>
                </m:dPr>
                <m:e>
                  <m:r>
                    <w:rPr>
                      <w:rFonts w:ascii="Cambria Math" w:hAnsi="Cambria Math"/>
                      <w:u w:val="double"/>
                      <w:lang w:val="en-IE"/>
                    </w:rPr>
                    <m:t>1-P</m:t>
                  </m:r>
                </m:e>
              </m:d>
              <m:r>
                <w:rPr>
                  <w:rFonts w:ascii="Cambria Math" w:hAnsi="Cambria Math"/>
                  <w:u w:val="double"/>
                  <w:lang w:val="en-IE"/>
                </w:rPr>
                <m:t xml:space="preserve"> x DSp</m:t>
              </m:r>
            </m:num>
            <m:den>
              <m:r>
                <w:rPr>
                  <w:rFonts w:ascii="Cambria Math" w:hAnsi="Cambria Math"/>
                  <w:u w:val="double"/>
                  <w:lang w:val="en-IE"/>
                </w:rPr>
                <m:t xml:space="preserve">P x </m:t>
              </m:r>
              <m:d>
                <m:dPr>
                  <m:ctrlPr>
                    <w:rPr>
                      <w:rFonts w:ascii="Cambria Math" w:hAnsi="Cambria Math"/>
                      <w:i/>
                      <w:u w:val="double"/>
                      <w:lang w:val="en-IE"/>
                    </w:rPr>
                  </m:ctrlPr>
                </m:dPr>
                <m:e>
                  <m:r>
                    <w:rPr>
                      <w:rFonts w:ascii="Cambria Math" w:hAnsi="Cambria Math"/>
                      <w:u w:val="double"/>
                      <w:lang w:val="en-IE"/>
                    </w:rPr>
                    <m:t xml:space="preserve"> 1-DSe</m:t>
                  </m:r>
                </m:e>
              </m:d>
              <m:r>
                <w:rPr>
                  <w:rFonts w:ascii="Cambria Math" w:hAnsi="Cambria Math"/>
                  <w:u w:val="double"/>
                  <w:lang w:val="en-IE"/>
                </w:rPr>
                <m:t>+</m:t>
              </m:r>
              <m:d>
                <m:dPr>
                  <m:ctrlPr>
                    <w:rPr>
                      <w:rFonts w:ascii="Cambria Math" w:hAnsi="Cambria Math"/>
                      <w:i/>
                      <w:u w:val="double"/>
                      <w:lang w:val="en-IE"/>
                    </w:rPr>
                  </m:ctrlPr>
                </m:dPr>
                <m:e>
                  <m:r>
                    <w:rPr>
                      <w:rFonts w:ascii="Cambria Math" w:hAnsi="Cambria Math"/>
                      <w:u w:val="double"/>
                      <w:lang w:val="en-IE"/>
                    </w:rPr>
                    <m:t>1-P</m:t>
                  </m:r>
                </m:e>
              </m:d>
              <m:r>
                <w:rPr>
                  <w:rFonts w:ascii="Cambria Math" w:hAnsi="Cambria Math"/>
                  <w:u w:val="double"/>
                  <w:lang w:val="en-IE"/>
                </w:rPr>
                <m:t xml:space="preserve"> x DSp</m:t>
              </m:r>
            </m:den>
          </m:f>
        </m:oMath>
      </m:oMathPara>
    </w:p>
    <w:p w14:paraId="3133846B" w14:textId="77777777" w:rsidR="00667CDB" w:rsidRPr="008E20C4" w:rsidRDefault="00667CDB" w:rsidP="00667CDB">
      <w:pPr>
        <w:pStyle w:val="11Para"/>
        <w:spacing w:after="120"/>
        <w:rPr>
          <w:lang w:val="en-IE"/>
        </w:rPr>
      </w:pPr>
      <w:r w:rsidRPr="008E20C4">
        <w:rPr>
          <w:lang w:val="en-IE"/>
        </w:rPr>
        <w:t>Where:</w:t>
      </w:r>
    </w:p>
    <w:p w14:paraId="206BD870" w14:textId="77777777" w:rsidR="00667CDB" w:rsidRPr="008E20C4" w:rsidRDefault="00667CDB" w:rsidP="00667CDB">
      <w:pPr>
        <w:pStyle w:val="11Para"/>
        <w:spacing w:after="120"/>
        <w:rPr>
          <w:lang w:val="en-IE"/>
        </w:rPr>
      </w:pPr>
      <w:r w:rsidRPr="008E20C4">
        <w:rPr>
          <w:i/>
          <w:lang w:val="en-IE"/>
        </w:rPr>
        <w:t xml:space="preserve">PPV </w:t>
      </w:r>
      <w:r w:rsidRPr="008E20C4">
        <w:rPr>
          <w:lang w:val="en-IE"/>
        </w:rPr>
        <w:t>= Predictive value of a positive test result</w:t>
      </w:r>
    </w:p>
    <w:p w14:paraId="645AF2D0" w14:textId="77777777" w:rsidR="00667CDB" w:rsidRPr="008E20C4" w:rsidRDefault="00667CDB" w:rsidP="00667CDB">
      <w:pPr>
        <w:pStyle w:val="11Para"/>
        <w:spacing w:after="120"/>
        <w:rPr>
          <w:lang w:val="en-IE"/>
        </w:rPr>
      </w:pPr>
      <w:r w:rsidRPr="008E20C4">
        <w:rPr>
          <w:i/>
          <w:lang w:val="en-IE"/>
        </w:rPr>
        <w:t>NPV</w:t>
      </w:r>
      <w:r w:rsidRPr="008E20C4">
        <w:rPr>
          <w:lang w:val="en-IE"/>
        </w:rPr>
        <w:t xml:space="preserve"> = Predictive value of a negative test result</w:t>
      </w:r>
    </w:p>
    <w:p w14:paraId="10220343" w14:textId="77777777" w:rsidR="00667CDB" w:rsidRPr="008E20C4" w:rsidRDefault="00667CDB" w:rsidP="00667CDB">
      <w:pPr>
        <w:pStyle w:val="11Para"/>
        <w:spacing w:after="120"/>
        <w:rPr>
          <w:lang w:val="en-IE"/>
        </w:rPr>
      </w:pPr>
      <w:r w:rsidRPr="008E20C4">
        <w:rPr>
          <w:i/>
          <w:lang w:val="en-IE"/>
        </w:rPr>
        <w:t xml:space="preserve">P </w:t>
      </w:r>
      <w:r w:rsidRPr="008E20C4">
        <w:rPr>
          <w:lang w:val="en-IE"/>
        </w:rPr>
        <w:t>= Prevalence of infection</w:t>
      </w:r>
    </w:p>
    <w:p w14:paraId="03E3D1D3" w14:textId="77777777" w:rsidR="00667CDB" w:rsidRPr="008E20C4" w:rsidRDefault="00667CDB" w:rsidP="00667CDB">
      <w:pPr>
        <w:pStyle w:val="11Para"/>
        <w:spacing w:after="120"/>
        <w:rPr>
          <w:lang w:val="en-IE"/>
        </w:rPr>
      </w:pPr>
      <w:proofErr w:type="spellStart"/>
      <w:r w:rsidRPr="008E20C4">
        <w:rPr>
          <w:i/>
          <w:lang w:val="en-IE"/>
        </w:rPr>
        <w:t>DSe</w:t>
      </w:r>
      <w:proofErr w:type="spellEnd"/>
      <w:r w:rsidRPr="008E20C4">
        <w:rPr>
          <w:i/>
          <w:lang w:val="en-IE"/>
        </w:rPr>
        <w:t xml:space="preserve"> </w:t>
      </w:r>
      <w:r w:rsidRPr="008E20C4">
        <w:rPr>
          <w:lang w:val="en-IE"/>
        </w:rPr>
        <w:t>= Diagnostic sensitivity</w:t>
      </w:r>
    </w:p>
    <w:p w14:paraId="55F52CC5" w14:textId="77777777" w:rsidR="00667CDB" w:rsidRPr="008E20C4" w:rsidRDefault="00667CDB" w:rsidP="00667CDB">
      <w:pPr>
        <w:pStyle w:val="11Para"/>
        <w:spacing w:after="200"/>
        <w:rPr>
          <w:lang w:val="en-IE"/>
        </w:rPr>
      </w:pPr>
      <w:proofErr w:type="spellStart"/>
      <w:r w:rsidRPr="008E20C4">
        <w:rPr>
          <w:i/>
          <w:lang w:val="en-IE"/>
        </w:rPr>
        <w:t>DSp</w:t>
      </w:r>
      <w:proofErr w:type="spellEnd"/>
      <w:r w:rsidRPr="008E20C4">
        <w:rPr>
          <w:i/>
          <w:lang w:val="en-IE"/>
        </w:rPr>
        <w:t xml:space="preserve"> </w:t>
      </w:r>
      <w:r w:rsidRPr="008E20C4">
        <w:rPr>
          <w:lang w:val="en-IE"/>
        </w:rPr>
        <w:t>= Diagnostic specificity</w:t>
      </w:r>
    </w:p>
    <w:p w14:paraId="39C36658" w14:textId="15AA5770" w:rsidR="00667CDB" w:rsidRPr="008E20C4" w:rsidRDefault="00667CDB" w:rsidP="001C1977">
      <w:pPr>
        <w:pStyle w:val="11Para"/>
        <w:rPr>
          <w:lang w:val="en-IE"/>
        </w:rPr>
      </w:pPr>
      <w:r w:rsidRPr="008E20C4">
        <w:rPr>
          <w:lang w:val="en-IE"/>
        </w:rPr>
        <w:t xml:space="preserve">In contrast to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predictive values are influenced by the true prevalence of the true </w:t>
      </w:r>
      <w:r w:rsidR="00BA755E" w:rsidRPr="00BA755E">
        <w:rPr>
          <w:highlight w:val="yellow"/>
          <w:u w:val="double"/>
          <w:lang w:val="en-IE"/>
        </w:rPr>
        <w:t>infection</w:t>
      </w:r>
      <w:r w:rsidR="00BA755E" w:rsidRPr="00BA755E">
        <w:rPr>
          <w:highlight w:val="yellow"/>
          <w:lang w:val="en-IE"/>
        </w:rPr>
        <w:t xml:space="preserve"> </w:t>
      </w:r>
      <w:r w:rsidRPr="00BA755E">
        <w:rPr>
          <w:strike/>
          <w:highlight w:val="yellow"/>
          <w:lang w:val="en-IE"/>
        </w:rPr>
        <w:t>diagnostic</w:t>
      </w:r>
      <w:r w:rsidRPr="00BA755E">
        <w:rPr>
          <w:strike/>
          <w:lang w:val="en-IE"/>
        </w:rPr>
        <w:t xml:space="preserve"> </w:t>
      </w:r>
      <w:r w:rsidRPr="008E20C4">
        <w:rPr>
          <w:lang w:val="en-IE"/>
        </w:rPr>
        <w:t xml:space="preserve">status of the target population. In other words, predictive values are not inherent characteristics of a specific diagnostic </w:t>
      </w:r>
      <w:proofErr w:type="gramStart"/>
      <w:r w:rsidRPr="008E20C4">
        <w:rPr>
          <w:lang w:val="en-IE"/>
        </w:rPr>
        <w:t>test,</w:t>
      </w:r>
      <w:r w:rsidR="002E138C" w:rsidRPr="008E20C4">
        <w:rPr>
          <w:lang w:val="en-IE"/>
        </w:rPr>
        <w:t xml:space="preserve"> </w:t>
      </w:r>
      <w:r w:rsidRPr="008E20C4">
        <w:rPr>
          <w:lang w:val="en-IE"/>
        </w:rPr>
        <w:t>but</w:t>
      </w:r>
      <w:proofErr w:type="gramEnd"/>
      <w:r w:rsidRPr="008E20C4">
        <w:rPr>
          <w:lang w:val="en-IE"/>
        </w:rPr>
        <w:t xml:space="preserve"> are a function of its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and the local prevalence of infection in a defined population at a given point in time.</w:t>
      </w:r>
    </w:p>
    <w:p w14:paraId="183A2393" w14:textId="77777777" w:rsidR="00667CDB" w:rsidRPr="008E20C4" w:rsidRDefault="00667CDB" w:rsidP="001C1977">
      <w:pPr>
        <w:pStyle w:val="11Para"/>
        <w:rPr>
          <w:lang w:val="en-IE"/>
        </w:rPr>
      </w:pPr>
      <w:r w:rsidRPr="008E20C4">
        <w:rPr>
          <w:lang w:val="en-IE"/>
        </w:rPr>
        <w:t>Predictive values are of great importance to field veterinarians for the interpretation of results. For example, a PPV of 0.9 means that an animal reacting positive to the test has 90% chance of being indeed infected and 10% probability of being a false positive.</w:t>
      </w:r>
    </w:p>
    <w:p w14:paraId="09737D92" w14:textId="3DEE349F" w:rsidR="00667CDB" w:rsidRPr="008E20C4" w:rsidRDefault="00667CDB" w:rsidP="001C1977">
      <w:pPr>
        <w:pStyle w:val="11Para"/>
        <w:rPr>
          <w:lang w:val="en-IE"/>
        </w:rPr>
      </w:pPr>
      <w:r w:rsidRPr="008E20C4">
        <w:rPr>
          <w:lang w:val="en-IE"/>
        </w:rPr>
        <w:t>The predictive value of a positive result also has great importance for the veterinary services in charge of the management of control or eradication programmes. If we consider the inverse of the PPV (</w:t>
      </w:r>
      <w:proofErr w:type="gramStart"/>
      <w:r w:rsidRPr="008E20C4">
        <w:rPr>
          <w:lang w:val="en-IE"/>
        </w:rPr>
        <w:t>i.e.</w:t>
      </w:r>
      <w:proofErr w:type="gramEnd"/>
      <w:r w:rsidRPr="008E20C4">
        <w:rPr>
          <w:lang w:val="en-IE"/>
        </w:rPr>
        <w:t xml:space="preserve"> 1/PPV) it gives the information on how much money is spent in the culling of true and false positives for each true positive animal detected by the surveillance activity. In other words, if the PPV</w:t>
      </w:r>
      <w:r w:rsidRPr="00735569">
        <w:rPr>
          <w:strike/>
          <w:lang w:val="en-IE"/>
        </w:rPr>
        <w:t xml:space="preserve"> </w:t>
      </w:r>
      <w:r w:rsidRPr="00735569">
        <w:rPr>
          <w:strike/>
          <w:highlight w:val="yellow"/>
          <w:lang w:val="en-IE"/>
        </w:rPr>
        <w:t>V</w:t>
      </w:r>
      <w:r w:rsidRPr="008E20C4">
        <w:rPr>
          <w:lang w:val="en-IE"/>
        </w:rPr>
        <w:t xml:space="preserve"> is 0.67, it means that two positive animals out of three are true positives and the remaining is a false positive. Since during the application of a control programme, the prevalence of infection is continually changing, the monitoring of the PPV is a way of evaluating the costs of the programme.</w:t>
      </w:r>
    </w:p>
    <w:p w14:paraId="2EA5023D" w14:textId="77777777" w:rsidR="00667CDB" w:rsidRPr="008E20C4" w:rsidRDefault="00667CDB" w:rsidP="001C1977">
      <w:pPr>
        <w:pStyle w:val="11Para"/>
        <w:rPr>
          <w:lang w:val="en-IE"/>
        </w:rPr>
      </w:pPr>
      <w:r w:rsidRPr="008E20C4">
        <w:rPr>
          <w:lang w:val="en-IE"/>
        </w:rPr>
        <w:lastRenderedPageBreak/>
        <w:t xml:space="preserve">Furthermore, during the application of a control programme it is usually advisable to change the sensitivity of the tests employed, based on the variation of prevalence of infection in the target population and on the objective of the programme, the PPV may be used to make the changes in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based on economic considerations. In other words, when the need for a change in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of the test arises, </w:t>
      </w:r>
      <w:proofErr w:type="gramStart"/>
      <w:r w:rsidRPr="008E20C4">
        <w:rPr>
          <w:lang w:val="en-IE"/>
        </w:rPr>
        <w:t>a number of</w:t>
      </w:r>
      <w:proofErr w:type="gramEnd"/>
      <w:r w:rsidRPr="008E20C4">
        <w:rPr>
          <w:lang w:val="en-IE"/>
        </w:rPr>
        <w:t xml:space="preserve"> putative cut-offs may be set along the ROC curve of the test validation and the relevant values of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for each cut-off may be used to evaluate the expected cost for the culling of each infected animal. </w:t>
      </w:r>
    </w:p>
    <w:p w14:paraId="0B539A7B" w14:textId="015B6973" w:rsidR="00667CDB" w:rsidRPr="008E20C4" w:rsidRDefault="00667CDB" w:rsidP="001C1977">
      <w:pPr>
        <w:pStyle w:val="11Para"/>
        <w:rPr>
          <w:lang w:val="en-IE"/>
        </w:rPr>
      </w:pPr>
      <w:r w:rsidRPr="008E20C4">
        <w:rPr>
          <w:lang w:val="en-IE"/>
        </w:rPr>
        <w:t xml:space="preserve">If the purpose is establishing evidence for freedom from disease, the NPV is the more important measure. The NPV critically depends on </w:t>
      </w:r>
      <w:proofErr w:type="spellStart"/>
      <w:r w:rsidRPr="008E20C4">
        <w:rPr>
          <w:lang w:val="en-IE"/>
        </w:rPr>
        <w:t>DSe</w:t>
      </w:r>
      <w:proofErr w:type="spellEnd"/>
      <w:r w:rsidRPr="008E20C4">
        <w:rPr>
          <w:lang w:val="en-IE"/>
        </w:rPr>
        <w:t>.</w:t>
      </w:r>
      <w:r w:rsidR="00EE2B3C" w:rsidRPr="008E20C4">
        <w:rPr>
          <w:lang w:val="en-IE"/>
        </w:rPr>
        <w:t xml:space="preserve"> </w:t>
      </w:r>
      <w:r w:rsidRPr="008E20C4">
        <w:rPr>
          <w:u w:val="double"/>
          <w:lang w:val="en-IE"/>
        </w:rPr>
        <w:t>Whilst predictive values can be a useful tool in diagnostic test interpretation, they are highly dependent on the prevalence of disease in the population. Predictive values calculated in populations with high prevalence, or at the peak of an outbreak where disease prevalence is high, are not applicable in populations with low prevalence or at the tail end of an outbreak where disease prevalence is markedly decreased.</w:t>
      </w:r>
      <w:r w:rsidRPr="008E20C4">
        <w:rPr>
          <w:lang w:val="en-IE"/>
        </w:rPr>
        <w:t xml:space="preserve"> </w:t>
      </w:r>
    </w:p>
    <w:p w14:paraId="19090BF5" w14:textId="1B0B91B2" w:rsidR="00667CDB" w:rsidRPr="008E20C4" w:rsidRDefault="00667CDB" w:rsidP="001C1977">
      <w:pPr>
        <w:pStyle w:val="11Para"/>
        <w:rPr>
          <w:u w:val="double"/>
          <w:lang w:val="en-IE"/>
        </w:rPr>
      </w:pPr>
      <w:r w:rsidRPr="008E20C4">
        <w:rPr>
          <w:u w:val="double"/>
          <w:lang w:val="en-IE"/>
        </w:rPr>
        <w:t>The likelihood ratio (LR) indicates the diagnostic power of a given test result and can be used to assist in test interpretation. The likelihood ratio is an inherent characteristic of the test; it depends solely on the combined diagnostic sensitivity and diagnostic specificity and therefore does not vary with prevalence. Likelihood ratios are extremely powerful, as they can be used to calculate the ‘post-test’ probability of disease, given the observed quantitative test result, and the diagnostician’s assessment of the probability of infection, prior to the test being performed</w:t>
      </w:r>
      <w:r w:rsidR="0065354C" w:rsidRPr="008E20C4">
        <w:rPr>
          <w:u w:val="double"/>
          <w:lang w:val="en-IE"/>
        </w:rPr>
        <w:t xml:space="preserve"> (</w:t>
      </w:r>
      <w:proofErr w:type="spellStart"/>
      <w:r w:rsidR="0065354C" w:rsidRPr="008E20C4">
        <w:rPr>
          <w:u w:val="double"/>
          <w:lang w:val="en-IE"/>
        </w:rPr>
        <w:t>Caraguel</w:t>
      </w:r>
      <w:proofErr w:type="spellEnd"/>
      <w:r w:rsidR="0065354C" w:rsidRPr="008E20C4">
        <w:rPr>
          <w:u w:val="double"/>
          <w:lang w:val="en-IE"/>
        </w:rPr>
        <w:t xml:space="preserve"> &amp; Colling</w:t>
      </w:r>
      <w:r w:rsidR="00A20144" w:rsidRPr="008E20C4">
        <w:rPr>
          <w:u w:val="double"/>
          <w:lang w:val="en-IE"/>
        </w:rPr>
        <w:t>,</w:t>
      </w:r>
      <w:r w:rsidR="0065354C" w:rsidRPr="008E20C4">
        <w:rPr>
          <w:u w:val="double"/>
          <w:lang w:val="en-IE"/>
        </w:rPr>
        <w:t xml:space="preserve"> 2021)</w:t>
      </w:r>
      <w:r w:rsidRPr="008E20C4">
        <w:rPr>
          <w:u w:val="double"/>
          <w:lang w:val="en-IE"/>
        </w:rPr>
        <w:t>.</w:t>
      </w:r>
      <w:r w:rsidR="008C6A65" w:rsidRPr="008E20C4">
        <w:rPr>
          <w:u w:val="double"/>
          <w:lang w:val="en-IE"/>
        </w:rPr>
        <w:t xml:space="preserve"> </w:t>
      </w:r>
    </w:p>
    <w:p w14:paraId="3A1696D8" w14:textId="58067FFA" w:rsidR="0066599E" w:rsidRPr="008E20C4" w:rsidRDefault="00667CDB" w:rsidP="001C1977">
      <w:pPr>
        <w:pStyle w:val="11Para"/>
        <w:rPr>
          <w:rFonts w:eastAsiaTheme="minorHAnsi"/>
          <w:u w:val="double"/>
          <w:lang w:val="en-IE"/>
        </w:rPr>
      </w:pPr>
      <w:r w:rsidRPr="008E20C4">
        <w:rPr>
          <w:u w:val="double"/>
          <w:lang w:val="en-IE"/>
        </w:rPr>
        <w:t>The LR is calculated as the ratio of the like</w:t>
      </w:r>
      <w:r w:rsidR="00C56FFA" w:rsidRPr="008E20C4">
        <w:rPr>
          <w:u w:val="double"/>
          <w:lang w:val="en-IE"/>
        </w:rPr>
        <w:t>li</w:t>
      </w:r>
      <w:r w:rsidRPr="008E20C4">
        <w:rPr>
          <w:u w:val="double"/>
          <w:lang w:val="en-IE"/>
        </w:rPr>
        <w:t xml:space="preserve">hood </w:t>
      </w:r>
      <w:r w:rsidR="001D4700" w:rsidRPr="008E20C4">
        <w:rPr>
          <w:u w:val="double"/>
          <w:lang w:val="en-IE"/>
        </w:rPr>
        <w:t>of a given test result occurring in infected individuals to the likelihood of the same test result occurring in non-infected individuals</w:t>
      </w:r>
      <w:r w:rsidR="00CF0825" w:rsidRPr="008E20C4">
        <w:rPr>
          <w:u w:val="double"/>
          <w:lang w:val="en-IE"/>
        </w:rPr>
        <w:t xml:space="preserve">. Conversely, if the LR is lower than one, the test result supports the absence of the infection, </w:t>
      </w:r>
      <w:proofErr w:type="gramStart"/>
      <w:r w:rsidR="00CF0825" w:rsidRPr="008E20C4">
        <w:rPr>
          <w:u w:val="double"/>
          <w:lang w:val="en-IE"/>
        </w:rPr>
        <w:t>i.e.</w:t>
      </w:r>
      <w:proofErr w:type="gramEnd"/>
      <w:r w:rsidR="00CF0825" w:rsidRPr="008E20C4">
        <w:rPr>
          <w:u w:val="double"/>
          <w:lang w:val="en-IE"/>
        </w:rPr>
        <w:t xml:space="preserve"> this test result is less likely to occur in infected animals than in non-infected animals. A LR equal to ‘1’ means that the test result has no diagnostic power (</w:t>
      </w:r>
      <w:proofErr w:type="gramStart"/>
      <w:r w:rsidR="00CF0825" w:rsidRPr="008E20C4">
        <w:rPr>
          <w:u w:val="double"/>
          <w:lang w:val="en-IE"/>
        </w:rPr>
        <w:t>i.e.</w:t>
      </w:r>
      <w:proofErr w:type="gramEnd"/>
      <w:r w:rsidR="00CF0825" w:rsidRPr="008E20C4">
        <w:rPr>
          <w:u w:val="double"/>
          <w:lang w:val="en-IE"/>
        </w:rPr>
        <w:t xml:space="preserve"> it is as likely to</w:t>
      </w:r>
      <w:r w:rsidR="00504E0E" w:rsidRPr="008E20C4">
        <w:rPr>
          <w:u w:val="double"/>
          <w:lang w:val="en-IE"/>
        </w:rPr>
        <w:t xml:space="preserve"> </w:t>
      </w:r>
      <w:r w:rsidR="00CF0825" w:rsidRPr="008E20C4">
        <w:rPr>
          <w:u w:val="double"/>
          <w:lang w:val="en-IE"/>
        </w:rPr>
        <w:t>occur in infected animals as it is in non-infected animals). The further the LR is away from one, towards either zero or infinity, the stronger the evidence provided by the test result. In the clinical context, test outputs with an LR &gt; 10 or &lt; 0.1 are considered good diagnostic evidence of the infection being either present or absent, respectively.</w:t>
      </w:r>
      <w:r w:rsidR="00CF0825" w:rsidRPr="008E20C4" w:rsidDel="00CF0825">
        <w:rPr>
          <w:u w:val="double"/>
          <w:lang w:val="en-IE"/>
        </w:rPr>
        <w:t xml:space="preserve"> </w:t>
      </w:r>
    </w:p>
    <w:p w14:paraId="5B2A0F50" w14:textId="161D296A" w:rsidR="00667CDB" w:rsidRPr="008E20C4" w:rsidRDefault="001E72BA" w:rsidP="00667CDB">
      <w:pPr>
        <w:pStyle w:val="11Para"/>
        <w:spacing w:after="200"/>
        <w:rPr>
          <w:u w:val="double"/>
          <w:lang w:val="en-IE"/>
        </w:rPr>
      </w:pPr>
      <m:oMathPara>
        <m:oMath>
          <m:sSup>
            <m:sSupPr>
              <m:ctrlPr>
                <w:rPr>
                  <w:rFonts w:ascii="Cambria Math" w:hAnsi="Cambria Math"/>
                  <w:i/>
                  <w:u w:val="double"/>
                  <w:lang w:val="en-IE"/>
                </w:rPr>
              </m:ctrlPr>
            </m:sSupPr>
            <m:e>
              <m:r>
                <w:rPr>
                  <w:rFonts w:ascii="Cambria Math" w:hAnsi="Cambria Math"/>
                  <w:u w:val="double"/>
                  <w:lang w:val="en-IE"/>
                </w:rPr>
                <m:t>LR</m:t>
              </m:r>
            </m:e>
            <m:sup>
              <m:r>
                <w:rPr>
                  <w:rFonts w:ascii="Cambria Math" w:hAnsi="Cambria Math"/>
                  <w:u w:val="double"/>
                  <w:lang w:val="en-IE"/>
                </w:rPr>
                <m:t>+</m:t>
              </m:r>
            </m:sup>
          </m:sSup>
          <m:r>
            <w:rPr>
              <w:rFonts w:ascii="Cambria Math" w:hAnsi="Cambria Math"/>
              <w:u w:val="double"/>
              <w:lang w:val="en-IE"/>
            </w:rPr>
            <m:t>=</m:t>
          </m:r>
          <m:f>
            <m:fPr>
              <m:ctrlPr>
                <w:rPr>
                  <w:rFonts w:ascii="Cambria Math" w:hAnsi="Cambria Math"/>
                  <w:i/>
                  <w:u w:val="double"/>
                  <w:lang w:val="en-IE"/>
                </w:rPr>
              </m:ctrlPr>
            </m:fPr>
            <m:num>
              <m:r>
                <w:rPr>
                  <w:rFonts w:ascii="Cambria Math" w:hAnsi="Cambria Math"/>
                  <w:u w:val="double"/>
                  <w:lang w:val="en-IE"/>
                </w:rPr>
                <m:t>DSe</m:t>
              </m:r>
            </m:num>
            <m:den>
              <m:r>
                <w:rPr>
                  <w:rFonts w:ascii="Cambria Math" w:hAnsi="Cambria Math"/>
                  <w:u w:val="double"/>
                  <w:lang w:val="en-IE"/>
                </w:rPr>
                <m:t>1-DSp</m:t>
              </m:r>
            </m:den>
          </m:f>
        </m:oMath>
      </m:oMathPara>
    </w:p>
    <w:p w14:paraId="779A53DD" w14:textId="1615C9AC" w:rsidR="00667CDB" w:rsidRPr="008E20C4" w:rsidRDefault="001D4700" w:rsidP="00762E95">
      <w:pPr>
        <w:pStyle w:val="11Para"/>
        <w:spacing w:after="200"/>
        <w:jc w:val="center"/>
        <w:rPr>
          <w:u w:val="double"/>
          <w:lang w:val="en-IE"/>
        </w:rPr>
      </w:pPr>
      <w:r w:rsidRPr="008E20C4">
        <w:rPr>
          <w:u w:val="double"/>
          <w:lang w:val="en-IE"/>
        </w:rPr>
        <w:t>and</w:t>
      </w:r>
    </w:p>
    <w:p w14:paraId="76904363" w14:textId="379657D5" w:rsidR="00667CDB" w:rsidRPr="008E20C4" w:rsidRDefault="001E72BA" w:rsidP="00667CDB">
      <w:pPr>
        <w:pStyle w:val="11Para"/>
        <w:spacing w:after="200"/>
        <w:rPr>
          <w:u w:val="double"/>
          <w:lang w:val="en-IE"/>
        </w:rPr>
      </w:pPr>
      <m:oMathPara>
        <m:oMath>
          <m:sSup>
            <m:sSupPr>
              <m:ctrlPr>
                <w:rPr>
                  <w:rFonts w:ascii="Cambria Math" w:hAnsi="Cambria Math"/>
                  <w:i/>
                  <w:u w:val="double"/>
                  <w:lang w:val="en-IE"/>
                </w:rPr>
              </m:ctrlPr>
            </m:sSupPr>
            <m:e>
              <m:r>
                <w:rPr>
                  <w:rFonts w:ascii="Cambria Math" w:hAnsi="Cambria Math"/>
                  <w:u w:val="double"/>
                  <w:lang w:val="en-IE"/>
                </w:rPr>
                <m:t>LR</m:t>
              </m:r>
            </m:e>
            <m:sup>
              <m:r>
                <w:rPr>
                  <w:rFonts w:ascii="Cambria Math" w:hAnsi="Cambria Math"/>
                  <w:u w:val="double"/>
                  <w:lang w:val="en-IE"/>
                </w:rPr>
                <m:t>-</m:t>
              </m:r>
            </m:sup>
          </m:sSup>
          <m:r>
            <w:rPr>
              <w:rFonts w:ascii="Cambria Math" w:hAnsi="Cambria Math"/>
              <w:u w:val="double"/>
              <w:lang w:val="en-IE"/>
            </w:rPr>
            <m:t>=</m:t>
          </m:r>
          <m:f>
            <m:fPr>
              <m:ctrlPr>
                <w:rPr>
                  <w:rFonts w:ascii="Cambria Math" w:hAnsi="Cambria Math"/>
                  <w:i/>
                  <w:u w:val="double"/>
                  <w:lang w:val="en-IE"/>
                </w:rPr>
              </m:ctrlPr>
            </m:fPr>
            <m:num>
              <m:r>
                <w:rPr>
                  <w:rFonts w:ascii="Cambria Math" w:hAnsi="Cambria Math"/>
                  <w:u w:val="double"/>
                  <w:lang w:val="en-IE"/>
                </w:rPr>
                <m:t>1-DSe</m:t>
              </m:r>
            </m:num>
            <m:den>
              <m:r>
                <w:rPr>
                  <w:rFonts w:ascii="Cambria Math" w:hAnsi="Cambria Math"/>
                  <w:u w:val="double"/>
                  <w:lang w:val="en-IE"/>
                </w:rPr>
                <m:t>DSp</m:t>
              </m:r>
            </m:den>
          </m:f>
        </m:oMath>
      </m:oMathPara>
    </w:p>
    <w:p w14:paraId="72C07851" w14:textId="77777777" w:rsidR="001D4700" w:rsidRPr="008E20C4" w:rsidRDefault="001D4700" w:rsidP="001D4700">
      <w:pPr>
        <w:pStyle w:val="11Para"/>
        <w:spacing w:after="120"/>
        <w:rPr>
          <w:u w:val="double"/>
          <w:lang w:val="en-IE"/>
        </w:rPr>
      </w:pPr>
      <w:r w:rsidRPr="008E20C4">
        <w:rPr>
          <w:u w:val="double"/>
          <w:lang w:val="en-IE"/>
        </w:rPr>
        <w:t>Where:</w:t>
      </w:r>
    </w:p>
    <w:p w14:paraId="5CD4A3F3" w14:textId="39C84F0D" w:rsidR="001D4700" w:rsidRPr="008E20C4" w:rsidRDefault="001D4700" w:rsidP="001D4700">
      <w:pPr>
        <w:pStyle w:val="11Para"/>
        <w:spacing w:after="120"/>
        <w:rPr>
          <w:u w:val="double"/>
          <w:lang w:val="en-IE"/>
        </w:rPr>
      </w:pPr>
      <w:r w:rsidRPr="008E20C4">
        <w:rPr>
          <w:i/>
          <w:u w:val="double"/>
          <w:lang w:val="en-IE"/>
        </w:rPr>
        <w:t xml:space="preserve">LR+ </w:t>
      </w:r>
      <w:r w:rsidRPr="008E20C4">
        <w:rPr>
          <w:u w:val="double"/>
          <w:lang w:val="en-IE"/>
        </w:rPr>
        <w:t>= Likelihood ratio of a positive test result</w:t>
      </w:r>
    </w:p>
    <w:p w14:paraId="64A28A1A" w14:textId="4317AB9F" w:rsidR="001D4700" w:rsidRPr="008E20C4" w:rsidRDefault="00BC638A" w:rsidP="001D4700">
      <w:pPr>
        <w:pStyle w:val="11Para"/>
        <w:spacing w:after="120"/>
        <w:rPr>
          <w:u w:val="double"/>
          <w:lang w:val="en-IE"/>
        </w:rPr>
      </w:pPr>
      <w:r w:rsidRPr="008E20C4">
        <w:rPr>
          <w:i/>
          <w:noProof/>
          <w:u w:val="double"/>
          <w:lang w:val="en-IE"/>
        </w:rPr>
        <mc:AlternateContent>
          <mc:Choice Requires="wpi">
            <w:drawing>
              <wp:anchor distT="0" distB="0" distL="114300" distR="114300" simplePos="0" relativeHeight="251658251" behindDoc="0" locked="0" layoutInCell="1" allowOverlap="1" wp14:anchorId="212DABEE" wp14:editId="22E2723E">
                <wp:simplePos x="0" y="0"/>
                <wp:positionH relativeFrom="column">
                  <wp:posOffset>709430</wp:posOffset>
                </wp:positionH>
                <wp:positionV relativeFrom="paragraph">
                  <wp:posOffset>49675</wp:posOffset>
                </wp:positionV>
                <wp:extent cx="360" cy="360"/>
                <wp:effectExtent l="38100" t="38100" r="38100" b="38100"/>
                <wp:wrapNone/>
                <wp:docPr id="302" name="Ink 302"/>
                <wp:cNvGraphicFramePr/>
                <a:graphic xmlns:a="http://schemas.openxmlformats.org/drawingml/2006/main">
                  <a:graphicData uri="http://schemas.microsoft.com/office/word/2010/wordprocessingInk">
                    <w14:contentPart bwMode="auto" r:id="rId31">
                      <w14:nvContentPartPr>
                        <w14:cNvContentPartPr/>
                      </w14:nvContentPartPr>
                      <w14:xfrm>
                        <a:off x="0" y="0"/>
                        <a:ext cx="360" cy="360"/>
                      </w14:xfrm>
                    </w14:contentPart>
                  </a:graphicData>
                </a:graphic>
              </wp:anchor>
            </w:drawing>
          </mc:Choice>
          <mc:Fallback>
            <w:pict>
              <v:shape w14:anchorId="6631D02B" id="Ink 302" o:spid="_x0000_s1026" type="#_x0000_t75" style="position:absolute;margin-left:55.5pt;margin-top:3.55pt;width:.75pt;height:.75pt;z-index:251658251;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">
                <v:imagedata r:id="rId27" o:title=""/>
              </v:shape>
            </w:pict>
          </mc:Fallback>
        </mc:AlternateContent>
      </w:r>
      <w:r w:rsidR="001D4700" w:rsidRPr="008E20C4">
        <w:rPr>
          <w:i/>
          <w:u w:val="double"/>
          <w:lang w:val="en-IE"/>
        </w:rPr>
        <w:t>LR</w:t>
      </w:r>
      <w:r w:rsidR="006D54CD" w:rsidRPr="008E20C4">
        <w:rPr>
          <w:i/>
          <w:u w:val="double"/>
          <w:lang w:val="en-IE"/>
        </w:rPr>
        <w:t>–</w:t>
      </w:r>
      <w:r w:rsidR="001D4700" w:rsidRPr="008E20C4">
        <w:rPr>
          <w:u w:val="double"/>
          <w:lang w:val="en-IE"/>
        </w:rPr>
        <w:t xml:space="preserve"> = Likelihood ratio of a negative test result</w:t>
      </w:r>
    </w:p>
    <w:p w14:paraId="66B1178F" w14:textId="77777777" w:rsidR="001D4700" w:rsidRPr="008E20C4" w:rsidRDefault="001D4700" w:rsidP="001D4700">
      <w:pPr>
        <w:pStyle w:val="11Para"/>
        <w:spacing w:after="120"/>
        <w:rPr>
          <w:u w:val="double"/>
          <w:lang w:val="en-IE"/>
        </w:rPr>
      </w:pPr>
      <w:proofErr w:type="spellStart"/>
      <w:r w:rsidRPr="008E20C4">
        <w:rPr>
          <w:i/>
          <w:u w:val="double"/>
          <w:lang w:val="en-IE"/>
        </w:rPr>
        <w:t>DSe</w:t>
      </w:r>
      <w:proofErr w:type="spellEnd"/>
      <w:r w:rsidRPr="008E20C4">
        <w:rPr>
          <w:i/>
          <w:u w:val="double"/>
          <w:lang w:val="en-IE"/>
        </w:rPr>
        <w:t xml:space="preserve"> </w:t>
      </w:r>
      <w:r w:rsidRPr="008E20C4">
        <w:rPr>
          <w:u w:val="double"/>
          <w:lang w:val="en-IE"/>
        </w:rPr>
        <w:t>= Diagnostic sensitivity</w:t>
      </w:r>
    </w:p>
    <w:p w14:paraId="32E1BBBE" w14:textId="6F1C1839" w:rsidR="001D4700" w:rsidRPr="008E20C4" w:rsidRDefault="001D4700" w:rsidP="001D4700">
      <w:pPr>
        <w:pStyle w:val="11Para"/>
        <w:spacing w:after="200"/>
        <w:rPr>
          <w:u w:val="double"/>
          <w:lang w:val="en-IE"/>
        </w:rPr>
      </w:pPr>
      <w:proofErr w:type="spellStart"/>
      <w:r w:rsidRPr="008E20C4">
        <w:rPr>
          <w:i/>
          <w:u w:val="double"/>
          <w:lang w:val="en-IE"/>
        </w:rPr>
        <w:t>DSp</w:t>
      </w:r>
      <w:proofErr w:type="spellEnd"/>
      <w:r w:rsidRPr="008E20C4">
        <w:rPr>
          <w:i/>
          <w:u w:val="double"/>
          <w:lang w:val="en-IE"/>
        </w:rPr>
        <w:t xml:space="preserve"> </w:t>
      </w:r>
      <w:r w:rsidRPr="008E20C4">
        <w:rPr>
          <w:u w:val="double"/>
          <w:lang w:val="en-IE"/>
        </w:rPr>
        <w:t>= Diagnostic specificity</w:t>
      </w:r>
    </w:p>
    <w:p w14:paraId="75FDD0E7" w14:textId="09156700" w:rsidR="00810087" w:rsidRPr="008E20C4" w:rsidRDefault="00810087" w:rsidP="001D4700">
      <w:pPr>
        <w:pStyle w:val="11Para"/>
        <w:spacing w:after="200"/>
        <w:rPr>
          <w:u w:val="double"/>
          <w:lang w:val="en-IE"/>
        </w:rPr>
      </w:pPr>
      <w:r w:rsidRPr="008E20C4">
        <w:rPr>
          <w:u w:val="double"/>
          <w:lang w:val="en-IE"/>
        </w:rPr>
        <w:t>LR ranges from zero to infinity. If the LR of a given test result is greater than one, this test result supports the presence of the infection</w:t>
      </w:r>
      <w:r w:rsidR="0065354C" w:rsidRPr="008E20C4">
        <w:rPr>
          <w:u w:val="double"/>
          <w:lang w:val="en-IE"/>
        </w:rPr>
        <w:t xml:space="preserve">. LRs can be applied at the test cut-off or at </w:t>
      </w:r>
      <w:r w:rsidR="006A00C6" w:rsidRPr="008E20C4">
        <w:rPr>
          <w:u w:val="double"/>
          <w:lang w:val="en-IE"/>
        </w:rPr>
        <w:t>different ranges of results</w:t>
      </w:r>
      <w:r w:rsidR="0065354C" w:rsidRPr="008E20C4">
        <w:rPr>
          <w:u w:val="double"/>
          <w:lang w:val="en-IE"/>
        </w:rPr>
        <w:t xml:space="preserve">. </w:t>
      </w:r>
    </w:p>
    <w:p w14:paraId="177621C8" w14:textId="77777777" w:rsidR="00667CDB" w:rsidRPr="008E20C4" w:rsidRDefault="00667CDB" w:rsidP="00667CDB">
      <w:pPr>
        <w:pStyle w:val="11"/>
        <w:spacing w:after="200"/>
        <w:rPr>
          <w:lang w:val="en-IE"/>
        </w:rPr>
      </w:pPr>
      <w:r w:rsidRPr="008E20C4">
        <w:rPr>
          <w:lang w:val="en-IE"/>
        </w:rPr>
        <w:t>4.3.</w:t>
      </w:r>
      <w:r w:rsidRPr="008E20C4">
        <w:rPr>
          <w:lang w:val="en-IE"/>
        </w:rPr>
        <w:tab/>
        <w:t>International recognition</w:t>
      </w:r>
    </w:p>
    <w:p w14:paraId="29FAB007" w14:textId="63319438" w:rsidR="00667CDB" w:rsidRPr="008E20C4" w:rsidRDefault="00667CDB" w:rsidP="00667CDB">
      <w:pPr>
        <w:pStyle w:val="11Para"/>
        <w:spacing w:after="200"/>
        <w:rPr>
          <w:lang w:val="en-IE"/>
        </w:rPr>
      </w:pPr>
      <w:r w:rsidRPr="008E20C4">
        <w:rPr>
          <w:lang w:val="en-IE"/>
        </w:rPr>
        <w:t xml:space="preserve">Traditionally, assays have been recognised internationally by </w:t>
      </w:r>
      <w:r w:rsidR="00907D25">
        <w:t>WOAH</w:t>
      </w:r>
      <w:r w:rsidR="00907D25" w:rsidRPr="006E2F2C">
        <w:t xml:space="preserve"> </w:t>
      </w:r>
      <w:r w:rsidRPr="008E20C4">
        <w:rPr>
          <w:lang w:val="en-IE"/>
        </w:rPr>
        <w:t xml:space="preserve">when they are designated as prescribed or alternate tests for trade purposes. This has often been based on evidence of their usefulness on a national, </w:t>
      </w:r>
      <w:proofErr w:type="gramStart"/>
      <w:r w:rsidRPr="008E20C4">
        <w:rPr>
          <w:lang w:val="en-IE"/>
        </w:rPr>
        <w:t>regional</w:t>
      </w:r>
      <w:proofErr w:type="gramEnd"/>
      <w:r w:rsidRPr="008E20C4">
        <w:rPr>
          <w:lang w:val="en-IE"/>
        </w:rPr>
        <w:t xml:space="preserve"> or international basis. For commercial diagnostic kits that have gone through the </w:t>
      </w:r>
      <w:r w:rsidR="00907D25">
        <w:rPr>
          <w:lang w:val="en-IE"/>
        </w:rPr>
        <w:t>WOAH</w:t>
      </w:r>
      <w:r w:rsidRPr="008E20C4">
        <w:rPr>
          <w:lang w:val="en-IE"/>
        </w:rPr>
        <w:t xml:space="preserve"> procedure for validation and certification of diagnostic assays, the final step is listing of the test in the </w:t>
      </w:r>
      <w:r w:rsidR="00907D25">
        <w:rPr>
          <w:lang w:val="en-IE"/>
        </w:rPr>
        <w:t>WOAH</w:t>
      </w:r>
      <w:r w:rsidRPr="008E20C4">
        <w:rPr>
          <w:lang w:val="en-IE"/>
        </w:rPr>
        <w:t xml:space="preserve"> Register. Tests listed in the Register are certified as fit for a specific purpose if they have completed Validation Stages 1, 2 and 3</w:t>
      </w:r>
      <w:r w:rsidR="00057916" w:rsidRPr="008E20C4">
        <w:rPr>
          <w:lang w:val="en-IE"/>
        </w:rPr>
        <w:t xml:space="preserve"> </w:t>
      </w:r>
      <w:r w:rsidR="00E45C66" w:rsidRPr="008E20C4">
        <w:rPr>
          <w:u w:val="double"/>
          <w:lang w:val="en-IE"/>
        </w:rPr>
        <w:t>followed by supportive review from a panel of independent experts</w:t>
      </w:r>
      <w:r w:rsidR="0013777B" w:rsidRPr="008E20C4">
        <w:rPr>
          <w:u w:val="double"/>
          <w:lang w:val="en-IE"/>
        </w:rPr>
        <w:t>.</w:t>
      </w:r>
      <w:r w:rsidRPr="008E20C4">
        <w:rPr>
          <w:lang w:val="en-IE"/>
        </w:rPr>
        <w:t xml:space="preserve"> The Register is intended to provide potential kit users with an informed and unbiased source of information about the kit and its performance characteristics for an intended purpose</w:t>
      </w:r>
      <w:r w:rsidR="006F5BE6" w:rsidRPr="008E20C4">
        <w:rPr>
          <w:lang w:val="en-IE"/>
        </w:rPr>
        <w:t xml:space="preserve"> </w:t>
      </w:r>
      <w:r w:rsidR="006F5BE6" w:rsidRPr="008E20C4">
        <w:rPr>
          <w:u w:val="double"/>
          <w:lang w:val="en-IE"/>
        </w:rPr>
        <w:t xml:space="preserve">(Gifford </w:t>
      </w:r>
      <w:r w:rsidR="006F5BE6" w:rsidRPr="008E20C4">
        <w:rPr>
          <w:i/>
          <w:iCs/>
          <w:u w:val="double"/>
          <w:lang w:val="en-IE"/>
        </w:rPr>
        <w:t>et al.</w:t>
      </w:r>
      <w:r w:rsidR="0013777B" w:rsidRPr="008E20C4">
        <w:rPr>
          <w:i/>
          <w:iCs/>
          <w:u w:val="double"/>
          <w:lang w:val="en-IE"/>
        </w:rPr>
        <w:t>,</w:t>
      </w:r>
      <w:r w:rsidR="006F5BE6" w:rsidRPr="008E20C4">
        <w:rPr>
          <w:u w:val="double"/>
          <w:lang w:val="en-IE"/>
        </w:rPr>
        <w:t xml:space="preserve"> 2021)</w:t>
      </w:r>
      <w:r w:rsidR="006F5BE6" w:rsidRPr="008E20C4">
        <w:rPr>
          <w:lang w:val="en-IE"/>
        </w:rPr>
        <w:t>.</w:t>
      </w:r>
      <w:r w:rsidRPr="008E20C4">
        <w:rPr>
          <w:lang w:val="en-IE"/>
        </w:rPr>
        <w:t xml:space="preserve"> The Register is available on the </w:t>
      </w:r>
      <w:r w:rsidR="00907D25">
        <w:rPr>
          <w:lang w:val="en-IE"/>
        </w:rPr>
        <w:t>WOAH</w:t>
      </w:r>
      <w:r w:rsidRPr="008E20C4">
        <w:rPr>
          <w:lang w:val="en-IE"/>
        </w:rPr>
        <w:t xml:space="preserve"> website</w:t>
      </w:r>
      <w:r w:rsidR="00474AF9" w:rsidRPr="008E20C4">
        <w:rPr>
          <w:rStyle w:val="FootnoteReference"/>
          <w:lang w:val="en-IE"/>
        </w:rPr>
        <w:footnoteReference w:id="10"/>
      </w:r>
      <w:r w:rsidR="00474AF9" w:rsidRPr="008E20C4">
        <w:rPr>
          <w:lang w:val="en-IE"/>
        </w:rPr>
        <w:t>.</w:t>
      </w:r>
    </w:p>
    <w:p w14:paraId="113FC321" w14:textId="01AB937E" w:rsidR="00667CDB" w:rsidRPr="008E20C4" w:rsidRDefault="00667CDB" w:rsidP="00667CDB">
      <w:pPr>
        <w:pStyle w:val="11"/>
        <w:spacing w:after="200"/>
        <w:rPr>
          <w:lang w:val="en-IE"/>
        </w:rPr>
      </w:pPr>
      <w:r w:rsidRPr="008E20C4">
        <w:rPr>
          <w:lang w:val="en-IE"/>
        </w:rPr>
        <w:t>4.4.</w:t>
      </w:r>
      <w:r w:rsidRPr="008E20C4">
        <w:rPr>
          <w:lang w:val="en-IE"/>
        </w:rPr>
        <w:tab/>
        <w:t>Deployment of the assay</w:t>
      </w:r>
    </w:p>
    <w:p w14:paraId="562D8082" w14:textId="60C8AABF" w:rsidR="00667CDB" w:rsidRPr="008E20C4" w:rsidRDefault="00667CDB" w:rsidP="00667CDB">
      <w:pPr>
        <w:pStyle w:val="11Para"/>
        <w:spacing w:after="200"/>
        <w:rPr>
          <w:lang w:val="en-IE"/>
        </w:rPr>
      </w:pPr>
      <w:r w:rsidRPr="008E20C4">
        <w:rPr>
          <w:lang w:val="en-IE"/>
        </w:rPr>
        <w:lastRenderedPageBreak/>
        <w:t>Ultimate evidence of the usefulness of an assay is its successful application(s) in other laboratories and inclusion in national, regional and/or international control or surveillance programmes. Reference laboratories play a critical role in this process</w:t>
      </w:r>
      <w:r w:rsidR="0013777B" w:rsidRPr="008E20C4">
        <w:rPr>
          <w:lang w:val="en-IE"/>
        </w:rPr>
        <w:t xml:space="preserve"> </w:t>
      </w:r>
      <w:r w:rsidR="00504E0E" w:rsidRPr="008E20C4">
        <w:rPr>
          <w:u w:val="double"/>
          <w:lang w:val="en-IE"/>
        </w:rPr>
        <w:t xml:space="preserve">(Brown </w:t>
      </w:r>
      <w:r w:rsidR="00504E0E" w:rsidRPr="008E20C4">
        <w:rPr>
          <w:i/>
          <w:iCs/>
          <w:u w:val="double"/>
          <w:lang w:val="en-IE"/>
        </w:rPr>
        <w:t>et al</w:t>
      </w:r>
      <w:r w:rsidR="0013777B" w:rsidRPr="008E20C4">
        <w:rPr>
          <w:i/>
          <w:iCs/>
          <w:u w:val="double"/>
          <w:lang w:val="en-IE"/>
        </w:rPr>
        <w:t>.,</w:t>
      </w:r>
      <w:r w:rsidR="00504E0E" w:rsidRPr="008E20C4">
        <w:rPr>
          <w:u w:val="double"/>
          <w:lang w:val="en-IE"/>
        </w:rPr>
        <w:t xml:space="preserve"> 2021)</w:t>
      </w:r>
      <w:r w:rsidR="0013777B" w:rsidRPr="008E20C4">
        <w:rPr>
          <w:lang w:val="en-IE"/>
        </w:rPr>
        <w:t xml:space="preserve">. </w:t>
      </w:r>
      <w:r w:rsidRPr="008E20C4">
        <w:rPr>
          <w:lang w:val="en-IE"/>
        </w:rPr>
        <w:t xml:space="preserve">In the natural progression of diagnostic and/or technological improvements, </w:t>
      </w:r>
      <w:r w:rsidR="0084586F" w:rsidRPr="008E20C4">
        <w:rPr>
          <w:strike/>
          <w:lang w:val="en-IE"/>
        </w:rPr>
        <w:t>new</w:t>
      </w:r>
      <w:r w:rsidR="0013777B" w:rsidRPr="008E20C4">
        <w:rPr>
          <w:strike/>
          <w:lang w:val="en-IE"/>
        </w:rPr>
        <w:t xml:space="preserve"> </w:t>
      </w:r>
      <w:r w:rsidR="00AF06F4" w:rsidRPr="008E20C4">
        <w:rPr>
          <w:u w:val="double"/>
          <w:lang w:val="en-IE"/>
        </w:rPr>
        <w:t>recently validated</w:t>
      </w:r>
      <w:r w:rsidRPr="008E20C4">
        <w:rPr>
          <w:lang w:val="en-IE"/>
        </w:rPr>
        <w:t xml:space="preserve"> assays </w:t>
      </w:r>
      <w:proofErr w:type="gramStart"/>
      <w:r w:rsidR="0084586F" w:rsidRPr="008E20C4">
        <w:rPr>
          <w:strike/>
          <w:lang w:val="en-IE"/>
        </w:rPr>
        <w:t>will</w:t>
      </w:r>
      <w:r w:rsidR="0013777B" w:rsidRPr="008E20C4">
        <w:rPr>
          <w:strike/>
          <w:lang w:val="en-IE"/>
        </w:rPr>
        <w:t xml:space="preserve"> </w:t>
      </w:r>
      <w:r w:rsidR="00AF06F4" w:rsidRPr="008E20C4">
        <w:rPr>
          <w:u w:val="double"/>
          <w:lang w:val="en-IE"/>
        </w:rPr>
        <w:t>may</w:t>
      </w:r>
      <w:proofErr w:type="gramEnd"/>
      <w:r w:rsidRPr="008E20C4">
        <w:rPr>
          <w:lang w:val="en-IE"/>
        </w:rPr>
        <w:t xml:space="preserve"> become the new standard method to which other assays will be compared. As such, they may progressively achieve national, </w:t>
      </w:r>
      <w:proofErr w:type="gramStart"/>
      <w:r w:rsidRPr="008E20C4">
        <w:rPr>
          <w:lang w:val="en-IE"/>
        </w:rPr>
        <w:t>regional</w:t>
      </w:r>
      <w:proofErr w:type="gramEnd"/>
      <w:r w:rsidRPr="008E20C4">
        <w:rPr>
          <w:lang w:val="en-IE"/>
        </w:rPr>
        <w:t xml:space="preserve"> and international recognition. As a recognised standard, these assays will also be used to develop reference reagents for quality control, </w:t>
      </w:r>
      <w:proofErr w:type="gramStart"/>
      <w:r w:rsidRPr="008E20C4">
        <w:rPr>
          <w:lang w:val="en-IE"/>
        </w:rPr>
        <w:t>proficiency</w:t>
      </w:r>
      <w:proofErr w:type="gramEnd"/>
      <w:r w:rsidRPr="008E20C4">
        <w:rPr>
          <w:lang w:val="en-IE"/>
        </w:rPr>
        <w:t xml:space="preserve"> and harmonisation purposes. These reference reagents may also become international standards.</w:t>
      </w:r>
    </w:p>
    <w:p w14:paraId="2AA7EBEC" w14:textId="77777777" w:rsidR="00667CDB" w:rsidRPr="008E20C4" w:rsidRDefault="00667CDB" w:rsidP="00667CDB">
      <w:pPr>
        <w:pStyle w:val="11Para"/>
        <w:spacing w:after="200"/>
        <w:rPr>
          <w:lang w:val="en-IE"/>
        </w:rPr>
      </w:pPr>
      <w:r w:rsidRPr="008E20C4">
        <w:rPr>
          <w:lang w:val="en-IE"/>
        </w:rPr>
        <w:t xml:space="preserve">An assessment of the reproducibility should be repeated when the test is transferred from the development laboratory to the field, whether for use in local laboratories or in field applications. Predictable changes, </w:t>
      </w:r>
      <w:proofErr w:type="gramStart"/>
      <w:r w:rsidRPr="008E20C4">
        <w:rPr>
          <w:lang w:val="en-IE"/>
        </w:rPr>
        <w:t>e.g.</w:t>
      </w:r>
      <w:proofErr w:type="gramEnd"/>
      <w:r w:rsidRPr="008E20C4">
        <w:rPr>
          <w:lang w:val="en-IE"/>
        </w:rPr>
        <w:t xml:space="preserve"> extremes of temperature and levels of operator experience, should be assessed as additional sources of variation in assay results that may affect estimates of reproducibility.</w:t>
      </w:r>
    </w:p>
    <w:p w14:paraId="07127768" w14:textId="77777777" w:rsidR="00667CDB" w:rsidRPr="008E20C4" w:rsidRDefault="00667CDB" w:rsidP="00667CDB">
      <w:pPr>
        <w:pStyle w:val="1"/>
        <w:spacing w:after="200"/>
        <w:rPr>
          <w:lang w:val="en-IE"/>
        </w:rPr>
      </w:pPr>
      <w:r w:rsidRPr="008E20C4">
        <w:rPr>
          <w:lang w:val="en-IE"/>
        </w:rPr>
        <w:t>5.</w:t>
      </w:r>
      <w:r w:rsidRPr="008E20C4">
        <w:rPr>
          <w:lang w:val="en-IE"/>
        </w:rPr>
        <w:tab/>
        <w:t>Monitoring assay performance after initial validation</w:t>
      </w:r>
    </w:p>
    <w:p w14:paraId="6A7B8CDF" w14:textId="77777777" w:rsidR="00667CDB" w:rsidRPr="008E20C4" w:rsidRDefault="00667CDB" w:rsidP="00667CDB">
      <w:pPr>
        <w:pStyle w:val="11"/>
        <w:spacing w:after="200"/>
        <w:rPr>
          <w:lang w:val="en-IE"/>
        </w:rPr>
      </w:pPr>
      <w:r w:rsidRPr="008E20C4">
        <w:rPr>
          <w:lang w:val="en-IE"/>
        </w:rPr>
        <w:t>5.1.</w:t>
      </w:r>
      <w:r w:rsidRPr="008E20C4">
        <w:rPr>
          <w:lang w:val="en-IE"/>
        </w:rPr>
        <w:tab/>
        <w:t>Monitoring the assay</w:t>
      </w:r>
    </w:p>
    <w:p w14:paraId="20D83AC7" w14:textId="5E7C0C0E" w:rsidR="00667CDB" w:rsidRPr="008E20C4" w:rsidRDefault="00667CDB" w:rsidP="00667CDB">
      <w:pPr>
        <w:pStyle w:val="11Para"/>
        <w:spacing w:after="200"/>
        <w:rPr>
          <w:lang w:val="en-IE"/>
        </w:rPr>
      </w:pPr>
      <w:r w:rsidRPr="008E20C4">
        <w:rPr>
          <w:lang w:val="en-IE"/>
        </w:rPr>
        <w:t>To retain the status of a validated assay it is necessary to assure that the assay as originally validated consistently maintains the performance characteristics as defined during validation of the assay. This can be determined in a quality assurance programme characterised by carefully monitoring the assay’s daily performance, primarily through precision and accuracy estimates for internal controls, as well as outlier tendencies</w:t>
      </w:r>
      <w:r w:rsidR="0013777B" w:rsidRPr="008E20C4">
        <w:rPr>
          <w:lang w:val="en-IE"/>
        </w:rPr>
        <w:t xml:space="preserve"> </w:t>
      </w:r>
      <w:r w:rsidR="00980504" w:rsidRPr="008E20C4">
        <w:rPr>
          <w:u w:val="double"/>
          <w:lang w:val="en-IE"/>
        </w:rPr>
        <w:t>(1.1 Repeatability)</w:t>
      </w:r>
      <w:r w:rsidR="0013777B" w:rsidRPr="008E20C4">
        <w:rPr>
          <w:lang w:val="en-IE"/>
        </w:rPr>
        <w:t xml:space="preserve">. </w:t>
      </w:r>
      <w:r w:rsidRPr="008E20C4">
        <w:rPr>
          <w:lang w:val="en-IE"/>
        </w:rPr>
        <w:t>The performance can be monitored graphically by plotting measurements from assay controls in control charts</w:t>
      </w:r>
      <w:r w:rsidRPr="008E20C4">
        <w:rPr>
          <w:rStyle w:val="FootnoteReference"/>
          <w:rFonts w:cs="Arial"/>
          <w:lang w:val="en-IE"/>
        </w:rPr>
        <w:footnoteReference w:id="11"/>
      </w:r>
      <w:r w:rsidR="0013777B" w:rsidRPr="008E20C4">
        <w:rPr>
          <w:lang w:val="en-IE"/>
        </w:rPr>
        <w:t xml:space="preserve"> </w:t>
      </w:r>
      <w:r w:rsidR="00980504" w:rsidRPr="008E20C4">
        <w:rPr>
          <w:u w:val="double"/>
          <w:lang w:val="en-IE"/>
        </w:rPr>
        <w:t xml:space="preserve">(Crowther </w:t>
      </w:r>
      <w:r w:rsidR="00980504" w:rsidRPr="008E20C4">
        <w:rPr>
          <w:i/>
          <w:iCs/>
          <w:u w:val="double"/>
          <w:lang w:val="en-IE"/>
        </w:rPr>
        <w:t>et al</w:t>
      </w:r>
      <w:r w:rsidR="0013777B" w:rsidRPr="008E20C4">
        <w:rPr>
          <w:i/>
          <w:iCs/>
          <w:u w:val="double"/>
          <w:lang w:val="en-IE"/>
        </w:rPr>
        <w:t>.,</w:t>
      </w:r>
      <w:r w:rsidR="00980504" w:rsidRPr="008E20C4">
        <w:rPr>
          <w:u w:val="double"/>
          <w:lang w:val="en-IE"/>
        </w:rPr>
        <w:t xml:space="preserve"> 2006)</w:t>
      </w:r>
      <w:r w:rsidR="0013777B" w:rsidRPr="008E20C4">
        <w:rPr>
          <w:lang w:val="en-IE"/>
        </w:rPr>
        <w:t>.</w:t>
      </w:r>
      <w:r w:rsidRPr="008E20C4">
        <w:rPr>
          <w:lang w:val="en-IE"/>
        </w:rPr>
        <w:t xml:space="preserve"> Deviations from the expected performance should be investigated so corrective action can be taken if necessary. Such monitoring provides critical evidence that the assay retains its “validated” designation during the implementation phase of the assay. Reproducibility is assessed through external quality control programmes such as proficiency testing</w:t>
      </w:r>
      <w:r w:rsidR="000408A8" w:rsidRPr="008E20C4">
        <w:rPr>
          <w:lang w:val="en-IE"/>
        </w:rPr>
        <w:t xml:space="preserve"> (</w:t>
      </w:r>
      <w:r w:rsidR="000408A8" w:rsidRPr="008E20C4">
        <w:t xml:space="preserve">Johnson &amp; </w:t>
      </w:r>
      <w:proofErr w:type="spellStart"/>
      <w:r w:rsidR="000408A8" w:rsidRPr="008E20C4">
        <w:t>Cabuang</w:t>
      </w:r>
      <w:proofErr w:type="spellEnd"/>
      <w:r w:rsidR="000408A8" w:rsidRPr="008E20C4">
        <w:t>, 2021)</w:t>
      </w:r>
      <w:r w:rsidR="0013777B" w:rsidRPr="008E20C4">
        <w:rPr>
          <w:lang w:val="en-IE"/>
        </w:rPr>
        <w:t xml:space="preserve"> </w:t>
      </w:r>
      <w:r w:rsidR="00980504" w:rsidRPr="008E20C4">
        <w:rPr>
          <w:u w:val="double"/>
          <w:lang w:val="en-IE"/>
        </w:rPr>
        <w:t>(3.1 Reproducibility)</w:t>
      </w:r>
      <w:r w:rsidR="0013777B" w:rsidRPr="008E20C4">
        <w:rPr>
          <w:lang w:val="en-IE"/>
        </w:rPr>
        <w:t xml:space="preserve">. </w:t>
      </w:r>
      <w:r w:rsidRPr="008E20C4">
        <w:rPr>
          <w:lang w:val="en-IE"/>
        </w:rPr>
        <w:t>Should the assay cease to produce results consistent with the original validation data, the assay would be rendered unfit for its intended purpose. Thus, a validated assay must be continuously assessed to assure it maintains its fitness for purpose</w:t>
      </w:r>
      <w:r w:rsidR="000408A8" w:rsidRPr="008E20C4">
        <w:rPr>
          <w:lang w:val="en-IE"/>
        </w:rPr>
        <w:t xml:space="preserve"> </w:t>
      </w:r>
      <w:r w:rsidR="00980504" w:rsidRPr="008E20C4">
        <w:rPr>
          <w:u w:val="double"/>
          <w:lang w:val="en-IE"/>
        </w:rPr>
        <w:t>(Waugh &amp; Clark</w:t>
      </w:r>
      <w:r w:rsidR="0013777B" w:rsidRPr="008E20C4">
        <w:rPr>
          <w:lang w:val="en-IE"/>
        </w:rPr>
        <w:t>,</w:t>
      </w:r>
      <w:r w:rsidR="00980504" w:rsidRPr="008E20C4">
        <w:rPr>
          <w:u w:val="double"/>
          <w:lang w:val="en-IE"/>
        </w:rPr>
        <w:t xml:space="preserve"> 2021)</w:t>
      </w:r>
      <w:r w:rsidR="0013777B" w:rsidRPr="008E20C4">
        <w:rPr>
          <w:lang w:val="en-IE"/>
        </w:rPr>
        <w:t>.</w:t>
      </w:r>
    </w:p>
    <w:p w14:paraId="2253B01F" w14:textId="5DBBA94B" w:rsidR="00667CDB" w:rsidRPr="008E20C4" w:rsidRDefault="00667CDB" w:rsidP="00667CDB">
      <w:pPr>
        <w:pStyle w:val="11"/>
        <w:spacing w:after="200"/>
        <w:rPr>
          <w:lang w:val="en-IE"/>
        </w:rPr>
      </w:pPr>
      <w:r w:rsidRPr="008E20C4">
        <w:rPr>
          <w:lang w:val="en-IE"/>
        </w:rPr>
        <w:t>5.2.</w:t>
      </w:r>
      <w:r w:rsidRPr="008E20C4">
        <w:rPr>
          <w:lang w:val="en-IE"/>
        </w:rPr>
        <w:tab/>
        <w:t xml:space="preserve">Modifications and enhancements </w:t>
      </w:r>
      <w:r w:rsidR="006D54CD" w:rsidRPr="008E20C4">
        <w:rPr>
          <w:lang w:val="en-IE"/>
        </w:rPr>
        <w:t>–</w:t>
      </w:r>
      <w:r w:rsidRPr="008E20C4">
        <w:rPr>
          <w:lang w:val="en-IE"/>
        </w:rPr>
        <w:t xml:space="preserve"> considerations for changes in the assay</w:t>
      </w:r>
    </w:p>
    <w:p w14:paraId="7F986834" w14:textId="3DE54F7C" w:rsidR="00667CDB" w:rsidRPr="008E20C4" w:rsidRDefault="00667CDB" w:rsidP="00667CDB">
      <w:pPr>
        <w:pStyle w:val="11Para"/>
        <w:spacing w:after="200"/>
        <w:rPr>
          <w:lang w:val="en-IE"/>
        </w:rPr>
      </w:pPr>
      <w:r w:rsidRPr="008E20C4">
        <w:rPr>
          <w:lang w:val="en-IE"/>
        </w:rPr>
        <w:t xml:space="preserve">Over time, modifications of the assay will </w:t>
      </w:r>
      <w:r w:rsidR="00583214" w:rsidRPr="008E20C4">
        <w:rPr>
          <w:lang w:val="en-IE"/>
        </w:rPr>
        <w:t xml:space="preserve">likely </w:t>
      </w:r>
      <w:r w:rsidRPr="008E20C4">
        <w:rPr>
          <w:lang w:val="en-IE"/>
        </w:rPr>
        <w:t>be necessary to address changes in the intended purpose, analytes targeted (</w:t>
      </w:r>
      <w:proofErr w:type="gramStart"/>
      <w:r w:rsidRPr="008E20C4">
        <w:rPr>
          <w:lang w:val="en-IE"/>
        </w:rPr>
        <w:t>i.e.</w:t>
      </w:r>
      <w:proofErr w:type="gramEnd"/>
      <w:r w:rsidRPr="008E20C4">
        <w:rPr>
          <w:lang w:val="en-IE"/>
        </w:rPr>
        <w:t xml:space="preserve"> modification of the assay to adjust diagnostic performance) or technical modifications to improve assay efficiency or cost-effectiveness. For a change in intended purpose of the assay, then a revised validation from Stage 2 onwards is obligatory.</w:t>
      </w:r>
    </w:p>
    <w:p w14:paraId="14E29605" w14:textId="0107E3F2" w:rsidR="00667CDB" w:rsidRPr="008E20C4" w:rsidRDefault="00667CDB" w:rsidP="00667CDB">
      <w:pPr>
        <w:pStyle w:val="11Para"/>
        <w:spacing w:after="200"/>
        <w:rPr>
          <w:lang w:val="en-IE"/>
        </w:rPr>
      </w:pPr>
      <w:r w:rsidRPr="008E20C4">
        <w:rPr>
          <w:lang w:val="en-IE"/>
        </w:rPr>
        <w:t xml:space="preserve">If the assay is to be applied in another geographical region and/or population, revalidation of the assay under the new conditions is recommended. Lineages or sub-lineages of an infectious agent, derived from animals in different geographic locations, are known to vary requiring revalidation of the assay for the specified target population. This is especially true for nucleic acid detection (NAD) systems as it is very common for point mutations to occur in many infectious agents (especially RNA viruses). Mutations, which may occur within the primer or probe sites can affect the efficiency of the assay and even invalidate the established performance characteristics. It is also advisable to regularly confirm the target sequence at the selected genomic regions for national or regional isolates of the infectious agents. This is especially true for the primer and probe sites, to ensure that they remain stable and the </w:t>
      </w:r>
      <w:proofErr w:type="spellStart"/>
      <w:r w:rsidRPr="008E20C4">
        <w:rPr>
          <w:lang w:val="en-IE"/>
        </w:rPr>
        <w:t>DSe</w:t>
      </w:r>
      <w:proofErr w:type="spellEnd"/>
      <w:r w:rsidRPr="008E20C4">
        <w:rPr>
          <w:lang w:val="en-IE"/>
        </w:rPr>
        <w:t xml:space="preserve"> and </w:t>
      </w:r>
      <w:proofErr w:type="spellStart"/>
      <w:r w:rsidRPr="008E20C4">
        <w:rPr>
          <w:lang w:val="en-IE"/>
        </w:rPr>
        <w:t>DSp</w:t>
      </w:r>
      <w:proofErr w:type="spellEnd"/>
      <w:r w:rsidRPr="008E20C4">
        <w:rPr>
          <w:lang w:val="en-IE"/>
        </w:rPr>
        <w:t xml:space="preserve"> for the assay are not compromised. Similar issues can arise with immunologically based assays for antigen or antibody.</w:t>
      </w:r>
    </w:p>
    <w:p w14:paraId="53A1EC7F" w14:textId="6DF3772B" w:rsidR="00667CDB" w:rsidRPr="008E20C4" w:rsidRDefault="00667CDB" w:rsidP="00667CDB">
      <w:pPr>
        <w:pStyle w:val="11Para"/>
        <w:spacing w:after="200"/>
        <w:rPr>
          <w:lang w:val="en-IE"/>
        </w:rPr>
      </w:pPr>
      <w:r w:rsidRPr="008E20C4">
        <w:rPr>
          <w:lang w:val="en-IE"/>
        </w:rPr>
        <w:t xml:space="preserve">A similar situation may occur with emergence of new subtypes of existing pathogens. In these circumstances, existing assays may need to be modified. </w:t>
      </w:r>
    </w:p>
    <w:p w14:paraId="05FAA433" w14:textId="18AA9A02" w:rsidR="00667CDB" w:rsidRPr="008E20C4" w:rsidRDefault="00667CDB" w:rsidP="00667CDB">
      <w:pPr>
        <w:pStyle w:val="111"/>
        <w:rPr>
          <w:lang w:val="en-IE"/>
        </w:rPr>
      </w:pPr>
      <w:r w:rsidRPr="008E20C4">
        <w:rPr>
          <w:lang w:val="en-IE"/>
        </w:rPr>
        <w:t>5.2.1.</w:t>
      </w:r>
      <w:r w:rsidRPr="008E20C4">
        <w:rPr>
          <w:lang w:val="en-IE"/>
        </w:rPr>
        <w:tab/>
        <w:t xml:space="preserve">Technical modifications and comparability assessments </w:t>
      </w:r>
    </w:p>
    <w:p w14:paraId="7B79E6C1" w14:textId="271C1433" w:rsidR="00667CDB" w:rsidRPr="008E20C4" w:rsidRDefault="00667CDB" w:rsidP="00667CDB">
      <w:pPr>
        <w:pStyle w:val="111Para"/>
        <w:spacing w:after="200"/>
        <w:rPr>
          <w:lang w:val="en-IE"/>
        </w:rPr>
      </w:pPr>
      <w:r w:rsidRPr="008E20C4">
        <w:rPr>
          <w:lang w:val="en-IE"/>
        </w:rPr>
        <w:t>Technical modifications to a validated assay such as changes in instrumentation, extraction protocols, and conversion of an assay to a semi-automated or fully automated system using robotics will typically not necessitate full revalidation of the assay. Rather, a methods comparison study is done to determine if the relatively minor modification to the assay affected the previously documented performance characteristics of the assay. Comparability can be established by running the modified procedure and original procedure side-by-side, with the same panel of samples in both, over several runs.</w:t>
      </w:r>
      <w:r w:rsidRPr="008E20C4">
        <w:rPr>
          <w:rFonts w:ascii="Times New Roman" w:hAnsi="Times New Roman" w:cs="Times New Roman"/>
          <w:sz w:val="20"/>
          <w:szCs w:val="20"/>
          <w:lang w:val="en-IE"/>
        </w:rPr>
        <w:t xml:space="preserve"> </w:t>
      </w:r>
      <w:r w:rsidRPr="008E20C4">
        <w:rPr>
          <w:lang w:val="en-IE"/>
        </w:rPr>
        <w:t xml:space="preserve">The panel chosen for this comparison should represent the entire operating range of both assays. If the results from the modified procedure and originally validated method are determined to be comparable in an experiment based on a pre-specified </w:t>
      </w:r>
      <w:r w:rsidRPr="008E20C4">
        <w:rPr>
          <w:lang w:val="en-IE"/>
        </w:rPr>
        <w:lastRenderedPageBreak/>
        <w:t xml:space="preserve">criterion, the modified assay remains valid for its intended purpose. See chapter 2.2.8 for description of experiments that are appropriate for comparability testing, </w:t>
      </w:r>
      <w:r w:rsidR="0084586F" w:rsidRPr="008E20C4">
        <w:rPr>
          <w:strike/>
          <w:lang w:val="en-IE"/>
        </w:rPr>
        <w:t xml:space="preserve">and </w:t>
      </w:r>
      <w:r w:rsidRPr="008E20C4">
        <w:rPr>
          <w:lang w:val="en-IE"/>
        </w:rPr>
        <w:t>chapter 2.2.6 on reference sample panels</w:t>
      </w:r>
      <w:r w:rsidR="00B3362B" w:rsidRPr="008E20C4">
        <w:rPr>
          <w:lang w:val="en-IE"/>
        </w:rPr>
        <w:t xml:space="preserve">, </w:t>
      </w:r>
      <w:r w:rsidR="00B3362B" w:rsidRPr="008E20C4">
        <w:rPr>
          <w:u w:val="double"/>
          <w:lang w:val="en-IE"/>
        </w:rPr>
        <w:t>Bowden &amp; Wang, 2021</w:t>
      </w:r>
      <w:r w:rsidR="00884B34" w:rsidRPr="008E20C4">
        <w:rPr>
          <w:u w:val="double"/>
          <w:lang w:val="en-IE"/>
        </w:rPr>
        <w:t xml:space="preserve"> and </w:t>
      </w:r>
      <w:proofErr w:type="spellStart"/>
      <w:r w:rsidR="00884B34" w:rsidRPr="008E20C4">
        <w:rPr>
          <w:u w:val="double"/>
          <w:lang w:val="en-IE"/>
        </w:rPr>
        <w:t>Reising</w:t>
      </w:r>
      <w:proofErr w:type="spellEnd"/>
      <w:r w:rsidR="00884B34" w:rsidRPr="008E20C4">
        <w:rPr>
          <w:u w:val="double"/>
          <w:lang w:val="en-IE"/>
        </w:rPr>
        <w:t xml:space="preserve"> </w:t>
      </w:r>
      <w:r w:rsidR="00884B34" w:rsidRPr="008E20C4">
        <w:rPr>
          <w:i/>
          <w:iCs/>
          <w:u w:val="double"/>
          <w:lang w:val="en-IE"/>
        </w:rPr>
        <w:t>et al</w:t>
      </w:r>
      <w:r w:rsidR="0013777B" w:rsidRPr="008E20C4">
        <w:rPr>
          <w:i/>
          <w:iCs/>
          <w:u w:val="double"/>
          <w:lang w:val="en-IE"/>
        </w:rPr>
        <w:t>.</w:t>
      </w:r>
      <w:r w:rsidR="00884B34" w:rsidRPr="008E20C4">
        <w:rPr>
          <w:u w:val="double"/>
          <w:lang w:val="en-IE"/>
        </w:rPr>
        <w:t xml:space="preserve"> 2021</w:t>
      </w:r>
      <w:r w:rsidRPr="008E20C4">
        <w:rPr>
          <w:lang w:val="en-IE"/>
        </w:rPr>
        <w:t>.</w:t>
      </w:r>
    </w:p>
    <w:p w14:paraId="0E967D17" w14:textId="77777777" w:rsidR="00667CDB" w:rsidRPr="008E20C4" w:rsidRDefault="00667CDB" w:rsidP="00667CDB">
      <w:pPr>
        <w:pStyle w:val="111"/>
        <w:rPr>
          <w:lang w:val="en-IE"/>
        </w:rPr>
      </w:pPr>
      <w:r w:rsidRPr="008E20C4">
        <w:rPr>
          <w:lang w:val="en-IE"/>
        </w:rPr>
        <w:t>5.2.2.</w:t>
      </w:r>
      <w:r w:rsidRPr="008E20C4">
        <w:rPr>
          <w:lang w:val="en-IE"/>
        </w:rPr>
        <w:tab/>
        <w:t>Biological modifications and comparability assessments</w:t>
      </w:r>
    </w:p>
    <w:p w14:paraId="3E49A250" w14:textId="6AAB1B6A" w:rsidR="00667CDB" w:rsidRPr="008E20C4" w:rsidRDefault="009E22DD" w:rsidP="00667CDB">
      <w:pPr>
        <w:pStyle w:val="111Para"/>
        <w:spacing w:after="200"/>
        <w:rPr>
          <w:lang w:val="en-IE"/>
        </w:rPr>
      </w:pPr>
      <w:r w:rsidRPr="008E20C4">
        <w:rPr>
          <w:noProof/>
          <w:lang w:val="en-IE"/>
        </w:rPr>
        <mc:AlternateContent>
          <mc:Choice Requires="wps">
            <w:drawing>
              <wp:anchor distT="45720" distB="45720" distL="114300" distR="114300" simplePos="0" relativeHeight="251658246" behindDoc="0" locked="0" layoutInCell="1" allowOverlap="1" wp14:anchorId="078EF989" wp14:editId="0062BFFB">
                <wp:simplePos x="0" y="0"/>
                <wp:positionH relativeFrom="margin">
                  <wp:align>right</wp:align>
                </wp:positionH>
                <wp:positionV relativeFrom="paragraph">
                  <wp:posOffset>863131</wp:posOffset>
                </wp:positionV>
                <wp:extent cx="2070100" cy="842010"/>
                <wp:effectExtent l="0" t="0" r="25400" b="15240"/>
                <wp:wrapSquare wrapText="bothSides"/>
                <wp:docPr id="1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842433"/>
                        </a:xfrm>
                        <a:prstGeom prst="rect">
                          <a:avLst/>
                        </a:prstGeom>
                        <a:solidFill>
                          <a:srgbClr val="FFFFFF"/>
                        </a:solidFill>
                        <a:ln w="9525">
                          <a:solidFill>
                            <a:srgbClr val="000000"/>
                          </a:solidFill>
                          <a:miter lim="800000"/>
                          <a:headEnd/>
                          <a:tailEnd/>
                        </a:ln>
                      </wps:spPr>
                      <wps:txbx>
                        <w:txbxContent>
                          <w:p w14:paraId="68F38E86" w14:textId="7843316C" w:rsidR="009E22DD" w:rsidRPr="0013777B" w:rsidRDefault="009E22DD" w:rsidP="009E22DD">
                            <w:pPr>
                              <w:spacing w:line="240" w:lineRule="auto"/>
                              <w:rPr>
                                <w:rFonts w:ascii="Söhne" w:hAnsi="Söhne" w:cs="Arial"/>
                                <w:sz w:val="18"/>
                                <w:szCs w:val="18"/>
                                <w:u w:val="double"/>
                              </w:rPr>
                            </w:pPr>
                            <w:r w:rsidRPr="0013777B">
                              <w:rPr>
                                <w:rFonts w:ascii="Söhne" w:hAnsi="Söhne" w:cs="Arial"/>
                                <w:sz w:val="18"/>
                                <w:szCs w:val="18"/>
                                <w:u w:val="double"/>
                              </w:rPr>
                              <w:t xml:space="preserve">A </w:t>
                            </w:r>
                            <w:r w:rsidRPr="0013777B">
                              <w:rPr>
                                <w:rFonts w:ascii="Söhne" w:hAnsi="Söhne" w:cs="Arial"/>
                                <w:b/>
                                <w:bCs/>
                                <w:sz w:val="18"/>
                                <w:szCs w:val="18"/>
                                <w:u w:val="double"/>
                              </w:rPr>
                              <w:t>comparability study</w:t>
                            </w:r>
                            <w:r w:rsidRPr="0013777B">
                              <w:rPr>
                                <w:rFonts w:ascii="Söhne" w:hAnsi="Söhne" w:cs="Arial"/>
                                <w:sz w:val="18"/>
                                <w:szCs w:val="18"/>
                                <w:u w:val="double"/>
                              </w:rPr>
                              <w:t xml:space="preserve"> is required when a change has been made in a test protocol of a validated test to ensure that test performance is comparable.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8EF989" id="Text Box 140" o:spid="_x0000_s1031" type="#_x0000_t202" style="position:absolute;left:0;text-align:left;margin-left:111.8pt;margin-top:67.95pt;width:163pt;height:66.3pt;z-index:25165824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">
                <v:textbox>
                  <w:txbxContent>
                    <w:p w14:paraId="68F38E86" w14:textId="7843316C" w:rsidR="009E22DD" w:rsidRPr="0013777B" w:rsidRDefault="009E22DD" w:rsidP="009E22DD">
                      <w:pPr>
                        <w:spacing w:line="240" w:lineRule="auto"/>
                        <w:rPr>
                          <w:rFonts w:ascii="Söhne" w:hAnsi="Söhne" w:cs="Arial"/>
                          <w:sz w:val="18"/>
                          <w:szCs w:val="18"/>
                          <w:u w:val="double"/>
                        </w:rPr>
                      </w:pPr>
                      <w:r w:rsidRPr="0013777B">
                        <w:rPr>
                          <w:rFonts w:ascii="Söhne" w:hAnsi="Söhne" w:cs="Arial"/>
                          <w:sz w:val="18"/>
                          <w:szCs w:val="18"/>
                          <w:u w:val="double"/>
                        </w:rPr>
                        <w:t xml:space="preserve">A </w:t>
                      </w:r>
                      <w:r w:rsidRPr="0013777B">
                        <w:rPr>
                          <w:rFonts w:ascii="Söhne" w:hAnsi="Söhne" w:cs="Arial"/>
                          <w:b/>
                          <w:bCs/>
                          <w:sz w:val="18"/>
                          <w:szCs w:val="18"/>
                          <w:u w:val="double"/>
                        </w:rPr>
                        <w:t>comparability study</w:t>
                      </w:r>
                      <w:r w:rsidRPr="0013777B">
                        <w:rPr>
                          <w:rFonts w:ascii="Söhne" w:hAnsi="Söhne" w:cs="Arial"/>
                          <w:sz w:val="18"/>
                          <w:szCs w:val="18"/>
                          <w:u w:val="double"/>
                        </w:rPr>
                        <w:t xml:space="preserve"> is required when a change has been made in a test protocol of a validated test to ensure that test performance is comparable.</w:t>
                      </w:r>
                    </w:p>
                  </w:txbxContent>
                </v:textbox>
                <w10:wrap type="square" anchorx="margin"/>
              </v:shape>
            </w:pict>
          </mc:Fallback>
        </mc:AlternateContent>
      </w:r>
      <w:r w:rsidR="00667CDB" w:rsidRPr="008E20C4">
        <w:rPr>
          <w:lang w:val="en-IE"/>
        </w:rPr>
        <w:t>There may be situations where changes to some of the biologicals used in the assay may be necessary and/or warranted. This may include changes to the test specimen itself (</w:t>
      </w:r>
      <w:proofErr w:type="gramStart"/>
      <w:r w:rsidR="00667CDB" w:rsidRPr="008E20C4">
        <w:rPr>
          <w:lang w:val="en-IE"/>
        </w:rPr>
        <w:t>e.g.</w:t>
      </w:r>
      <w:proofErr w:type="gramEnd"/>
      <w:r w:rsidR="00667CDB" w:rsidRPr="008E20C4">
        <w:rPr>
          <w:lang w:val="en-IE"/>
        </w:rPr>
        <w:t xml:space="preserve"> a change in tissue to be tested or perhaps testing of a different species altogether). It may include changes to reagents (</w:t>
      </w:r>
      <w:proofErr w:type="gramStart"/>
      <w:r w:rsidR="00667CDB" w:rsidRPr="008E20C4">
        <w:rPr>
          <w:lang w:val="en-IE"/>
        </w:rPr>
        <w:t>e.g.</w:t>
      </w:r>
      <w:proofErr w:type="gramEnd"/>
      <w:r w:rsidR="00667CDB" w:rsidRPr="008E20C4">
        <w:rPr>
          <w:lang w:val="en-IE"/>
        </w:rPr>
        <w:t xml:space="preserve"> the substitution of a recombinant antigen for a cell culture derived antigen or one antibody conjugate for another of similar immunological specificity in an ELISA). The difficulty in making any modification lies in determining whether the change requires a complete revalidation of the assay at both bench and field levels. At the very least, any modification requires that the appropriate Stage 1 ‘analytical requisites’ be assessed. The more difficult decision relates to Stage 2 ‘diagnostic performance’. To assist here, the original (reference) assay should initially be compared to the modified (candidate) assay in a controlled trial using a defined panel of positive and negative diagnostic samples. See chapter 2.2.8 </w:t>
      </w:r>
      <w:r w:rsidR="00980504" w:rsidRPr="008E20C4">
        <w:rPr>
          <w:u w:val="double"/>
          <w:lang w:val="en-IE"/>
        </w:rPr>
        <w:t xml:space="preserve">and </w:t>
      </w:r>
      <w:proofErr w:type="spellStart"/>
      <w:r w:rsidR="00980504" w:rsidRPr="008E20C4">
        <w:rPr>
          <w:u w:val="double"/>
          <w:lang w:val="en-IE"/>
        </w:rPr>
        <w:t>Reising</w:t>
      </w:r>
      <w:proofErr w:type="spellEnd"/>
      <w:r w:rsidR="00980504" w:rsidRPr="008E20C4">
        <w:rPr>
          <w:u w:val="double"/>
          <w:lang w:val="en-IE"/>
        </w:rPr>
        <w:t xml:space="preserve"> </w:t>
      </w:r>
      <w:r w:rsidR="00980504" w:rsidRPr="008E20C4">
        <w:rPr>
          <w:i/>
          <w:iCs/>
          <w:u w:val="double"/>
          <w:lang w:val="en-IE"/>
        </w:rPr>
        <w:t>et al</w:t>
      </w:r>
      <w:r w:rsidR="0013777B" w:rsidRPr="008E20C4">
        <w:rPr>
          <w:u w:val="double"/>
          <w:lang w:val="en-IE"/>
        </w:rPr>
        <w:t>.</w:t>
      </w:r>
      <w:r w:rsidR="00980504" w:rsidRPr="008E20C4">
        <w:rPr>
          <w:u w:val="double"/>
          <w:lang w:val="en-IE"/>
        </w:rPr>
        <w:t xml:space="preserve"> </w:t>
      </w:r>
      <w:r w:rsidR="0013777B" w:rsidRPr="008E20C4">
        <w:rPr>
          <w:u w:val="double"/>
          <w:lang w:val="en-IE"/>
        </w:rPr>
        <w:t>(</w:t>
      </w:r>
      <w:r w:rsidR="00980504" w:rsidRPr="008E20C4">
        <w:rPr>
          <w:u w:val="double"/>
          <w:lang w:val="en-IE"/>
        </w:rPr>
        <w:t>2021</w:t>
      </w:r>
      <w:r w:rsidR="0013777B" w:rsidRPr="008E20C4">
        <w:rPr>
          <w:u w:val="double"/>
          <w:lang w:val="en-IE"/>
        </w:rPr>
        <w:t>)</w:t>
      </w:r>
      <w:r w:rsidR="00980504" w:rsidRPr="008E20C4">
        <w:rPr>
          <w:lang w:val="en-IE"/>
        </w:rPr>
        <w:t xml:space="preserve"> </w:t>
      </w:r>
      <w:r w:rsidR="00667CDB" w:rsidRPr="008E20C4">
        <w:rPr>
          <w:lang w:val="en-IE"/>
        </w:rPr>
        <w:t>for a description of comparability assessment.</w:t>
      </w:r>
      <w:r w:rsidR="00CE50CA" w:rsidRPr="008E20C4">
        <w:rPr>
          <w:lang w:val="en-IE"/>
        </w:rPr>
        <w:t xml:space="preserve"> </w:t>
      </w:r>
      <w:r w:rsidR="00667CDB" w:rsidRPr="008E20C4">
        <w:rPr>
          <w:lang w:val="en-IE"/>
        </w:rPr>
        <w:t xml:space="preserve">If the comparability assessment does not suggest a change in diagnostic performance, the modified assay may be phased into routine use. If, on the other hand, differences in </w:t>
      </w:r>
      <w:proofErr w:type="spellStart"/>
      <w:r w:rsidR="00667CDB" w:rsidRPr="008E20C4">
        <w:rPr>
          <w:lang w:val="en-IE"/>
        </w:rPr>
        <w:t>DSp</w:t>
      </w:r>
      <w:proofErr w:type="spellEnd"/>
      <w:r w:rsidR="00667CDB" w:rsidRPr="008E20C4">
        <w:rPr>
          <w:lang w:val="en-IE"/>
        </w:rPr>
        <w:t xml:space="preserve"> and </w:t>
      </w:r>
      <w:proofErr w:type="spellStart"/>
      <w:r w:rsidR="00667CDB" w:rsidRPr="008E20C4">
        <w:rPr>
          <w:lang w:val="en-IE"/>
        </w:rPr>
        <w:t>DSe</w:t>
      </w:r>
      <w:proofErr w:type="spellEnd"/>
      <w:r w:rsidR="00667CDB" w:rsidRPr="008E20C4">
        <w:rPr>
          <w:lang w:val="en-IE"/>
        </w:rPr>
        <w:t xml:space="preserve"> are observed, the modified assay would require additional Stage 2 or field validation before being adopted. </w:t>
      </w:r>
    </w:p>
    <w:p w14:paraId="29E4B16D" w14:textId="77777777" w:rsidR="00667CDB" w:rsidRPr="008E20C4" w:rsidRDefault="00667CDB" w:rsidP="00667CDB">
      <w:pPr>
        <w:pStyle w:val="111"/>
        <w:rPr>
          <w:lang w:val="en-IE"/>
        </w:rPr>
      </w:pPr>
      <w:r w:rsidRPr="008E20C4">
        <w:rPr>
          <w:lang w:val="en-IE"/>
        </w:rPr>
        <w:t>5.2.3.</w:t>
      </w:r>
      <w:r w:rsidRPr="008E20C4">
        <w:rPr>
          <w:lang w:val="en-IE"/>
        </w:rPr>
        <w:tab/>
        <w:t xml:space="preserve">Replacement of depleted reagents </w:t>
      </w:r>
    </w:p>
    <w:p w14:paraId="3A40CDBB" w14:textId="429B8F1D" w:rsidR="008C27DC" w:rsidRPr="008E20C4" w:rsidRDefault="00667CDB" w:rsidP="00667CDB">
      <w:pPr>
        <w:pStyle w:val="111Para"/>
        <w:spacing w:after="200"/>
        <w:rPr>
          <w:lang w:val="en-IE"/>
        </w:rPr>
      </w:pPr>
      <w:r w:rsidRPr="008E20C4">
        <w:rPr>
          <w:lang w:val="en-IE"/>
        </w:rPr>
        <w:t xml:space="preserve">When a reagent such as a control sample or working standard is nearing depletion, it is essential to prepare and repeatedly test a replacement before such a control is depleted. The prospective control sample should be included in multiple runs of the assay in parallel with the original control to establish their proportional relationship. It is important to change only one reagent at a time to avoid the compound problem of evaluating more than one variable. </w:t>
      </w:r>
    </w:p>
    <w:p w14:paraId="1443E27C" w14:textId="4FACB59C" w:rsidR="00667CDB" w:rsidRPr="008E20C4" w:rsidRDefault="00667CDB" w:rsidP="00667CDB">
      <w:pPr>
        <w:pStyle w:val="11"/>
        <w:rPr>
          <w:lang w:val="en-IE"/>
        </w:rPr>
      </w:pPr>
      <w:r w:rsidRPr="008E20C4">
        <w:rPr>
          <w:lang w:val="en-IE"/>
        </w:rPr>
        <w:t>5.3.</w:t>
      </w:r>
      <w:r w:rsidRPr="008E20C4">
        <w:rPr>
          <w:lang w:val="en-IE"/>
        </w:rPr>
        <w:tab/>
        <w:t>Enhancing confidence in validation criteria</w:t>
      </w:r>
    </w:p>
    <w:p w14:paraId="0B545989" w14:textId="7EEEEF65" w:rsidR="00667CDB" w:rsidRPr="008E20C4" w:rsidRDefault="00667CDB" w:rsidP="00667CDB">
      <w:pPr>
        <w:pStyle w:val="11Para"/>
        <w:rPr>
          <w:lang w:val="en-IE"/>
        </w:rPr>
      </w:pPr>
      <w:r w:rsidRPr="008E20C4">
        <w:rPr>
          <w:lang w:val="en-IE"/>
        </w:rPr>
        <w:t xml:space="preserve">Because many host variables have an impact on the diagnostic performance of assays, it is highly desirable over time to increase the number of reference samples or samples suitable for latent class analysis. The sampling design, collection, transportation, and testing environment for the new samples should be the same as used for the original validation study. Increases in sample numbers improves the precision of the overall estimates of </w:t>
      </w:r>
      <w:proofErr w:type="spellStart"/>
      <w:r w:rsidRPr="008E20C4">
        <w:rPr>
          <w:lang w:val="en-IE"/>
        </w:rPr>
        <w:t>DSe</w:t>
      </w:r>
      <w:proofErr w:type="spellEnd"/>
      <w:r w:rsidRPr="008E20C4">
        <w:rPr>
          <w:lang w:val="en-IE"/>
        </w:rPr>
        <w:t xml:space="preserve"> and </w:t>
      </w:r>
      <w:proofErr w:type="spellStart"/>
      <w:proofErr w:type="gramStart"/>
      <w:r w:rsidRPr="008E20C4">
        <w:rPr>
          <w:lang w:val="en-IE"/>
        </w:rPr>
        <w:t>DSp</w:t>
      </w:r>
      <w:proofErr w:type="spellEnd"/>
      <w:r w:rsidRPr="008E20C4">
        <w:rPr>
          <w:lang w:val="en-IE"/>
        </w:rPr>
        <w:t>,</w:t>
      </w:r>
      <w:r w:rsidR="003678DA" w:rsidRPr="008E20C4">
        <w:rPr>
          <w:lang w:val="en-IE"/>
        </w:rPr>
        <w:t xml:space="preserve"> </w:t>
      </w:r>
      <w:r w:rsidRPr="008E20C4">
        <w:rPr>
          <w:lang w:val="en-IE"/>
        </w:rPr>
        <w:t>and</w:t>
      </w:r>
      <w:proofErr w:type="gramEnd"/>
      <w:r w:rsidRPr="008E20C4">
        <w:rPr>
          <w:lang w:val="en-IE"/>
        </w:rPr>
        <w:t xml:space="preserve"> may allow calculations of </w:t>
      </w:r>
      <w:proofErr w:type="spellStart"/>
      <w:r w:rsidRPr="008E20C4">
        <w:rPr>
          <w:lang w:val="en-IE"/>
        </w:rPr>
        <w:t>DSe</w:t>
      </w:r>
      <w:proofErr w:type="spellEnd"/>
      <w:r w:rsidRPr="008E20C4">
        <w:rPr>
          <w:lang w:val="en-IE"/>
        </w:rPr>
        <w:t xml:space="preserve"> estimates by factors such as age, stage of disease, and load of organisms.</w:t>
      </w:r>
      <w:r w:rsidR="0057487E" w:rsidRPr="008E20C4">
        <w:rPr>
          <w:lang w:val="en-IE"/>
        </w:rPr>
        <w:t xml:space="preserve"> </w:t>
      </w:r>
      <w:r w:rsidR="0084586F" w:rsidRPr="008E20C4">
        <w:rPr>
          <w:strike/>
          <w:lang w:val="en-IE"/>
        </w:rPr>
        <w:t xml:space="preserve">New data should be included annually in relevant test dossiers. </w:t>
      </w:r>
      <w:r w:rsidR="0057487E" w:rsidRPr="008E20C4">
        <w:rPr>
          <w:u w:val="double"/>
          <w:lang w:val="en-IE"/>
        </w:rPr>
        <w:t xml:space="preserve">Practical experiences show that regular updates of validation dossiers with new data </w:t>
      </w:r>
      <w:r w:rsidR="0070422D" w:rsidRPr="008E20C4">
        <w:rPr>
          <w:u w:val="double"/>
          <w:lang w:val="en-IE"/>
        </w:rPr>
        <w:t xml:space="preserve">is </w:t>
      </w:r>
      <w:r w:rsidR="0057487E" w:rsidRPr="008E20C4">
        <w:rPr>
          <w:u w:val="double"/>
          <w:lang w:val="en-IE"/>
        </w:rPr>
        <w:t>difficult. Participation in proficiency testing rounds using</w:t>
      </w:r>
      <w:r w:rsidR="0070422D" w:rsidRPr="008E20C4">
        <w:rPr>
          <w:u w:val="double"/>
          <w:lang w:val="en-IE"/>
        </w:rPr>
        <w:t xml:space="preserve"> </w:t>
      </w:r>
      <w:r w:rsidR="0057487E" w:rsidRPr="008E20C4">
        <w:rPr>
          <w:u w:val="double"/>
          <w:lang w:val="en-IE"/>
        </w:rPr>
        <w:t xml:space="preserve">relevant panels </w:t>
      </w:r>
      <w:r w:rsidR="0070422D" w:rsidRPr="008E20C4">
        <w:rPr>
          <w:u w:val="double"/>
          <w:lang w:val="en-IE"/>
        </w:rPr>
        <w:t>with the latest strains may help to assist in proving ongoing assay accuracy and precision.</w:t>
      </w:r>
      <w:r w:rsidRPr="008E20C4">
        <w:rPr>
          <w:u w:val="double"/>
          <w:lang w:val="en-IE"/>
        </w:rPr>
        <w:t xml:space="preserve"> </w:t>
      </w:r>
    </w:p>
    <w:p w14:paraId="1A574977" w14:textId="375BEDDD" w:rsidR="00F6383D" w:rsidRPr="008E20C4" w:rsidRDefault="00F6383D" w:rsidP="0013777B">
      <w:pPr>
        <w:pStyle w:val="111"/>
        <w:rPr>
          <w:u w:val="double"/>
          <w:lang w:val="en-IE"/>
        </w:rPr>
      </w:pPr>
      <w:r w:rsidRPr="008E20C4">
        <w:rPr>
          <w:u w:val="double"/>
          <w:lang w:val="en-IE"/>
        </w:rPr>
        <w:t>5.3.1.</w:t>
      </w:r>
      <w:r w:rsidR="0013777B" w:rsidRPr="008E20C4">
        <w:rPr>
          <w:u w:val="double"/>
          <w:lang w:val="en-IE"/>
        </w:rPr>
        <w:tab/>
      </w:r>
      <w:r w:rsidRPr="008E20C4">
        <w:rPr>
          <w:u w:val="double"/>
          <w:lang w:val="en-IE"/>
        </w:rPr>
        <w:t>Data management</w:t>
      </w:r>
    </w:p>
    <w:p w14:paraId="5E697BE5" w14:textId="09E30DAE" w:rsidR="00F6383D" w:rsidRPr="008E20C4" w:rsidRDefault="00F6383D" w:rsidP="00762E95">
      <w:pPr>
        <w:pStyle w:val="11Para"/>
        <w:rPr>
          <w:u w:val="double"/>
          <w:lang w:val="en-IE"/>
        </w:rPr>
      </w:pPr>
      <w:r w:rsidRPr="008E20C4">
        <w:rPr>
          <w:u w:val="double"/>
          <w:lang w:val="en-IE"/>
        </w:rPr>
        <w:t>Long-term storage of data, review of validation data and on-going verification is an important component for enhancing confidenc</w:t>
      </w:r>
      <w:r w:rsidR="003678DA" w:rsidRPr="008E20C4">
        <w:rPr>
          <w:u w:val="double"/>
          <w:lang w:val="en-IE"/>
        </w:rPr>
        <w:t>e that assays are still performing with acceptable diagnostic accuracy</w:t>
      </w:r>
      <w:r w:rsidRPr="008E20C4">
        <w:rPr>
          <w:u w:val="double"/>
          <w:lang w:val="en-IE"/>
        </w:rPr>
        <w:t xml:space="preserve">. </w:t>
      </w:r>
      <w:r w:rsidR="00191EBE" w:rsidRPr="008E20C4">
        <w:rPr>
          <w:u w:val="double"/>
          <w:lang w:val="en-IE"/>
        </w:rPr>
        <w:t xml:space="preserve">To achieve that goal, </w:t>
      </w:r>
      <w:r w:rsidRPr="008E20C4">
        <w:rPr>
          <w:u w:val="double"/>
          <w:lang w:val="en-IE"/>
        </w:rPr>
        <w:t xml:space="preserve">Laboratory </w:t>
      </w:r>
      <w:r w:rsidR="00191EBE" w:rsidRPr="008E20C4">
        <w:rPr>
          <w:u w:val="double"/>
          <w:lang w:val="en-IE"/>
        </w:rPr>
        <w:t>I</w:t>
      </w:r>
      <w:r w:rsidRPr="008E20C4">
        <w:rPr>
          <w:u w:val="double"/>
          <w:lang w:val="en-IE"/>
        </w:rPr>
        <w:t xml:space="preserve">nformation </w:t>
      </w:r>
      <w:r w:rsidR="00191EBE" w:rsidRPr="008E20C4">
        <w:rPr>
          <w:u w:val="double"/>
          <w:lang w:val="en-IE"/>
        </w:rPr>
        <w:t>M</w:t>
      </w:r>
      <w:r w:rsidRPr="008E20C4">
        <w:rPr>
          <w:u w:val="double"/>
          <w:lang w:val="en-IE"/>
        </w:rPr>
        <w:t xml:space="preserve">anagement </w:t>
      </w:r>
      <w:r w:rsidR="00191EBE" w:rsidRPr="008E20C4">
        <w:rPr>
          <w:u w:val="double"/>
          <w:lang w:val="en-IE"/>
        </w:rPr>
        <w:t>S</w:t>
      </w:r>
      <w:r w:rsidRPr="008E20C4">
        <w:rPr>
          <w:u w:val="double"/>
          <w:lang w:val="en-IE"/>
        </w:rPr>
        <w:t xml:space="preserve">ystems </w:t>
      </w:r>
      <w:r w:rsidR="00191EBE" w:rsidRPr="008E20C4">
        <w:rPr>
          <w:u w:val="double"/>
          <w:lang w:val="en-IE"/>
        </w:rPr>
        <w:t xml:space="preserve">(LIMS) </w:t>
      </w:r>
      <w:r w:rsidRPr="008E20C4">
        <w:rPr>
          <w:u w:val="double"/>
          <w:lang w:val="en-IE"/>
        </w:rPr>
        <w:t xml:space="preserve">are required that integrate validation and diagnostic data to provide regular updates of assay performance. At a minimum, data management systems should facilitate: </w:t>
      </w:r>
      <w:r w:rsidR="007F1D52" w:rsidRPr="008E20C4">
        <w:rPr>
          <w:u w:val="double"/>
          <w:lang w:val="en-IE"/>
        </w:rPr>
        <w:t xml:space="preserve">(1) </w:t>
      </w:r>
      <w:r w:rsidRPr="008E20C4">
        <w:rPr>
          <w:u w:val="double"/>
          <w:lang w:val="en-IE"/>
        </w:rPr>
        <w:t>storage of validation data in central locations,</w:t>
      </w:r>
      <w:r w:rsidR="007F1D52" w:rsidRPr="008E20C4">
        <w:rPr>
          <w:u w:val="double"/>
          <w:lang w:val="en-IE"/>
        </w:rPr>
        <w:t xml:space="preserve"> (2) </w:t>
      </w:r>
      <w:r w:rsidRPr="008E20C4">
        <w:rPr>
          <w:u w:val="double"/>
          <w:lang w:val="en-IE"/>
        </w:rPr>
        <w:t xml:space="preserve">review and/or sharing of data when, for example, assays are deployed to external laboratories (Stage 4 </w:t>
      </w:r>
      <w:r w:rsidRPr="00907D25">
        <w:rPr>
          <w:u w:val="double"/>
          <w:lang w:val="en-IE"/>
        </w:rPr>
        <w:t xml:space="preserve">of </w:t>
      </w:r>
      <w:r w:rsidR="00907D25" w:rsidRPr="00907D25">
        <w:rPr>
          <w:u w:val="double"/>
          <w:lang w:val="en-IE"/>
        </w:rPr>
        <w:t xml:space="preserve">the </w:t>
      </w:r>
      <w:r w:rsidR="00907D25" w:rsidRPr="00907D25">
        <w:rPr>
          <w:u w:val="double"/>
        </w:rPr>
        <w:t xml:space="preserve">WOAH </w:t>
      </w:r>
      <w:r w:rsidRPr="00907D25">
        <w:rPr>
          <w:u w:val="double"/>
          <w:lang w:val="en-IE"/>
        </w:rPr>
        <w:t xml:space="preserve">Assay Validation Pathway (see </w:t>
      </w:r>
      <w:r w:rsidR="007F1D52" w:rsidRPr="00907D25">
        <w:rPr>
          <w:u w:val="double"/>
          <w:lang w:val="en-IE"/>
        </w:rPr>
        <w:t>Fig</w:t>
      </w:r>
      <w:r w:rsidR="00E24735" w:rsidRPr="00907D25">
        <w:rPr>
          <w:u w:val="double"/>
          <w:lang w:val="en-IE"/>
        </w:rPr>
        <w:t>ure</w:t>
      </w:r>
      <w:r w:rsidRPr="00907D25">
        <w:rPr>
          <w:u w:val="double"/>
          <w:lang w:val="en-IE"/>
        </w:rPr>
        <w:t xml:space="preserve"> 1)</w:t>
      </w:r>
      <w:r w:rsidR="007F1D52" w:rsidRPr="00907D25">
        <w:rPr>
          <w:u w:val="double"/>
          <w:lang w:val="en-IE"/>
        </w:rPr>
        <w:t xml:space="preserve">, (3) </w:t>
      </w:r>
      <w:r w:rsidRPr="00907D25">
        <w:rPr>
          <w:u w:val="double"/>
          <w:lang w:val="en-IE"/>
        </w:rPr>
        <w:t>on-going accrual and integration of diagnostic results to update</w:t>
      </w:r>
      <w:r w:rsidRPr="008E20C4">
        <w:rPr>
          <w:u w:val="double"/>
          <w:lang w:val="en-IE"/>
        </w:rPr>
        <w:t xml:space="preserve"> the diagnostic characteristics of an assay (Stage 3 (see </w:t>
      </w:r>
      <w:r w:rsidR="00DF30D0" w:rsidRPr="008E20C4">
        <w:rPr>
          <w:u w:val="double"/>
          <w:lang w:val="en-IE"/>
        </w:rPr>
        <w:t>Fig</w:t>
      </w:r>
      <w:r w:rsidR="00E24735" w:rsidRPr="008E20C4">
        <w:rPr>
          <w:u w:val="double"/>
          <w:lang w:val="en-IE"/>
        </w:rPr>
        <w:t>ure</w:t>
      </w:r>
      <w:r w:rsidRPr="008E20C4">
        <w:rPr>
          <w:u w:val="double"/>
          <w:lang w:val="en-IE"/>
        </w:rPr>
        <w:t xml:space="preserve"> 1)</w:t>
      </w:r>
      <w:r w:rsidR="007F1D52" w:rsidRPr="008E20C4">
        <w:rPr>
          <w:u w:val="double"/>
          <w:lang w:val="en-IE"/>
        </w:rPr>
        <w:t>,</w:t>
      </w:r>
      <w:r w:rsidR="008C6A65" w:rsidRPr="008E20C4">
        <w:rPr>
          <w:u w:val="double"/>
          <w:lang w:val="en-IE"/>
        </w:rPr>
        <w:t xml:space="preserve"> </w:t>
      </w:r>
      <w:r w:rsidR="007F1D52" w:rsidRPr="008E20C4">
        <w:rPr>
          <w:u w:val="double"/>
          <w:lang w:val="en-IE"/>
        </w:rPr>
        <w:t xml:space="preserve">and (4) </w:t>
      </w:r>
      <w:r w:rsidRPr="008E20C4">
        <w:rPr>
          <w:u w:val="double"/>
          <w:lang w:val="en-IE"/>
        </w:rPr>
        <w:t xml:space="preserve">storage of Internal Quality Control (IQC) and External Quality Control (EQC) data for use in reviewing assay sensitivity (Stage 1, (see </w:t>
      </w:r>
      <w:r w:rsidR="00DF30D0" w:rsidRPr="008E20C4">
        <w:rPr>
          <w:u w:val="double"/>
          <w:lang w:val="en-IE"/>
        </w:rPr>
        <w:t>Fig</w:t>
      </w:r>
      <w:r w:rsidR="00E24735" w:rsidRPr="008E20C4">
        <w:rPr>
          <w:u w:val="double"/>
          <w:lang w:val="en-IE"/>
        </w:rPr>
        <w:t xml:space="preserve">ure </w:t>
      </w:r>
      <w:r w:rsidRPr="008E20C4">
        <w:rPr>
          <w:u w:val="double"/>
          <w:lang w:val="en-IE"/>
        </w:rPr>
        <w:t>1), especially when changes to reagents or equipment occur.</w:t>
      </w:r>
    </w:p>
    <w:p w14:paraId="411D3A99" w14:textId="30766591" w:rsidR="00F6383D" w:rsidRPr="008E20C4" w:rsidRDefault="00F6383D" w:rsidP="00762E95">
      <w:pPr>
        <w:pStyle w:val="11Para"/>
        <w:ind w:left="850"/>
        <w:rPr>
          <w:u w:val="double"/>
          <w:lang w:val="en-IE"/>
        </w:rPr>
      </w:pPr>
      <w:r w:rsidRPr="008E20C4">
        <w:rPr>
          <w:u w:val="double"/>
          <w:lang w:val="en-IE"/>
        </w:rPr>
        <w:t xml:space="preserve">Access and utilisation </w:t>
      </w:r>
      <w:r w:rsidR="00191EBE" w:rsidRPr="008E20C4">
        <w:rPr>
          <w:u w:val="double"/>
          <w:lang w:val="en-IE"/>
        </w:rPr>
        <w:t xml:space="preserve">of </w:t>
      </w:r>
      <w:r w:rsidRPr="008E20C4">
        <w:rPr>
          <w:u w:val="double"/>
          <w:lang w:val="en-IE"/>
        </w:rPr>
        <w:t xml:space="preserve">LIMS for the purposes of test validation and ongoing verification remains limited, as they require significant investment and Information Technology expertise to maintain. </w:t>
      </w:r>
    </w:p>
    <w:p w14:paraId="3DFB8FDF" w14:textId="17AB850A" w:rsidR="00667CDB" w:rsidRPr="008E20C4" w:rsidRDefault="00FD65B1" w:rsidP="0013777B">
      <w:pPr>
        <w:pStyle w:val="1"/>
        <w:rPr>
          <w:lang w:val="en-IE"/>
        </w:rPr>
      </w:pPr>
      <w:r w:rsidRPr="008E20C4">
        <w:rPr>
          <w:strike/>
          <w:lang w:val="en-IE"/>
        </w:rPr>
        <w:t xml:space="preserve">5.4. </w:t>
      </w:r>
      <w:r w:rsidR="008C27DC" w:rsidRPr="008E20C4">
        <w:rPr>
          <w:u w:val="double"/>
          <w:lang w:val="en-IE"/>
        </w:rPr>
        <w:t>6</w:t>
      </w:r>
      <w:r w:rsidR="00667CDB" w:rsidRPr="008E20C4">
        <w:rPr>
          <w:lang w:val="en-IE"/>
        </w:rPr>
        <w:t>.</w:t>
      </w:r>
      <w:r w:rsidRPr="008E20C4">
        <w:tab/>
      </w:r>
      <w:r w:rsidR="00667CDB" w:rsidRPr="008E20C4">
        <w:rPr>
          <w:lang w:val="en-IE"/>
        </w:rPr>
        <w:t xml:space="preserve">Verification of existing </w:t>
      </w:r>
      <w:r w:rsidR="00667CDB" w:rsidRPr="008E20C4">
        <w:rPr>
          <w:u w:val="double"/>
          <w:lang w:val="en-IE"/>
        </w:rPr>
        <w:t>validated</w:t>
      </w:r>
      <w:r w:rsidR="00667CDB" w:rsidRPr="008E20C4">
        <w:rPr>
          <w:lang w:val="en-IE"/>
        </w:rPr>
        <w:t xml:space="preserve"> assays</w:t>
      </w:r>
      <w:r w:rsidR="00667CDB" w:rsidRPr="008E20C4">
        <w:rPr>
          <w:strike/>
          <w:lang w:val="en-IE"/>
        </w:rPr>
        <w:t xml:space="preserve"> (in-house validation)</w:t>
      </w:r>
    </w:p>
    <w:p w14:paraId="36F6EB42" w14:textId="7BF8E627" w:rsidR="00D041D4" w:rsidRPr="008E20C4" w:rsidRDefault="009E22DD" w:rsidP="00FD65B1">
      <w:pPr>
        <w:pStyle w:val="1Para"/>
        <w:rPr>
          <w:lang w:val="en-IE"/>
        </w:rPr>
      </w:pPr>
      <w:r w:rsidRPr="008E20C4">
        <w:rPr>
          <w:rFonts w:ascii="Ottawa" w:eastAsiaTheme="minorHAnsi" w:hAnsi="Ottawa"/>
          <w:noProof/>
          <w:szCs w:val="22"/>
          <w:lang w:val="en-IE"/>
        </w:rPr>
        <w:lastRenderedPageBreak/>
        <mc:AlternateContent>
          <mc:Choice Requires="wps">
            <w:drawing>
              <wp:anchor distT="45720" distB="45720" distL="114300" distR="114300" simplePos="0" relativeHeight="251658244" behindDoc="0" locked="0" layoutInCell="1" allowOverlap="1" wp14:anchorId="05BDA825" wp14:editId="2F783068">
                <wp:simplePos x="0" y="0"/>
                <wp:positionH relativeFrom="column">
                  <wp:posOffset>3641725</wp:posOffset>
                </wp:positionH>
                <wp:positionV relativeFrom="paragraph">
                  <wp:posOffset>281305</wp:posOffset>
                </wp:positionV>
                <wp:extent cx="2070100" cy="1003300"/>
                <wp:effectExtent l="0" t="0" r="25400" b="25400"/>
                <wp:wrapSquare wrapText="bothSides"/>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0" cy="1003300"/>
                        </a:xfrm>
                        <a:prstGeom prst="rect">
                          <a:avLst/>
                        </a:prstGeom>
                        <a:solidFill>
                          <a:srgbClr val="FFFFFF"/>
                        </a:solidFill>
                        <a:ln w="9525">
                          <a:solidFill>
                            <a:srgbClr val="000000"/>
                          </a:solidFill>
                          <a:miter lim="800000"/>
                          <a:headEnd/>
                          <a:tailEnd/>
                        </a:ln>
                      </wps:spPr>
                      <wps:txbx>
                        <w:txbxContent>
                          <w:p w14:paraId="6C8D556B" w14:textId="79128489" w:rsidR="00667CDB" w:rsidRPr="00FD65B1" w:rsidRDefault="009E22DD" w:rsidP="00667CDB">
                            <w:pPr>
                              <w:spacing w:line="240" w:lineRule="auto"/>
                              <w:rPr>
                                <w:rFonts w:ascii="Söhne" w:hAnsi="Söhne" w:cs="Arial"/>
                                <w:sz w:val="18"/>
                                <w:szCs w:val="18"/>
                                <w:u w:val="double"/>
                              </w:rPr>
                            </w:pPr>
                            <w:r w:rsidRPr="00FD65B1">
                              <w:rPr>
                                <w:rFonts w:ascii="Söhne" w:hAnsi="Söhne" w:cs="Arial"/>
                                <w:sz w:val="18"/>
                                <w:szCs w:val="18"/>
                                <w:u w:val="double"/>
                              </w:rPr>
                              <w:t xml:space="preserve">A </w:t>
                            </w:r>
                            <w:r w:rsidRPr="00FD65B1">
                              <w:rPr>
                                <w:rFonts w:ascii="Söhne" w:hAnsi="Söhne" w:cs="Arial"/>
                                <w:b/>
                                <w:bCs/>
                                <w:sz w:val="18"/>
                                <w:szCs w:val="18"/>
                                <w:u w:val="double"/>
                              </w:rPr>
                              <w:t>v</w:t>
                            </w:r>
                            <w:r w:rsidR="00667CDB" w:rsidRPr="00FD65B1">
                              <w:rPr>
                                <w:rFonts w:ascii="Söhne" w:hAnsi="Söhne" w:cs="Arial"/>
                                <w:b/>
                                <w:bCs/>
                                <w:sz w:val="18"/>
                                <w:szCs w:val="18"/>
                                <w:u w:val="double"/>
                              </w:rPr>
                              <w:t>erification stud</w:t>
                            </w:r>
                            <w:r w:rsidRPr="00FD65B1">
                              <w:rPr>
                                <w:rFonts w:ascii="Söhne" w:hAnsi="Söhne" w:cs="Arial"/>
                                <w:b/>
                                <w:bCs/>
                                <w:sz w:val="18"/>
                                <w:szCs w:val="18"/>
                                <w:u w:val="double"/>
                              </w:rPr>
                              <w:t>y</w:t>
                            </w:r>
                            <w:r w:rsidRPr="00FD65B1">
                              <w:rPr>
                                <w:rFonts w:ascii="Söhne" w:hAnsi="Söhne" w:cs="Arial"/>
                                <w:sz w:val="18"/>
                                <w:szCs w:val="18"/>
                                <w:u w:val="double"/>
                              </w:rPr>
                              <w:t xml:space="preserve"> is</w:t>
                            </w:r>
                            <w:r w:rsidR="00667CDB" w:rsidRPr="00FD65B1">
                              <w:rPr>
                                <w:rFonts w:ascii="Söhne" w:hAnsi="Söhne" w:cs="Arial"/>
                                <w:sz w:val="18"/>
                                <w:szCs w:val="18"/>
                                <w:u w:val="double"/>
                              </w:rPr>
                              <w:t xml:space="preserve"> required when a validated test is used in a new laboratory to ensure that</w:t>
                            </w:r>
                            <w:r w:rsidR="00004CEC" w:rsidRPr="00FD65B1">
                              <w:rPr>
                                <w:rFonts w:ascii="Söhne" w:hAnsi="Söhne" w:cs="Arial"/>
                                <w:sz w:val="18"/>
                                <w:szCs w:val="18"/>
                                <w:u w:val="double"/>
                              </w:rPr>
                              <w:t xml:space="preserve"> results from the original validation study can be verified and overall </w:t>
                            </w:r>
                            <w:r w:rsidR="00667CDB" w:rsidRPr="00FD65B1">
                              <w:rPr>
                                <w:rFonts w:ascii="Söhne" w:hAnsi="Söhne" w:cs="Arial"/>
                                <w:sz w:val="18"/>
                                <w:szCs w:val="18"/>
                                <w:u w:val="double"/>
                              </w:rPr>
                              <w:t>test performance is comparable.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BDA825" id="Text Box 138" o:spid="_x0000_s1032" type="#_x0000_t202" style="position:absolute;left:0;text-align:left;margin-left:286.75pt;margin-top:22.15pt;width:163pt;height:79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">
                <v:textbox>
                  <w:txbxContent>
                    <w:p w14:paraId="6C8D556B" w14:textId="79128489" w:rsidR="00667CDB" w:rsidRPr="00FD65B1" w:rsidRDefault="009E22DD" w:rsidP="00667CDB">
                      <w:pPr>
                        <w:spacing w:line="240" w:lineRule="auto"/>
                        <w:rPr>
                          <w:rFonts w:ascii="Söhne" w:hAnsi="Söhne" w:cs="Arial"/>
                          <w:sz w:val="18"/>
                          <w:szCs w:val="18"/>
                          <w:u w:val="double"/>
                        </w:rPr>
                      </w:pPr>
                      <w:r w:rsidRPr="00FD65B1">
                        <w:rPr>
                          <w:rFonts w:ascii="Söhne" w:hAnsi="Söhne" w:cs="Arial"/>
                          <w:sz w:val="18"/>
                          <w:szCs w:val="18"/>
                          <w:u w:val="double"/>
                        </w:rPr>
                        <w:t xml:space="preserve">A </w:t>
                      </w:r>
                      <w:r w:rsidRPr="00FD65B1">
                        <w:rPr>
                          <w:rFonts w:ascii="Söhne" w:hAnsi="Söhne" w:cs="Arial"/>
                          <w:b/>
                          <w:bCs/>
                          <w:sz w:val="18"/>
                          <w:szCs w:val="18"/>
                          <w:u w:val="double"/>
                        </w:rPr>
                        <w:t>v</w:t>
                      </w:r>
                      <w:r w:rsidR="00667CDB" w:rsidRPr="00FD65B1">
                        <w:rPr>
                          <w:rFonts w:ascii="Söhne" w:hAnsi="Söhne" w:cs="Arial"/>
                          <w:b/>
                          <w:bCs/>
                          <w:sz w:val="18"/>
                          <w:szCs w:val="18"/>
                          <w:u w:val="double"/>
                        </w:rPr>
                        <w:t>erification stud</w:t>
                      </w:r>
                      <w:r w:rsidRPr="00FD65B1">
                        <w:rPr>
                          <w:rFonts w:ascii="Söhne" w:hAnsi="Söhne" w:cs="Arial"/>
                          <w:b/>
                          <w:bCs/>
                          <w:sz w:val="18"/>
                          <w:szCs w:val="18"/>
                          <w:u w:val="double"/>
                        </w:rPr>
                        <w:t>y</w:t>
                      </w:r>
                      <w:r w:rsidRPr="00FD65B1">
                        <w:rPr>
                          <w:rFonts w:ascii="Söhne" w:hAnsi="Söhne" w:cs="Arial"/>
                          <w:sz w:val="18"/>
                          <w:szCs w:val="18"/>
                          <w:u w:val="double"/>
                        </w:rPr>
                        <w:t xml:space="preserve"> is</w:t>
                      </w:r>
                      <w:r w:rsidR="00667CDB" w:rsidRPr="00FD65B1">
                        <w:rPr>
                          <w:rFonts w:ascii="Söhne" w:hAnsi="Söhne" w:cs="Arial"/>
                          <w:sz w:val="18"/>
                          <w:szCs w:val="18"/>
                          <w:u w:val="double"/>
                        </w:rPr>
                        <w:t xml:space="preserve"> required when a validated test is used in a new laboratory to ensure that</w:t>
                      </w:r>
                      <w:r w:rsidR="00004CEC" w:rsidRPr="00FD65B1">
                        <w:rPr>
                          <w:rFonts w:ascii="Söhne" w:hAnsi="Söhne" w:cs="Arial"/>
                          <w:sz w:val="18"/>
                          <w:szCs w:val="18"/>
                          <w:u w:val="double"/>
                        </w:rPr>
                        <w:t xml:space="preserve"> results from the original validation study can be verified and overall </w:t>
                      </w:r>
                      <w:r w:rsidR="00667CDB" w:rsidRPr="00FD65B1">
                        <w:rPr>
                          <w:rFonts w:ascii="Söhne" w:hAnsi="Söhne" w:cs="Arial"/>
                          <w:sz w:val="18"/>
                          <w:szCs w:val="18"/>
                          <w:u w:val="double"/>
                        </w:rPr>
                        <w:t>test performance is comparable.</w:t>
                      </w:r>
                    </w:p>
                  </w:txbxContent>
                </v:textbox>
                <w10:wrap type="square"/>
              </v:shape>
            </w:pict>
          </mc:Fallback>
        </mc:AlternateContent>
      </w:r>
      <w:r w:rsidR="00667CDB" w:rsidRPr="008E20C4">
        <w:rPr>
          <w:lang w:val="en-IE"/>
        </w:rPr>
        <w:t xml:space="preserve">If a laboratory is considering the use of a validated commercial kit or a candidate assay based on published literature with validation data, some form of verification will be required to determine whether the assay complies with either the kit </w:t>
      </w:r>
      <w:proofErr w:type="gramStart"/>
      <w:r w:rsidR="00667CDB" w:rsidRPr="008E20C4">
        <w:rPr>
          <w:lang w:val="en-IE"/>
        </w:rPr>
        <w:t>manufacturer’s</w:t>
      </w:r>
      <w:proofErr w:type="gramEnd"/>
      <w:r w:rsidR="00667CDB" w:rsidRPr="008E20C4">
        <w:rPr>
          <w:lang w:val="en-IE"/>
        </w:rPr>
        <w:t xml:space="preserve"> or the author’s assertions, with respect to Stage 1 validation criteria, in the context of the intended application. This may require a limited verification of both </w:t>
      </w:r>
      <w:proofErr w:type="spellStart"/>
      <w:r w:rsidR="00667CDB" w:rsidRPr="008E20C4">
        <w:rPr>
          <w:lang w:val="en-IE"/>
        </w:rPr>
        <w:t>ASp</w:t>
      </w:r>
      <w:proofErr w:type="spellEnd"/>
      <w:r w:rsidR="00667CDB" w:rsidRPr="008E20C4">
        <w:rPr>
          <w:lang w:val="en-IE"/>
        </w:rPr>
        <w:t xml:space="preserve"> and </w:t>
      </w:r>
      <w:proofErr w:type="spellStart"/>
      <w:r w:rsidR="00667CDB" w:rsidRPr="008E20C4">
        <w:rPr>
          <w:lang w:val="en-IE"/>
        </w:rPr>
        <w:t>ASe</w:t>
      </w:r>
      <w:proofErr w:type="spellEnd"/>
      <w:r w:rsidR="00667CDB" w:rsidRPr="008E20C4">
        <w:rPr>
          <w:lang w:val="en-IE"/>
        </w:rPr>
        <w:t xml:space="preserve"> using available reference materials, whether they be external and/or locally acquired from the target population. Once the laboratory is confident that the assay is performing as described from an analytical perspective, then proceeding to a limited Stage 2 validation should be considered in the context of the intended application and target population before the assay is put into routine diagnostic use</w:t>
      </w:r>
      <w:r w:rsidR="006F5BE6" w:rsidRPr="008E20C4">
        <w:rPr>
          <w:lang w:val="en-IE"/>
        </w:rPr>
        <w:t xml:space="preserve"> </w:t>
      </w:r>
      <w:r w:rsidR="006F5BE6" w:rsidRPr="008E20C4">
        <w:rPr>
          <w:u w:val="double"/>
          <w:lang w:val="en-IE"/>
        </w:rPr>
        <w:t>(Kirkland &amp; Newberry</w:t>
      </w:r>
      <w:r w:rsidR="00FD65B1" w:rsidRPr="008E20C4">
        <w:rPr>
          <w:u w:val="double"/>
          <w:lang w:val="en-IE"/>
        </w:rPr>
        <w:t>,</w:t>
      </w:r>
      <w:r w:rsidR="006F5BE6" w:rsidRPr="008E20C4">
        <w:rPr>
          <w:u w:val="double"/>
          <w:lang w:val="en-IE"/>
        </w:rPr>
        <w:t xml:space="preserve"> 2021)</w:t>
      </w:r>
      <w:r w:rsidR="00667CDB" w:rsidRPr="008E20C4">
        <w:rPr>
          <w:lang w:val="en-IE"/>
        </w:rPr>
        <w:t xml:space="preserve">. </w:t>
      </w:r>
    </w:p>
    <w:p w14:paraId="28713989" w14:textId="3F471B76" w:rsidR="00CF5A39" w:rsidRPr="008E20C4" w:rsidRDefault="00CF5A39" w:rsidP="005F5894">
      <w:pPr>
        <w:pStyle w:val="1"/>
        <w:rPr>
          <w:b/>
          <w:u w:val="double"/>
          <w:lang w:val="en-IE"/>
        </w:rPr>
      </w:pPr>
      <w:r w:rsidRPr="008E20C4">
        <w:rPr>
          <w:b/>
          <w:u w:val="double"/>
          <w:lang w:val="en-IE"/>
        </w:rPr>
        <w:t>7.</w:t>
      </w:r>
      <w:r w:rsidR="008A0D98" w:rsidRPr="008E20C4">
        <w:rPr>
          <w:b/>
          <w:u w:val="double"/>
          <w:lang w:val="en-IE"/>
        </w:rPr>
        <w:tab/>
      </w:r>
      <w:r w:rsidRPr="008E20C4">
        <w:rPr>
          <w:b/>
          <w:u w:val="double"/>
          <w:lang w:val="en-IE"/>
        </w:rPr>
        <w:t xml:space="preserve"> New </w:t>
      </w:r>
      <w:r w:rsidR="00FD65B1" w:rsidRPr="008E20C4">
        <w:rPr>
          <w:b/>
          <w:u w:val="double"/>
          <w:lang w:val="en-IE"/>
        </w:rPr>
        <w:t>technologies</w:t>
      </w:r>
    </w:p>
    <w:p w14:paraId="54A0AC18" w14:textId="6E8A54C4" w:rsidR="008A0D98" w:rsidRPr="008E20C4" w:rsidRDefault="008A0D98" w:rsidP="005F5894">
      <w:pPr>
        <w:pStyle w:val="1Para"/>
        <w:rPr>
          <w:rFonts w:ascii="Times New Roman" w:hAnsi="Times New Roman"/>
          <w:szCs w:val="24"/>
          <w:u w:val="double"/>
          <w:lang w:val="en-IE"/>
        </w:rPr>
      </w:pPr>
      <w:r w:rsidRPr="008E20C4">
        <w:rPr>
          <w:u w:val="double"/>
          <w:lang w:val="en-IE"/>
        </w:rPr>
        <w:t>The u</w:t>
      </w:r>
      <w:r w:rsidR="001C1977" w:rsidRPr="008E20C4">
        <w:rPr>
          <w:u w:val="double"/>
          <w:lang w:val="en-IE"/>
        </w:rPr>
        <w:t>se</w:t>
      </w:r>
      <w:r w:rsidRPr="008E20C4">
        <w:rPr>
          <w:u w:val="double"/>
          <w:lang w:val="en-IE"/>
        </w:rPr>
        <w:t xml:space="preserve"> of </w:t>
      </w:r>
      <w:r w:rsidR="00F23053" w:rsidRPr="008E20C4">
        <w:rPr>
          <w:u w:val="double"/>
          <w:lang w:val="en-IE"/>
        </w:rPr>
        <w:t>high-throughput sequencing (HTS)</w:t>
      </w:r>
      <w:r w:rsidRPr="008E20C4">
        <w:rPr>
          <w:u w:val="double"/>
          <w:lang w:val="en-IE"/>
        </w:rPr>
        <w:t xml:space="preserve"> and opportunities for its application to diagnosis are growing rapidly; the major purposes are unbiased sequencing for pathogen discovery and targeted sequencing for detection and further characterisation. If the assay is used for detecting previously unidentified microorganisms, such as during an outbreak investigation, then the primary purpose is diagnostic. If the assay is used to further characterise a previously identified pathogen or to follow the molecular epidemiology of the pathogen during an outbreak, then its general purpose can be described as an </w:t>
      </w:r>
      <w:r w:rsidR="00DD469D" w:rsidRPr="008E20C4">
        <w:rPr>
          <w:u w:val="double"/>
          <w:lang w:val="en-IE"/>
        </w:rPr>
        <w:t xml:space="preserve">ancillary </w:t>
      </w:r>
      <w:r w:rsidRPr="008E20C4">
        <w:rPr>
          <w:u w:val="double"/>
          <w:lang w:val="en-IE"/>
        </w:rPr>
        <w:t>test. In the absence of a known target analyte, following a traditional validation pathway is not possible. Monitoring quality metrics such as depth of coverage, uniformity of coverage, GC bias, base-call quality scores, decline in signal intensity or read-length, mapping quality and the inclusion of internal controls</w:t>
      </w:r>
      <w:r w:rsidR="008C6A65" w:rsidRPr="008E20C4">
        <w:rPr>
          <w:u w:val="double"/>
          <w:lang w:val="en-IE"/>
        </w:rPr>
        <w:t xml:space="preserve"> </w:t>
      </w:r>
      <w:r w:rsidRPr="008E20C4">
        <w:rPr>
          <w:u w:val="double"/>
          <w:lang w:val="en-IE"/>
        </w:rPr>
        <w:t xml:space="preserve">are used to assess relative performance of various </w:t>
      </w:r>
      <w:r w:rsidR="00F23053" w:rsidRPr="008E20C4">
        <w:rPr>
          <w:u w:val="double"/>
          <w:lang w:val="en-IE"/>
        </w:rPr>
        <w:t xml:space="preserve">HTS </w:t>
      </w:r>
      <w:r w:rsidRPr="008E20C4">
        <w:rPr>
          <w:u w:val="double"/>
          <w:lang w:val="en-IE"/>
        </w:rPr>
        <w:t>assays (</w:t>
      </w:r>
      <w:r w:rsidR="00710366" w:rsidRPr="008E20C4">
        <w:rPr>
          <w:u w:val="double"/>
          <w:lang w:val="en-IE"/>
        </w:rPr>
        <w:t xml:space="preserve">Halpin </w:t>
      </w:r>
      <w:r w:rsidR="00710366" w:rsidRPr="008E20C4">
        <w:rPr>
          <w:i/>
          <w:iCs/>
          <w:u w:val="double"/>
          <w:lang w:val="en-IE"/>
        </w:rPr>
        <w:t>et al.</w:t>
      </w:r>
      <w:r w:rsidR="00710366" w:rsidRPr="008E20C4">
        <w:rPr>
          <w:u w:val="double"/>
          <w:lang w:val="en-IE"/>
        </w:rPr>
        <w:t>, 2021;</w:t>
      </w:r>
      <w:r w:rsidR="00710366" w:rsidRPr="008E20C4">
        <w:rPr>
          <w:rFonts w:ascii="Times New Roman" w:hAnsi="Times New Roman"/>
          <w:szCs w:val="24"/>
          <w:u w:val="double"/>
          <w:lang w:val="en-IE"/>
        </w:rPr>
        <w:t xml:space="preserve"> </w:t>
      </w:r>
      <w:r w:rsidRPr="008E20C4">
        <w:rPr>
          <w:u w:val="double"/>
          <w:lang w:val="en-IE"/>
        </w:rPr>
        <w:t xml:space="preserve">van </w:t>
      </w:r>
      <w:proofErr w:type="spellStart"/>
      <w:r w:rsidRPr="008E20C4">
        <w:rPr>
          <w:u w:val="double"/>
          <w:lang w:val="en-IE"/>
        </w:rPr>
        <w:t>Borm</w:t>
      </w:r>
      <w:proofErr w:type="spellEnd"/>
      <w:r w:rsidRPr="008E20C4">
        <w:rPr>
          <w:u w:val="double"/>
          <w:lang w:val="en-IE"/>
        </w:rPr>
        <w:t xml:space="preserve"> </w:t>
      </w:r>
      <w:r w:rsidRPr="008E20C4">
        <w:rPr>
          <w:i/>
          <w:iCs/>
          <w:u w:val="double"/>
          <w:lang w:val="en-IE"/>
        </w:rPr>
        <w:t>et al.</w:t>
      </w:r>
      <w:r w:rsidR="00710366" w:rsidRPr="008E20C4">
        <w:rPr>
          <w:i/>
          <w:iCs/>
          <w:u w:val="double"/>
          <w:lang w:val="en-IE"/>
        </w:rPr>
        <w:t>,</w:t>
      </w:r>
      <w:r w:rsidRPr="008E20C4">
        <w:rPr>
          <w:u w:val="double"/>
          <w:lang w:val="en-IE"/>
        </w:rPr>
        <w:t xml:space="preserve"> 2016</w:t>
      </w:r>
      <w:r w:rsidR="00710366" w:rsidRPr="008E20C4">
        <w:rPr>
          <w:u w:val="double"/>
          <w:lang w:val="en-IE"/>
        </w:rPr>
        <w:t>).</w:t>
      </w:r>
    </w:p>
    <w:p w14:paraId="7B3B1A0C" w14:textId="2A05C9A9" w:rsidR="000873CE" w:rsidRPr="008E20C4" w:rsidRDefault="000873CE" w:rsidP="005F5894">
      <w:pPr>
        <w:pStyle w:val="1Para"/>
        <w:rPr>
          <w:u w:val="double"/>
          <w:lang w:val="en-IE"/>
        </w:rPr>
      </w:pPr>
      <w:r w:rsidRPr="008E20C4">
        <w:rPr>
          <w:u w:val="double"/>
          <w:lang w:val="en-IE"/>
        </w:rPr>
        <w:t xml:space="preserve">Another complexity in diagnostic test validation is the development of multiplexed assays such as </w:t>
      </w:r>
      <w:r w:rsidR="00441508" w:rsidRPr="008E20C4">
        <w:rPr>
          <w:u w:val="double"/>
          <w:lang w:val="en-IE"/>
        </w:rPr>
        <w:t xml:space="preserve">bead-based assays </w:t>
      </w:r>
      <w:r w:rsidRPr="008E20C4">
        <w:rPr>
          <w:u w:val="double"/>
          <w:lang w:val="en-IE"/>
        </w:rPr>
        <w:t>and multiplexed real-time RT-PCR/PCR where more than one target is identified. Test accuracy of each of those targets in different concentrations and distribution is important and challenging to validate.</w:t>
      </w:r>
    </w:p>
    <w:p w14:paraId="0F1AAC71" w14:textId="467FE184" w:rsidR="007F14E1" w:rsidRPr="008E20C4" w:rsidRDefault="00CF5A39" w:rsidP="007F14E1">
      <w:pPr>
        <w:pStyle w:val="1"/>
        <w:rPr>
          <w:b/>
          <w:u w:val="double"/>
          <w:lang w:val="en-IE"/>
        </w:rPr>
      </w:pPr>
      <w:r w:rsidRPr="008E20C4">
        <w:rPr>
          <w:b/>
          <w:u w:val="double"/>
          <w:lang w:val="en-IE"/>
        </w:rPr>
        <w:t>8</w:t>
      </w:r>
      <w:r w:rsidR="00812254" w:rsidRPr="008E20C4">
        <w:rPr>
          <w:b/>
          <w:u w:val="double"/>
          <w:lang w:val="en-IE"/>
        </w:rPr>
        <w:t>.</w:t>
      </w:r>
      <w:r w:rsidR="00FD65B1" w:rsidRPr="008E20C4">
        <w:rPr>
          <w:b/>
          <w:u w:val="double"/>
          <w:lang w:val="en-IE"/>
        </w:rPr>
        <w:tab/>
      </w:r>
      <w:r w:rsidR="006D576B" w:rsidRPr="008E20C4">
        <w:rPr>
          <w:b/>
          <w:u w:val="double"/>
          <w:lang w:val="en-IE"/>
        </w:rPr>
        <w:t>Conclusion</w:t>
      </w:r>
      <w:r w:rsidR="00D31C87" w:rsidRPr="008E20C4">
        <w:rPr>
          <w:b/>
          <w:u w:val="double"/>
          <w:lang w:val="en-IE"/>
        </w:rPr>
        <w:t>s</w:t>
      </w:r>
    </w:p>
    <w:p w14:paraId="72B65B49" w14:textId="73B3B5A7" w:rsidR="00D57ECC" w:rsidRPr="008E20C4" w:rsidRDefault="006D576B" w:rsidP="00D57ECC">
      <w:pPr>
        <w:pStyle w:val="1Para"/>
        <w:rPr>
          <w:i/>
          <w:iCs/>
          <w:u w:val="double"/>
          <w:lang w:val="en-IE" w:eastAsia="de-DE"/>
        </w:rPr>
      </w:pPr>
      <w:r w:rsidRPr="008E20C4">
        <w:rPr>
          <w:u w:val="double"/>
          <w:lang w:val="en-IE"/>
        </w:rPr>
        <w:t>Adequate validation and verification of the performance characteristics of diagnostic tests for infectious diseases is critical to ensuring that assays are applied and interpreted in a scientifically robust and defensible manner</w:t>
      </w:r>
      <w:r w:rsidR="00FA17CB" w:rsidRPr="008E20C4">
        <w:rPr>
          <w:u w:val="double"/>
          <w:lang w:val="en-IE"/>
        </w:rPr>
        <w:t xml:space="preserve"> (Colling &amp; Gardner</w:t>
      </w:r>
      <w:r w:rsidR="00D92511" w:rsidRPr="008E20C4">
        <w:rPr>
          <w:u w:val="double"/>
          <w:lang w:val="en-IE"/>
        </w:rPr>
        <w:t xml:space="preserve">, </w:t>
      </w:r>
      <w:r w:rsidR="00FA17CB" w:rsidRPr="008E20C4">
        <w:rPr>
          <w:u w:val="double"/>
          <w:lang w:val="en-IE"/>
        </w:rPr>
        <w:t>2021</w:t>
      </w:r>
      <w:r w:rsidR="00D92511" w:rsidRPr="008E20C4">
        <w:rPr>
          <w:u w:val="double"/>
          <w:lang w:val="en-IE"/>
        </w:rPr>
        <w:t>)</w:t>
      </w:r>
      <w:r w:rsidRPr="008E20C4">
        <w:rPr>
          <w:u w:val="double"/>
          <w:lang w:val="en-IE"/>
        </w:rPr>
        <w:t>. Since it</w:t>
      </w:r>
      <w:r w:rsidR="00FD65B1" w:rsidRPr="008E20C4">
        <w:rPr>
          <w:u w:val="double"/>
          <w:lang w:val="en-IE"/>
        </w:rPr>
        <w:t xml:space="preserve"> was</w:t>
      </w:r>
      <w:r w:rsidRPr="008E20C4">
        <w:rPr>
          <w:u w:val="double"/>
          <w:lang w:val="en-IE"/>
        </w:rPr>
        <w:t xml:space="preserve"> </w:t>
      </w:r>
      <w:r w:rsidR="0087586E" w:rsidRPr="008E20C4">
        <w:rPr>
          <w:u w:val="double"/>
          <w:lang w:val="en-IE"/>
        </w:rPr>
        <w:t>first adopt</w:t>
      </w:r>
      <w:r w:rsidR="00FD65B1" w:rsidRPr="008E20C4">
        <w:rPr>
          <w:u w:val="double"/>
          <w:lang w:val="en-IE"/>
        </w:rPr>
        <w:t>ed</w:t>
      </w:r>
      <w:r w:rsidR="0087586E" w:rsidRPr="008E20C4">
        <w:rPr>
          <w:u w:val="double"/>
          <w:lang w:val="en-IE"/>
        </w:rPr>
        <w:t xml:space="preserve"> </w:t>
      </w:r>
      <w:r w:rsidRPr="008E20C4">
        <w:rPr>
          <w:u w:val="double"/>
          <w:lang w:val="en-IE"/>
        </w:rPr>
        <w:t xml:space="preserve">in </w:t>
      </w:r>
      <w:r w:rsidR="0087586E" w:rsidRPr="008E20C4">
        <w:rPr>
          <w:u w:val="double"/>
          <w:lang w:val="en-IE"/>
        </w:rPr>
        <w:t>1996</w:t>
      </w:r>
      <w:r w:rsidRPr="008E20C4">
        <w:rPr>
          <w:u w:val="double"/>
          <w:lang w:val="en-IE"/>
        </w:rPr>
        <w:t xml:space="preserve">, the </w:t>
      </w:r>
      <w:r w:rsidR="00907D25">
        <w:rPr>
          <w:u w:val="double"/>
          <w:lang w:val="en-IE"/>
        </w:rPr>
        <w:t>WOAH</w:t>
      </w:r>
      <w:r w:rsidRPr="008E20C4">
        <w:rPr>
          <w:u w:val="double"/>
          <w:lang w:val="en-IE"/>
        </w:rPr>
        <w:t xml:space="preserve"> Assay Development and Validation Pathway </w:t>
      </w:r>
      <w:r w:rsidR="0087586E" w:rsidRPr="008E20C4">
        <w:rPr>
          <w:u w:val="double"/>
          <w:lang w:val="en-IE"/>
        </w:rPr>
        <w:t>(Fig</w:t>
      </w:r>
      <w:r w:rsidR="00E24735" w:rsidRPr="008E20C4">
        <w:rPr>
          <w:u w:val="double"/>
          <w:lang w:val="en-IE"/>
        </w:rPr>
        <w:t>ure</w:t>
      </w:r>
      <w:r w:rsidR="0087586E" w:rsidRPr="008E20C4">
        <w:rPr>
          <w:u w:val="double"/>
          <w:lang w:val="en-IE"/>
        </w:rPr>
        <w:t xml:space="preserve"> 1) </w:t>
      </w:r>
      <w:r w:rsidRPr="008E20C4">
        <w:rPr>
          <w:u w:val="double"/>
          <w:lang w:val="en-IE"/>
        </w:rPr>
        <w:t xml:space="preserve">has acted as the internationally recognised standard for the validation of veterinary diagnostic tests for infectious diseases. </w:t>
      </w:r>
    </w:p>
    <w:p w14:paraId="5974DFBC" w14:textId="4FB7294A" w:rsidR="0087586E" w:rsidRPr="008E20C4" w:rsidRDefault="006D576B" w:rsidP="005F5894">
      <w:pPr>
        <w:pStyle w:val="1Para"/>
        <w:rPr>
          <w:u w:val="double"/>
          <w:lang w:val="en-IE"/>
        </w:rPr>
      </w:pPr>
      <w:r w:rsidRPr="008E20C4">
        <w:rPr>
          <w:u w:val="double"/>
          <w:lang w:val="en-IE"/>
        </w:rPr>
        <w:t xml:space="preserve">Whilst the </w:t>
      </w:r>
      <w:r w:rsidR="00907D25">
        <w:rPr>
          <w:u w:val="double"/>
          <w:lang w:val="en-IE"/>
        </w:rPr>
        <w:t>WOAH</w:t>
      </w:r>
      <w:r w:rsidRPr="008E20C4">
        <w:rPr>
          <w:u w:val="double"/>
          <w:lang w:val="en-IE"/>
        </w:rPr>
        <w:t xml:space="preserve"> standard outlines a comprehensive approach to test validation, experience has demonstrated that assay developers continue to face </w:t>
      </w:r>
      <w:proofErr w:type="gramStart"/>
      <w:r w:rsidRPr="008E20C4">
        <w:rPr>
          <w:u w:val="double"/>
          <w:lang w:val="en-IE"/>
        </w:rPr>
        <w:t>a number of</w:t>
      </w:r>
      <w:proofErr w:type="gramEnd"/>
      <w:r w:rsidRPr="008E20C4">
        <w:rPr>
          <w:u w:val="double"/>
          <w:lang w:val="en-IE"/>
        </w:rPr>
        <w:t xml:space="preserve"> critical challenges in complying with many stages of the pathway. In identifying these obstacles, opportunities for improvement in diagnostic test validation standards, approaches and extension activities have been identified</w:t>
      </w:r>
      <w:r w:rsidR="0087586E" w:rsidRPr="008E20C4">
        <w:rPr>
          <w:u w:val="double"/>
          <w:lang w:val="en-IE"/>
        </w:rPr>
        <w:t xml:space="preserve"> and are summari</w:t>
      </w:r>
      <w:r w:rsidR="00FD65B1" w:rsidRPr="008E20C4">
        <w:rPr>
          <w:u w:val="double"/>
          <w:lang w:val="en-IE"/>
        </w:rPr>
        <w:t>s</w:t>
      </w:r>
      <w:r w:rsidR="0087586E" w:rsidRPr="008E20C4">
        <w:rPr>
          <w:u w:val="double"/>
          <w:lang w:val="en-IE"/>
        </w:rPr>
        <w:t xml:space="preserve">ed in Table </w:t>
      </w:r>
      <w:r w:rsidR="0030662B" w:rsidRPr="008E20C4">
        <w:rPr>
          <w:u w:val="double"/>
          <w:lang w:val="en-IE"/>
        </w:rPr>
        <w:t>5</w:t>
      </w:r>
      <w:r w:rsidR="00D92511" w:rsidRPr="008E20C4">
        <w:rPr>
          <w:u w:val="double"/>
          <w:lang w:val="en-IE"/>
        </w:rPr>
        <w:t xml:space="preserve"> (Reid </w:t>
      </w:r>
      <w:r w:rsidR="00D92511" w:rsidRPr="008E20C4">
        <w:rPr>
          <w:i/>
          <w:iCs/>
          <w:u w:val="double"/>
          <w:lang w:val="en-IE"/>
        </w:rPr>
        <w:t>et al</w:t>
      </w:r>
      <w:r w:rsidR="009A441B" w:rsidRPr="008E20C4">
        <w:rPr>
          <w:i/>
          <w:iCs/>
          <w:u w:val="double"/>
          <w:lang w:val="en-IE"/>
        </w:rPr>
        <w:t>.,</w:t>
      </w:r>
      <w:r w:rsidR="00D92511" w:rsidRPr="008E20C4">
        <w:rPr>
          <w:u w:val="double"/>
          <w:lang w:val="en-IE"/>
        </w:rPr>
        <w:t xml:space="preserve"> 2022)</w:t>
      </w:r>
      <w:r w:rsidRPr="008E20C4">
        <w:rPr>
          <w:u w:val="double"/>
          <w:lang w:val="en-IE"/>
        </w:rPr>
        <w:t>.</w:t>
      </w:r>
    </w:p>
    <w:p w14:paraId="566FE0F1" w14:textId="03BF281B" w:rsidR="0087586E" w:rsidRPr="008E20C4" w:rsidRDefault="0087586E" w:rsidP="00CE2C66">
      <w:pPr>
        <w:pStyle w:val="Tabletitle"/>
        <w:rPr>
          <w:lang w:val="en-IE"/>
        </w:rPr>
      </w:pPr>
      <w:r w:rsidRPr="008E20C4">
        <w:rPr>
          <w:lang w:val="en-IE"/>
        </w:rPr>
        <w:t xml:space="preserve">Table </w:t>
      </w:r>
      <w:r w:rsidR="0030662B" w:rsidRPr="008E20C4">
        <w:rPr>
          <w:lang w:val="en-IE"/>
        </w:rPr>
        <w:t>5</w:t>
      </w:r>
      <w:r w:rsidR="007E0800" w:rsidRPr="008E20C4">
        <w:rPr>
          <w:lang w:val="en-IE"/>
        </w:rPr>
        <w:t>.</w:t>
      </w:r>
      <w:r w:rsidRPr="008E20C4">
        <w:rPr>
          <w:lang w:val="en-IE"/>
        </w:rPr>
        <w:t xml:space="preserve"> Summary of challenges and opportunities for diagnostic test validation </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5670"/>
      </w:tblGrid>
      <w:tr w:rsidR="0087586E" w:rsidRPr="008E20C4" w14:paraId="306F7D3F" w14:textId="77777777" w:rsidTr="00220DD8">
        <w:tc>
          <w:tcPr>
            <w:tcW w:w="3085" w:type="dxa"/>
            <w:shd w:val="clear" w:color="auto" w:fill="auto"/>
          </w:tcPr>
          <w:p w14:paraId="1D155153" w14:textId="77777777" w:rsidR="0087586E" w:rsidRPr="008E20C4" w:rsidRDefault="0087586E" w:rsidP="00710FBA">
            <w:pPr>
              <w:spacing w:before="120" w:after="120" w:line="276" w:lineRule="auto"/>
              <w:rPr>
                <w:rFonts w:ascii="Söhne Kräftig" w:hAnsi="Söhne Kräftig" w:cs="Arial"/>
                <w:sz w:val="18"/>
                <w:szCs w:val="18"/>
                <w:u w:val="double"/>
                <w:lang w:val="en-IE"/>
              </w:rPr>
            </w:pPr>
            <w:r w:rsidRPr="008E20C4">
              <w:rPr>
                <w:rFonts w:ascii="Söhne Kräftig" w:hAnsi="Söhne Kräftig" w:cs="Arial"/>
                <w:sz w:val="18"/>
                <w:szCs w:val="18"/>
                <w:u w:val="double"/>
                <w:lang w:val="en-IE"/>
              </w:rPr>
              <w:t xml:space="preserve">Challenges </w:t>
            </w:r>
          </w:p>
        </w:tc>
        <w:tc>
          <w:tcPr>
            <w:tcW w:w="5670" w:type="dxa"/>
            <w:shd w:val="clear" w:color="auto" w:fill="auto"/>
          </w:tcPr>
          <w:p w14:paraId="55DD9379" w14:textId="77777777" w:rsidR="0087586E" w:rsidRPr="008E20C4" w:rsidRDefault="0087586E" w:rsidP="00710FBA">
            <w:pPr>
              <w:spacing w:before="120" w:after="120" w:line="276" w:lineRule="auto"/>
              <w:ind w:left="175" w:hanging="142"/>
              <w:jc w:val="left"/>
              <w:rPr>
                <w:rFonts w:ascii="Söhne Kräftig" w:hAnsi="Söhne Kräftig" w:cs="Arial"/>
                <w:sz w:val="18"/>
                <w:szCs w:val="18"/>
                <w:u w:val="double"/>
                <w:lang w:val="en-IE"/>
              </w:rPr>
            </w:pPr>
            <w:r w:rsidRPr="008E20C4">
              <w:rPr>
                <w:rFonts w:ascii="Söhne Kräftig" w:hAnsi="Söhne Kräftig" w:cs="Arial"/>
                <w:sz w:val="18"/>
                <w:szCs w:val="18"/>
                <w:u w:val="double"/>
                <w:lang w:val="en-IE"/>
              </w:rPr>
              <w:t>Opportunities</w:t>
            </w:r>
          </w:p>
        </w:tc>
      </w:tr>
      <w:tr w:rsidR="0087586E" w:rsidRPr="008E20C4" w14:paraId="57E82129" w14:textId="77777777" w:rsidTr="00220DD8">
        <w:tc>
          <w:tcPr>
            <w:tcW w:w="3085" w:type="dxa"/>
            <w:shd w:val="clear" w:color="auto" w:fill="auto"/>
          </w:tcPr>
          <w:p w14:paraId="4024B021"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What is the purpose of the test?</w:t>
            </w:r>
          </w:p>
        </w:tc>
        <w:tc>
          <w:tcPr>
            <w:tcW w:w="5670" w:type="dxa"/>
            <w:shd w:val="clear" w:color="auto" w:fill="auto"/>
          </w:tcPr>
          <w:p w14:paraId="5A85BE73" w14:textId="071299BE"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Clearly define the purpose(s) and relevant associated parameters</w:t>
            </w:r>
            <w:r w:rsidR="00F56A1B" w:rsidRPr="008E20C4">
              <w:rPr>
                <w:rFonts w:ascii="Söhne" w:hAnsi="Söhne" w:cs="Arial"/>
                <w:sz w:val="16"/>
                <w:szCs w:val="16"/>
                <w:u w:val="double"/>
                <w:lang w:val="en-IE"/>
              </w:rPr>
              <w:t xml:space="preserve">, </w:t>
            </w:r>
            <w:proofErr w:type="gramStart"/>
            <w:r w:rsidRPr="008E20C4">
              <w:rPr>
                <w:rFonts w:ascii="Söhne" w:hAnsi="Söhne" w:cs="Arial"/>
                <w:sz w:val="16"/>
                <w:szCs w:val="16"/>
                <w:u w:val="double"/>
                <w:lang w:val="en-IE"/>
              </w:rPr>
              <w:t>e.g.</w:t>
            </w:r>
            <w:proofErr w:type="gramEnd"/>
            <w:r w:rsidRPr="008E20C4">
              <w:rPr>
                <w:rFonts w:ascii="Söhne" w:hAnsi="Söhne" w:cs="Arial"/>
                <w:sz w:val="16"/>
                <w:szCs w:val="16"/>
                <w:u w:val="double"/>
                <w:lang w:val="en-IE"/>
              </w:rPr>
              <w:t xml:space="preserve"> screening test requires high diagnostic sensitivity and confirmatory test requires high diagnostic specificity</w:t>
            </w:r>
          </w:p>
        </w:tc>
      </w:tr>
      <w:tr w:rsidR="0087586E" w:rsidRPr="008E20C4" w14:paraId="029264C5" w14:textId="77777777" w:rsidTr="00220DD8">
        <w:tc>
          <w:tcPr>
            <w:tcW w:w="3085" w:type="dxa"/>
            <w:shd w:val="clear" w:color="auto" w:fill="auto"/>
          </w:tcPr>
          <w:p w14:paraId="7F4D047F"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Define scope and limitations of test</w:t>
            </w:r>
          </w:p>
        </w:tc>
        <w:tc>
          <w:tcPr>
            <w:tcW w:w="5670" w:type="dxa"/>
            <w:shd w:val="clear" w:color="auto" w:fill="auto"/>
          </w:tcPr>
          <w:p w14:paraId="48B27DD6" w14:textId="4F884ADE"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 xml:space="preserve">What can be expected from the test (scope) and what </w:t>
            </w:r>
            <w:r w:rsidR="001C1977" w:rsidRPr="008E20C4">
              <w:rPr>
                <w:rFonts w:ascii="Söhne" w:hAnsi="Söhne" w:cs="Arial"/>
                <w:sz w:val="16"/>
                <w:szCs w:val="16"/>
                <w:u w:val="double"/>
                <w:lang w:val="en-IE"/>
              </w:rPr>
              <w:t>cannot</w:t>
            </w:r>
            <w:r w:rsidRPr="008E20C4">
              <w:rPr>
                <w:rFonts w:ascii="Söhne" w:hAnsi="Söhne" w:cs="Arial"/>
                <w:sz w:val="16"/>
                <w:szCs w:val="16"/>
                <w:u w:val="double"/>
                <w:lang w:val="en-IE"/>
              </w:rPr>
              <w:t xml:space="preserve"> be expected (limitations)?</w:t>
            </w:r>
          </w:p>
        </w:tc>
      </w:tr>
      <w:tr w:rsidR="0087586E" w:rsidRPr="008E20C4" w14:paraId="30500D50" w14:textId="77777777" w:rsidTr="00220DD8">
        <w:tc>
          <w:tcPr>
            <w:tcW w:w="3085" w:type="dxa"/>
            <w:shd w:val="clear" w:color="auto" w:fill="auto"/>
          </w:tcPr>
          <w:p w14:paraId="45308DDE"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Case definition: what constitutes an infected animal and what constitutes a non-infected animal?</w:t>
            </w:r>
          </w:p>
        </w:tc>
        <w:tc>
          <w:tcPr>
            <w:tcW w:w="5670" w:type="dxa"/>
            <w:shd w:val="clear" w:color="auto" w:fill="auto"/>
          </w:tcPr>
          <w:p w14:paraId="72BF4F3F" w14:textId="17C2C420"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For example: positive in reference test(s), characteristic lesions, experimental infection, sample taken from an individual from a historical</w:t>
            </w:r>
            <w:r w:rsidR="00F56A1B" w:rsidRPr="008E20C4">
              <w:rPr>
                <w:rFonts w:ascii="Söhne" w:hAnsi="Söhne" w:cs="Arial"/>
                <w:sz w:val="16"/>
                <w:szCs w:val="16"/>
                <w:u w:val="double"/>
                <w:lang w:val="en-IE"/>
              </w:rPr>
              <w:t>ly</w:t>
            </w:r>
            <w:r w:rsidRPr="008E20C4">
              <w:rPr>
                <w:rFonts w:ascii="Söhne" w:hAnsi="Söhne" w:cs="Arial"/>
                <w:sz w:val="16"/>
                <w:szCs w:val="16"/>
                <w:u w:val="double"/>
                <w:lang w:val="en-IE"/>
              </w:rPr>
              <w:t xml:space="preserve"> negative population, etc. if infection</w:t>
            </w:r>
            <w:r w:rsidR="00F56A1B" w:rsidRPr="008E20C4">
              <w:rPr>
                <w:rFonts w:ascii="Söhne" w:hAnsi="Söhne" w:cs="Arial"/>
                <w:sz w:val="16"/>
                <w:szCs w:val="16"/>
                <w:u w:val="double"/>
                <w:lang w:val="en-IE"/>
              </w:rPr>
              <w:t xml:space="preserve"> </w:t>
            </w:r>
            <w:r w:rsidRPr="008E20C4">
              <w:rPr>
                <w:rFonts w:ascii="Söhne" w:hAnsi="Söhne" w:cs="Arial"/>
                <w:sz w:val="16"/>
                <w:szCs w:val="16"/>
                <w:u w:val="double"/>
                <w:lang w:val="en-IE"/>
              </w:rPr>
              <w:t xml:space="preserve">status is not known Bayesian </w:t>
            </w:r>
            <w:r w:rsidR="001C1977" w:rsidRPr="008E20C4">
              <w:rPr>
                <w:rFonts w:ascii="Söhne" w:hAnsi="Söhne" w:cs="Arial"/>
                <w:sz w:val="16"/>
                <w:szCs w:val="16"/>
                <w:u w:val="double"/>
                <w:lang w:val="en-IE"/>
              </w:rPr>
              <w:t xml:space="preserve">latent class model </w:t>
            </w:r>
            <w:r w:rsidRPr="008E20C4">
              <w:rPr>
                <w:rFonts w:ascii="Söhne" w:hAnsi="Söhne" w:cs="Arial"/>
                <w:sz w:val="16"/>
                <w:szCs w:val="16"/>
                <w:u w:val="double"/>
                <w:lang w:val="en-IE"/>
              </w:rPr>
              <w:t>(BLCM) may be applicable</w:t>
            </w:r>
          </w:p>
        </w:tc>
      </w:tr>
      <w:tr w:rsidR="0087586E" w:rsidRPr="008E20C4" w14:paraId="3A8C144D" w14:textId="77777777" w:rsidTr="00220DD8">
        <w:tc>
          <w:tcPr>
            <w:tcW w:w="3085" w:type="dxa"/>
            <w:shd w:val="clear" w:color="auto" w:fill="auto"/>
          </w:tcPr>
          <w:p w14:paraId="0A1B7F6C" w14:textId="7C9FDAEF"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Is reference test imperfectly accurate or likely inferior to the new test under eval</w:t>
            </w:r>
            <w:r w:rsidR="00F56A1B" w:rsidRPr="008E20C4">
              <w:rPr>
                <w:rFonts w:ascii="Söhne" w:hAnsi="Söhne" w:cs="Arial"/>
                <w:sz w:val="16"/>
                <w:szCs w:val="16"/>
                <w:u w:val="double"/>
                <w:lang w:val="en-IE"/>
              </w:rPr>
              <w:t>uation</w:t>
            </w:r>
          </w:p>
        </w:tc>
        <w:tc>
          <w:tcPr>
            <w:tcW w:w="5670" w:type="dxa"/>
            <w:shd w:val="clear" w:color="auto" w:fill="auto"/>
          </w:tcPr>
          <w:p w14:paraId="5BF3FF0A"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 xml:space="preserve">Use BLCM for estimation of diagnostic sensitivity and specificity, likelihood ratios, and other relevant parameters, </w:t>
            </w:r>
            <w:proofErr w:type="gramStart"/>
            <w:r w:rsidRPr="008E20C4">
              <w:rPr>
                <w:rFonts w:ascii="Söhne" w:hAnsi="Söhne" w:cs="Arial"/>
                <w:sz w:val="16"/>
                <w:szCs w:val="16"/>
                <w:u w:val="double"/>
                <w:lang w:val="en-IE"/>
              </w:rPr>
              <w:t>e.g.</w:t>
            </w:r>
            <w:proofErr w:type="gramEnd"/>
            <w:r w:rsidRPr="008E20C4">
              <w:rPr>
                <w:rFonts w:ascii="Söhne" w:hAnsi="Söhne" w:cs="Arial"/>
                <w:sz w:val="16"/>
                <w:szCs w:val="16"/>
                <w:u w:val="double"/>
                <w:lang w:val="en-IE"/>
              </w:rPr>
              <w:t xml:space="preserve"> prevalence </w:t>
            </w:r>
          </w:p>
        </w:tc>
      </w:tr>
      <w:tr w:rsidR="0087586E" w:rsidRPr="008E20C4" w14:paraId="34AE5272" w14:textId="77777777" w:rsidTr="00220DD8">
        <w:tc>
          <w:tcPr>
            <w:tcW w:w="3085" w:type="dxa"/>
            <w:shd w:val="clear" w:color="auto" w:fill="auto"/>
          </w:tcPr>
          <w:p w14:paraId="2AF39681"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Species and specimens</w:t>
            </w:r>
          </w:p>
        </w:tc>
        <w:tc>
          <w:tcPr>
            <w:tcW w:w="5670" w:type="dxa"/>
            <w:shd w:val="clear" w:color="auto" w:fill="auto"/>
          </w:tcPr>
          <w:p w14:paraId="5DE1A61B" w14:textId="0DCA851C"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 xml:space="preserve">Define species and specimen for which test will be validated, </w:t>
            </w:r>
            <w:proofErr w:type="gramStart"/>
            <w:r w:rsidRPr="008E20C4">
              <w:rPr>
                <w:rFonts w:ascii="Söhne" w:hAnsi="Söhne" w:cs="Arial"/>
                <w:sz w:val="16"/>
                <w:szCs w:val="16"/>
                <w:u w:val="double"/>
                <w:lang w:val="en-IE"/>
              </w:rPr>
              <w:t>e.g.</w:t>
            </w:r>
            <w:proofErr w:type="gramEnd"/>
            <w:r w:rsidRPr="008E20C4">
              <w:rPr>
                <w:rFonts w:ascii="Söhne" w:hAnsi="Söhne" w:cs="Arial"/>
                <w:sz w:val="16"/>
                <w:szCs w:val="16"/>
                <w:u w:val="double"/>
                <w:lang w:val="en-IE"/>
              </w:rPr>
              <w:t xml:space="preserve"> domestic</w:t>
            </w:r>
            <w:r w:rsidR="009A56E2" w:rsidRPr="008E20C4">
              <w:rPr>
                <w:rFonts w:ascii="Söhne" w:hAnsi="Söhne" w:cs="Arial"/>
                <w:sz w:val="16"/>
                <w:szCs w:val="16"/>
                <w:u w:val="double"/>
                <w:lang w:val="en-IE"/>
              </w:rPr>
              <w:t xml:space="preserve"> </w:t>
            </w:r>
            <w:r w:rsidRPr="008E20C4">
              <w:rPr>
                <w:rFonts w:ascii="Söhne" w:hAnsi="Söhne" w:cs="Arial"/>
                <w:sz w:val="16"/>
                <w:szCs w:val="16"/>
                <w:u w:val="double"/>
                <w:lang w:val="en-IE"/>
              </w:rPr>
              <w:t>chicken, nasopharyngeal swabs</w:t>
            </w:r>
          </w:p>
        </w:tc>
      </w:tr>
      <w:tr w:rsidR="0087586E" w:rsidRPr="008E20C4" w14:paraId="1B44B12F" w14:textId="77777777" w:rsidTr="00220DD8">
        <w:tc>
          <w:tcPr>
            <w:tcW w:w="3085" w:type="dxa"/>
            <w:shd w:val="clear" w:color="auto" w:fill="auto"/>
          </w:tcPr>
          <w:p w14:paraId="1E9DA3D3"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Source and target population</w:t>
            </w:r>
          </w:p>
        </w:tc>
        <w:tc>
          <w:tcPr>
            <w:tcW w:w="5670" w:type="dxa"/>
            <w:shd w:val="clear" w:color="auto" w:fill="auto"/>
          </w:tcPr>
          <w:p w14:paraId="20A2A946"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 xml:space="preserve">Is source population (where test was validated) </w:t>
            </w:r>
            <w:proofErr w:type="gramStart"/>
            <w:r w:rsidRPr="008E20C4">
              <w:rPr>
                <w:rFonts w:ascii="Söhne" w:hAnsi="Söhne" w:cs="Arial"/>
                <w:sz w:val="16"/>
                <w:szCs w:val="16"/>
                <w:u w:val="double"/>
                <w:lang w:val="en-IE"/>
              </w:rPr>
              <w:t>similar to</w:t>
            </w:r>
            <w:proofErr w:type="gramEnd"/>
            <w:r w:rsidRPr="008E20C4">
              <w:rPr>
                <w:rFonts w:ascii="Söhne" w:hAnsi="Söhne" w:cs="Arial"/>
                <w:sz w:val="16"/>
                <w:szCs w:val="16"/>
                <w:u w:val="double"/>
                <w:lang w:val="en-IE"/>
              </w:rPr>
              <w:t xml:space="preserve"> target populations (where test will be applied)?</w:t>
            </w:r>
          </w:p>
        </w:tc>
      </w:tr>
      <w:tr w:rsidR="0087586E" w:rsidRPr="008E20C4" w14:paraId="125B72F1" w14:textId="77777777" w:rsidTr="00220DD8">
        <w:tc>
          <w:tcPr>
            <w:tcW w:w="3085" w:type="dxa"/>
            <w:shd w:val="clear" w:color="auto" w:fill="auto"/>
          </w:tcPr>
          <w:p w14:paraId="354E07E1" w14:textId="547A46E0"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lastRenderedPageBreak/>
              <w:t>Design, analysis, interpretation and reporting of validation/verification</w:t>
            </w:r>
            <w:r w:rsidR="00F56A1B" w:rsidRPr="008E20C4">
              <w:rPr>
                <w:rFonts w:ascii="Söhne" w:hAnsi="Söhne" w:cs="Arial"/>
                <w:sz w:val="16"/>
                <w:szCs w:val="16"/>
                <w:u w:val="double"/>
                <w:lang w:val="en-IE"/>
              </w:rPr>
              <w:t xml:space="preserve"> </w:t>
            </w:r>
            <w:r w:rsidRPr="008E20C4">
              <w:rPr>
                <w:rFonts w:ascii="Söhne" w:hAnsi="Söhne" w:cs="Arial"/>
                <w:sz w:val="16"/>
                <w:szCs w:val="16"/>
                <w:u w:val="double"/>
                <w:lang w:val="en-IE"/>
              </w:rPr>
              <w:t>studies (lack of original validation data)?</w:t>
            </w:r>
          </w:p>
        </w:tc>
        <w:tc>
          <w:tcPr>
            <w:tcW w:w="5670" w:type="dxa"/>
            <w:shd w:val="clear" w:color="auto" w:fill="auto"/>
          </w:tcPr>
          <w:p w14:paraId="0D91183C" w14:textId="222EE0F9" w:rsidR="0087586E" w:rsidRPr="008E20C4" w:rsidRDefault="006D54CD"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i/>
                <w:iCs/>
                <w:sz w:val="16"/>
                <w:szCs w:val="16"/>
                <w:u w:val="double"/>
                <w:lang w:val="en-IE"/>
              </w:rPr>
              <w:t>Terrestrial Manual</w:t>
            </w:r>
            <w:r w:rsidR="0087586E" w:rsidRPr="008E20C4">
              <w:rPr>
                <w:rFonts w:ascii="Söhne" w:hAnsi="Söhne" w:cs="Arial"/>
                <w:sz w:val="16"/>
                <w:szCs w:val="16"/>
                <w:u w:val="double"/>
                <w:lang w:val="en-IE"/>
              </w:rPr>
              <w:t xml:space="preserve"> chapters 1.1.6, 2.2.1</w:t>
            </w:r>
            <w:r w:rsidRPr="008E20C4">
              <w:rPr>
                <w:rFonts w:ascii="Söhne" w:hAnsi="Söhne" w:cs="Arial"/>
                <w:sz w:val="16"/>
                <w:szCs w:val="16"/>
                <w:u w:val="double"/>
                <w:lang w:val="en-IE"/>
              </w:rPr>
              <w:t>–</w:t>
            </w:r>
            <w:r w:rsidR="0087586E" w:rsidRPr="008E20C4">
              <w:rPr>
                <w:rFonts w:ascii="Söhne" w:hAnsi="Söhne" w:cs="Arial"/>
                <w:sz w:val="16"/>
                <w:szCs w:val="16"/>
                <w:u w:val="double"/>
                <w:lang w:val="en-IE"/>
              </w:rPr>
              <w:t xml:space="preserve">2.2.8, </w:t>
            </w:r>
            <w:r w:rsidR="00907D25">
              <w:rPr>
                <w:rFonts w:ascii="Söhne" w:hAnsi="Söhne" w:cs="Arial"/>
                <w:sz w:val="16"/>
                <w:szCs w:val="16"/>
                <w:u w:val="double"/>
                <w:lang w:val="en-IE"/>
              </w:rPr>
              <w:t>WOAH</w:t>
            </w:r>
            <w:r w:rsidR="0087586E" w:rsidRPr="008E20C4">
              <w:rPr>
                <w:rFonts w:ascii="Söhne" w:hAnsi="Söhne" w:cs="Arial"/>
                <w:sz w:val="16"/>
                <w:szCs w:val="16"/>
                <w:u w:val="double"/>
                <w:lang w:val="en-IE"/>
              </w:rPr>
              <w:t xml:space="preserve"> certification and registration process, STARD, </w:t>
            </w:r>
            <w:proofErr w:type="spellStart"/>
            <w:r w:rsidR="0087586E" w:rsidRPr="008E20C4">
              <w:rPr>
                <w:rFonts w:ascii="Söhne" w:hAnsi="Söhne" w:cs="Arial"/>
                <w:sz w:val="16"/>
                <w:szCs w:val="16"/>
                <w:u w:val="double"/>
                <w:lang w:val="en-IE"/>
              </w:rPr>
              <w:t>ParaTB</w:t>
            </w:r>
            <w:proofErr w:type="spellEnd"/>
            <w:r w:rsidR="0087586E" w:rsidRPr="008E20C4">
              <w:rPr>
                <w:rFonts w:ascii="Söhne" w:hAnsi="Söhne" w:cs="Arial"/>
                <w:sz w:val="16"/>
                <w:szCs w:val="16"/>
                <w:u w:val="double"/>
                <w:lang w:val="en-IE"/>
              </w:rPr>
              <w:t>, Aquatic, BLCM, ISO/IEC 17025:2017, validation templates from national and international organi</w:t>
            </w:r>
            <w:r w:rsidR="00C52B5F" w:rsidRPr="008E20C4">
              <w:rPr>
                <w:rFonts w:ascii="Söhne" w:hAnsi="Söhne" w:cs="Arial"/>
                <w:sz w:val="16"/>
                <w:szCs w:val="16"/>
                <w:u w:val="double"/>
                <w:lang w:val="en-IE"/>
              </w:rPr>
              <w:t>s</w:t>
            </w:r>
            <w:r w:rsidR="0087586E" w:rsidRPr="008E20C4">
              <w:rPr>
                <w:rFonts w:ascii="Söhne" w:hAnsi="Söhne" w:cs="Arial"/>
                <w:sz w:val="16"/>
                <w:szCs w:val="16"/>
                <w:u w:val="double"/>
                <w:lang w:val="en-IE"/>
              </w:rPr>
              <w:t xml:space="preserve">ations &amp; workshops provided by </w:t>
            </w:r>
            <w:r w:rsidR="00907D25">
              <w:rPr>
                <w:rFonts w:ascii="Söhne" w:hAnsi="Söhne" w:cs="Arial"/>
                <w:sz w:val="16"/>
                <w:szCs w:val="16"/>
                <w:u w:val="double"/>
                <w:lang w:val="en-IE"/>
              </w:rPr>
              <w:t>WOAH</w:t>
            </w:r>
            <w:r w:rsidR="0087586E" w:rsidRPr="008E20C4">
              <w:rPr>
                <w:rFonts w:ascii="Söhne" w:hAnsi="Söhne" w:cs="Arial"/>
                <w:sz w:val="16"/>
                <w:szCs w:val="16"/>
                <w:u w:val="double"/>
                <w:lang w:val="en-IE"/>
              </w:rPr>
              <w:t xml:space="preserve"> </w:t>
            </w:r>
            <w:r w:rsidR="001C1977" w:rsidRPr="008E20C4">
              <w:rPr>
                <w:rFonts w:ascii="Söhne" w:hAnsi="Söhne" w:cs="Arial"/>
                <w:sz w:val="16"/>
                <w:szCs w:val="16"/>
                <w:u w:val="double"/>
                <w:lang w:val="en-IE"/>
              </w:rPr>
              <w:t xml:space="preserve">Reference Laboratories </w:t>
            </w:r>
            <w:r w:rsidR="0087586E" w:rsidRPr="008E20C4">
              <w:rPr>
                <w:rFonts w:ascii="Söhne" w:hAnsi="Söhne" w:cs="Arial"/>
                <w:sz w:val="16"/>
                <w:szCs w:val="16"/>
                <w:u w:val="double"/>
                <w:lang w:val="en-IE"/>
              </w:rPr>
              <w:t xml:space="preserve">and </w:t>
            </w:r>
            <w:r w:rsidR="001C1977" w:rsidRPr="008E20C4">
              <w:rPr>
                <w:rFonts w:ascii="Söhne" w:hAnsi="Söhne" w:cs="Arial"/>
                <w:sz w:val="16"/>
                <w:szCs w:val="16"/>
                <w:u w:val="double"/>
                <w:lang w:val="en-IE"/>
              </w:rPr>
              <w:t>Collaborating Centres</w:t>
            </w:r>
          </w:p>
        </w:tc>
      </w:tr>
      <w:tr w:rsidR="0087586E" w:rsidRPr="008E20C4" w14:paraId="525B6420" w14:textId="77777777" w:rsidTr="00220DD8">
        <w:tc>
          <w:tcPr>
            <w:tcW w:w="3085" w:type="dxa"/>
            <w:shd w:val="clear" w:color="auto" w:fill="auto"/>
          </w:tcPr>
          <w:p w14:paraId="5955436B" w14:textId="77777777"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284" w:hanging="218"/>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Lack of samples (new and emerging, rare diseases, subclinical, wildlife diseases etc.)</w:t>
            </w:r>
          </w:p>
        </w:tc>
        <w:tc>
          <w:tcPr>
            <w:tcW w:w="5670" w:type="dxa"/>
            <w:shd w:val="clear" w:color="auto" w:fill="auto"/>
          </w:tcPr>
          <w:p w14:paraId="37083EBB" w14:textId="4D635CBF" w:rsidR="0087586E" w:rsidRPr="008E20C4" w:rsidRDefault="0087586E" w:rsidP="003D491F">
            <w:pPr>
              <w:numPr>
                <w:ilvl w:val="0"/>
                <w:numId w:val="2"/>
              </w:numPr>
              <w:tabs>
                <w:tab w:val="clear" w:pos="-720"/>
              </w:tabs>
              <w:suppressAutoHyphens/>
              <w:overflowPunct w:val="0"/>
              <w:autoSpaceDE w:val="0"/>
              <w:autoSpaceDN w:val="0"/>
              <w:adjustRightInd w:val="0"/>
              <w:spacing w:before="60" w:after="60" w:line="240" w:lineRule="auto"/>
              <w:ind w:left="344"/>
              <w:jc w:val="left"/>
              <w:textAlignment w:val="baseline"/>
              <w:rPr>
                <w:rFonts w:ascii="Söhne" w:hAnsi="Söhne" w:cs="Arial"/>
                <w:sz w:val="16"/>
                <w:szCs w:val="16"/>
                <w:u w:val="double"/>
                <w:lang w:val="en-IE"/>
              </w:rPr>
            </w:pPr>
            <w:r w:rsidRPr="008E20C4">
              <w:rPr>
                <w:rFonts w:ascii="Söhne" w:hAnsi="Söhne" w:cs="Arial"/>
                <w:sz w:val="16"/>
                <w:szCs w:val="16"/>
                <w:u w:val="double"/>
                <w:lang w:val="en-IE"/>
              </w:rPr>
              <w:t>Reference panels</w:t>
            </w:r>
            <w:r w:rsidR="008D19A7" w:rsidRPr="008E20C4">
              <w:rPr>
                <w:rFonts w:ascii="Söhne" w:hAnsi="Söhne" w:cs="Arial"/>
                <w:sz w:val="16"/>
                <w:szCs w:val="16"/>
                <w:u w:val="double"/>
                <w:lang w:val="en-IE"/>
              </w:rPr>
              <w:t xml:space="preserve"> of well described samples</w:t>
            </w:r>
            <w:r w:rsidRPr="008E20C4">
              <w:rPr>
                <w:rFonts w:ascii="Söhne" w:hAnsi="Söhne" w:cs="Arial"/>
                <w:sz w:val="16"/>
                <w:szCs w:val="16"/>
                <w:u w:val="double"/>
                <w:lang w:val="en-IE"/>
              </w:rPr>
              <w:t>, if available, and samples for Interlaboratory Comparison (Network collaboration, “</w:t>
            </w:r>
            <w:proofErr w:type="spellStart"/>
            <w:r w:rsidRPr="008E20C4">
              <w:rPr>
                <w:rFonts w:ascii="Söhne" w:hAnsi="Söhne" w:cs="Arial"/>
                <w:sz w:val="16"/>
                <w:szCs w:val="16"/>
                <w:u w:val="double"/>
                <w:lang w:val="en-IE"/>
              </w:rPr>
              <w:t>Vetlab</w:t>
            </w:r>
            <w:proofErr w:type="spellEnd"/>
            <w:r w:rsidRPr="008E20C4">
              <w:rPr>
                <w:rFonts w:ascii="Söhne" w:hAnsi="Söhne" w:cs="Arial"/>
                <w:sz w:val="16"/>
                <w:szCs w:val="16"/>
                <w:u w:val="double"/>
                <w:lang w:val="en-IE"/>
              </w:rPr>
              <w:t>”), Provisional Recognition</w:t>
            </w:r>
          </w:p>
        </w:tc>
      </w:tr>
    </w:tbl>
    <w:p w14:paraId="6731EC36" w14:textId="2F2445E8" w:rsidR="00255DE7" w:rsidRPr="008E20C4" w:rsidRDefault="00255DE7" w:rsidP="009A441B">
      <w:pPr>
        <w:pStyle w:val="1Para"/>
        <w:spacing w:before="240" w:after="480"/>
        <w:rPr>
          <w:u w:val="double"/>
          <w:lang w:val="en-IE" w:eastAsia="de-DE"/>
        </w:rPr>
      </w:pPr>
      <w:r w:rsidRPr="008E20C4">
        <w:rPr>
          <w:bCs/>
          <w:color w:val="000000"/>
          <w:u w:val="double"/>
          <w:lang w:val="en-IE" w:eastAsia="de-DE"/>
        </w:rPr>
        <w:t xml:space="preserve">The thoroughness with which assays should be validated might seem a daunting task for diagnostic laboratories and research teams. However, resources are available to help plan and guide validation and verification studies, including relevant chapters of the </w:t>
      </w:r>
      <w:r w:rsidR="00907D25">
        <w:rPr>
          <w:bCs/>
          <w:u w:val="double"/>
          <w:lang w:val="en-IE" w:eastAsia="de-DE"/>
        </w:rPr>
        <w:t>WOAH</w:t>
      </w:r>
      <w:r w:rsidRPr="008E20C4">
        <w:rPr>
          <w:bCs/>
          <w:color w:val="000000"/>
          <w:u w:val="double"/>
          <w:lang w:val="en-IE" w:eastAsia="de-DE"/>
        </w:rPr>
        <w:t xml:space="preserve"> </w:t>
      </w:r>
      <w:r w:rsidRPr="008E20C4">
        <w:rPr>
          <w:bCs/>
          <w:i/>
          <w:iCs/>
          <w:color w:val="000000"/>
          <w:u w:val="double"/>
          <w:lang w:val="en-IE" w:eastAsia="de-DE"/>
        </w:rPr>
        <w:t>Terrestrial Manual</w:t>
      </w:r>
      <w:r w:rsidRPr="008E20C4">
        <w:rPr>
          <w:bCs/>
          <w:color w:val="000000"/>
          <w:u w:val="double"/>
          <w:lang w:val="en-IE" w:eastAsia="de-DE"/>
        </w:rPr>
        <w:t xml:space="preserve">, the recent special issue of </w:t>
      </w:r>
      <w:r w:rsidRPr="008E20C4">
        <w:rPr>
          <w:bCs/>
          <w:u w:val="double"/>
          <w:lang w:val="en-IE" w:eastAsia="de-DE"/>
        </w:rPr>
        <w:t xml:space="preserve">the </w:t>
      </w:r>
      <w:r w:rsidR="00286118" w:rsidRPr="008E20C4">
        <w:rPr>
          <w:bCs/>
          <w:u w:val="double"/>
          <w:lang w:val="en-IE" w:eastAsia="de-DE"/>
        </w:rPr>
        <w:t>WOAH</w:t>
      </w:r>
      <w:r w:rsidRPr="008E20C4">
        <w:rPr>
          <w:bCs/>
          <w:u w:val="double"/>
          <w:lang w:val="en-IE" w:eastAsia="de-DE"/>
        </w:rPr>
        <w:t xml:space="preserve"> </w:t>
      </w:r>
      <w:r w:rsidRPr="008E20C4">
        <w:rPr>
          <w:bCs/>
          <w:i/>
          <w:iCs/>
          <w:u w:val="double"/>
          <w:lang w:val="en-IE" w:eastAsia="de-DE"/>
        </w:rPr>
        <w:t xml:space="preserve">Scientific </w:t>
      </w:r>
      <w:r w:rsidRPr="008E20C4">
        <w:rPr>
          <w:bCs/>
          <w:i/>
          <w:iCs/>
          <w:color w:val="000000"/>
          <w:u w:val="double"/>
          <w:lang w:val="en-IE" w:eastAsia="de-DE"/>
        </w:rPr>
        <w:t xml:space="preserve">and Technical Review </w:t>
      </w:r>
      <w:r w:rsidRPr="008E20C4">
        <w:rPr>
          <w:bCs/>
          <w:color w:val="000000"/>
          <w:u w:val="double"/>
          <w:lang w:val="en-IE" w:eastAsia="de-DE"/>
        </w:rPr>
        <w:t>on Diagnostic Test Validation (Colling &amp; Gardner</w:t>
      </w:r>
      <w:r w:rsidR="006D54CD" w:rsidRPr="008E20C4">
        <w:rPr>
          <w:bCs/>
          <w:color w:val="000000"/>
          <w:u w:val="double"/>
          <w:lang w:val="en-IE" w:eastAsia="de-DE"/>
        </w:rPr>
        <w:t>,</w:t>
      </w:r>
      <w:r w:rsidRPr="008E20C4">
        <w:rPr>
          <w:bCs/>
          <w:color w:val="000000"/>
          <w:u w:val="double"/>
          <w:lang w:val="en-IE" w:eastAsia="de-DE"/>
        </w:rPr>
        <w:t xml:space="preserve"> 2021</w:t>
      </w:r>
      <w:r w:rsidRPr="008E20C4">
        <w:rPr>
          <w:b/>
          <w:color w:val="000000"/>
          <w:u w:val="double"/>
          <w:lang w:val="en-IE" w:eastAsia="de-DE"/>
        </w:rPr>
        <w:t>)</w:t>
      </w:r>
      <w:r w:rsidRPr="008E20C4">
        <w:rPr>
          <w:bCs/>
          <w:color w:val="000000"/>
          <w:u w:val="double"/>
          <w:lang w:val="en-IE" w:eastAsia="de-DE"/>
        </w:rPr>
        <w:t xml:space="preserve"> and guidance documents published by national and regional accreditation bodies. </w:t>
      </w:r>
      <w:r w:rsidR="007F14E1" w:rsidRPr="008E20C4">
        <w:rPr>
          <w:bCs/>
          <w:color w:val="000000"/>
          <w:u w:val="double"/>
          <w:lang w:val="en-IE"/>
        </w:rPr>
        <w:t>International leaders in the field of diagnostic test validation, including the WOAH and their associated Reference Laboratories and Collaborating Centres, as well as national regulatory bodies, have an important role to play in continuing to develop the standards and systems required to ensure that assay developers have the resources required, and incentives, to meet their responsibilities to perform and report well designed and transparent validation studies. End users of diagnostic tests must also be supported to take responsibility to understand and verify assay performance in their own laboratories, and clearly communicate the uncertainty associated with diagnostic test results to their stakeholders</w:t>
      </w:r>
      <w:r w:rsidR="009A441B" w:rsidRPr="008E20C4">
        <w:rPr>
          <w:bCs/>
          <w:color w:val="000000"/>
          <w:u w:val="double"/>
          <w:lang w:val="en-IE"/>
        </w:rPr>
        <w:t>.</w:t>
      </w:r>
    </w:p>
    <w:p w14:paraId="4AA78ED2" w14:textId="6890088E" w:rsidR="00667CDB" w:rsidRPr="008E20C4" w:rsidRDefault="00663379" w:rsidP="001C1977">
      <w:pPr>
        <w:pStyle w:val="Referencetitle"/>
        <w:rPr>
          <w:lang w:val="en-IE"/>
        </w:rPr>
      </w:pPr>
      <w:r w:rsidRPr="008E20C4">
        <w:rPr>
          <w:lang w:val="en-IE"/>
        </w:rPr>
        <w:t>FURTHER READING</w:t>
      </w:r>
    </w:p>
    <w:p w14:paraId="17CA4DAF" w14:textId="1CB3E99E" w:rsidR="007F5B66" w:rsidRPr="008E20C4" w:rsidRDefault="007F5B66" w:rsidP="006E58E0">
      <w:pPr>
        <w:pStyle w:val="Ref"/>
        <w:rPr>
          <w:rStyle w:val="Hyperlink"/>
          <w:rFonts w:cs="Arial"/>
          <w:szCs w:val="24"/>
          <w:u w:val="double"/>
          <w:lang w:val="en-IE"/>
        </w:rPr>
      </w:pPr>
      <w:r w:rsidRPr="008E20C4">
        <w:rPr>
          <w:rFonts w:eastAsia="Calibri"/>
          <w:smallCaps/>
          <w:szCs w:val="24"/>
          <w:u w:val="double"/>
          <w:lang w:val="en-IE"/>
        </w:rPr>
        <w:t xml:space="preserve">Bath C., Scott M., Sharma P.M., Gurung R.B., </w:t>
      </w:r>
      <w:proofErr w:type="spellStart"/>
      <w:r w:rsidRPr="008E20C4">
        <w:rPr>
          <w:rFonts w:eastAsia="Calibri"/>
          <w:smallCaps/>
          <w:szCs w:val="24"/>
          <w:u w:val="double"/>
          <w:lang w:val="en-IE"/>
        </w:rPr>
        <w:t>Phuentshok</w:t>
      </w:r>
      <w:proofErr w:type="spellEnd"/>
      <w:r w:rsidRPr="008E20C4">
        <w:rPr>
          <w:rFonts w:eastAsia="Calibri"/>
          <w:smallCaps/>
          <w:szCs w:val="24"/>
          <w:u w:val="double"/>
          <w:lang w:val="en-IE"/>
        </w:rPr>
        <w:t xml:space="preserve"> Y., Pefanis S., Colling A., </w:t>
      </w:r>
      <w:proofErr w:type="spellStart"/>
      <w:r w:rsidRPr="008E20C4">
        <w:rPr>
          <w:rFonts w:eastAsia="Calibri"/>
          <w:smallCaps/>
          <w:szCs w:val="24"/>
          <w:u w:val="double"/>
          <w:lang w:val="en-IE"/>
        </w:rPr>
        <w:t>Singanallur</w:t>
      </w:r>
      <w:proofErr w:type="spellEnd"/>
      <w:r w:rsidRPr="008E20C4">
        <w:rPr>
          <w:rFonts w:eastAsia="Calibri"/>
          <w:smallCaps/>
          <w:szCs w:val="24"/>
          <w:u w:val="double"/>
          <w:lang w:val="en-IE"/>
        </w:rPr>
        <w:t xml:space="preserve"> N., Firestone S.M., </w:t>
      </w:r>
      <w:proofErr w:type="spellStart"/>
      <w:r w:rsidRPr="008E20C4">
        <w:rPr>
          <w:rFonts w:eastAsia="Calibri"/>
          <w:smallCaps/>
          <w:szCs w:val="24"/>
          <w:u w:val="double"/>
          <w:lang w:val="en-IE"/>
        </w:rPr>
        <w:t>Ungvanijban</w:t>
      </w:r>
      <w:proofErr w:type="spellEnd"/>
      <w:r w:rsidRPr="008E20C4">
        <w:rPr>
          <w:rFonts w:eastAsia="Calibri"/>
          <w:smallCaps/>
          <w:szCs w:val="24"/>
          <w:u w:val="double"/>
          <w:lang w:val="en-IE"/>
        </w:rPr>
        <w:t xml:space="preserve"> S., </w:t>
      </w:r>
      <w:proofErr w:type="spellStart"/>
      <w:r w:rsidRPr="008E20C4">
        <w:rPr>
          <w:rFonts w:eastAsia="Calibri"/>
          <w:smallCaps/>
          <w:szCs w:val="24"/>
          <w:u w:val="double"/>
          <w:lang w:val="en-IE"/>
        </w:rPr>
        <w:t>Ratthanophart</w:t>
      </w:r>
      <w:proofErr w:type="spellEnd"/>
      <w:r w:rsidRPr="008E20C4">
        <w:rPr>
          <w:rFonts w:eastAsia="Calibri"/>
          <w:smallCaps/>
          <w:szCs w:val="24"/>
          <w:u w:val="double"/>
          <w:lang w:val="en-IE"/>
        </w:rPr>
        <w:t xml:space="preserve"> J., Allen J., </w:t>
      </w:r>
      <w:proofErr w:type="spellStart"/>
      <w:r w:rsidRPr="008E20C4">
        <w:rPr>
          <w:rFonts w:eastAsia="Calibri"/>
          <w:smallCaps/>
          <w:szCs w:val="24"/>
          <w:u w:val="double"/>
          <w:lang w:val="en-IE"/>
        </w:rPr>
        <w:t>Rawlin</w:t>
      </w:r>
      <w:proofErr w:type="spellEnd"/>
      <w:r w:rsidRPr="008E20C4">
        <w:rPr>
          <w:rFonts w:eastAsia="Calibri"/>
          <w:smallCaps/>
          <w:szCs w:val="24"/>
          <w:u w:val="double"/>
          <w:lang w:val="en-IE"/>
        </w:rPr>
        <w:t xml:space="preserve"> G., </w:t>
      </w:r>
      <w:proofErr w:type="spellStart"/>
      <w:r w:rsidRPr="008E20C4">
        <w:rPr>
          <w:rFonts w:eastAsia="Calibri"/>
          <w:smallCaps/>
          <w:szCs w:val="24"/>
          <w:u w:val="double"/>
          <w:lang w:val="en-IE"/>
        </w:rPr>
        <w:t>Fegan</w:t>
      </w:r>
      <w:proofErr w:type="spellEnd"/>
      <w:r w:rsidRPr="008E20C4">
        <w:rPr>
          <w:rFonts w:eastAsia="Calibri"/>
          <w:smallCaps/>
          <w:szCs w:val="24"/>
          <w:u w:val="double"/>
          <w:lang w:val="en-IE"/>
        </w:rPr>
        <w:t xml:space="preserve"> M. &amp; </w:t>
      </w:r>
      <w:proofErr w:type="spellStart"/>
      <w:r w:rsidRPr="008E20C4">
        <w:rPr>
          <w:rFonts w:eastAsia="Calibri"/>
          <w:smallCaps/>
          <w:szCs w:val="24"/>
          <w:u w:val="double"/>
          <w:lang w:val="en-IE"/>
        </w:rPr>
        <w:t>Rodoni</w:t>
      </w:r>
      <w:proofErr w:type="spellEnd"/>
      <w:r w:rsidRPr="008E20C4">
        <w:rPr>
          <w:rFonts w:eastAsia="Calibri"/>
          <w:smallCaps/>
          <w:szCs w:val="24"/>
          <w:u w:val="double"/>
          <w:lang w:val="en-IE"/>
        </w:rPr>
        <w:t xml:space="preserve"> B.</w:t>
      </w:r>
      <w:r w:rsidRPr="008E20C4">
        <w:rPr>
          <w:rFonts w:eastAsia="Calibri"/>
          <w:szCs w:val="24"/>
          <w:u w:val="double"/>
          <w:lang w:val="en-IE"/>
        </w:rPr>
        <w:t xml:space="preserve"> (2020). Further development of a reverse-transcription loop-mediated isothermal amplification (RT-LAMP) assay for the detection of Foot-and-Mouth Disease Virus and validation in the field with use of an internal positive control. </w:t>
      </w:r>
      <w:proofErr w:type="spellStart"/>
      <w:r w:rsidRPr="008E20C4">
        <w:rPr>
          <w:rFonts w:eastAsia="Calibri"/>
          <w:i/>
          <w:iCs/>
          <w:szCs w:val="24"/>
          <w:u w:val="double"/>
          <w:lang w:val="en-IE"/>
        </w:rPr>
        <w:t>Transbound</w:t>
      </w:r>
      <w:proofErr w:type="spellEnd"/>
      <w:r w:rsidRPr="008E20C4">
        <w:rPr>
          <w:rFonts w:eastAsia="Calibri"/>
          <w:i/>
          <w:iCs/>
          <w:szCs w:val="24"/>
          <w:u w:val="double"/>
          <w:lang w:val="en-IE"/>
        </w:rPr>
        <w:t xml:space="preserve">. </w:t>
      </w:r>
      <w:proofErr w:type="spellStart"/>
      <w:r w:rsidRPr="008E20C4">
        <w:rPr>
          <w:rFonts w:eastAsia="Calibri"/>
          <w:i/>
          <w:iCs/>
          <w:szCs w:val="24"/>
          <w:u w:val="double"/>
          <w:lang w:val="en-IE"/>
        </w:rPr>
        <w:t>Emerg</w:t>
      </w:r>
      <w:proofErr w:type="spellEnd"/>
      <w:r w:rsidRPr="008E20C4">
        <w:rPr>
          <w:rFonts w:eastAsia="Calibri"/>
          <w:i/>
          <w:iCs/>
          <w:szCs w:val="24"/>
          <w:u w:val="double"/>
          <w:lang w:val="en-IE"/>
        </w:rPr>
        <w:t>. Dis.,</w:t>
      </w:r>
      <w:r w:rsidRPr="008E20C4">
        <w:rPr>
          <w:rFonts w:eastAsia="Calibri"/>
          <w:szCs w:val="24"/>
          <w:u w:val="double"/>
          <w:lang w:val="en-IE"/>
        </w:rPr>
        <w:t xml:space="preserve"> </w:t>
      </w:r>
      <w:r w:rsidRPr="008E20C4">
        <w:rPr>
          <w:rFonts w:eastAsia="Calibri"/>
          <w:b/>
          <w:bCs/>
          <w:szCs w:val="24"/>
          <w:u w:val="double"/>
          <w:lang w:val="en-IE"/>
        </w:rPr>
        <w:t>67</w:t>
      </w:r>
      <w:r w:rsidRPr="008E20C4">
        <w:rPr>
          <w:rFonts w:eastAsia="Calibri"/>
          <w:szCs w:val="24"/>
          <w:u w:val="double"/>
          <w:lang w:val="en-IE"/>
        </w:rPr>
        <w:t>, 2494–2506</w:t>
      </w:r>
      <w:r w:rsidRPr="008E20C4">
        <w:rPr>
          <w:szCs w:val="24"/>
          <w:u w:val="double"/>
          <w:lang w:val="en-IE"/>
        </w:rPr>
        <w:t xml:space="preserve">. </w:t>
      </w:r>
      <w:hyperlink r:id="rId32" w:history="1">
        <w:r w:rsidRPr="008E20C4">
          <w:rPr>
            <w:rStyle w:val="Hyperlink"/>
            <w:rFonts w:cs="Arial"/>
            <w:u w:val="double"/>
            <w:lang w:val="en-IE"/>
          </w:rPr>
          <w:t>http://dx.doi.org/10.1111/tbed.13589</w:t>
        </w:r>
      </w:hyperlink>
      <w:r w:rsidRPr="008E20C4">
        <w:rPr>
          <w:rStyle w:val="Hyperlink"/>
          <w:rFonts w:cs="Arial"/>
          <w:szCs w:val="24"/>
          <w:u w:val="double"/>
          <w:lang w:val="en-IE"/>
        </w:rPr>
        <w:t>.</w:t>
      </w:r>
    </w:p>
    <w:p w14:paraId="50557672" w14:textId="1B6AEDE2" w:rsidR="003B339E" w:rsidRPr="008E20C4" w:rsidRDefault="003B339E" w:rsidP="006E58E0">
      <w:pPr>
        <w:pStyle w:val="Ref"/>
        <w:rPr>
          <w:u w:val="double"/>
          <w:lang w:val="en-IE" w:eastAsia="en-AU"/>
        </w:rPr>
      </w:pPr>
      <w:r w:rsidRPr="008E20C4">
        <w:rPr>
          <w:smallCaps/>
          <w:u w:val="double"/>
          <w:lang w:val="en-IE" w:eastAsia="en-AU"/>
        </w:rPr>
        <w:t xml:space="preserve">Bowden T.R., Crowther J.R. &amp; Wang J. </w:t>
      </w:r>
      <w:r w:rsidRPr="008E20C4">
        <w:rPr>
          <w:u w:val="double"/>
          <w:lang w:val="en-IE" w:eastAsia="en-AU"/>
        </w:rPr>
        <w:t>(2021). Review of critical factors affecting analytical characteristics of serological and molecular assays.</w:t>
      </w:r>
      <w:r w:rsidRPr="008E20C4">
        <w:rPr>
          <w:i/>
          <w:iCs/>
          <w:u w:val="double"/>
          <w:lang w:val="en-IE" w:eastAsia="en-AU"/>
        </w:rPr>
        <w:t xml:space="preserve"> Rev. Sci. Tech. Off. Int. </w:t>
      </w:r>
      <w:proofErr w:type="spellStart"/>
      <w:r w:rsidRPr="008E20C4">
        <w:rPr>
          <w:i/>
          <w:iCs/>
          <w:u w:val="double"/>
          <w:lang w:val="en-IE" w:eastAsia="en-AU"/>
        </w:rPr>
        <w:t>Epiz</w:t>
      </w:r>
      <w:proofErr w:type="spellEnd"/>
      <w:r w:rsidRPr="008E20C4">
        <w:rPr>
          <w:i/>
          <w:iCs/>
          <w:u w:val="double"/>
          <w:lang w:val="en-IE" w:eastAsia="en-AU"/>
        </w:rPr>
        <w:t>.</w:t>
      </w:r>
      <w:r w:rsidRPr="008E20C4">
        <w:rPr>
          <w:u w:val="double"/>
          <w:lang w:val="en-IE" w:eastAsia="en-AU"/>
        </w:rPr>
        <w:t xml:space="preserve">, </w:t>
      </w:r>
      <w:r w:rsidRPr="008E20C4">
        <w:rPr>
          <w:b/>
          <w:bCs/>
          <w:u w:val="double"/>
          <w:lang w:val="en-IE" w:eastAsia="en-AU"/>
        </w:rPr>
        <w:t>40</w:t>
      </w:r>
      <w:r w:rsidRPr="008E20C4">
        <w:rPr>
          <w:u w:val="double"/>
          <w:lang w:val="en-IE" w:eastAsia="en-AU"/>
        </w:rPr>
        <w:t xml:space="preserve">, 53–73. </w:t>
      </w:r>
      <w:r w:rsidRPr="008E20C4">
        <w:rPr>
          <w:rFonts w:eastAsiaTheme="minorHAnsi" w:cs="Berkeley-Book"/>
          <w:u w:val="double"/>
          <w:lang w:val="en-AU" w:eastAsia="en-US"/>
        </w:rPr>
        <w:t>doi:10.20506/rst.40.1.3208.</w:t>
      </w:r>
    </w:p>
    <w:p w14:paraId="3F274B2E" w14:textId="68C2E12A" w:rsidR="00A96DF4" w:rsidRPr="008E20C4" w:rsidRDefault="00A96DF4" w:rsidP="006E58E0">
      <w:pPr>
        <w:pStyle w:val="Ref"/>
        <w:rPr>
          <w:u w:val="double"/>
          <w:lang w:val="en-IE"/>
        </w:rPr>
      </w:pPr>
      <w:proofErr w:type="spellStart"/>
      <w:r w:rsidRPr="008E20C4">
        <w:rPr>
          <w:smallCaps/>
          <w:u w:val="double"/>
          <w:lang w:val="en-IE"/>
        </w:rPr>
        <w:t>Bossuyt</w:t>
      </w:r>
      <w:proofErr w:type="spellEnd"/>
      <w:r w:rsidRPr="008E20C4">
        <w:rPr>
          <w:smallCaps/>
          <w:u w:val="double"/>
          <w:lang w:val="en-IE"/>
        </w:rPr>
        <w:t xml:space="preserve"> P.M., </w:t>
      </w:r>
      <w:proofErr w:type="spellStart"/>
      <w:r w:rsidRPr="008E20C4">
        <w:rPr>
          <w:smallCaps/>
          <w:u w:val="double"/>
          <w:lang w:val="en-IE"/>
        </w:rPr>
        <w:t>Reitsma</w:t>
      </w:r>
      <w:proofErr w:type="spellEnd"/>
      <w:r w:rsidRPr="008E20C4">
        <w:rPr>
          <w:smallCaps/>
          <w:u w:val="double"/>
          <w:lang w:val="en-IE"/>
        </w:rPr>
        <w:t xml:space="preserve"> J.B., Bruns D.E., </w:t>
      </w:r>
      <w:proofErr w:type="spellStart"/>
      <w:r w:rsidRPr="008E20C4">
        <w:rPr>
          <w:smallCaps/>
          <w:u w:val="double"/>
          <w:lang w:val="en-IE"/>
        </w:rPr>
        <w:t>Gatsonis</w:t>
      </w:r>
      <w:proofErr w:type="spellEnd"/>
      <w:r w:rsidRPr="008E20C4">
        <w:rPr>
          <w:smallCaps/>
          <w:u w:val="double"/>
          <w:lang w:val="en-IE"/>
        </w:rPr>
        <w:t xml:space="preserve"> C.A., </w:t>
      </w:r>
      <w:proofErr w:type="spellStart"/>
      <w:r w:rsidRPr="008E20C4">
        <w:rPr>
          <w:smallCaps/>
          <w:u w:val="double"/>
          <w:lang w:val="en-IE"/>
        </w:rPr>
        <w:t>Glasziou</w:t>
      </w:r>
      <w:proofErr w:type="spellEnd"/>
      <w:r w:rsidRPr="008E20C4">
        <w:rPr>
          <w:smallCaps/>
          <w:u w:val="double"/>
          <w:lang w:val="en-IE"/>
        </w:rPr>
        <w:t xml:space="preserve"> P.P., </w:t>
      </w:r>
      <w:proofErr w:type="spellStart"/>
      <w:r w:rsidRPr="008E20C4">
        <w:rPr>
          <w:smallCaps/>
          <w:u w:val="double"/>
          <w:lang w:val="en-IE"/>
        </w:rPr>
        <w:t>Irwig</w:t>
      </w:r>
      <w:proofErr w:type="spellEnd"/>
      <w:r w:rsidRPr="008E20C4">
        <w:rPr>
          <w:smallCaps/>
          <w:u w:val="double"/>
          <w:lang w:val="en-IE"/>
        </w:rPr>
        <w:t xml:space="preserve"> L., </w:t>
      </w:r>
      <w:proofErr w:type="spellStart"/>
      <w:r w:rsidRPr="008E20C4">
        <w:rPr>
          <w:smallCaps/>
          <w:u w:val="double"/>
          <w:lang w:val="en-IE"/>
        </w:rPr>
        <w:t>Lijmer</w:t>
      </w:r>
      <w:proofErr w:type="spellEnd"/>
      <w:r w:rsidRPr="008E20C4">
        <w:rPr>
          <w:smallCaps/>
          <w:u w:val="double"/>
          <w:lang w:val="en-IE"/>
        </w:rPr>
        <w:t xml:space="preserve"> J.G. Moher D., Rennie D., de Vet H.C.W., Kressel H.Y., Rifai N., Golub R.M., Altman D.G., Hooft L., </w:t>
      </w:r>
      <w:proofErr w:type="spellStart"/>
      <w:r w:rsidRPr="008E20C4">
        <w:rPr>
          <w:smallCaps/>
          <w:u w:val="double"/>
          <w:lang w:val="en-IE"/>
        </w:rPr>
        <w:t>Korevaar</w:t>
      </w:r>
      <w:proofErr w:type="spellEnd"/>
      <w:r w:rsidRPr="008E20C4">
        <w:rPr>
          <w:smallCaps/>
          <w:u w:val="double"/>
          <w:lang w:val="en-IE"/>
        </w:rPr>
        <w:t xml:space="preserve"> D.A., Cohen J.F. &amp; STARD (</w:t>
      </w:r>
      <w:r w:rsidRPr="008E20C4">
        <w:rPr>
          <w:rFonts w:cs="Segoe UI"/>
          <w:color w:val="212121"/>
          <w:u w:val="double"/>
          <w:shd w:val="clear" w:color="auto" w:fill="FFFFFF"/>
        </w:rPr>
        <w:t>Standards for Reporting Diagnostic Accuracy (STARD</w:t>
      </w:r>
      <w:proofErr w:type="gramStart"/>
      <w:r w:rsidRPr="008E20C4">
        <w:rPr>
          <w:rFonts w:cs="Segoe UI"/>
          <w:color w:val="212121"/>
          <w:u w:val="double"/>
          <w:shd w:val="clear" w:color="auto" w:fill="FFFFFF"/>
        </w:rPr>
        <w:t>) </w:t>
      </w:r>
      <w:r w:rsidRPr="008E20C4">
        <w:rPr>
          <w:smallCaps/>
          <w:u w:val="double"/>
          <w:lang w:val="en-IE"/>
        </w:rPr>
        <w:t>)</w:t>
      </w:r>
      <w:proofErr w:type="gramEnd"/>
      <w:r w:rsidRPr="008E20C4">
        <w:rPr>
          <w:smallCaps/>
          <w:u w:val="double"/>
          <w:lang w:val="en-IE"/>
        </w:rPr>
        <w:t xml:space="preserve"> Group </w:t>
      </w:r>
      <w:r w:rsidRPr="008E20C4">
        <w:rPr>
          <w:u w:val="double"/>
          <w:lang w:val="en-IE"/>
        </w:rPr>
        <w:t xml:space="preserve">(2015). STARD. An updated list of essential items for reporting diagnostic accuracy studies. </w:t>
      </w:r>
      <w:r w:rsidRPr="008E20C4">
        <w:rPr>
          <w:i/>
          <w:iCs/>
          <w:u w:val="double"/>
        </w:rPr>
        <w:t>BJM</w:t>
      </w:r>
      <w:r w:rsidRPr="008E20C4">
        <w:rPr>
          <w:u w:val="double"/>
        </w:rPr>
        <w:t xml:space="preserve">, </w:t>
      </w:r>
      <w:r w:rsidRPr="008E20C4">
        <w:rPr>
          <w:rStyle w:val="cit"/>
          <w:rFonts w:cs="Segoe UI"/>
          <w:u w:val="double"/>
        </w:rPr>
        <w:t xml:space="preserve">351:h5527. </w:t>
      </w:r>
      <w:r w:rsidRPr="008E20C4">
        <w:rPr>
          <w:rFonts w:cs="Segoe UI"/>
          <w:u w:val="double"/>
          <w:shd w:val="clear" w:color="auto" w:fill="FFFFFF"/>
        </w:rPr>
        <w:t> </w:t>
      </w:r>
      <w:proofErr w:type="spellStart"/>
      <w:r w:rsidRPr="008E20C4">
        <w:rPr>
          <w:rStyle w:val="citation-doi"/>
          <w:rFonts w:cs="Segoe UI"/>
          <w:u w:val="double"/>
          <w:shd w:val="clear" w:color="auto" w:fill="FFFFFF"/>
        </w:rPr>
        <w:t>doi</w:t>
      </w:r>
      <w:proofErr w:type="spellEnd"/>
      <w:r w:rsidRPr="008E20C4">
        <w:rPr>
          <w:rStyle w:val="citation-doi"/>
          <w:rFonts w:cs="Segoe UI"/>
          <w:u w:val="double"/>
          <w:shd w:val="clear" w:color="auto" w:fill="FFFFFF"/>
        </w:rPr>
        <w:t>: 10.1136/bmj.h5527.</w:t>
      </w:r>
    </w:p>
    <w:p w14:paraId="4A6EA402" w14:textId="77777777" w:rsidR="006E58E0" w:rsidRPr="008E20C4" w:rsidRDefault="006E58E0" w:rsidP="006E58E0">
      <w:pPr>
        <w:pStyle w:val="Ref"/>
        <w:tabs>
          <w:tab w:val="clear" w:pos="-720"/>
        </w:tabs>
        <w:rPr>
          <w:lang w:val="en-IE"/>
        </w:rPr>
      </w:pPr>
      <w:bookmarkStart w:id="11" w:name="_Hlk115188098"/>
      <w:proofErr w:type="spellStart"/>
      <w:r w:rsidRPr="008E20C4">
        <w:rPr>
          <w:smallCaps/>
          <w:lang w:val="en-IE"/>
        </w:rPr>
        <w:t>Branscum</w:t>
      </w:r>
      <w:proofErr w:type="spellEnd"/>
      <w:r w:rsidRPr="008E20C4">
        <w:rPr>
          <w:smallCaps/>
          <w:lang w:val="en-IE"/>
        </w:rPr>
        <w:t xml:space="preserve"> A.J, Gardner I.A. Johnson. W.O</w:t>
      </w:r>
      <w:r w:rsidRPr="008E20C4">
        <w:rPr>
          <w:lang w:val="en-IE"/>
        </w:rPr>
        <w:t xml:space="preserve">. (2005). Estimation of diagnostic-test sensitivity and specificity through Bayesian modelling. </w:t>
      </w:r>
      <w:r w:rsidRPr="008E20C4">
        <w:rPr>
          <w:i/>
          <w:lang w:val="en-IE"/>
        </w:rPr>
        <w:t>Prev. Vet. Med.,</w:t>
      </w:r>
      <w:r w:rsidRPr="008E20C4">
        <w:rPr>
          <w:lang w:val="en-IE"/>
        </w:rPr>
        <w:t xml:space="preserve"> </w:t>
      </w:r>
      <w:r w:rsidRPr="008E20C4">
        <w:rPr>
          <w:b/>
          <w:lang w:val="en-IE"/>
        </w:rPr>
        <w:t>68</w:t>
      </w:r>
      <w:r w:rsidRPr="008E20C4">
        <w:rPr>
          <w:lang w:val="en-IE"/>
        </w:rPr>
        <w:t>, 145–163.</w:t>
      </w:r>
    </w:p>
    <w:p w14:paraId="34FF88C0" w14:textId="77777777" w:rsidR="006E58E0" w:rsidRPr="000F1FC4" w:rsidRDefault="006E58E0" w:rsidP="006E58E0">
      <w:pPr>
        <w:pStyle w:val="Ref"/>
        <w:rPr>
          <w:u w:val="double"/>
          <w:lang w:val="en-IE"/>
        </w:rPr>
      </w:pPr>
      <w:proofErr w:type="spellStart"/>
      <w:r w:rsidRPr="008E20C4">
        <w:rPr>
          <w:rFonts w:cs="Times New Roman"/>
          <w:smallCaps/>
          <w:u w:val="double"/>
          <w:lang w:val="en-IE"/>
        </w:rPr>
        <w:t>Broemeling</w:t>
      </w:r>
      <w:proofErr w:type="spellEnd"/>
      <w:r w:rsidRPr="008E20C4">
        <w:rPr>
          <w:rFonts w:cs="Times New Roman"/>
          <w:smallCaps/>
          <w:u w:val="double"/>
          <w:lang w:val="en-IE"/>
        </w:rPr>
        <w:t xml:space="preserve"> L.D. (2011</w:t>
      </w:r>
      <w:r w:rsidRPr="008E20C4">
        <w:rPr>
          <w:rFonts w:cs="Times New Roman"/>
          <w:u w:val="double"/>
          <w:lang w:val="en-IE"/>
        </w:rPr>
        <w:t>a)</w:t>
      </w:r>
      <w:r w:rsidRPr="008E20C4">
        <w:rPr>
          <w:u w:val="double"/>
          <w:lang w:val="en-IE"/>
        </w:rPr>
        <w:t xml:space="preserve">. </w:t>
      </w:r>
      <w:r w:rsidRPr="008E20C4">
        <w:rPr>
          <w:u w:val="double"/>
        </w:rPr>
        <w:t>Bayesian Methods for Medical Test Accuracy.</w:t>
      </w:r>
      <w:r w:rsidRPr="008E20C4">
        <w:rPr>
          <w:i/>
          <w:iCs/>
          <w:u w:val="double"/>
          <w:lang w:val="en-IE"/>
        </w:rPr>
        <w:t xml:space="preserve"> </w:t>
      </w:r>
      <w:r w:rsidRPr="000F1FC4">
        <w:rPr>
          <w:i/>
          <w:iCs/>
          <w:u w:val="double"/>
          <w:lang w:val="en-IE"/>
        </w:rPr>
        <w:t xml:space="preserve">Diagnostics, </w:t>
      </w:r>
      <w:r w:rsidRPr="000F1FC4">
        <w:rPr>
          <w:b/>
          <w:bCs/>
          <w:u w:val="double"/>
          <w:lang w:val="en-IE"/>
        </w:rPr>
        <w:t>1</w:t>
      </w:r>
      <w:r w:rsidRPr="000F1FC4">
        <w:rPr>
          <w:u w:val="double"/>
          <w:lang w:val="en-IE"/>
        </w:rPr>
        <w:t xml:space="preserve">, 1–35; </w:t>
      </w:r>
      <w:hyperlink r:id="rId33" w:history="1">
        <w:r w:rsidRPr="000F1FC4">
          <w:rPr>
            <w:rStyle w:val="Hyperlink"/>
            <w:rFonts w:cstheme="minorHAnsi"/>
            <w:u w:val="double"/>
            <w:lang w:val="en-IE" w:eastAsia="en-US"/>
          </w:rPr>
          <w:t>https://doi.org/10.3390/diagnostics1010001</w:t>
        </w:r>
      </w:hyperlink>
      <w:r w:rsidRPr="000F1FC4">
        <w:rPr>
          <w:u w:val="double"/>
          <w:lang w:val="en-IE"/>
        </w:rPr>
        <w:t>.</w:t>
      </w:r>
    </w:p>
    <w:p w14:paraId="4A2E0232" w14:textId="77777777" w:rsidR="006E58E0" w:rsidRPr="000F1FC4" w:rsidRDefault="006E58E0" w:rsidP="006E58E0">
      <w:pPr>
        <w:pStyle w:val="Ref"/>
        <w:rPr>
          <w:u w:val="double"/>
          <w:lang w:val="en-IE" w:eastAsia="en-AU"/>
        </w:rPr>
      </w:pPr>
      <w:proofErr w:type="spellStart"/>
      <w:r w:rsidRPr="000F1FC4">
        <w:rPr>
          <w:rFonts w:cs="Times New Roman"/>
          <w:smallCaps/>
          <w:u w:val="double"/>
          <w:lang w:val="en-IE"/>
        </w:rPr>
        <w:t>Broemeling</w:t>
      </w:r>
      <w:proofErr w:type="spellEnd"/>
      <w:r w:rsidRPr="000F1FC4">
        <w:rPr>
          <w:rFonts w:cs="Times New Roman"/>
          <w:smallCaps/>
          <w:u w:val="double"/>
          <w:lang w:val="en-IE"/>
        </w:rPr>
        <w:t xml:space="preserve"> L.D. (2011</w:t>
      </w:r>
      <w:r w:rsidRPr="000F1FC4">
        <w:rPr>
          <w:rFonts w:cs="Times New Roman"/>
          <w:u w:val="double"/>
          <w:lang w:val="en-IE"/>
        </w:rPr>
        <w:t>b</w:t>
      </w:r>
      <w:r w:rsidRPr="000F1FC4">
        <w:rPr>
          <w:u w:val="double"/>
          <w:lang w:val="en-IE"/>
        </w:rPr>
        <w:t xml:space="preserve">). </w:t>
      </w:r>
      <w:r w:rsidRPr="000F1FC4">
        <w:rPr>
          <w:i/>
          <w:iCs/>
          <w:u w:val="double"/>
          <w:lang w:val="en-IE"/>
        </w:rPr>
        <w:t>Diagnostics</w:t>
      </w:r>
      <w:r w:rsidRPr="000F1FC4">
        <w:rPr>
          <w:u w:val="double"/>
          <w:lang w:val="en-IE"/>
        </w:rPr>
        <w:t xml:space="preserve">, </w:t>
      </w:r>
      <w:r w:rsidRPr="000F1FC4">
        <w:rPr>
          <w:b/>
          <w:bCs/>
          <w:u w:val="double"/>
          <w:lang w:val="en-IE"/>
        </w:rPr>
        <w:t>1</w:t>
      </w:r>
      <w:r w:rsidRPr="000F1FC4">
        <w:rPr>
          <w:u w:val="double"/>
          <w:lang w:val="en-IE"/>
        </w:rPr>
        <w:t xml:space="preserve">, 53–76; </w:t>
      </w:r>
      <w:hyperlink r:id="rId34" w:history="1">
        <w:r w:rsidRPr="000F1FC4">
          <w:rPr>
            <w:rStyle w:val="Hyperlink"/>
            <w:rFonts w:cstheme="minorHAnsi"/>
            <w:u w:val="double"/>
            <w:lang w:val="en-IE" w:eastAsia="en-US"/>
          </w:rPr>
          <w:t>https://doi.org/10.3390/diagnostics1010053</w:t>
        </w:r>
      </w:hyperlink>
      <w:r w:rsidRPr="000F1FC4">
        <w:rPr>
          <w:u w:val="double"/>
          <w:lang w:val="en-IE"/>
        </w:rPr>
        <w:t>.</w:t>
      </w:r>
    </w:p>
    <w:bookmarkEnd w:id="11"/>
    <w:p w14:paraId="292D3371" w14:textId="3A4ADED0" w:rsidR="00FE5830" w:rsidRPr="008E20C4" w:rsidRDefault="00FE5830" w:rsidP="006E58E0">
      <w:pPr>
        <w:pStyle w:val="Ref"/>
        <w:tabs>
          <w:tab w:val="clear" w:pos="-720"/>
        </w:tabs>
        <w:rPr>
          <w:u w:val="double"/>
          <w:lang w:val="en-IE"/>
        </w:rPr>
      </w:pPr>
      <w:r w:rsidRPr="000F1FC4">
        <w:rPr>
          <w:smallCaps/>
          <w:u w:val="double"/>
          <w:lang w:val="en-IE"/>
        </w:rPr>
        <w:t xml:space="preserve">Brown I., </w:t>
      </w:r>
      <w:proofErr w:type="spellStart"/>
      <w:r w:rsidRPr="000F1FC4">
        <w:rPr>
          <w:smallCaps/>
          <w:u w:val="double"/>
          <w:lang w:val="en-IE"/>
        </w:rPr>
        <w:t>Slomka</w:t>
      </w:r>
      <w:proofErr w:type="spellEnd"/>
      <w:r w:rsidRPr="000F1FC4">
        <w:rPr>
          <w:smallCaps/>
          <w:u w:val="double"/>
          <w:lang w:val="en-IE"/>
        </w:rPr>
        <w:t xml:space="preserve"> M.J., </w:t>
      </w:r>
      <w:proofErr w:type="spellStart"/>
      <w:r w:rsidRPr="000F1FC4">
        <w:rPr>
          <w:smallCaps/>
          <w:u w:val="double"/>
          <w:lang w:val="en-IE"/>
        </w:rPr>
        <w:t>Cassar</w:t>
      </w:r>
      <w:proofErr w:type="spellEnd"/>
      <w:r w:rsidRPr="000F1FC4">
        <w:rPr>
          <w:smallCaps/>
          <w:u w:val="double"/>
          <w:lang w:val="en-IE"/>
        </w:rPr>
        <w:t xml:space="preserve"> C.A., </w:t>
      </w:r>
      <w:proofErr w:type="spellStart"/>
      <w:r w:rsidRPr="000F1FC4">
        <w:rPr>
          <w:smallCaps/>
          <w:u w:val="double"/>
          <w:lang w:val="en-IE"/>
        </w:rPr>
        <w:t>McElhinney</w:t>
      </w:r>
      <w:proofErr w:type="spellEnd"/>
      <w:r w:rsidRPr="000F1FC4">
        <w:rPr>
          <w:smallCaps/>
          <w:u w:val="double"/>
          <w:lang w:val="en-IE"/>
        </w:rPr>
        <w:t xml:space="preserve"> L.M. &amp; Brouwer A</w:t>
      </w:r>
      <w:r w:rsidRPr="000F1FC4">
        <w:rPr>
          <w:u w:val="double"/>
          <w:lang w:val="en-IE"/>
        </w:rPr>
        <w:t xml:space="preserve">. (2021). </w:t>
      </w:r>
      <w:r w:rsidRPr="008E20C4">
        <w:rPr>
          <w:u w:val="double"/>
        </w:rPr>
        <w:t xml:space="preserve">The role of national and </w:t>
      </w:r>
      <w:proofErr w:type="gramStart"/>
      <w:r w:rsidRPr="008E20C4">
        <w:rPr>
          <w:u w:val="double"/>
        </w:rPr>
        <w:t>international  veterinary</w:t>
      </w:r>
      <w:proofErr w:type="gramEnd"/>
      <w:r w:rsidRPr="008E20C4">
        <w:rPr>
          <w:u w:val="double"/>
        </w:rPr>
        <w:t xml:space="preserve"> laboratories. </w:t>
      </w:r>
      <w:r w:rsidRPr="008E20C4">
        <w:rPr>
          <w:i/>
          <w:iCs/>
          <w:u w:val="double"/>
        </w:rPr>
        <w:t xml:space="preserve">Rev. Sci. Tech.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159–172. doi:10.20506/rst.40.1.3215.</w:t>
      </w:r>
    </w:p>
    <w:p w14:paraId="6701803E" w14:textId="027AA822" w:rsidR="00A20144" w:rsidRPr="008E20C4" w:rsidRDefault="00A20144" w:rsidP="00667CDB">
      <w:pPr>
        <w:pStyle w:val="Ref"/>
        <w:tabs>
          <w:tab w:val="clear" w:pos="-720"/>
        </w:tabs>
        <w:spacing w:after="200"/>
        <w:rPr>
          <w:rFonts w:cs="Berkeley-Book"/>
          <w:u w:val="double"/>
          <w:lang w:val="en-AU" w:eastAsia="de-DE"/>
        </w:rPr>
      </w:pPr>
      <w:proofErr w:type="spellStart"/>
      <w:r w:rsidRPr="008E20C4">
        <w:rPr>
          <w:rFonts w:cs="Berkeley-Book"/>
          <w:smallCaps/>
          <w:u w:val="double"/>
          <w:lang w:val="en-IE" w:eastAsia="de-DE"/>
        </w:rPr>
        <w:t>Caraguel</w:t>
      </w:r>
      <w:proofErr w:type="spellEnd"/>
      <w:r w:rsidRPr="008E20C4">
        <w:rPr>
          <w:rFonts w:cs="Berkeley-Book"/>
          <w:smallCaps/>
          <w:u w:val="double"/>
          <w:lang w:val="en-IE" w:eastAsia="de-DE"/>
        </w:rPr>
        <w:t xml:space="preserve"> C.G.B. &amp; Colling</w:t>
      </w:r>
      <w:r w:rsidRPr="008E20C4">
        <w:rPr>
          <w:rFonts w:cs="Berkeley-Book"/>
          <w:u w:val="double"/>
          <w:lang w:val="en-IE" w:eastAsia="de-DE"/>
        </w:rPr>
        <w:t xml:space="preserve"> A. (2021). </w:t>
      </w:r>
      <w:r w:rsidRPr="008E20C4">
        <w:rPr>
          <w:rFonts w:cs="Berkeley-Book"/>
          <w:u w:val="double"/>
          <w:lang w:val="en-AU" w:eastAsia="de-DE"/>
        </w:rPr>
        <w:t xml:space="preserve">Diagnostic likelihood ratio – the next generation of diagnostic test accuracy measurement. </w:t>
      </w:r>
      <w:r w:rsidRPr="008E20C4">
        <w:rPr>
          <w:rFonts w:cs="Berkeley-BookItalic"/>
          <w:i/>
          <w:iCs/>
          <w:u w:val="double"/>
          <w:lang w:val="en-AU" w:eastAsia="de-DE"/>
        </w:rPr>
        <w:t xml:space="preserve">Rev. Sci. Tech. Off. Int. </w:t>
      </w:r>
      <w:proofErr w:type="spellStart"/>
      <w:r w:rsidRPr="008E20C4">
        <w:rPr>
          <w:rFonts w:cs="Berkeley-BookItalic"/>
          <w:i/>
          <w:iCs/>
          <w:u w:val="double"/>
          <w:lang w:val="en-AU" w:eastAsia="de-DE"/>
        </w:rPr>
        <w:t>Epiz</w:t>
      </w:r>
      <w:proofErr w:type="spellEnd"/>
      <w:r w:rsidRPr="008E20C4">
        <w:rPr>
          <w:rFonts w:cs="Berkeley-Book"/>
          <w:u w:val="double"/>
          <w:lang w:val="en-AU" w:eastAsia="de-DE"/>
        </w:rPr>
        <w:t xml:space="preserve">., </w:t>
      </w:r>
      <w:r w:rsidRPr="008E20C4">
        <w:rPr>
          <w:rFonts w:cs="Berkeley-Bold"/>
          <w:b/>
          <w:bCs/>
          <w:u w:val="double"/>
          <w:lang w:val="en-AU" w:eastAsia="de-DE"/>
        </w:rPr>
        <w:t>40</w:t>
      </w:r>
      <w:r w:rsidRPr="008E20C4">
        <w:rPr>
          <w:rFonts w:cs="Berkeley-Book"/>
          <w:u w:val="double"/>
          <w:lang w:val="en-AU" w:eastAsia="de-DE"/>
        </w:rPr>
        <w:t>, 299–309. doi:10.20506/rst.40.1.3226.</w:t>
      </w:r>
    </w:p>
    <w:p w14:paraId="5FA8282B" w14:textId="5B94655D" w:rsidR="00436E86" w:rsidRPr="008E20C4" w:rsidRDefault="00436E86" w:rsidP="00667CDB">
      <w:pPr>
        <w:pStyle w:val="Ref"/>
        <w:tabs>
          <w:tab w:val="clear" w:pos="-720"/>
        </w:tabs>
        <w:spacing w:after="200"/>
        <w:rPr>
          <w:lang w:val="en-IE"/>
        </w:rPr>
      </w:pPr>
      <w:r w:rsidRPr="008E20C4">
        <w:rPr>
          <w:rFonts w:cs="Berkeley-Book"/>
          <w:smallCaps/>
          <w:lang w:val="en-AU" w:eastAsia="de-DE"/>
        </w:rPr>
        <w:t xml:space="preserve">Cheung A., Dufour S., Jones G., </w:t>
      </w:r>
      <w:proofErr w:type="spellStart"/>
      <w:r w:rsidRPr="008E20C4">
        <w:rPr>
          <w:rFonts w:cs="Berkeley-Book"/>
          <w:smallCaps/>
          <w:lang w:val="en-AU" w:eastAsia="de-DE"/>
        </w:rPr>
        <w:t>Kostoulas</w:t>
      </w:r>
      <w:proofErr w:type="spellEnd"/>
      <w:r w:rsidRPr="008E20C4">
        <w:rPr>
          <w:rFonts w:cs="Berkeley-Book"/>
          <w:smallCaps/>
          <w:lang w:val="en-AU" w:eastAsia="de-DE"/>
        </w:rPr>
        <w:t xml:space="preserve"> P., Stevenson M.A., </w:t>
      </w:r>
      <w:proofErr w:type="spellStart"/>
      <w:r w:rsidRPr="008E20C4">
        <w:rPr>
          <w:rFonts w:cs="Berkeley-Book"/>
          <w:smallCaps/>
          <w:lang w:val="en-AU" w:eastAsia="de-DE"/>
        </w:rPr>
        <w:t>Singanallur</w:t>
      </w:r>
      <w:proofErr w:type="spellEnd"/>
      <w:r w:rsidRPr="008E20C4">
        <w:rPr>
          <w:rFonts w:cs="Berkeley-Book"/>
          <w:smallCaps/>
          <w:lang w:val="en-AU" w:eastAsia="de-DE"/>
        </w:rPr>
        <w:t xml:space="preserve"> N.B. &amp; Firestone S.M.</w:t>
      </w:r>
      <w:r w:rsidRPr="008E20C4">
        <w:rPr>
          <w:rFonts w:cs="Berkeley-Book"/>
          <w:lang w:val="en-AU" w:eastAsia="de-DE"/>
        </w:rPr>
        <w:t xml:space="preserve"> (2021). Bayesian latent class analysis when the reference test is imperfect. </w:t>
      </w:r>
      <w:r w:rsidRPr="008E20C4">
        <w:rPr>
          <w:rFonts w:cs="Berkeley-BookItalic"/>
          <w:i/>
          <w:iCs/>
          <w:lang w:val="en-AU" w:eastAsia="de-DE"/>
        </w:rPr>
        <w:t xml:space="preserve">Rev. Sci. Tech. Off. Int. </w:t>
      </w:r>
      <w:proofErr w:type="spellStart"/>
      <w:r w:rsidRPr="008E20C4">
        <w:rPr>
          <w:rFonts w:cs="Berkeley-BookItalic"/>
          <w:i/>
          <w:iCs/>
          <w:lang w:val="en-AU" w:eastAsia="de-DE"/>
        </w:rPr>
        <w:t>Epiz</w:t>
      </w:r>
      <w:proofErr w:type="spellEnd"/>
      <w:r w:rsidRPr="008E20C4">
        <w:rPr>
          <w:rFonts w:cs="Berkeley-Book"/>
          <w:lang w:val="en-AU" w:eastAsia="de-DE"/>
        </w:rPr>
        <w:t xml:space="preserve">., </w:t>
      </w:r>
      <w:r w:rsidRPr="008E20C4">
        <w:rPr>
          <w:rFonts w:cs="Berkeley-Bold"/>
          <w:b/>
          <w:bCs/>
          <w:lang w:val="en-AU" w:eastAsia="de-DE"/>
        </w:rPr>
        <w:t>40</w:t>
      </w:r>
      <w:r w:rsidRPr="008E20C4">
        <w:rPr>
          <w:rFonts w:cs="Berkeley-Book"/>
          <w:lang w:val="en-AU" w:eastAsia="de-DE"/>
        </w:rPr>
        <w:t>, 271–286. doi:10.20506/rst.40.1.3224.</w:t>
      </w:r>
    </w:p>
    <w:p w14:paraId="31119EEC" w14:textId="2CB758E0" w:rsidR="006D54CD" w:rsidRPr="008E20C4" w:rsidRDefault="006D54CD" w:rsidP="006D54CD">
      <w:pPr>
        <w:pStyle w:val="Ref"/>
        <w:rPr>
          <w:u w:val="double"/>
          <w:lang w:val="en-IE"/>
        </w:rPr>
      </w:pPr>
      <w:r w:rsidRPr="008E20C4">
        <w:rPr>
          <w:smallCaps/>
          <w:u w:val="double"/>
          <w:lang w:val="en-IE"/>
        </w:rPr>
        <w:t>Colling A. &amp; Gardner I.A.</w:t>
      </w:r>
      <w:r w:rsidRPr="008E20C4">
        <w:rPr>
          <w:u w:val="double"/>
          <w:lang w:val="en-IE"/>
        </w:rPr>
        <w:t xml:space="preserve"> (eds). (2021). Diagnostic test validation science: a key element for effective detection and control of infectious animal diseases (</w:t>
      </w:r>
      <w:r w:rsidRPr="008E20C4">
        <w:rPr>
          <w:i/>
          <w:iCs/>
          <w:u w:val="double"/>
          <w:lang w:val="en-IE"/>
        </w:rPr>
        <w:t xml:space="preserve">Rev. Sci. Tech. Off. Int. </w:t>
      </w:r>
      <w:proofErr w:type="spellStart"/>
      <w:r w:rsidRPr="008E20C4">
        <w:rPr>
          <w:i/>
          <w:iCs/>
          <w:u w:val="double"/>
          <w:lang w:val="en-IE"/>
        </w:rPr>
        <w:t>Epiz</w:t>
      </w:r>
      <w:proofErr w:type="spellEnd"/>
      <w:r w:rsidRPr="008E20C4">
        <w:rPr>
          <w:i/>
          <w:iCs/>
          <w:u w:val="double"/>
          <w:lang w:val="en-IE"/>
        </w:rPr>
        <w:t>.,</w:t>
      </w:r>
      <w:r w:rsidRPr="008E20C4">
        <w:rPr>
          <w:u w:val="double"/>
          <w:lang w:val="en-IE"/>
        </w:rPr>
        <w:t xml:space="preserve"> </w:t>
      </w:r>
      <w:r w:rsidRPr="008E20C4">
        <w:rPr>
          <w:b/>
          <w:bCs/>
          <w:u w:val="double"/>
          <w:lang w:val="en-IE"/>
        </w:rPr>
        <w:t>40</w:t>
      </w:r>
      <w:r w:rsidRPr="008E20C4">
        <w:rPr>
          <w:u w:val="double"/>
          <w:lang w:val="en-IE"/>
        </w:rPr>
        <w:t>.</w:t>
      </w:r>
      <w:r w:rsidRPr="008E20C4">
        <w:rPr>
          <w:color w:val="000000"/>
          <w:u w:val="double"/>
          <w:lang w:val="en-IE"/>
        </w:rPr>
        <w:t xml:space="preserve">The Special Issue is available at: </w:t>
      </w:r>
      <w:hyperlink r:id="rId35" w:history="1">
        <w:r w:rsidRPr="008E20C4">
          <w:rPr>
            <w:rStyle w:val="Hyperlink"/>
            <w:rFonts w:cs="Arial"/>
            <w:lang w:val="en-IE"/>
          </w:rPr>
          <w:t>https://doc.woah.org/dyn/portal/index.xhtml?page=alo&amp;aloId=41245&amp;req=21&amp;cid=1c1f3a2e-2399-408c-946f-fb8d0c089a57</w:t>
        </w:r>
      </w:hyperlink>
      <w:r w:rsidRPr="008E20C4">
        <w:rPr>
          <w:u w:val="double"/>
          <w:lang w:val="en-IE"/>
        </w:rPr>
        <w:t>.</w:t>
      </w:r>
    </w:p>
    <w:p w14:paraId="1A237C3D" w14:textId="78501AAE" w:rsidR="00D92511" w:rsidRPr="008E20C4" w:rsidRDefault="00D92511" w:rsidP="00D92511">
      <w:pPr>
        <w:pStyle w:val="Ref"/>
        <w:rPr>
          <w:u w:val="double"/>
          <w:lang w:val="en-IE"/>
        </w:rPr>
      </w:pPr>
      <w:r w:rsidRPr="008E20C4">
        <w:rPr>
          <w:smallCaps/>
          <w:u w:val="double"/>
          <w:lang w:val="en-IE"/>
        </w:rPr>
        <w:t xml:space="preserve">Colling A. &amp; Gardner I.A. </w:t>
      </w:r>
      <w:r w:rsidRPr="008E20C4">
        <w:rPr>
          <w:u w:val="double"/>
          <w:lang w:val="en-IE"/>
        </w:rPr>
        <w:t xml:space="preserve">(2021). Conclusions: Validation of tests of </w:t>
      </w:r>
      <w:r w:rsidR="00286118" w:rsidRPr="008E20C4">
        <w:rPr>
          <w:u w:val="double"/>
          <w:lang w:val="en-IE"/>
        </w:rPr>
        <w:t>WOAH</w:t>
      </w:r>
      <w:r w:rsidRPr="008E20C4">
        <w:rPr>
          <w:u w:val="double"/>
          <w:lang w:val="en-IE"/>
        </w:rPr>
        <w:t xml:space="preserve">-listed diseases as fit-for-purpose in a world of evolving diagnostic technologies and pathogens. </w:t>
      </w:r>
      <w:r w:rsidRPr="008E20C4">
        <w:rPr>
          <w:i/>
          <w:iCs/>
          <w:u w:val="double"/>
          <w:lang w:val="en-IE"/>
        </w:rPr>
        <w:t xml:space="preserve">Rev. Sci. Tech. Off. Int. </w:t>
      </w:r>
      <w:proofErr w:type="spellStart"/>
      <w:r w:rsidRPr="008E20C4">
        <w:rPr>
          <w:i/>
          <w:iCs/>
          <w:u w:val="double"/>
          <w:lang w:val="en-IE"/>
        </w:rPr>
        <w:t>Epiz</w:t>
      </w:r>
      <w:proofErr w:type="spellEnd"/>
      <w:r w:rsidRPr="008E20C4">
        <w:rPr>
          <w:i/>
          <w:iCs/>
          <w:u w:val="double"/>
          <w:lang w:val="en-IE"/>
        </w:rPr>
        <w:t>.,</w:t>
      </w:r>
      <w:r w:rsidRPr="008E20C4">
        <w:rPr>
          <w:u w:val="double"/>
          <w:lang w:val="en-IE"/>
        </w:rPr>
        <w:t xml:space="preserve"> </w:t>
      </w:r>
      <w:r w:rsidRPr="008E20C4">
        <w:rPr>
          <w:b/>
          <w:bCs/>
          <w:u w:val="double"/>
          <w:lang w:val="en-IE"/>
        </w:rPr>
        <w:t>40</w:t>
      </w:r>
      <w:r w:rsidR="006E58E0" w:rsidRPr="008E20C4">
        <w:rPr>
          <w:u w:val="double"/>
          <w:lang w:val="en-IE"/>
        </w:rPr>
        <w:t>,</w:t>
      </w:r>
      <w:r w:rsidR="00BC546D" w:rsidRPr="008E20C4">
        <w:rPr>
          <w:u w:val="double"/>
          <w:lang w:val="en-IE"/>
        </w:rPr>
        <w:t xml:space="preserve"> 311</w:t>
      </w:r>
      <w:r w:rsidR="006E58E0" w:rsidRPr="008E20C4">
        <w:rPr>
          <w:u w:val="double"/>
          <w:lang w:val="en-IE"/>
        </w:rPr>
        <w:t>–</w:t>
      </w:r>
      <w:r w:rsidR="00BC546D" w:rsidRPr="008E20C4">
        <w:rPr>
          <w:u w:val="double"/>
          <w:lang w:val="en-IE"/>
        </w:rPr>
        <w:t xml:space="preserve">317. </w:t>
      </w:r>
      <w:proofErr w:type="spellStart"/>
      <w:r w:rsidR="006E58E0" w:rsidRPr="008E20C4">
        <w:rPr>
          <w:rFonts w:cs="Segoe UI"/>
          <w:u w:val="double"/>
          <w:shd w:val="clear" w:color="auto" w:fill="FFFFFF"/>
        </w:rPr>
        <w:t>doi</w:t>
      </w:r>
      <w:proofErr w:type="spellEnd"/>
      <w:r w:rsidR="006E58E0" w:rsidRPr="008E20C4">
        <w:rPr>
          <w:rFonts w:cs="Segoe UI"/>
          <w:u w:val="double"/>
          <w:shd w:val="clear" w:color="auto" w:fill="FFFFFF"/>
        </w:rPr>
        <w:t>: 10.20506/rst.40.1.3227</w:t>
      </w:r>
    </w:p>
    <w:p w14:paraId="1732AF5C" w14:textId="6C06DBE9" w:rsidR="00445EAA" w:rsidRPr="008E20C4" w:rsidRDefault="00445EAA" w:rsidP="00445EAA">
      <w:pPr>
        <w:pStyle w:val="Ref"/>
        <w:rPr>
          <w:rStyle w:val="Hyperlink"/>
          <w:rFonts w:cs="Arial"/>
          <w:color w:val="auto"/>
          <w:u w:val="double"/>
          <w:lang w:val="en-IE"/>
        </w:rPr>
      </w:pPr>
      <w:r w:rsidRPr="008E20C4">
        <w:rPr>
          <w:smallCaps/>
          <w:szCs w:val="24"/>
          <w:u w:val="double"/>
          <w:lang w:val="en-IE"/>
        </w:rPr>
        <w:t xml:space="preserve">Colling A., Lunt R., </w:t>
      </w:r>
      <w:proofErr w:type="spellStart"/>
      <w:r w:rsidRPr="008E20C4">
        <w:rPr>
          <w:smallCaps/>
          <w:szCs w:val="24"/>
          <w:u w:val="double"/>
          <w:lang w:val="en-IE"/>
        </w:rPr>
        <w:t>Bergfeld</w:t>
      </w:r>
      <w:proofErr w:type="spellEnd"/>
      <w:r w:rsidRPr="008E20C4">
        <w:rPr>
          <w:smallCaps/>
          <w:szCs w:val="24"/>
          <w:u w:val="double"/>
          <w:lang w:val="en-IE"/>
        </w:rPr>
        <w:t xml:space="preserve"> J., Halpin K., McNabb L, </w:t>
      </w:r>
      <w:proofErr w:type="spellStart"/>
      <w:r w:rsidRPr="008E20C4">
        <w:rPr>
          <w:smallCaps/>
          <w:szCs w:val="24"/>
          <w:u w:val="double"/>
          <w:lang w:val="en-IE"/>
        </w:rPr>
        <w:t>Juzva</w:t>
      </w:r>
      <w:proofErr w:type="spellEnd"/>
      <w:r w:rsidRPr="008E20C4">
        <w:rPr>
          <w:smallCaps/>
          <w:szCs w:val="24"/>
          <w:u w:val="double"/>
          <w:lang w:val="en-IE"/>
        </w:rPr>
        <w:t xml:space="preserve"> S., Newberry K., </w:t>
      </w:r>
      <w:proofErr w:type="spellStart"/>
      <w:r w:rsidRPr="008E20C4">
        <w:rPr>
          <w:smallCaps/>
          <w:szCs w:val="24"/>
          <w:u w:val="double"/>
          <w:lang w:val="en-IE"/>
        </w:rPr>
        <w:t>Morrissy</w:t>
      </w:r>
      <w:proofErr w:type="spellEnd"/>
      <w:r w:rsidRPr="008E20C4">
        <w:rPr>
          <w:smallCaps/>
          <w:szCs w:val="24"/>
          <w:u w:val="double"/>
          <w:lang w:val="en-IE"/>
        </w:rPr>
        <w:t xml:space="preserve"> C., Hlaing </w:t>
      </w:r>
      <w:proofErr w:type="spellStart"/>
      <w:r w:rsidRPr="008E20C4">
        <w:rPr>
          <w:smallCaps/>
          <w:szCs w:val="24"/>
          <w:u w:val="double"/>
          <w:lang w:val="en-IE"/>
        </w:rPr>
        <w:t>Loh</w:t>
      </w:r>
      <w:proofErr w:type="spellEnd"/>
      <w:r w:rsidRPr="008E20C4">
        <w:rPr>
          <w:smallCaps/>
          <w:szCs w:val="24"/>
          <w:u w:val="double"/>
          <w:lang w:val="en-IE"/>
        </w:rPr>
        <w:t xml:space="preserve"> M., </w:t>
      </w:r>
      <w:proofErr w:type="spellStart"/>
      <w:r w:rsidRPr="008E20C4">
        <w:rPr>
          <w:smallCaps/>
          <w:szCs w:val="24"/>
          <w:u w:val="double"/>
          <w:lang w:val="en-IE"/>
        </w:rPr>
        <w:t>Carlile</w:t>
      </w:r>
      <w:proofErr w:type="spellEnd"/>
      <w:r w:rsidRPr="008E20C4">
        <w:rPr>
          <w:smallCaps/>
          <w:szCs w:val="24"/>
          <w:u w:val="double"/>
          <w:lang w:val="en-IE"/>
        </w:rPr>
        <w:t xml:space="preserve"> G., Waugh C., Wright L., Watson J., Eagles D., </w:t>
      </w:r>
      <w:proofErr w:type="spellStart"/>
      <w:r w:rsidRPr="008E20C4">
        <w:rPr>
          <w:smallCaps/>
          <w:szCs w:val="24"/>
          <w:u w:val="double"/>
          <w:lang w:val="en-IE"/>
        </w:rPr>
        <w:t>Loomes</w:t>
      </w:r>
      <w:proofErr w:type="spellEnd"/>
      <w:r w:rsidRPr="008E20C4">
        <w:rPr>
          <w:smallCaps/>
          <w:szCs w:val="24"/>
          <w:u w:val="double"/>
          <w:lang w:val="en-IE"/>
        </w:rPr>
        <w:t xml:space="preserve"> C., Warner S., Diallo I., Kirkland P., Broder C., </w:t>
      </w:r>
      <w:proofErr w:type="spellStart"/>
      <w:r w:rsidRPr="008E20C4">
        <w:rPr>
          <w:smallCaps/>
          <w:szCs w:val="24"/>
          <w:u w:val="double"/>
          <w:lang w:val="en-IE"/>
        </w:rPr>
        <w:t>Zuelke</w:t>
      </w:r>
      <w:proofErr w:type="spellEnd"/>
      <w:r w:rsidRPr="008E20C4">
        <w:rPr>
          <w:smallCaps/>
          <w:szCs w:val="24"/>
          <w:u w:val="double"/>
          <w:lang w:val="en-IE"/>
        </w:rPr>
        <w:t xml:space="preserve"> K., McCullough S. </w:t>
      </w:r>
      <w:r w:rsidR="009D107A" w:rsidRPr="008E20C4">
        <w:rPr>
          <w:smallCaps/>
          <w:szCs w:val="24"/>
          <w:u w:val="double"/>
          <w:lang w:val="en-IE"/>
        </w:rPr>
        <w:t>&amp;</w:t>
      </w:r>
      <w:r w:rsidRPr="008E20C4">
        <w:rPr>
          <w:smallCaps/>
          <w:szCs w:val="24"/>
          <w:u w:val="double"/>
          <w:lang w:val="en-IE"/>
        </w:rPr>
        <w:t xml:space="preserve"> Daniels P</w:t>
      </w:r>
      <w:r w:rsidRPr="008E20C4">
        <w:rPr>
          <w:szCs w:val="24"/>
          <w:u w:val="double"/>
          <w:lang w:val="en-IE"/>
        </w:rPr>
        <w:t>.</w:t>
      </w:r>
      <w:r w:rsidRPr="008E20C4">
        <w:rPr>
          <w:spacing w:val="-2"/>
          <w:szCs w:val="24"/>
          <w:u w:val="double"/>
          <w:lang w:val="en-IE"/>
        </w:rPr>
        <w:t xml:space="preserve"> </w:t>
      </w:r>
      <w:r w:rsidR="009D107A" w:rsidRPr="008E20C4">
        <w:rPr>
          <w:spacing w:val="-2"/>
          <w:szCs w:val="24"/>
          <w:u w:val="double"/>
          <w:lang w:val="en-IE"/>
        </w:rPr>
        <w:t>(</w:t>
      </w:r>
      <w:r w:rsidRPr="008E20C4">
        <w:rPr>
          <w:spacing w:val="-2"/>
          <w:szCs w:val="24"/>
          <w:u w:val="double"/>
          <w:lang w:val="en-IE"/>
        </w:rPr>
        <w:t>2018</w:t>
      </w:r>
      <w:r w:rsidR="009D107A" w:rsidRPr="008E20C4">
        <w:rPr>
          <w:spacing w:val="-2"/>
          <w:szCs w:val="24"/>
          <w:u w:val="double"/>
          <w:lang w:val="en-IE"/>
        </w:rPr>
        <w:t>)</w:t>
      </w:r>
      <w:r w:rsidRPr="008E20C4">
        <w:rPr>
          <w:spacing w:val="-2"/>
          <w:szCs w:val="24"/>
          <w:u w:val="double"/>
          <w:lang w:val="en-IE"/>
        </w:rPr>
        <w:t xml:space="preserve">. A network </w:t>
      </w:r>
      <w:r w:rsidRPr="008E20C4">
        <w:rPr>
          <w:spacing w:val="-2"/>
          <w:szCs w:val="24"/>
          <w:u w:val="double"/>
          <w:lang w:val="en-IE"/>
        </w:rPr>
        <w:lastRenderedPageBreak/>
        <w:t xml:space="preserve">approach for provisional assay recognition of a Hendra virus antibody ELISA: test validation with low sample numbers from infected horses. </w:t>
      </w:r>
      <w:r w:rsidRPr="008E20C4">
        <w:rPr>
          <w:rStyle w:val="Emphasis"/>
          <w:szCs w:val="24"/>
          <w:u w:val="double"/>
          <w:lang w:val="en-IE"/>
        </w:rPr>
        <w:t>J. Vet. Diag. Invest.</w:t>
      </w:r>
      <w:r w:rsidR="009D107A" w:rsidRPr="008E20C4">
        <w:rPr>
          <w:rStyle w:val="Emphasis"/>
          <w:szCs w:val="24"/>
          <w:u w:val="double"/>
          <w:lang w:val="en-IE"/>
        </w:rPr>
        <w:t>,</w:t>
      </w:r>
      <w:r w:rsidRPr="008E20C4">
        <w:rPr>
          <w:rStyle w:val="Emphasis"/>
          <w:szCs w:val="24"/>
          <w:u w:val="double"/>
          <w:lang w:val="en-IE"/>
        </w:rPr>
        <w:t xml:space="preserve"> </w:t>
      </w:r>
      <w:r w:rsidR="009D107A" w:rsidRPr="008E20C4">
        <w:rPr>
          <w:rStyle w:val="Emphasis"/>
          <w:i w:val="0"/>
          <w:iCs w:val="0"/>
          <w:szCs w:val="24"/>
          <w:u w:val="double"/>
          <w:lang w:val="en-IE"/>
        </w:rPr>
        <w:t>30, 362–369</w:t>
      </w:r>
      <w:r w:rsidRPr="008E20C4">
        <w:rPr>
          <w:rStyle w:val="Emphasis"/>
          <w:i w:val="0"/>
          <w:iCs w:val="0"/>
          <w:szCs w:val="24"/>
          <w:u w:val="double"/>
          <w:lang w:val="en-IE"/>
        </w:rPr>
        <w:t>.</w:t>
      </w:r>
      <w:r w:rsidRPr="008E20C4">
        <w:rPr>
          <w:rStyle w:val="Emphasis"/>
          <w:szCs w:val="24"/>
          <w:u w:val="double"/>
          <w:lang w:val="en-IE"/>
        </w:rPr>
        <w:t xml:space="preserve"> </w:t>
      </w:r>
      <w:hyperlink r:id="rId36" w:history="1">
        <w:r w:rsidRPr="008E20C4">
          <w:rPr>
            <w:rStyle w:val="Hyperlink"/>
            <w:rFonts w:cs="Arial"/>
            <w:u w:val="double"/>
            <w:lang w:val="en-IE"/>
          </w:rPr>
          <w:t>https://doi.org/10.1177/1040638718760102</w:t>
        </w:r>
      </w:hyperlink>
      <w:r w:rsidRPr="008E20C4">
        <w:rPr>
          <w:rStyle w:val="Hyperlink"/>
          <w:rFonts w:cs="Arial"/>
          <w:u w:val="double"/>
          <w:lang w:val="en-IE"/>
        </w:rPr>
        <w:t>.</w:t>
      </w:r>
    </w:p>
    <w:p w14:paraId="42FB25F5" w14:textId="45EE94B9" w:rsidR="00802015" w:rsidRPr="008E20C4" w:rsidRDefault="00667CDB" w:rsidP="00DF63B8">
      <w:pPr>
        <w:pStyle w:val="Ref"/>
        <w:tabs>
          <w:tab w:val="clear" w:pos="-720"/>
        </w:tabs>
        <w:spacing w:after="200"/>
        <w:rPr>
          <w:u w:val="double"/>
          <w:lang w:val="en-IE"/>
        </w:rPr>
      </w:pPr>
      <w:r w:rsidRPr="008E20C4">
        <w:rPr>
          <w:smallCaps/>
          <w:lang w:val="en-IE"/>
        </w:rPr>
        <w:t>Crowther J.R., Unger H. &amp; Viljoen G.J.</w:t>
      </w:r>
      <w:r w:rsidRPr="008E20C4">
        <w:rPr>
          <w:lang w:val="en-IE"/>
        </w:rPr>
        <w:t xml:space="preserve"> (2006). Aspects of kit validation for tests used for the diagnosis and surveillance of livestock diseases: producer and end-user responsibilities. </w:t>
      </w:r>
      <w:r w:rsidRPr="008E20C4">
        <w:rPr>
          <w:i/>
          <w:lang w:val="en-IE"/>
        </w:rPr>
        <w:t xml:space="preserve">Rev. sci. tech. Off. int. </w:t>
      </w:r>
      <w:proofErr w:type="spellStart"/>
      <w:r w:rsidRPr="008E20C4">
        <w:rPr>
          <w:i/>
          <w:lang w:val="en-IE"/>
        </w:rPr>
        <w:t>Epiz</w:t>
      </w:r>
      <w:proofErr w:type="spellEnd"/>
      <w:r w:rsidRPr="008E20C4">
        <w:rPr>
          <w:lang w:val="en-IE"/>
        </w:rPr>
        <w:t xml:space="preserve">., </w:t>
      </w:r>
      <w:r w:rsidRPr="008E20C4">
        <w:rPr>
          <w:b/>
          <w:lang w:val="en-IE"/>
        </w:rPr>
        <w:t>25</w:t>
      </w:r>
      <w:r w:rsidRPr="008E20C4">
        <w:rPr>
          <w:lang w:val="en-IE"/>
        </w:rPr>
        <w:t>, 913–935.</w:t>
      </w:r>
      <w:r w:rsidR="00DF63B8" w:rsidRPr="008E20C4">
        <w:rPr>
          <w:lang w:val="en-IE"/>
        </w:rPr>
        <w:t xml:space="preserve"> </w:t>
      </w:r>
      <w:r w:rsidR="00802015" w:rsidRPr="008E20C4">
        <w:rPr>
          <w:u w:val="double"/>
          <w:lang w:val="en-IE" w:eastAsia="en-AU"/>
        </w:rPr>
        <w:t>doi:10.20506/rst.25.3.1706.</w:t>
      </w:r>
    </w:p>
    <w:p w14:paraId="38047D96" w14:textId="2C4DC4BE" w:rsidR="00430619" w:rsidRPr="008E20C4" w:rsidRDefault="00430619" w:rsidP="00C0240D">
      <w:pPr>
        <w:pStyle w:val="Ref"/>
        <w:rPr>
          <w:u w:val="double"/>
        </w:rPr>
      </w:pPr>
      <w:r w:rsidRPr="008E20C4">
        <w:rPr>
          <w:smallCaps/>
          <w:u w:val="double"/>
        </w:rPr>
        <w:t xml:space="preserve">Cullinane A. &amp; Garvey </w:t>
      </w:r>
      <w:r w:rsidR="00C0240D" w:rsidRPr="008E20C4">
        <w:rPr>
          <w:smallCaps/>
          <w:u w:val="double"/>
        </w:rPr>
        <w:t>M.</w:t>
      </w:r>
      <w:r w:rsidR="00C0240D" w:rsidRPr="008E20C4">
        <w:rPr>
          <w:u w:val="double"/>
        </w:rPr>
        <w:t xml:space="preserve"> </w:t>
      </w:r>
      <w:r w:rsidRPr="008E20C4">
        <w:rPr>
          <w:u w:val="double"/>
        </w:rPr>
        <w:t xml:space="preserve">(2021). </w:t>
      </w:r>
      <w:r w:rsidR="00C0240D" w:rsidRPr="008E20C4">
        <w:rPr>
          <w:rFonts w:eastAsiaTheme="minorHAnsi"/>
          <w:u w:val="double"/>
        </w:rPr>
        <w:t xml:space="preserve">A review of diagnostic tests recommended by the World Organisation for Animal Health Manual of Diagnostic Tests and Vaccines for Terrestrial Animals. </w:t>
      </w:r>
      <w:r w:rsidRPr="008E20C4">
        <w:rPr>
          <w:i/>
          <w:iCs/>
          <w:u w:val="double"/>
        </w:rPr>
        <w:t xml:space="preserve">Rev. Sci. Tech.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xml:space="preserve">, </w:t>
      </w:r>
      <w:r w:rsidR="00C0240D" w:rsidRPr="008E20C4">
        <w:rPr>
          <w:u w:val="double"/>
        </w:rPr>
        <w:t>75</w:t>
      </w:r>
      <w:r w:rsidRPr="008E20C4">
        <w:rPr>
          <w:u w:val="double"/>
        </w:rPr>
        <w:t>–</w:t>
      </w:r>
      <w:r w:rsidR="00C0240D" w:rsidRPr="008E20C4">
        <w:rPr>
          <w:u w:val="double"/>
        </w:rPr>
        <w:t>89</w:t>
      </w:r>
      <w:r w:rsidRPr="008E20C4">
        <w:rPr>
          <w:u w:val="double"/>
        </w:rPr>
        <w:t xml:space="preserve">. </w:t>
      </w:r>
      <w:hyperlink r:id="rId37" w:history="1">
        <w:r w:rsidR="0091782A" w:rsidRPr="008E20C4">
          <w:rPr>
            <w:rStyle w:val="Hyperlink"/>
            <w:rFonts w:ascii="Lato" w:hAnsi="Lato" w:cs="Arial"/>
            <w:u w:val="double"/>
            <w:shd w:val="clear" w:color="auto" w:fill="FFFFFF"/>
          </w:rPr>
          <w:t>https://doi.org/10.20506/rst.40.1.3209</w:t>
        </w:r>
      </w:hyperlink>
      <w:r w:rsidRPr="008E20C4">
        <w:rPr>
          <w:rFonts w:eastAsiaTheme="minorHAnsi"/>
          <w:u w:val="double"/>
        </w:rPr>
        <w:t>.</w:t>
      </w:r>
    </w:p>
    <w:p w14:paraId="78B447AA" w14:textId="35C18E77" w:rsidR="00667CDB" w:rsidRPr="008E20C4" w:rsidRDefault="00667CDB" w:rsidP="00667CDB">
      <w:pPr>
        <w:pStyle w:val="Ref"/>
        <w:tabs>
          <w:tab w:val="clear" w:pos="-720"/>
        </w:tabs>
        <w:spacing w:after="200"/>
        <w:rPr>
          <w:u w:val="single"/>
          <w:lang w:val="en-IE"/>
        </w:rPr>
      </w:pPr>
      <w:r w:rsidRPr="008E20C4">
        <w:rPr>
          <w:smallCaps/>
          <w:lang w:val="nl-NL"/>
        </w:rPr>
        <w:t>Dejaegher B. &amp; Vander Heyden Y.</w:t>
      </w:r>
      <w:r w:rsidRPr="008E20C4">
        <w:rPr>
          <w:lang w:val="nl-NL"/>
        </w:rPr>
        <w:t xml:space="preserve"> (2006). </w:t>
      </w:r>
      <w:r w:rsidRPr="008E20C4">
        <w:rPr>
          <w:lang w:val="en-IE"/>
        </w:rPr>
        <w:t xml:space="preserve">Robustness tests. </w:t>
      </w:r>
      <w:r w:rsidRPr="008E20C4">
        <w:rPr>
          <w:i/>
          <w:lang w:val="en-IE"/>
        </w:rPr>
        <w:t>LCGC Europe</w:t>
      </w:r>
      <w:r w:rsidRPr="008E20C4">
        <w:rPr>
          <w:lang w:val="en-IE"/>
        </w:rPr>
        <w:t xml:space="preserve">, </w:t>
      </w:r>
      <w:r w:rsidRPr="008E20C4">
        <w:rPr>
          <w:b/>
          <w:lang w:val="en-IE"/>
        </w:rPr>
        <w:t>19</w:t>
      </w:r>
      <w:r w:rsidRPr="008E20C4">
        <w:rPr>
          <w:lang w:val="en-IE"/>
        </w:rPr>
        <w:t xml:space="preserve">, online at </w:t>
      </w:r>
      <w:hyperlink r:id="rId38" w:history="1">
        <w:r w:rsidRPr="008E20C4">
          <w:rPr>
            <w:rStyle w:val="Hyperlink"/>
            <w:rFonts w:cs="Arial"/>
            <w:lang w:val="en-IE"/>
          </w:rPr>
          <w:t>http://www.lcgceurope.com/lcgceurope/content/printContentPopup.jsp?id=357956</w:t>
        </w:r>
      </w:hyperlink>
    </w:p>
    <w:p w14:paraId="144E7619" w14:textId="77777777" w:rsidR="00AF0286" w:rsidRPr="008E20C4" w:rsidRDefault="00AF0286" w:rsidP="00AF0286">
      <w:pPr>
        <w:pStyle w:val="Ref"/>
        <w:rPr>
          <w:u w:val="double"/>
          <w:lang w:val="en-IE" w:eastAsia="en-IE"/>
        </w:rPr>
      </w:pPr>
      <w:proofErr w:type="spellStart"/>
      <w:r w:rsidRPr="008E20C4">
        <w:rPr>
          <w:smallCaps/>
          <w:u w:val="double"/>
          <w:lang w:val="en-IE" w:eastAsia="en-IE"/>
        </w:rPr>
        <w:t>Druce</w:t>
      </w:r>
      <w:proofErr w:type="spellEnd"/>
      <w:r w:rsidRPr="008E20C4">
        <w:rPr>
          <w:smallCaps/>
          <w:u w:val="double"/>
          <w:lang w:val="en-IE" w:eastAsia="en-IE"/>
        </w:rPr>
        <w:t xml:space="preserve"> J., Garcia K., Tran T., Papadakis G. &amp; Birch C</w:t>
      </w:r>
      <w:r w:rsidRPr="008E20C4">
        <w:rPr>
          <w:u w:val="double"/>
          <w:lang w:val="en-IE" w:eastAsia="en-IE"/>
        </w:rPr>
        <w:t xml:space="preserve">. (2012). Evaluation of swabs, transport media, and specimen transport conditions for optimal detection of viruses by PCR. </w:t>
      </w:r>
      <w:r w:rsidRPr="008E20C4">
        <w:rPr>
          <w:i/>
          <w:iCs/>
          <w:u w:val="double"/>
          <w:lang w:val="en-IE" w:eastAsia="en-IE"/>
        </w:rPr>
        <w:t xml:space="preserve">J. Clin. </w:t>
      </w:r>
      <w:proofErr w:type="spellStart"/>
      <w:r w:rsidRPr="008E20C4">
        <w:rPr>
          <w:i/>
          <w:iCs/>
          <w:u w:val="double"/>
          <w:lang w:val="en-IE" w:eastAsia="en-IE"/>
        </w:rPr>
        <w:t>Microbiol</w:t>
      </w:r>
      <w:proofErr w:type="spellEnd"/>
      <w:r w:rsidRPr="008E20C4">
        <w:rPr>
          <w:i/>
          <w:iCs/>
          <w:u w:val="double"/>
          <w:lang w:val="en-IE" w:eastAsia="en-IE"/>
        </w:rPr>
        <w:t xml:space="preserve">., </w:t>
      </w:r>
      <w:r w:rsidRPr="008E20C4">
        <w:rPr>
          <w:b/>
          <w:bCs/>
          <w:u w:val="double"/>
          <w:lang w:val="en-IE" w:eastAsia="en-IE"/>
        </w:rPr>
        <w:t>50</w:t>
      </w:r>
      <w:r w:rsidRPr="008E20C4">
        <w:rPr>
          <w:u w:val="double"/>
          <w:lang w:val="en-IE" w:eastAsia="en-IE"/>
        </w:rPr>
        <w:t>, 1064–1065. doi:10.1128/JCM.06551-11.</w:t>
      </w:r>
    </w:p>
    <w:p w14:paraId="372E318E" w14:textId="1C31C231" w:rsidR="00667CDB" w:rsidRPr="008E20C4" w:rsidRDefault="00667CDB" w:rsidP="00667CDB">
      <w:pPr>
        <w:pStyle w:val="Ref"/>
        <w:tabs>
          <w:tab w:val="clear" w:pos="-720"/>
        </w:tabs>
        <w:spacing w:after="200"/>
        <w:rPr>
          <w:lang w:val="en-IE"/>
        </w:rPr>
      </w:pPr>
      <w:proofErr w:type="spellStart"/>
      <w:r w:rsidRPr="008E20C4">
        <w:rPr>
          <w:smallCaps/>
          <w:lang w:val="en-IE"/>
        </w:rPr>
        <w:t>En</w:t>
      </w:r>
      <w:r w:rsidR="00DF63B8" w:rsidRPr="008E20C4">
        <w:rPr>
          <w:smallCaps/>
          <w:lang w:val="en-IE"/>
        </w:rPr>
        <w:t>o</w:t>
      </w:r>
      <w:r w:rsidRPr="008E20C4">
        <w:rPr>
          <w:smallCaps/>
          <w:lang w:val="en-IE"/>
        </w:rPr>
        <w:t>e</w:t>
      </w:r>
      <w:proofErr w:type="spellEnd"/>
      <w:r w:rsidRPr="008E20C4">
        <w:rPr>
          <w:smallCaps/>
          <w:lang w:val="en-IE"/>
        </w:rPr>
        <w:t xml:space="preserve"> C., Georgiadis M.P. &amp; Johnson W.O.</w:t>
      </w:r>
      <w:r w:rsidRPr="008E20C4">
        <w:rPr>
          <w:lang w:val="en-IE"/>
        </w:rPr>
        <w:t xml:space="preserve"> (2000). Estimating the sensitivity and specificity of diagnostic tests and disease prevalence when the true disease state is unknown. </w:t>
      </w:r>
      <w:r w:rsidRPr="008E20C4">
        <w:rPr>
          <w:i/>
          <w:lang w:val="en-IE"/>
        </w:rPr>
        <w:t>Prev. Vet. Med.,</w:t>
      </w:r>
      <w:r w:rsidRPr="008E20C4">
        <w:rPr>
          <w:lang w:val="en-IE"/>
        </w:rPr>
        <w:t xml:space="preserve"> </w:t>
      </w:r>
      <w:r w:rsidRPr="008E20C4">
        <w:rPr>
          <w:b/>
          <w:lang w:val="en-IE"/>
        </w:rPr>
        <w:t>45</w:t>
      </w:r>
      <w:r w:rsidRPr="008E20C4">
        <w:rPr>
          <w:bCs/>
          <w:lang w:val="en-IE"/>
        </w:rPr>
        <w:t xml:space="preserve">, </w:t>
      </w:r>
      <w:r w:rsidRPr="008E20C4">
        <w:rPr>
          <w:lang w:val="en-IE"/>
        </w:rPr>
        <w:t>61–81.</w:t>
      </w:r>
    </w:p>
    <w:p w14:paraId="022FE48A" w14:textId="6E2092C6" w:rsidR="00667CDB" w:rsidRPr="008E20C4" w:rsidRDefault="00667CDB" w:rsidP="00667CDB">
      <w:pPr>
        <w:pStyle w:val="CommentText"/>
        <w:tabs>
          <w:tab w:val="clear" w:pos="-720"/>
        </w:tabs>
        <w:spacing w:after="200" w:line="240" w:lineRule="atLeast"/>
        <w:rPr>
          <w:rFonts w:ascii="Söhne" w:hAnsi="Söhne" w:cs="Arial"/>
          <w:bCs/>
          <w:sz w:val="18"/>
          <w:szCs w:val="18"/>
          <w:lang w:val="en-IE" w:eastAsia="en-US"/>
        </w:rPr>
      </w:pPr>
      <w:r w:rsidRPr="008E20C4">
        <w:rPr>
          <w:rFonts w:ascii="Söhne" w:hAnsi="Söhne" w:cs="Arial"/>
          <w:smallCaps/>
          <w:sz w:val="18"/>
          <w:szCs w:val="18"/>
          <w:lang w:val="en-IE"/>
        </w:rPr>
        <w:t>Findlay J.W.A. &amp; Dillard R.F. (2007</w:t>
      </w:r>
      <w:r w:rsidRPr="008E20C4">
        <w:rPr>
          <w:rFonts w:ascii="Söhne" w:hAnsi="Söhne" w:cs="Arial"/>
          <w:sz w:val="18"/>
          <w:szCs w:val="18"/>
          <w:lang w:val="en-IE"/>
        </w:rPr>
        <w:t xml:space="preserve">). Appropriate calibration curve fitting in ligand binding assays. </w:t>
      </w:r>
      <w:r w:rsidRPr="008E20C4">
        <w:rPr>
          <w:rFonts w:ascii="Söhne" w:hAnsi="Söhne" w:cs="Arial"/>
          <w:i/>
          <w:iCs/>
          <w:sz w:val="18"/>
          <w:szCs w:val="18"/>
          <w:lang w:val="en-IE"/>
        </w:rPr>
        <w:t>AAPS J</w:t>
      </w:r>
      <w:r w:rsidRPr="008E20C4">
        <w:rPr>
          <w:rFonts w:ascii="Söhne" w:hAnsi="Söhne" w:cs="Arial"/>
          <w:sz w:val="18"/>
          <w:szCs w:val="18"/>
          <w:lang w:val="en-IE"/>
        </w:rPr>
        <w:t xml:space="preserve">., </w:t>
      </w:r>
      <w:r w:rsidRPr="008E20C4">
        <w:rPr>
          <w:rFonts w:ascii="Söhne" w:hAnsi="Söhne" w:cs="Arial"/>
          <w:b/>
          <w:sz w:val="18"/>
          <w:szCs w:val="18"/>
          <w:lang w:val="en-IE"/>
        </w:rPr>
        <w:t>9</w:t>
      </w:r>
      <w:r w:rsidRPr="008E20C4">
        <w:rPr>
          <w:rFonts w:ascii="Söhne" w:hAnsi="Söhne" w:cs="Arial"/>
          <w:sz w:val="18"/>
          <w:szCs w:val="18"/>
          <w:lang w:val="en-IE"/>
        </w:rPr>
        <w:t xml:space="preserve"> (2): E260-E267. (</w:t>
      </w:r>
      <w:proofErr w:type="gramStart"/>
      <w:r w:rsidRPr="008E20C4">
        <w:rPr>
          <w:rFonts w:ascii="Söhne" w:hAnsi="Söhne" w:cs="Arial"/>
          <w:sz w:val="18"/>
          <w:szCs w:val="18"/>
          <w:lang w:val="en-IE"/>
        </w:rPr>
        <w:t>Also</w:t>
      </w:r>
      <w:proofErr w:type="gramEnd"/>
      <w:r w:rsidRPr="008E20C4">
        <w:rPr>
          <w:rFonts w:ascii="Söhne" w:hAnsi="Söhne" w:cs="Arial"/>
          <w:sz w:val="18"/>
          <w:szCs w:val="18"/>
          <w:lang w:val="en-IE"/>
        </w:rPr>
        <w:t xml:space="preserve"> on-line as </w:t>
      </w:r>
      <w:r w:rsidRPr="008E20C4">
        <w:rPr>
          <w:rFonts w:ascii="Söhne" w:hAnsi="Söhne" w:cs="Arial"/>
          <w:i/>
          <w:sz w:val="18"/>
          <w:szCs w:val="18"/>
          <w:lang w:val="en-IE"/>
        </w:rPr>
        <w:t>AAPS Journal</w:t>
      </w:r>
      <w:r w:rsidRPr="008E20C4">
        <w:rPr>
          <w:rFonts w:ascii="Söhne" w:hAnsi="Söhne" w:cs="Arial"/>
          <w:bCs/>
          <w:iCs/>
          <w:sz w:val="18"/>
          <w:szCs w:val="18"/>
          <w:lang w:val="en-IE" w:eastAsia="en-US"/>
        </w:rPr>
        <w:t xml:space="preserve"> [</w:t>
      </w:r>
      <w:r w:rsidRPr="008E20C4">
        <w:rPr>
          <w:rFonts w:ascii="Söhne" w:hAnsi="Söhne" w:cs="Arial"/>
          <w:bCs/>
          <w:sz w:val="18"/>
          <w:szCs w:val="18"/>
          <w:lang w:val="en-IE" w:eastAsia="en-US"/>
        </w:rPr>
        <w:t xml:space="preserve">2007]; </w:t>
      </w:r>
      <w:r w:rsidRPr="008E20C4">
        <w:rPr>
          <w:rFonts w:ascii="Söhne" w:hAnsi="Söhne" w:cs="Arial"/>
          <w:b/>
          <w:bCs/>
          <w:sz w:val="18"/>
          <w:szCs w:val="18"/>
          <w:lang w:val="en-IE" w:eastAsia="en-US"/>
        </w:rPr>
        <w:t>9</w:t>
      </w:r>
      <w:r w:rsidRPr="008E20C4">
        <w:rPr>
          <w:rFonts w:ascii="Söhne" w:hAnsi="Söhne" w:cs="Arial"/>
          <w:bCs/>
          <w:sz w:val="18"/>
          <w:szCs w:val="18"/>
          <w:lang w:val="en-IE" w:eastAsia="en-US"/>
        </w:rPr>
        <w:t xml:space="preserve"> </w:t>
      </w:r>
      <w:r w:rsidRPr="008E20C4">
        <w:rPr>
          <w:rFonts w:ascii="Söhne" w:hAnsi="Söhne" w:cs="Arial"/>
          <w:bCs/>
          <w:iCs/>
          <w:sz w:val="18"/>
          <w:szCs w:val="18"/>
          <w:lang w:val="en-IE" w:eastAsia="en-US"/>
        </w:rPr>
        <w:t>[</w:t>
      </w:r>
      <w:r w:rsidRPr="008E20C4">
        <w:rPr>
          <w:rFonts w:ascii="Söhne" w:hAnsi="Söhne" w:cs="Arial"/>
          <w:bCs/>
          <w:sz w:val="18"/>
          <w:szCs w:val="18"/>
          <w:lang w:val="en-IE" w:eastAsia="en-US"/>
        </w:rPr>
        <w:t xml:space="preserve">2], Article 29 </w:t>
      </w:r>
      <w:r w:rsidRPr="008E20C4">
        <w:rPr>
          <w:rFonts w:ascii="Söhne" w:hAnsi="Söhne" w:cs="Arial"/>
          <w:bCs/>
          <w:iCs/>
          <w:sz w:val="18"/>
          <w:szCs w:val="18"/>
          <w:lang w:val="en-IE" w:eastAsia="en-US"/>
        </w:rPr>
        <w:t>[</w:t>
      </w:r>
      <w:r w:rsidR="00DF63B8" w:rsidRPr="008E20C4">
        <w:rPr>
          <w:rFonts w:ascii="Söhne" w:hAnsi="Söhne" w:cs="Arial"/>
          <w:bCs/>
          <w:color w:val="0000FF"/>
          <w:sz w:val="18"/>
          <w:szCs w:val="18"/>
          <w:u w:val="single"/>
          <w:lang w:val="en-IE" w:eastAsia="en-US"/>
        </w:rPr>
        <w:t>https://www.springer.com/journal/12248</w:t>
      </w:r>
      <w:r w:rsidRPr="008E20C4">
        <w:rPr>
          <w:rFonts w:ascii="Söhne" w:hAnsi="Söhne" w:cs="Arial"/>
          <w:bCs/>
          <w:sz w:val="18"/>
          <w:szCs w:val="18"/>
          <w:lang w:val="en-IE" w:eastAsia="en-US"/>
        </w:rPr>
        <w:t>]).</w:t>
      </w:r>
    </w:p>
    <w:p w14:paraId="11A40339" w14:textId="77777777" w:rsidR="00B21B90" w:rsidRPr="000F1FC4" w:rsidRDefault="00B21B90" w:rsidP="00B21B90">
      <w:pPr>
        <w:pStyle w:val="Ref"/>
        <w:rPr>
          <w:u w:val="double"/>
          <w:lang w:val="en-IE"/>
        </w:rPr>
      </w:pPr>
      <w:proofErr w:type="spellStart"/>
      <w:r w:rsidRPr="008E20C4">
        <w:rPr>
          <w:smallCaps/>
          <w:u w:val="double"/>
          <w:lang w:val="en-IE"/>
        </w:rPr>
        <w:t>Foord</w:t>
      </w:r>
      <w:proofErr w:type="spellEnd"/>
      <w:r w:rsidRPr="008E20C4">
        <w:rPr>
          <w:smallCaps/>
          <w:u w:val="double"/>
          <w:lang w:val="en-IE"/>
        </w:rPr>
        <w:t xml:space="preserve"> A., Boyd V., White J., Williams D., Colling A. &amp; Heine H.</w:t>
      </w:r>
      <w:r w:rsidRPr="008E20C4">
        <w:rPr>
          <w:u w:val="double"/>
          <w:lang w:val="en-IE"/>
        </w:rPr>
        <w:t xml:space="preserve"> (2015). </w:t>
      </w:r>
      <w:hyperlink r:id="rId39" w:history="1">
        <w:r w:rsidRPr="008E20C4">
          <w:rPr>
            <w:rStyle w:val="Hyperlink"/>
            <w:color w:val="000000" w:themeColor="text1"/>
            <w:u w:val="double"/>
            <w:lang w:val="en-IE"/>
          </w:rPr>
          <w:t>Flavivirus detection and differentiation by a microsphere array assay</w:t>
        </w:r>
      </w:hyperlink>
      <w:r w:rsidRPr="008E20C4">
        <w:rPr>
          <w:color w:val="000000" w:themeColor="text1"/>
          <w:u w:val="double"/>
          <w:lang w:val="en-IE"/>
        </w:rPr>
        <w:t xml:space="preserve">. </w:t>
      </w:r>
      <w:r w:rsidRPr="008E20C4">
        <w:rPr>
          <w:i/>
          <w:iCs/>
          <w:u w:val="double"/>
          <w:lang w:val="en-IE"/>
        </w:rPr>
        <w:t xml:space="preserve">J. </w:t>
      </w:r>
      <w:proofErr w:type="spellStart"/>
      <w:r w:rsidRPr="008E20C4">
        <w:rPr>
          <w:i/>
          <w:iCs/>
          <w:u w:val="double"/>
          <w:lang w:val="en-IE"/>
        </w:rPr>
        <w:t>Virol</w:t>
      </w:r>
      <w:proofErr w:type="spellEnd"/>
      <w:r w:rsidRPr="008E20C4">
        <w:rPr>
          <w:i/>
          <w:iCs/>
          <w:u w:val="double"/>
          <w:lang w:val="en-IE"/>
        </w:rPr>
        <w:t xml:space="preserve">. </w:t>
      </w:r>
      <w:r w:rsidRPr="000F1FC4">
        <w:rPr>
          <w:i/>
          <w:iCs/>
          <w:u w:val="double"/>
          <w:lang w:val="en-IE"/>
        </w:rPr>
        <w:t>Methods</w:t>
      </w:r>
      <w:r w:rsidRPr="000F1FC4">
        <w:rPr>
          <w:u w:val="double"/>
          <w:lang w:val="en-IE"/>
        </w:rPr>
        <w:t xml:space="preserve">, </w:t>
      </w:r>
      <w:r w:rsidRPr="000F1FC4">
        <w:rPr>
          <w:b/>
          <w:bCs/>
          <w:u w:val="double"/>
          <w:lang w:val="en-IE"/>
        </w:rPr>
        <w:t>203</w:t>
      </w:r>
      <w:r w:rsidRPr="000F1FC4">
        <w:rPr>
          <w:u w:val="double"/>
          <w:lang w:val="en-IE"/>
        </w:rPr>
        <w:t>, 65–72.</w:t>
      </w:r>
    </w:p>
    <w:p w14:paraId="224CE840" w14:textId="77777777" w:rsidR="00AF0286" w:rsidRPr="008E20C4" w:rsidRDefault="00AF0286" w:rsidP="00AF0286">
      <w:pPr>
        <w:pStyle w:val="Ref"/>
        <w:rPr>
          <w:u w:val="double"/>
          <w:lang w:val="en-IE" w:eastAsia="en-IE"/>
        </w:rPr>
      </w:pPr>
      <w:r w:rsidRPr="000F1FC4">
        <w:rPr>
          <w:smallCaps/>
          <w:u w:val="double"/>
          <w:lang w:val="en-IE" w:eastAsia="en-IE"/>
        </w:rPr>
        <w:t xml:space="preserve">Garcia M.E., Blanco J.L., Caballero J. &amp; </w:t>
      </w:r>
      <w:proofErr w:type="spellStart"/>
      <w:r w:rsidRPr="000F1FC4">
        <w:rPr>
          <w:smallCaps/>
          <w:u w:val="double"/>
          <w:lang w:val="en-IE" w:eastAsia="en-IE"/>
        </w:rPr>
        <w:t>Gargallo</w:t>
      </w:r>
      <w:proofErr w:type="spellEnd"/>
      <w:r w:rsidRPr="000F1FC4">
        <w:rPr>
          <w:smallCaps/>
          <w:u w:val="double"/>
          <w:lang w:val="en-IE" w:eastAsia="en-IE"/>
        </w:rPr>
        <w:t>-Viola D.</w:t>
      </w:r>
      <w:r w:rsidRPr="000F1FC4">
        <w:rPr>
          <w:u w:val="double"/>
          <w:lang w:val="en-IE" w:eastAsia="en-IE"/>
        </w:rPr>
        <w:t xml:space="preserve"> (2002). </w:t>
      </w:r>
      <w:r w:rsidRPr="008E20C4">
        <w:rPr>
          <w:u w:val="double"/>
          <w:lang w:val="en-IE" w:eastAsia="en-IE"/>
        </w:rPr>
        <w:t xml:space="preserve">Anticoagulants interfere with PCR used to diagnose invasive aspergillosis. </w:t>
      </w:r>
      <w:r w:rsidRPr="008E20C4">
        <w:rPr>
          <w:i/>
          <w:iCs/>
          <w:u w:val="double"/>
          <w:lang w:val="en-IE" w:eastAsia="en-IE"/>
        </w:rPr>
        <w:t xml:space="preserve">J. Clin. </w:t>
      </w:r>
      <w:proofErr w:type="spellStart"/>
      <w:r w:rsidRPr="008E20C4">
        <w:rPr>
          <w:i/>
          <w:iCs/>
          <w:u w:val="double"/>
          <w:lang w:val="en-IE" w:eastAsia="en-IE"/>
        </w:rPr>
        <w:t>Microbiol</w:t>
      </w:r>
      <w:proofErr w:type="spellEnd"/>
      <w:r w:rsidRPr="008E20C4">
        <w:rPr>
          <w:i/>
          <w:iCs/>
          <w:u w:val="double"/>
          <w:lang w:val="en-IE" w:eastAsia="en-IE"/>
        </w:rPr>
        <w:t xml:space="preserve">., </w:t>
      </w:r>
      <w:r w:rsidRPr="008E20C4">
        <w:rPr>
          <w:b/>
          <w:bCs/>
          <w:u w:val="double"/>
          <w:lang w:val="en-IE" w:eastAsia="en-IE"/>
        </w:rPr>
        <w:t>40</w:t>
      </w:r>
      <w:r w:rsidRPr="008E20C4">
        <w:rPr>
          <w:u w:val="double"/>
          <w:lang w:val="en-IE" w:eastAsia="en-IE"/>
        </w:rPr>
        <w:t>, 1567–1568. doi:10.1128/jcm.40.4.1567-1568.2002.</w:t>
      </w:r>
    </w:p>
    <w:p w14:paraId="0F5061DC" w14:textId="797A5923" w:rsidR="00C03A30" w:rsidRPr="008E20C4" w:rsidRDefault="00C03A30" w:rsidP="00C03A30">
      <w:pPr>
        <w:pStyle w:val="Ref"/>
        <w:rPr>
          <w:u w:val="double"/>
        </w:rPr>
      </w:pPr>
      <w:r w:rsidRPr="008E20C4">
        <w:rPr>
          <w:smallCaps/>
          <w:u w:val="double"/>
        </w:rPr>
        <w:t xml:space="preserve">Gardner I.A., Colling A., </w:t>
      </w:r>
      <w:proofErr w:type="spellStart"/>
      <w:r w:rsidRPr="008E20C4">
        <w:rPr>
          <w:smallCaps/>
          <w:u w:val="double"/>
        </w:rPr>
        <w:t>Caraguel</w:t>
      </w:r>
      <w:proofErr w:type="spellEnd"/>
      <w:r w:rsidRPr="008E20C4">
        <w:rPr>
          <w:smallCaps/>
          <w:u w:val="double"/>
        </w:rPr>
        <w:t xml:space="preserve"> C.G., Crowther J.R., Jones G., Firestone S.M. &amp; Heuer C. </w:t>
      </w:r>
      <w:r w:rsidRPr="008E20C4">
        <w:rPr>
          <w:u w:val="double"/>
        </w:rPr>
        <w:t xml:space="preserve">(2021). Introduction: validation of tests for OIE-listed diseases as fit-for-purpose in a world of evolving diagnostic technologies. </w:t>
      </w:r>
      <w:r w:rsidRPr="008E20C4">
        <w:rPr>
          <w:i/>
          <w:iCs/>
          <w:u w:val="double"/>
        </w:rPr>
        <w:t xml:space="preserve">Rev. Sci. Tec.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19–28. doi:10.20506/rst.40.1.3207.</w:t>
      </w:r>
    </w:p>
    <w:p w14:paraId="1A62DFDC" w14:textId="37913A3C" w:rsidR="00B51830" w:rsidRPr="008E20C4" w:rsidRDefault="00B51830" w:rsidP="00B51830">
      <w:pPr>
        <w:pStyle w:val="Ref"/>
        <w:rPr>
          <w:u w:val="double"/>
        </w:rPr>
      </w:pPr>
      <w:r w:rsidRPr="008E20C4">
        <w:rPr>
          <w:smallCaps/>
          <w:u w:val="double"/>
          <w:lang w:val="en-IE"/>
        </w:rPr>
        <w:t xml:space="preserve">Gardner I.A., Colling A. &amp; Greiner M. </w:t>
      </w:r>
      <w:r w:rsidRPr="008E20C4">
        <w:rPr>
          <w:u w:val="double"/>
          <w:lang w:val="en-IE"/>
        </w:rPr>
        <w:t xml:space="preserve">(2019). </w:t>
      </w:r>
      <w:r w:rsidRPr="008E20C4">
        <w:rPr>
          <w:u w:val="double"/>
        </w:rPr>
        <w:t xml:space="preserve">Design, statistical </w:t>
      </w:r>
      <w:proofErr w:type="gramStart"/>
      <w:r w:rsidRPr="008E20C4">
        <w:rPr>
          <w:u w:val="double"/>
        </w:rPr>
        <w:t>analysis</w:t>
      </w:r>
      <w:proofErr w:type="gramEnd"/>
      <w:r w:rsidRPr="008E20C4">
        <w:rPr>
          <w:u w:val="double"/>
        </w:rPr>
        <w:t xml:space="preserve"> and reporting standards for test accuracy studies for infectious diseases in animals: Progress, challenges and recommendations. </w:t>
      </w:r>
      <w:r w:rsidRPr="008E20C4">
        <w:rPr>
          <w:i/>
          <w:iCs/>
          <w:u w:val="double"/>
        </w:rPr>
        <w:t>Prev. Vet. Med</w:t>
      </w:r>
      <w:r w:rsidRPr="008E20C4">
        <w:rPr>
          <w:u w:val="double"/>
        </w:rPr>
        <w:t xml:space="preserve">., </w:t>
      </w:r>
      <w:r w:rsidRPr="008E20C4">
        <w:rPr>
          <w:b/>
          <w:bCs/>
          <w:u w:val="double"/>
        </w:rPr>
        <w:t>162</w:t>
      </w:r>
      <w:r w:rsidRPr="008E20C4">
        <w:rPr>
          <w:u w:val="double"/>
        </w:rPr>
        <w:t xml:space="preserve">, 46–55. </w:t>
      </w:r>
      <w:proofErr w:type="gramStart"/>
      <w:r w:rsidRPr="008E20C4">
        <w:rPr>
          <w:u w:val="double"/>
        </w:rPr>
        <w:t>oi:10.1016/j.prevetmed</w:t>
      </w:r>
      <w:proofErr w:type="gramEnd"/>
      <w:r w:rsidRPr="008E20C4">
        <w:rPr>
          <w:u w:val="double"/>
        </w:rPr>
        <w:t>.2018.10.023</w:t>
      </w:r>
      <w:r w:rsidR="00A62700" w:rsidRPr="008E20C4">
        <w:rPr>
          <w:u w:val="double"/>
        </w:rPr>
        <w:t>.</w:t>
      </w:r>
    </w:p>
    <w:p w14:paraId="7E08746E" w14:textId="77777777" w:rsidR="00B21B90" w:rsidRPr="008E20C4" w:rsidRDefault="00B21B90" w:rsidP="00B21B90">
      <w:pPr>
        <w:pStyle w:val="Ref"/>
        <w:rPr>
          <w:u w:val="double"/>
          <w:lang w:val="en-IE" w:eastAsia="en-AU"/>
        </w:rPr>
      </w:pPr>
      <w:r w:rsidRPr="008E20C4">
        <w:rPr>
          <w:smallCaps/>
          <w:u w:val="double"/>
          <w:lang w:val="en-IE"/>
        </w:rPr>
        <w:t xml:space="preserve">Gardner I.A. &amp; Greiner M. </w:t>
      </w:r>
      <w:r w:rsidRPr="008E20C4">
        <w:rPr>
          <w:u w:val="double"/>
          <w:lang w:val="en-IE"/>
        </w:rPr>
        <w:t xml:space="preserve">(2006). Receiver-Operating Characteristic Curves and Likelihood Ratios: Improvements over Traditional Methods for the Evaluation and Application of Veterinary Clinical Pathology Tests. </w:t>
      </w:r>
      <w:r w:rsidRPr="008E20C4">
        <w:rPr>
          <w:i/>
          <w:iCs/>
          <w:u w:val="double"/>
          <w:lang w:val="en-IE"/>
        </w:rPr>
        <w:t xml:space="preserve">Vet. Clin. </w:t>
      </w:r>
      <w:proofErr w:type="spellStart"/>
      <w:r w:rsidRPr="008E20C4">
        <w:rPr>
          <w:i/>
          <w:iCs/>
          <w:u w:val="double"/>
          <w:lang w:val="en-IE"/>
        </w:rPr>
        <w:t>Pathol</w:t>
      </w:r>
      <w:proofErr w:type="spellEnd"/>
      <w:r w:rsidRPr="008E20C4">
        <w:rPr>
          <w:i/>
          <w:iCs/>
          <w:u w:val="double"/>
          <w:lang w:val="en-IE"/>
        </w:rPr>
        <w:t>.</w:t>
      </w:r>
      <w:r w:rsidRPr="008E20C4">
        <w:rPr>
          <w:u w:val="double"/>
          <w:lang w:val="en-IE"/>
        </w:rPr>
        <w:t xml:space="preserve"> </w:t>
      </w:r>
      <w:r w:rsidRPr="008E20C4">
        <w:rPr>
          <w:b/>
          <w:bCs/>
          <w:u w:val="double"/>
          <w:lang w:val="en-IE"/>
        </w:rPr>
        <w:t>35</w:t>
      </w:r>
      <w:r w:rsidRPr="008E20C4">
        <w:rPr>
          <w:u w:val="double"/>
          <w:lang w:val="en-IE"/>
        </w:rPr>
        <w:t>, 8–17.</w:t>
      </w:r>
    </w:p>
    <w:p w14:paraId="2300C592" w14:textId="77777777" w:rsidR="00A96DF4" w:rsidRPr="008E20C4" w:rsidRDefault="00A96DF4" w:rsidP="00A96DF4">
      <w:pPr>
        <w:pStyle w:val="Ref"/>
        <w:rPr>
          <w:u w:val="double"/>
          <w:shd w:val="clear" w:color="auto" w:fill="FFFFFF" w:themeFill="background1"/>
          <w:lang w:val="en-IE"/>
        </w:rPr>
      </w:pPr>
      <w:r w:rsidRPr="008E20C4">
        <w:rPr>
          <w:smallCaps/>
          <w:u w:val="double"/>
          <w:shd w:val="clear" w:color="auto" w:fill="FFFFFF" w:themeFill="background1"/>
          <w:lang w:val="en-IE"/>
        </w:rPr>
        <w:t xml:space="preserve">Gardner I.A., Nielsen S.S., Whittington R.J., Collins M.T., Bakker D., Harris B., </w:t>
      </w:r>
      <w:proofErr w:type="spellStart"/>
      <w:r w:rsidRPr="008E20C4">
        <w:rPr>
          <w:smallCaps/>
          <w:u w:val="double"/>
          <w:shd w:val="clear" w:color="auto" w:fill="FFFFFF" w:themeFill="background1"/>
          <w:lang w:val="en-IE"/>
        </w:rPr>
        <w:t>Sreevatsan</w:t>
      </w:r>
      <w:proofErr w:type="spellEnd"/>
      <w:r w:rsidRPr="008E20C4">
        <w:rPr>
          <w:smallCaps/>
          <w:u w:val="double"/>
          <w:shd w:val="clear" w:color="auto" w:fill="FFFFFF" w:themeFill="background1"/>
          <w:lang w:val="en-IE"/>
        </w:rPr>
        <w:t xml:space="preserve"> S., Lombard J.E., Sweeney R., Smith D.R., </w:t>
      </w:r>
      <w:proofErr w:type="spellStart"/>
      <w:r w:rsidRPr="008E20C4">
        <w:rPr>
          <w:smallCaps/>
          <w:u w:val="double"/>
          <w:shd w:val="clear" w:color="auto" w:fill="FFFFFF" w:themeFill="background1"/>
          <w:lang w:val="en-IE"/>
        </w:rPr>
        <w:t>Gavalchin</w:t>
      </w:r>
      <w:proofErr w:type="spellEnd"/>
      <w:r w:rsidRPr="008E20C4">
        <w:rPr>
          <w:smallCaps/>
          <w:u w:val="double"/>
          <w:shd w:val="clear" w:color="auto" w:fill="FFFFFF" w:themeFill="background1"/>
          <w:lang w:val="en-IE"/>
        </w:rPr>
        <w:t xml:space="preserve"> J. &amp; Eda S.</w:t>
      </w:r>
      <w:r w:rsidRPr="008E20C4">
        <w:rPr>
          <w:u w:val="double"/>
          <w:shd w:val="clear" w:color="auto" w:fill="FFFFFF" w:themeFill="background1"/>
          <w:lang w:val="en-IE"/>
        </w:rPr>
        <w:t xml:space="preserve"> (2011). Consensus-based reporting standards for diagnostic test accuracy studies for paratuberculosis in ruminants. </w:t>
      </w:r>
      <w:r w:rsidRPr="008E20C4">
        <w:rPr>
          <w:i/>
          <w:iCs/>
          <w:u w:val="double"/>
          <w:shd w:val="clear" w:color="auto" w:fill="FFFFFF" w:themeFill="background1"/>
          <w:lang w:val="en-IE"/>
        </w:rPr>
        <w:t>Prev. Vet. Med</w:t>
      </w:r>
      <w:r w:rsidRPr="008E20C4">
        <w:rPr>
          <w:u w:val="double"/>
          <w:shd w:val="clear" w:color="auto" w:fill="FFFFFF" w:themeFill="background1"/>
          <w:lang w:val="en-IE"/>
        </w:rPr>
        <w:t xml:space="preserve">., </w:t>
      </w:r>
      <w:r w:rsidRPr="008E20C4">
        <w:rPr>
          <w:b/>
          <w:bCs/>
          <w:u w:val="double"/>
          <w:shd w:val="clear" w:color="auto" w:fill="FFFFFF" w:themeFill="background1"/>
          <w:lang w:val="en-IE"/>
        </w:rPr>
        <w:t>101</w:t>
      </w:r>
      <w:r w:rsidRPr="008E20C4">
        <w:rPr>
          <w:u w:val="double"/>
          <w:shd w:val="clear" w:color="auto" w:fill="FFFFFF" w:themeFill="background1"/>
          <w:lang w:val="en-IE"/>
        </w:rPr>
        <w:t>, 18–34. PMID: </w:t>
      </w:r>
      <w:hyperlink r:id="rId40" w:history="1">
        <w:r w:rsidRPr="008E20C4">
          <w:rPr>
            <w:rStyle w:val="Hyperlink"/>
            <w:rFonts w:cs="Arial"/>
            <w:color w:val="auto"/>
            <w:u w:val="double"/>
            <w:bdr w:val="none" w:sz="0" w:space="0" w:color="auto" w:frame="1"/>
            <w:shd w:val="clear" w:color="auto" w:fill="FFFFFF" w:themeFill="background1"/>
            <w:lang w:val="en-IE"/>
          </w:rPr>
          <w:t>21601933</w:t>
        </w:r>
      </w:hyperlink>
      <w:r w:rsidRPr="008E20C4">
        <w:rPr>
          <w:u w:val="double"/>
          <w:shd w:val="clear" w:color="auto" w:fill="FFFFFF" w:themeFill="background1"/>
          <w:lang w:val="en-IE"/>
        </w:rPr>
        <w:t>.</w:t>
      </w:r>
    </w:p>
    <w:p w14:paraId="5973EF67" w14:textId="6B4A2591" w:rsidR="0011127A" w:rsidRPr="008E20C4" w:rsidRDefault="0011127A" w:rsidP="00B51830">
      <w:pPr>
        <w:pStyle w:val="Ref"/>
        <w:rPr>
          <w:u w:val="double"/>
        </w:rPr>
      </w:pPr>
      <w:r w:rsidRPr="008E20C4">
        <w:rPr>
          <w:smallCaps/>
          <w:u w:val="double"/>
        </w:rPr>
        <w:t xml:space="preserve">Gardner I.A., </w:t>
      </w:r>
      <w:proofErr w:type="spellStart"/>
      <w:r w:rsidRPr="008E20C4">
        <w:rPr>
          <w:smallCaps/>
          <w:u w:val="double"/>
        </w:rPr>
        <w:t>Stryhn</w:t>
      </w:r>
      <w:proofErr w:type="spellEnd"/>
      <w:r w:rsidRPr="008E20C4">
        <w:rPr>
          <w:smallCaps/>
          <w:u w:val="double"/>
        </w:rPr>
        <w:t xml:space="preserve"> H., Lind P. &amp; Collins M.T</w:t>
      </w:r>
      <w:r w:rsidRPr="008E20C4">
        <w:rPr>
          <w:u w:val="double"/>
        </w:rPr>
        <w:t xml:space="preserve">. (2000). Conditional dependence between tests affects the diagnosis and surveillance of animal diseases. </w:t>
      </w:r>
      <w:r w:rsidRPr="008E20C4">
        <w:rPr>
          <w:i/>
          <w:iCs/>
          <w:u w:val="double"/>
        </w:rPr>
        <w:t>Prev. Vet. Med</w:t>
      </w:r>
      <w:r w:rsidRPr="008E20C4">
        <w:rPr>
          <w:u w:val="double"/>
        </w:rPr>
        <w:t xml:space="preserve">., </w:t>
      </w:r>
      <w:r w:rsidRPr="008E20C4">
        <w:rPr>
          <w:b/>
          <w:bCs/>
          <w:u w:val="double"/>
        </w:rPr>
        <w:t>45</w:t>
      </w:r>
      <w:r w:rsidRPr="008E20C4">
        <w:rPr>
          <w:u w:val="double"/>
        </w:rPr>
        <w:t xml:space="preserve">, 107–122. </w:t>
      </w:r>
      <w:proofErr w:type="spellStart"/>
      <w:r w:rsidRPr="008E20C4">
        <w:rPr>
          <w:rFonts w:cs="Segoe UI"/>
          <w:u w:val="double"/>
          <w:shd w:val="clear" w:color="auto" w:fill="FFFFFF"/>
        </w:rPr>
        <w:t>doi</w:t>
      </w:r>
      <w:proofErr w:type="spellEnd"/>
      <w:r w:rsidRPr="008E20C4">
        <w:rPr>
          <w:rFonts w:cs="Segoe UI"/>
          <w:u w:val="double"/>
          <w:shd w:val="clear" w:color="auto" w:fill="FFFFFF"/>
        </w:rPr>
        <w:t>: 10.1016/s0167-5877(00)00119-7.</w:t>
      </w:r>
    </w:p>
    <w:p w14:paraId="025F2E58" w14:textId="65C1D491" w:rsidR="00667CDB" w:rsidRPr="008E20C4" w:rsidRDefault="00667CDB" w:rsidP="00667CDB">
      <w:pPr>
        <w:pStyle w:val="CommentText"/>
        <w:tabs>
          <w:tab w:val="clear" w:pos="-720"/>
        </w:tabs>
        <w:spacing w:after="200" w:line="240" w:lineRule="atLeast"/>
        <w:rPr>
          <w:rFonts w:ascii="Söhne" w:hAnsi="Söhne" w:cs="Arial"/>
          <w:sz w:val="18"/>
          <w:szCs w:val="18"/>
          <w:lang w:val="en-IE"/>
        </w:rPr>
      </w:pPr>
      <w:r w:rsidRPr="008E20C4">
        <w:rPr>
          <w:rFonts w:ascii="Söhne" w:hAnsi="Söhne" w:cs="Arial"/>
          <w:smallCaps/>
          <w:sz w:val="18"/>
          <w:szCs w:val="18"/>
          <w:lang w:val="en-IE"/>
        </w:rPr>
        <w:t>Georgiadis M., Johnson, W., Gardner I. &amp; Singh R</w:t>
      </w:r>
      <w:r w:rsidRPr="008E20C4">
        <w:rPr>
          <w:rFonts w:ascii="Söhne" w:hAnsi="Söhne" w:cs="Arial"/>
          <w:i/>
          <w:sz w:val="18"/>
          <w:szCs w:val="18"/>
          <w:lang w:val="en-IE"/>
        </w:rPr>
        <w:t xml:space="preserve">. </w:t>
      </w:r>
      <w:r w:rsidRPr="008E20C4">
        <w:rPr>
          <w:rFonts w:ascii="Söhne" w:hAnsi="Söhne" w:cs="Arial"/>
          <w:sz w:val="18"/>
          <w:szCs w:val="18"/>
          <w:lang w:val="en-IE"/>
        </w:rPr>
        <w:t xml:space="preserve">(2003). Correlation-adjusted estimation of sensitivity and specificity of two diagnostic tests. </w:t>
      </w:r>
      <w:r w:rsidRPr="008E20C4">
        <w:rPr>
          <w:rFonts w:ascii="Söhne" w:hAnsi="Söhne" w:cs="Arial"/>
          <w:i/>
          <w:sz w:val="18"/>
          <w:szCs w:val="18"/>
          <w:lang w:val="en-IE"/>
        </w:rPr>
        <w:t>Appl. Statist</w:t>
      </w:r>
      <w:r w:rsidRPr="008E20C4">
        <w:rPr>
          <w:rFonts w:ascii="Söhne" w:hAnsi="Söhne" w:cs="Arial"/>
          <w:sz w:val="18"/>
          <w:szCs w:val="18"/>
          <w:lang w:val="en-IE"/>
        </w:rPr>
        <w:t xml:space="preserve">., </w:t>
      </w:r>
      <w:r w:rsidRPr="008E20C4">
        <w:rPr>
          <w:rFonts w:ascii="Söhne" w:hAnsi="Söhne" w:cs="Arial"/>
          <w:b/>
          <w:sz w:val="18"/>
          <w:szCs w:val="18"/>
          <w:lang w:val="en-IE"/>
        </w:rPr>
        <w:t>52</w:t>
      </w:r>
      <w:r w:rsidRPr="008E20C4">
        <w:rPr>
          <w:rFonts w:ascii="Söhne" w:hAnsi="Söhne" w:cs="Arial"/>
          <w:sz w:val="18"/>
          <w:szCs w:val="18"/>
          <w:lang w:val="en-IE"/>
        </w:rPr>
        <w:t xml:space="preserve"> (Part 1), 63–76.</w:t>
      </w:r>
    </w:p>
    <w:p w14:paraId="0FB77564" w14:textId="77777777" w:rsidR="00AF0286" w:rsidRPr="008E20C4" w:rsidRDefault="00AF0286" w:rsidP="00AF0286">
      <w:pPr>
        <w:pStyle w:val="Ref"/>
        <w:rPr>
          <w:u w:val="double"/>
          <w:lang w:val="en-IE" w:eastAsia="en-IE"/>
        </w:rPr>
      </w:pPr>
      <w:r w:rsidRPr="008E20C4">
        <w:rPr>
          <w:smallCaps/>
          <w:u w:val="double"/>
          <w:lang w:val="en-IE" w:eastAsia="en-IE"/>
        </w:rPr>
        <w:t>Gibb A.P. &amp; Wong S.</w:t>
      </w:r>
      <w:r w:rsidRPr="008E20C4">
        <w:rPr>
          <w:u w:val="double"/>
          <w:lang w:val="en-IE" w:eastAsia="en-IE"/>
        </w:rPr>
        <w:t xml:space="preserve"> (1998). Inhibition of PCR by agar from bacteriological transport media. </w:t>
      </w:r>
      <w:r w:rsidRPr="008E20C4">
        <w:rPr>
          <w:i/>
          <w:iCs/>
          <w:u w:val="double"/>
          <w:lang w:val="en-IE" w:eastAsia="en-IE"/>
        </w:rPr>
        <w:t xml:space="preserve">J. Clin. </w:t>
      </w:r>
      <w:proofErr w:type="spellStart"/>
      <w:r w:rsidRPr="008E20C4">
        <w:rPr>
          <w:i/>
          <w:iCs/>
          <w:u w:val="double"/>
          <w:lang w:val="en-IE" w:eastAsia="en-IE"/>
        </w:rPr>
        <w:t>Microbiol</w:t>
      </w:r>
      <w:proofErr w:type="spellEnd"/>
      <w:r w:rsidRPr="008E20C4">
        <w:rPr>
          <w:i/>
          <w:iCs/>
          <w:u w:val="double"/>
          <w:lang w:val="en-IE" w:eastAsia="en-IE"/>
        </w:rPr>
        <w:t xml:space="preserve">., </w:t>
      </w:r>
      <w:r w:rsidRPr="008E20C4">
        <w:rPr>
          <w:b/>
          <w:bCs/>
          <w:u w:val="double"/>
          <w:lang w:val="en-IE" w:eastAsia="en-IE"/>
        </w:rPr>
        <w:t>36</w:t>
      </w:r>
      <w:r w:rsidRPr="008E20C4">
        <w:rPr>
          <w:u w:val="double"/>
          <w:lang w:val="en-IE" w:eastAsia="en-IE"/>
        </w:rPr>
        <w:t>, 275–276. doi:10.1128/JCM.36.1.275-276.1998.</w:t>
      </w:r>
    </w:p>
    <w:p w14:paraId="58049E96" w14:textId="5B3D7412" w:rsidR="00A20144" w:rsidRPr="008E20C4" w:rsidRDefault="00A20144" w:rsidP="00667CDB">
      <w:pPr>
        <w:pStyle w:val="CommentText"/>
        <w:tabs>
          <w:tab w:val="clear" w:pos="-720"/>
        </w:tabs>
        <w:spacing w:after="200" w:line="240" w:lineRule="atLeast"/>
        <w:rPr>
          <w:rFonts w:ascii="Söhne" w:hAnsi="Söhne" w:cs="Arial"/>
          <w:sz w:val="18"/>
          <w:szCs w:val="18"/>
          <w:u w:val="double"/>
          <w:lang w:val="en-IE"/>
        </w:rPr>
      </w:pPr>
      <w:r w:rsidRPr="008E20C4">
        <w:rPr>
          <w:rFonts w:ascii="Söhne" w:hAnsi="Söhne" w:cs="Berkeley-Book"/>
          <w:smallCaps/>
          <w:sz w:val="18"/>
          <w:szCs w:val="18"/>
          <w:u w:val="double"/>
          <w:lang w:val="en-IE" w:eastAsia="de-DE"/>
        </w:rPr>
        <w:t xml:space="preserve">Gifford G., Szabo M., Hibbard R., Mateo D., Colling A., Gardner I. &amp; </w:t>
      </w:r>
      <w:proofErr w:type="spellStart"/>
      <w:r w:rsidRPr="008E20C4">
        <w:rPr>
          <w:rFonts w:ascii="Söhne" w:hAnsi="Söhne" w:cs="Berkeley-Book"/>
          <w:smallCaps/>
          <w:sz w:val="18"/>
          <w:szCs w:val="18"/>
          <w:u w:val="double"/>
          <w:lang w:val="en-IE" w:eastAsia="de-DE"/>
        </w:rPr>
        <w:t>Erlacher-Vindel</w:t>
      </w:r>
      <w:proofErr w:type="spellEnd"/>
      <w:r w:rsidRPr="008E20C4">
        <w:rPr>
          <w:rFonts w:ascii="Söhne" w:hAnsi="Söhne" w:cs="Berkeley-Book"/>
          <w:smallCaps/>
          <w:sz w:val="18"/>
          <w:szCs w:val="18"/>
          <w:u w:val="double"/>
          <w:lang w:val="en-IE" w:eastAsia="de-DE"/>
        </w:rPr>
        <w:t xml:space="preserve"> E</w:t>
      </w:r>
      <w:r w:rsidRPr="008E20C4">
        <w:rPr>
          <w:rFonts w:ascii="Söhne" w:hAnsi="Söhne" w:cs="Berkeley-Book"/>
          <w:sz w:val="18"/>
          <w:szCs w:val="18"/>
          <w:u w:val="double"/>
          <w:lang w:val="en-IE" w:eastAsia="de-DE"/>
        </w:rPr>
        <w:t xml:space="preserve">. (2021). </w:t>
      </w:r>
      <w:r w:rsidRPr="008E20C4">
        <w:rPr>
          <w:rFonts w:ascii="Söhne" w:hAnsi="Söhne" w:cs="Berkeley-Book"/>
          <w:sz w:val="18"/>
          <w:szCs w:val="18"/>
          <w:u w:val="double"/>
          <w:lang w:val="en-AU" w:eastAsia="de-DE"/>
        </w:rPr>
        <w:t>Validation, certification and registration of certified tests and regulatory control of veterinary diagnostic test kits</w:t>
      </w:r>
      <w:r w:rsidRPr="008E20C4">
        <w:rPr>
          <w:rFonts w:ascii="Söhne" w:hAnsi="Söhne" w:cs="Berkeley-BookItalic"/>
          <w:i/>
          <w:iCs/>
          <w:sz w:val="18"/>
          <w:szCs w:val="18"/>
          <w:u w:val="double"/>
          <w:lang w:val="en-AU" w:eastAsia="de-DE"/>
        </w:rPr>
        <w:t xml:space="preserve">. Rev. Sci. Tech. Off. Int. </w:t>
      </w:r>
      <w:proofErr w:type="spellStart"/>
      <w:r w:rsidRPr="008E20C4">
        <w:rPr>
          <w:rFonts w:ascii="Söhne" w:hAnsi="Söhne" w:cs="Berkeley-BookItalic"/>
          <w:i/>
          <w:iCs/>
          <w:sz w:val="18"/>
          <w:szCs w:val="18"/>
          <w:u w:val="double"/>
          <w:lang w:val="en-AU" w:eastAsia="de-DE"/>
        </w:rPr>
        <w:t>Epiz</w:t>
      </w:r>
      <w:proofErr w:type="spellEnd"/>
      <w:r w:rsidRPr="008E20C4">
        <w:rPr>
          <w:rFonts w:ascii="Söhne" w:hAnsi="Söhne" w:cs="Berkeley-Book"/>
          <w:sz w:val="18"/>
          <w:szCs w:val="18"/>
          <w:u w:val="double"/>
          <w:lang w:val="en-AU" w:eastAsia="de-DE"/>
        </w:rPr>
        <w:t xml:space="preserve">., </w:t>
      </w:r>
      <w:r w:rsidRPr="008E20C4">
        <w:rPr>
          <w:rFonts w:ascii="Söhne" w:hAnsi="Söhne" w:cs="Berkeley-Bold"/>
          <w:b/>
          <w:bCs/>
          <w:sz w:val="18"/>
          <w:szCs w:val="18"/>
          <w:u w:val="double"/>
          <w:lang w:val="en-AU" w:eastAsia="de-DE"/>
        </w:rPr>
        <w:t>40</w:t>
      </w:r>
      <w:r w:rsidRPr="008E20C4">
        <w:rPr>
          <w:rFonts w:ascii="Söhne" w:hAnsi="Söhne" w:cs="Berkeley-Book"/>
          <w:sz w:val="18"/>
          <w:szCs w:val="18"/>
          <w:u w:val="double"/>
          <w:lang w:val="en-AU" w:eastAsia="de-DE"/>
        </w:rPr>
        <w:t>, 173–188. doi:10.20506/rst.40.1.3216.</w:t>
      </w:r>
    </w:p>
    <w:p w14:paraId="1714ECAC" w14:textId="77777777" w:rsidR="00B21B90" w:rsidRPr="008E20C4" w:rsidRDefault="00B21B90" w:rsidP="00B21B90">
      <w:pPr>
        <w:pStyle w:val="Ref"/>
        <w:rPr>
          <w:u w:val="double"/>
          <w:lang w:val="en-IE"/>
        </w:rPr>
      </w:pPr>
      <w:bookmarkStart w:id="12" w:name="_Hlk109575588"/>
      <w:r w:rsidRPr="008E20C4">
        <w:rPr>
          <w:smallCaps/>
          <w:u w:val="double"/>
          <w:lang w:val="en-IE"/>
        </w:rPr>
        <w:t>Greiner M. &amp; Gardner I.A.</w:t>
      </w:r>
      <w:r w:rsidRPr="008E20C4">
        <w:rPr>
          <w:u w:val="double"/>
          <w:lang w:val="en-IE"/>
        </w:rPr>
        <w:t xml:space="preserve"> (2000). Epidemiologic Issues in the Validation of Veterinary Diagnostic Tests. </w:t>
      </w:r>
      <w:r w:rsidRPr="008E20C4">
        <w:rPr>
          <w:i/>
          <w:iCs/>
          <w:u w:val="double"/>
          <w:lang w:val="en-IE"/>
        </w:rPr>
        <w:t>Prev. Vet. Med.,</w:t>
      </w:r>
      <w:r w:rsidRPr="008E20C4">
        <w:rPr>
          <w:u w:val="double"/>
          <w:lang w:val="en-IE"/>
        </w:rPr>
        <w:t xml:space="preserve"> </w:t>
      </w:r>
      <w:r w:rsidRPr="008E20C4">
        <w:rPr>
          <w:b/>
          <w:bCs/>
          <w:u w:val="double"/>
          <w:lang w:val="en-IE"/>
        </w:rPr>
        <w:t>45</w:t>
      </w:r>
      <w:r w:rsidRPr="008E20C4">
        <w:rPr>
          <w:u w:val="double"/>
          <w:lang w:val="en-IE"/>
        </w:rPr>
        <w:t>, 3–22.</w:t>
      </w:r>
    </w:p>
    <w:p w14:paraId="5264105C" w14:textId="77777777" w:rsidR="00B21B90" w:rsidRPr="008E20C4" w:rsidRDefault="00B21B90" w:rsidP="00B21B90">
      <w:pPr>
        <w:pStyle w:val="Ref"/>
        <w:tabs>
          <w:tab w:val="clear" w:pos="-720"/>
        </w:tabs>
        <w:spacing w:after="200"/>
        <w:rPr>
          <w:lang w:val="en-IE"/>
        </w:rPr>
      </w:pPr>
      <w:r w:rsidRPr="008E20C4">
        <w:rPr>
          <w:smallCaps/>
          <w:color w:val="000000"/>
          <w:lang w:val="en-IE"/>
        </w:rPr>
        <w:t>Greiner M., Pfeiffer D. &amp; Smith R.D. (2000)</w:t>
      </w:r>
      <w:r w:rsidRPr="008E20C4">
        <w:rPr>
          <w:color w:val="000000"/>
          <w:lang w:val="en-IE"/>
        </w:rPr>
        <w:t xml:space="preserve">. Principles and practical application of the receiver operating characteristic (ROC) analysis for diagnostic tests. </w:t>
      </w:r>
      <w:r w:rsidRPr="008E20C4">
        <w:rPr>
          <w:i/>
          <w:color w:val="000000"/>
          <w:lang w:val="en-IE"/>
        </w:rPr>
        <w:t xml:space="preserve">Vet. Prev. Med., </w:t>
      </w:r>
      <w:r w:rsidRPr="008E20C4">
        <w:rPr>
          <w:b/>
          <w:color w:val="000000"/>
          <w:lang w:val="en-IE"/>
        </w:rPr>
        <w:t>45</w:t>
      </w:r>
      <w:r w:rsidRPr="008E20C4">
        <w:rPr>
          <w:color w:val="000000"/>
          <w:lang w:val="en-IE"/>
        </w:rPr>
        <w:t>, 23</w:t>
      </w:r>
      <w:r w:rsidRPr="008E20C4">
        <w:rPr>
          <w:lang w:val="en-IE"/>
        </w:rPr>
        <w:t>–</w:t>
      </w:r>
      <w:r w:rsidRPr="008E20C4">
        <w:rPr>
          <w:color w:val="000000"/>
          <w:lang w:val="en-IE"/>
        </w:rPr>
        <w:t>41.</w:t>
      </w:r>
    </w:p>
    <w:p w14:paraId="18819FE5" w14:textId="77777777" w:rsidR="00667CDB" w:rsidRPr="008E20C4" w:rsidRDefault="00667CDB" w:rsidP="00667CDB">
      <w:pPr>
        <w:pStyle w:val="Ref"/>
        <w:spacing w:after="200"/>
        <w:rPr>
          <w:lang w:val="en-IE"/>
        </w:rPr>
      </w:pPr>
      <w:r w:rsidRPr="008E20C4">
        <w:rPr>
          <w:smallCaps/>
          <w:lang w:val="en-IE"/>
        </w:rPr>
        <w:lastRenderedPageBreak/>
        <w:t xml:space="preserve">Greiner M., </w:t>
      </w:r>
      <w:proofErr w:type="spellStart"/>
      <w:r w:rsidRPr="008E20C4">
        <w:rPr>
          <w:smallCaps/>
          <w:lang w:val="en-IE"/>
        </w:rPr>
        <w:t>Sohr</w:t>
      </w:r>
      <w:proofErr w:type="spellEnd"/>
      <w:r w:rsidRPr="008E20C4">
        <w:rPr>
          <w:smallCaps/>
          <w:lang w:val="en-IE"/>
        </w:rPr>
        <w:t xml:space="preserve"> D. &amp; </w:t>
      </w:r>
      <w:proofErr w:type="spellStart"/>
      <w:r w:rsidRPr="008E20C4">
        <w:rPr>
          <w:smallCaps/>
          <w:lang w:val="en-IE"/>
        </w:rPr>
        <w:t>Göbel</w:t>
      </w:r>
      <w:proofErr w:type="spellEnd"/>
      <w:r w:rsidRPr="008E20C4">
        <w:rPr>
          <w:smallCaps/>
          <w:lang w:val="en-IE"/>
        </w:rPr>
        <w:t xml:space="preserve"> P.</w:t>
      </w:r>
      <w:r w:rsidRPr="008E20C4">
        <w:rPr>
          <w:lang w:val="en-IE"/>
        </w:rPr>
        <w:t xml:space="preserve"> (1995). A modified ROC analysis for the selection of cut-off values and the definition of intermediate results of </w:t>
      </w:r>
      <w:proofErr w:type="spellStart"/>
      <w:r w:rsidRPr="008E20C4">
        <w:rPr>
          <w:lang w:val="en-IE"/>
        </w:rPr>
        <w:t>serodiagnostic</w:t>
      </w:r>
      <w:proofErr w:type="spellEnd"/>
      <w:r w:rsidRPr="008E20C4">
        <w:rPr>
          <w:lang w:val="en-IE"/>
        </w:rPr>
        <w:t xml:space="preserve"> tests. </w:t>
      </w:r>
      <w:r w:rsidRPr="008E20C4">
        <w:rPr>
          <w:i/>
          <w:lang w:val="en-IE"/>
        </w:rPr>
        <w:t>J. Immunol. Methods</w:t>
      </w:r>
      <w:r w:rsidRPr="008E20C4">
        <w:rPr>
          <w:lang w:val="en-IE"/>
        </w:rPr>
        <w:t xml:space="preserve">, </w:t>
      </w:r>
      <w:r w:rsidRPr="008E20C4">
        <w:rPr>
          <w:b/>
          <w:lang w:val="en-IE"/>
        </w:rPr>
        <w:t>185</w:t>
      </w:r>
      <w:r w:rsidRPr="008E20C4">
        <w:rPr>
          <w:lang w:val="en-IE"/>
        </w:rPr>
        <w:t>,123–132.</w:t>
      </w:r>
    </w:p>
    <w:bookmarkEnd w:id="12"/>
    <w:p w14:paraId="71ABA5EE" w14:textId="77777777" w:rsidR="00B21B90" w:rsidRPr="008E20C4" w:rsidRDefault="00B21B90" w:rsidP="00B21B90">
      <w:pPr>
        <w:pStyle w:val="Ref"/>
        <w:rPr>
          <w:rFonts w:eastAsiaTheme="minorHAnsi"/>
          <w:u w:val="double"/>
        </w:rPr>
      </w:pPr>
      <w:r w:rsidRPr="008E20C4">
        <w:rPr>
          <w:rFonts w:eastAsiaTheme="minorHAnsi"/>
          <w:smallCaps/>
          <w:u w:val="double"/>
          <w:lang w:val="en-IE"/>
        </w:rPr>
        <w:t xml:space="preserve">Halpin K., </w:t>
      </w:r>
      <w:proofErr w:type="spellStart"/>
      <w:r w:rsidRPr="008E20C4">
        <w:rPr>
          <w:rFonts w:eastAsiaTheme="minorHAnsi"/>
          <w:smallCaps/>
          <w:u w:val="double"/>
          <w:lang w:val="en-IE"/>
        </w:rPr>
        <w:t>Tribolet</w:t>
      </w:r>
      <w:proofErr w:type="spellEnd"/>
      <w:r w:rsidRPr="008E20C4">
        <w:rPr>
          <w:rFonts w:eastAsiaTheme="minorHAnsi"/>
          <w:smallCaps/>
          <w:u w:val="double"/>
          <w:lang w:val="en-IE"/>
        </w:rPr>
        <w:t xml:space="preserve"> L., Hobbs E.C. &amp; </w:t>
      </w:r>
      <w:proofErr w:type="spellStart"/>
      <w:r w:rsidRPr="008E20C4">
        <w:rPr>
          <w:rFonts w:eastAsiaTheme="minorHAnsi"/>
          <w:smallCaps/>
          <w:u w:val="double"/>
          <w:lang w:val="en-IE"/>
        </w:rPr>
        <w:t>Singanallur</w:t>
      </w:r>
      <w:proofErr w:type="spellEnd"/>
      <w:r w:rsidRPr="008E20C4">
        <w:rPr>
          <w:rFonts w:eastAsiaTheme="minorHAnsi"/>
          <w:smallCaps/>
          <w:u w:val="double"/>
          <w:lang w:val="en-IE"/>
        </w:rPr>
        <w:t xml:space="preserve"> N.B.</w:t>
      </w:r>
      <w:r w:rsidRPr="008E20C4">
        <w:rPr>
          <w:rFonts w:eastAsiaTheme="minorHAnsi"/>
          <w:u w:val="double"/>
          <w:lang w:val="en-IE"/>
        </w:rPr>
        <w:t xml:space="preserve"> (2021). </w:t>
      </w:r>
      <w:r w:rsidRPr="008E20C4">
        <w:rPr>
          <w:rFonts w:eastAsiaTheme="minorHAnsi"/>
          <w:u w:val="double"/>
        </w:rPr>
        <w:t xml:space="preserve">Perspectives and challenges in validating new diagnostic technologies. </w:t>
      </w:r>
      <w:r w:rsidRPr="008E20C4">
        <w:rPr>
          <w:rFonts w:eastAsiaTheme="minorHAnsi"/>
          <w:i/>
          <w:iCs/>
          <w:u w:val="double"/>
        </w:rPr>
        <w:t xml:space="preserve">Rev. Sci. Tech. Off. Int. </w:t>
      </w:r>
      <w:proofErr w:type="spellStart"/>
      <w:r w:rsidRPr="008E20C4">
        <w:rPr>
          <w:rFonts w:eastAsiaTheme="minorHAnsi"/>
          <w:i/>
          <w:iCs/>
          <w:u w:val="double"/>
        </w:rPr>
        <w:t>Epiz</w:t>
      </w:r>
      <w:proofErr w:type="spellEnd"/>
      <w:r w:rsidRPr="008E20C4">
        <w:rPr>
          <w:rFonts w:eastAsiaTheme="minorHAnsi"/>
          <w:u w:val="double"/>
        </w:rPr>
        <w:t xml:space="preserve">., </w:t>
      </w:r>
      <w:r w:rsidRPr="008E20C4">
        <w:rPr>
          <w:rFonts w:eastAsiaTheme="minorHAnsi"/>
          <w:b/>
          <w:bCs/>
          <w:u w:val="double"/>
        </w:rPr>
        <w:t>40</w:t>
      </w:r>
      <w:r w:rsidRPr="008E20C4">
        <w:rPr>
          <w:rFonts w:eastAsiaTheme="minorHAnsi"/>
          <w:u w:val="double"/>
        </w:rPr>
        <w:t>, 145–157. doi:10.20506/rst.40.1.3214.</w:t>
      </w:r>
    </w:p>
    <w:p w14:paraId="01544973" w14:textId="77777777" w:rsidR="00B21B90" w:rsidRPr="008E20C4" w:rsidRDefault="00B21B90" w:rsidP="00B21B90">
      <w:pPr>
        <w:pStyle w:val="Ref"/>
        <w:rPr>
          <w:u w:val="double"/>
          <w:lang w:val="en-IE"/>
        </w:rPr>
      </w:pPr>
      <w:r w:rsidRPr="008E20C4">
        <w:rPr>
          <w:smallCaps/>
          <w:u w:val="double"/>
          <w:lang w:val="en-IE"/>
        </w:rPr>
        <w:t>Hobbs E., Colling A., Gurung R. &amp; Allen</w:t>
      </w:r>
      <w:r w:rsidRPr="008E20C4">
        <w:rPr>
          <w:u w:val="double"/>
          <w:lang w:val="en-IE"/>
        </w:rPr>
        <w:t xml:space="preserve"> J. (2020). The potential of diagnostic point-of-care tests (POCTs) for infectious and zoonotic animal diseases in developing countries: technical, </w:t>
      </w:r>
      <w:proofErr w:type="gramStart"/>
      <w:r w:rsidRPr="008E20C4">
        <w:rPr>
          <w:u w:val="double"/>
          <w:lang w:val="en-IE"/>
        </w:rPr>
        <w:t>regulatory</w:t>
      </w:r>
      <w:proofErr w:type="gramEnd"/>
      <w:r w:rsidRPr="008E20C4">
        <w:rPr>
          <w:u w:val="double"/>
          <w:lang w:val="en-IE"/>
        </w:rPr>
        <w:t xml:space="preserve"> and sociocultural considerations. </w:t>
      </w:r>
      <w:proofErr w:type="spellStart"/>
      <w:r w:rsidRPr="008E20C4">
        <w:rPr>
          <w:rFonts w:eastAsia="Calibri"/>
          <w:i/>
          <w:iCs/>
          <w:u w:val="double"/>
          <w:lang w:val="en-IE"/>
        </w:rPr>
        <w:t>Transbound</w:t>
      </w:r>
      <w:proofErr w:type="spellEnd"/>
      <w:r w:rsidRPr="008E20C4">
        <w:rPr>
          <w:rFonts w:eastAsia="Calibri"/>
          <w:i/>
          <w:iCs/>
          <w:u w:val="double"/>
          <w:lang w:val="en-IE"/>
        </w:rPr>
        <w:t xml:space="preserve"> </w:t>
      </w:r>
      <w:proofErr w:type="spellStart"/>
      <w:r w:rsidRPr="008E20C4">
        <w:rPr>
          <w:rFonts w:eastAsia="Calibri"/>
          <w:i/>
          <w:iCs/>
          <w:u w:val="double"/>
          <w:lang w:val="en-IE"/>
        </w:rPr>
        <w:t>Emerg</w:t>
      </w:r>
      <w:proofErr w:type="spellEnd"/>
      <w:r w:rsidRPr="008E20C4">
        <w:rPr>
          <w:rFonts w:eastAsia="Calibri"/>
          <w:i/>
          <w:iCs/>
          <w:u w:val="double"/>
          <w:lang w:val="en-IE"/>
        </w:rPr>
        <w:t xml:space="preserve"> Dis., </w:t>
      </w:r>
      <w:r w:rsidRPr="008E20C4">
        <w:rPr>
          <w:rFonts w:eastAsia="Calibri"/>
          <w:b/>
          <w:bCs/>
          <w:u w:val="double"/>
          <w:lang w:val="en-IE"/>
        </w:rPr>
        <w:t>68</w:t>
      </w:r>
      <w:r w:rsidRPr="008E20C4">
        <w:rPr>
          <w:rFonts w:eastAsia="Calibri"/>
          <w:u w:val="double"/>
          <w:lang w:val="en-IE"/>
        </w:rPr>
        <w:t>, 1835–1849.</w:t>
      </w:r>
    </w:p>
    <w:p w14:paraId="3AFA947D" w14:textId="3BC688A5" w:rsidR="001464E1" w:rsidRPr="008E20C4" w:rsidRDefault="001464E1" w:rsidP="000D5948">
      <w:pPr>
        <w:pStyle w:val="Ref"/>
        <w:rPr>
          <w:u w:val="double"/>
        </w:rPr>
      </w:pPr>
      <w:r w:rsidRPr="008E20C4">
        <w:rPr>
          <w:smallCaps/>
          <w:u w:val="double"/>
          <w:lang w:val="en-IE"/>
        </w:rPr>
        <w:t xml:space="preserve">Heuer C. &amp; Stevenson </w:t>
      </w:r>
      <w:r w:rsidRPr="008E20C4">
        <w:rPr>
          <w:u w:val="double"/>
          <w:lang w:val="en-IE"/>
        </w:rPr>
        <w:t xml:space="preserve">M.A. (2021). </w:t>
      </w:r>
      <w:r w:rsidRPr="008E20C4">
        <w:rPr>
          <w:u w:val="double"/>
        </w:rPr>
        <w:t xml:space="preserve">Diagnostic test validation studies when there is a perfect reference standard. </w:t>
      </w:r>
      <w:r w:rsidRPr="008E20C4">
        <w:rPr>
          <w:i/>
          <w:iCs/>
          <w:u w:val="double"/>
        </w:rPr>
        <w:t xml:space="preserve">Rev. Sci. Tech. Off. Int. </w:t>
      </w:r>
      <w:proofErr w:type="spellStart"/>
      <w:r w:rsidRPr="008E20C4">
        <w:rPr>
          <w:i/>
          <w:iCs/>
          <w:u w:val="double"/>
        </w:rPr>
        <w:t>Epiz</w:t>
      </w:r>
      <w:proofErr w:type="spellEnd"/>
      <w:r w:rsidRPr="008E20C4">
        <w:rPr>
          <w:i/>
          <w:iCs/>
          <w:u w:val="double"/>
        </w:rPr>
        <w:t>.</w:t>
      </w:r>
      <w:r w:rsidRPr="008E20C4">
        <w:rPr>
          <w:u w:val="double"/>
        </w:rPr>
        <w:t xml:space="preserve">, </w:t>
      </w:r>
      <w:r w:rsidRPr="008E20C4">
        <w:rPr>
          <w:b/>
          <w:bCs/>
          <w:u w:val="double"/>
        </w:rPr>
        <w:t>40</w:t>
      </w:r>
      <w:r w:rsidRPr="008E20C4">
        <w:rPr>
          <w:u w:val="double"/>
        </w:rPr>
        <w:t>, 261–270. doi:10.20506/rst.40.1.3223.</w:t>
      </w:r>
    </w:p>
    <w:p w14:paraId="64CF8EA2" w14:textId="77777777" w:rsidR="006E58E0" w:rsidRPr="008E20C4" w:rsidRDefault="00667CDB" w:rsidP="00667CDB">
      <w:pPr>
        <w:pStyle w:val="Ref"/>
        <w:tabs>
          <w:tab w:val="clear" w:pos="-720"/>
        </w:tabs>
        <w:spacing w:after="200"/>
        <w:rPr>
          <w:color w:val="000000"/>
          <w:lang w:val="en-IE"/>
        </w:rPr>
      </w:pPr>
      <w:r w:rsidRPr="008E20C4">
        <w:rPr>
          <w:smallCaps/>
          <w:color w:val="000000"/>
          <w:lang w:val="en-IE"/>
        </w:rPr>
        <w:t>Hui S.L. &amp; Walter S.D</w:t>
      </w:r>
      <w:r w:rsidRPr="008E20C4">
        <w:rPr>
          <w:color w:val="000000"/>
          <w:lang w:val="en-IE"/>
        </w:rPr>
        <w:t xml:space="preserve">. (1980). Estimating the error rates of diagnostic tests. </w:t>
      </w:r>
      <w:r w:rsidRPr="008E20C4">
        <w:rPr>
          <w:i/>
          <w:iCs/>
          <w:color w:val="000000"/>
          <w:lang w:val="en-IE"/>
        </w:rPr>
        <w:t>Biometrics</w:t>
      </w:r>
      <w:r w:rsidRPr="008E20C4">
        <w:rPr>
          <w:color w:val="000000"/>
          <w:lang w:val="en-IE"/>
        </w:rPr>
        <w:t xml:space="preserve">, </w:t>
      </w:r>
      <w:r w:rsidRPr="008E20C4">
        <w:rPr>
          <w:b/>
          <w:color w:val="000000"/>
          <w:lang w:val="en-IE"/>
        </w:rPr>
        <w:t>36</w:t>
      </w:r>
      <w:r w:rsidRPr="008E20C4">
        <w:rPr>
          <w:bCs/>
          <w:color w:val="000000"/>
          <w:lang w:val="en-IE"/>
        </w:rPr>
        <w:t xml:space="preserve">, </w:t>
      </w:r>
      <w:r w:rsidRPr="008E20C4">
        <w:rPr>
          <w:color w:val="000000"/>
          <w:lang w:val="en-IE"/>
        </w:rPr>
        <w:t>167–171.</w:t>
      </w:r>
    </w:p>
    <w:p w14:paraId="24CFEF74" w14:textId="63D660C8" w:rsidR="00663379" w:rsidRPr="008E20C4" w:rsidRDefault="006E58E0" w:rsidP="00667CDB">
      <w:pPr>
        <w:pStyle w:val="Ref"/>
        <w:tabs>
          <w:tab w:val="clear" w:pos="-720"/>
        </w:tabs>
        <w:spacing w:after="200"/>
        <w:rPr>
          <w:u w:val="double"/>
        </w:rPr>
      </w:pPr>
      <w:r w:rsidRPr="008E20C4">
        <w:rPr>
          <w:smallCaps/>
          <w:u w:val="double"/>
        </w:rPr>
        <w:t>International Organization for Standardization</w:t>
      </w:r>
      <w:r w:rsidRPr="008E20C4">
        <w:rPr>
          <w:u w:val="double"/>
        </w:rPr>
        <w:t xml:space="preserve"> (2019). </w:t>
      </w:r>
      <w:hyperlink r:id="rId41" w:anchor="iso:std:iso:ts:22583:ed-1:v1:en" w:history="1">
        <w:r w:rsidR="005C1C41" w:rsidRPr="008E20C4">
          <w:rPr>
            <w:rStyle w:val="Hyperlink"/>
            <w:color w:val="auto"/>
            <w:u w:val="double"/>
          </w:rPr>
          <w:t>ISO/TS 22583:2019(en), Guidance for supervisors and operators of point-of-care testing (POCT) devices</w:t>
        </w:r>
      </w:hyperlink>
      <w:r w:rsidRPr="008E20C4">
        <w:rPr>
          <w:u w:val="double"/>
        </w:rPr>
        <w:t>.</w:t>
      </w:r>
      <w:r w:rsidRPr="008E20C4">
        <w:t xml:space="preserve"> </w:t>
      </w:r>
      <w:r w:rsidRPr="008E20C4">
        <w:rPr>
          <w:u w:val="double"/>
        </w:rPr>
        <w:t>https://www.iso.org/obp/ui/#iso:std:iso:ts:22583:ed-1:v1:en</w:t>
      </w:r>
    </w:p>
    <w:p w14:paraId="34BC000E" w14:textId="7D7FE416" w:rsidR="00667CDB" w:rsidRPr="008E20C4" w:rsidRDefault="00667CDB" w:rsidP="00667CDB">
      <w:pPr>
        <w:pStyle w:val="Ref"/>
        <w:tabs>
          <w:tab w:val="clear" w:pos="-720"/>
        </w:tabs>
        <w:spacing w:after="200"/>
        <w:rPr>
          <w:color w:val="000000"/>
          <w:lang w:val="en-IE"/>
        </w:rPr>
      </w:pPr>
      <w:r w:rsidRPr="008E20C4">
        <w:rPr>
          <w:smallCaps/>
          <w:color w:val="000000"/>
          <w:lang w:val="en-IE"/>
        </w:rPr>
        <w:t>Jacobson R.H. (1998)</w:t>
      </w:r>
      <w:r w:rsidRPr="008E20C4">
        <w:rPr>
          <w:color w:val="000000"/>
          <w:lang w:val="en-IE"/>
        </w:rPr>
        <w:t xml:space="preserve">. Validation of serological assays for diagnosis of infectious diseases. </w:t>
      </w:r>
      <w:r w:rsidRPr="008E20C4">
        <w:rPr>
          <w:i/>
          <w:color w:val="000000"/>
          <w:lang w:val="en-IE"/>
        </w:rPr>
        <w:t xml:space="preserve">Rev. sci. tech. Off. int. </w:t>
      </w:r>
      <w:proofErr w:type="spellStart"/>
      <w:r w:rsidRPr="008E20C4">
        <w:rPr>
          <w:i/>
          <w:color w:val="000000"/>
          <w:lang w:val="en-IE"/>
        </w:rPr>
        <w:t>Epiz</w:t>
      </w:r>
      <w:proofErr w:type="spellEnd"/>
      <w:r w:rsidRPr="008E20C4">
        <w:rPr>
          <w:i/>
          <w:color w:val="000000"/>
          <w:lang w:val="en-IE"/>
        </w:rPr>
        <w:t>.</w:t>
      </w:r>
      <w:r w:rsidRPr="008E20C4">
        <w:rPr>
          <w:color w:val="000000"/>
          <w:lang w:val="en-IE"/>
        </w:rPr>
        <w:t xml:space="preserve">, </w:t>
      </w:r>
      <w:r w:rsidRPr="008E20C4">
        <w:rPr>
          <w:b/>
          <w:color w:val="000000"/>
          <w:lang w:val="en-IE"/>
        </w:rPr>
        <w:t>17</w:t>
      </w:r>
      <w:r w:rsidRPr="008E20C4">
        <w:rPr>
          <w:color w:val="000000"/>
          <w:lang w:val="en-IE"/>
        </w:rPr>
        <w:t>, 469</w:t>
      </w:r>
      <w:r w:rsidRPr="008E20C4">
        <w:rPr>
          <w:lang w:val="en-IE"/>
        </w:rPr>
        <w:t>–</w:t>
      </w:r>
      <w:r w:rsidRPr="008E20C4">
        <w:rPr>
          <w:color w:val="000000"/>
          <w:lang w:val="en-IE"/>
        </w:rPr>
        <w:t>486.</w:t>
      </w:r>
    </w:p>
    <w:p w14:paraId="6A0C848A" w14:textId="2B6C4AD0" w:rsidR="000D5948" w:rsidRPr="008E20C4" w:rsidRDefault="000D5948" w:rsidP="000D5948">
      <w:pPr>
        <w:pStyle w:val="Ref"/>
        <w:rPr>
          <w:u w:val="double"/>
        </w:rPr>
      </w:pPr>
      <w:r w:rsidRPr="008E20C4">
        <w:rPr>
          <w:u w:val="double"/>
        </w:rPr>
        <w:t>J</w:t>
      </w:r>
      <w:r w:rsidRPr="008E20C4">
        <w:rPr>
          <w:smallCaps/>
          <w:u w:val="double"/>
        </w:rPr>
        <w:t xml:space="preserve">ia B., Colling A., </w:t>
      </w:r>
      <w:proofErr w:type="spellStart"/>
      <w:r w:rsidRPr="008E20C4">
        <w:rPr>
          <w:smallCaps/>
          <w:u w:val="double"/>
        </w:rPr>
        <w:t>Stallknecht</w:t>
      </w:r>
      <w:proofErr w:type="spellEnd"/>
      <w:r w:rsidRPr="008E20C4">
        <w:rPr>
          <w:smallCaps/>
          <w:u w:val="double"/>
        </w:rPr>
        <w:t xml:space="preserve"> D.E., </w:t>
      </w:r>
      <w:proofErr w:type="spellStart"/>
      <w:r w:rsidRPr="008E20C4">
        <w:rPr>
          <w:smallCaps/>
          <w:u w:val="double"/>
        </w:rPr>
        <w:t>Blehert</w:t>
      </w:r>
      <w:proofErr w:type="spellEnd"/>
      <w:r w:rsidRPr="008E20C4">
        <w:rPr>
          <w:smallCaps/>
          <w:u w:val="double"/>
        </w:rPr>
        <w:t xml:space="preserve"> D., Bingham J., Crossley B., Eagles D. &amp; Gardner I.A</w:t>
      </w:r>
      <w:r w:rsidRPr="008E20C4">
        <w:rPr>
          <w:u w:val="double"/>
        </w:rPr>
        <w:t xml:space="preserve">. (2020). Validation of laboratory tests for infectious diseases in wild mammals: review and recommendations. </w:t>
      </w:r>
      <w:r w:rsidRPr="008E20C4">
        <w:rPr>
          <w:i/>
          <w:iCs/>
          <w:u w:val="double"/>
        </w:rPr>
        <w:t xml:space="preserve">J. Vet. </w:t>
      </w:r>
      <w:proofErr w:type="spellStart"/>
      <w:r w:rsidRPr="008E20C4">
        <w:rPr>
          <w:i/>
          <w:iCs/>
          <w:u w:val="double"/>
        </w:rPr>
        <w:t>Diagn</w:t>
      </w:r>
      <w:proofErr w:type="spellEnd"/>
      <w:r w:rsidRPr="008E20C4">
        <w:rPr>
          <w:i/>
          <w:iCs/>
          <w:u w:val="double"/>
        </w:rPr>
        <w:t>. Invest.,</w:t>
      </w:r>
      <w:r w:rsidRPr="008E20C4">
        <w:rPr>
          <w:u w:val="double"/>
        </w:rPr>
        <w:t xml:space="preserve"> </w:t>
      </w:r>
      <w:r w:rsidRPr="008E20C4">
        <w:rPr>
          <w:b/>
          <w:bCs/>
          <w:u w:val="double"/>
        </w:rPr>
        <w:t>32</w:t>
      </w:r>
      <w:r w:rsidRPr="008E20C4">
        <w:rPr>
          <w:u w:val="double"/>
        </w:rPr>
        <w:t>, 776–792. doi:10.1177/1040638720920346</w:t>
      </w:r>
      <w:r w:rsidR="000901BE" w:rsidRPr="008E20C4">
        <w:rPr>
          <w:u w:val="double"/>
        </w:rPr>
        <w:t>.</w:t>
      </w:r>
    </w:p>
    <w:p w14:paraId="1EECFBDA" w14:textId="2FCB88CF" w:rsidR="00536D15" w:rsidRPr="008E20C4" w:rsidRDefault="00536D15" w:rsidP="00536D15">
      <w:pPr>
        <w:pStyle w:val="Ref"/>
        <w:rPr>
          <w:u w:val="double"/>
          <w:lang w:val="en-IE"/>
        </w:rPr>
      </w:pPr>
      <w:r w:rsidRPr="008E20C4">
        <w:rPr>
          <w:smallCaps/>
          <w:u w:val="double"/>
          <w:lang w:val="en-IE" w:eastAsia="en-AU"/>
        </w:rPr>
        <w:t xml:space="preserve">Johnson P. &amp; </w:t>
      </w:r>
      <w:proofErr w:type="spellStart"/>
      <w:r w:rsidRPr="008E20C4">
        <w:rPr>
          <w:smallCaps/>
          <w:u w:val="double"/>
          <w:lang w:val="en-IE" w:eastAsia="en-AU"/>
        </w:rPr>
        <w:t>Cabuang</w:t>
      </w:r>
      <w:proofErr w:type="spellEnd"/>
      <w:r w:rsidRPr="008E20C4">
        <w:rPr>
          <w:smallCaps/>
          <w:u w:val="double"/>
          <w:lang w:val="en-IE" w:eastAsia="en-AU"/>
        </w:rPr>
        <w:t xml:space="preserve"> </w:t>
      </w:r>
      <w:r w:rsidRPr="008E20C4">
        <w:rPr>
          <w:u w:val="double"/>
          <w:lang w:val="en-IE" w:eastAsia="en-AU"/>
        </w:rPr>
        <w:t xml:space="preserve">L. (2021). Proficiency testing and ring trials. </w:t>
      </w:r>
      <w:r w:rsidRPr="008E20C4">
        <w:rPr>
          <w:i/>
          <w:iCs/>
          <w:u w:val="double"/>
          <w:lang w:val="en-IE" w:eastAsia="en-AU"/>
        </w:rPr>
        <w:t xml:space="preserve">Rev. Sci. Tech. Off. Int. </w:t>
      </w:r>
      <w:proofErr w:type="spellStart"/>
      <w:r w:rsidRPr="008E20C4">
        <w:rPr>
          <w:i/>
          <w:iCs/>
          <w:u w:val="double"/>
          <w:lang w:val="en-IE" w:eastAsia="en-AU"/>
        </w:rPr>
        <w:t>Epiz</w:t>
      </w:r>
      <w:proofErr w:type="spellEnd"/>
      <w:r w:rsidRPr="008E20C4">
        <w:rPr>
          <w:i/>
          <w:iCs/>
          <w:u w:val="double"/>
          <w:lang w:val="en-IE" w:eastAsia="en-AU"/>
        </w:rPr>
        <w:t>.</w:t>
      </w:r>
      <w:r w:rsidRPr="008E20C4">
        <w:rPr>
          <w:u w:val="double"/>
          <w:lang w:val="en-IE" w:eastAsia="en-AU"/>
        </w:rPr>
        <w:t xml:space="preserve">, </w:t>
      </w:r>
      <w:r w:rsidRPr="008E20C4">
        <w:rPr>
          <w:b/>
          <w:bCs/>
          <w:u w:val="double"/>
          <w:lang w:val="en-IE" w:eastAsia="en-AU"/>
        </w:rPr>
        <w:t>40</w:t>
      </w:r>
      <w:r w:rsidRPr="008E20C4">
        <w:rPr>
          <w:u w:val="double"/>
          <w:lang w:val="en-IE" w:eastAsia="en-AU"/>
        </w:rPr>
        <w:t xml:space="preserve">, 189–203. </w:t>
      </w:r>
      <w:hyperlink r:id="rId42" w:tgtFrame="_blank" w:history="1">
        <w:r w:rsidRPr="008E20C4">
          <w:rPr>
            <w:rStyle w:val="fmtalo-doi"/>
            <w:u w:val="double"/>
            <w:shd w:val="clear" w:color="auto" w:fill="FFFFFF"/>
          </w:rPr>
          <w:t>https://doi.org/10.20506/rst.40.1.3217</w:t>
        </w:r>
      </w:hyperlink>
    </w:p>
    <w:p w14:paraId="747EE00E" w14:textId="33FA58ED" w:rsidR="00536D15" w:rsidRPr="008E20C4" w:rsidRDefault="00536D15" w:rsidP="000D5948">
      <w:pPr>
        <w:pStyle w:val="Ref"/>
        <w:rPr>
          <w:u w:val="double"/>
        </w:rPr>
      </w:pPr>
      <w:r w:rsidRPr="008E20C4">
        <w:rPr>
          <w:smallCaps/>
          <w:u w:val="double"/>
        </w:rPr>
        <w:t>Johnson W.O., Jones G. &amp; Gardner I.</w:t>
      </w:r>
      <w:r w:rsidRPr="008E20C4">
        <w:rPr>
          <w:u w:val="double"/>
        </w:rPr>
        <w:t xml:space="preserve"> (2019). Gold standards are </w:t>
      </w:r>
      <w:proofErr w:type="gramStart"/>
      <w:r w:rsidRPr="008E20C4">
        <w:rPr>
          <w:u w:val="double"/>
        </w:rPr>
        <w:t>out</w:t>
      </w:r>
      <w:proofErr w:type="gramEnd"/>
      <w:r w:rsidRPr="008E20C4">
        <w:rPr>
          <w:u w:val="double"/>
        </w:rPr>
        <w:t xml:space="preserve"> and Bayes is in: implementing the cure for imperfect reference tests in diagnostic accuracy studies</w:t>
      </w:r>
      <w:r w:rsidRPr="008E20C4">
        <w:rPr>
          <w:i/>
          <w:iCs/>
          <w:u w:val="double"/>
        </w:rPr>
        <w:t>. Prev. Vet. Med</w:t>
      </w:r>
      <w:r w:rsidRPr="008E20C4">
        <w:rPr>
          <w:u w:val="double"/>
        </w:rPr>
        <w:t xml:space="preserve">., </w:t>
      </w:r>
      <w:r w:rsidRPr="008E20C4">
        <w:rPr>
          <w:b/>
          <w:bCs/>
          <w:u w:val="double"/>
        </w:rPr>
        <w:t>167</w:t>
      </w:r>
      <w:r w:rsidRPr="008E20C4">
        <w:rPr>
          <w:u w:val="double"/>
        </w:rPr>
        <w:t xml:space="preserve">, 113–127. </w:t>
      </w:r>
      <w:proofErr w:type="gramStart"/>
      <w:r w:rsidRPr="008E20C4">
        <w:rPr>
          <w:u w:val="double"/>
        </w:rPr>
        <w:t>doi:10.1016/j.prevetmed</w:t>
      </w:r>
      <w:proofErr w:type="gramEnd"/>
      <w:r w:rsidRPr="008E20C4">
        <w:rPr>
          <w:u w:val="double"/>
        </w:rPr>
        <w:t>.2019.01.010.</w:t>
      </w:r>
    </w:p>
    <w:p w14:paraId="043D37F7" w14:textId="2DA71450" w:rsidR="00B51830" w:rsidRPr="008E20C4" w:rsidRDefault="00B51830" w:rsidP="00B51830">
      <w:pPr>
        <w:pStyle w:val="Ref"/>
        <w:rPr>
          <w:u w:val="double"/>
          <w:lang w:val="en-IE"/>
        </w:rPr>
      </w:pPr>
      <w:r w:rsidRPr="008E20C4">
        <w:rPr>
          <w:smallCaps/>
          <w:u w:val="double"/>
          <w:lang w:val="en-IE" w:eastAsia="en-AU"/>
        </w:rPr>
        <w:t>Kirkland P.D. &amp; Newberry K.M</w:t>
      </w:r>
      <w:r w:rsidRPr="008E20C4">
        <w:rPr>
          <w:u w:val="double"/>
          <w:lang w:val="en-IE" w:eastAsia="en-AU"/>
        </w:rPr>
        <w:t>. (2021). Your assay has changed – is it still ‘fit for purpose’? What evaluation is required?</w:t>
      </w:r>
      <w:r w:rsidRPr="008E20C4">
        <w:rPr>
          <w:i/>
          <w:iCs/>
          <w:u w:val="double"/>
          <w:lang w:val="en-IE" w:eastAsia="en-AU"/>
        </w:rPr>
        <w:t xml:space="preserve"> Rev. Sci. Tech. Off. Int. </w:t>
      </w:r>
      <w:proofErr w:type="spellStart"/>
      <w:r w:rsidRPr="008E20C4">
        <w:rPr>
          <w:i/>
          <w:iCs/>
          <w:u w:val="double"/>
          <w:lang w:val="en-IE" w:eastAsia="en-AU"/>
        </w:rPr>
        <w:t>Epiz</w:t>
      </w:r>
      <w:proofErr w:type="spellEnd"/>
      <w:r w:rsidRPr="008E20C4">
        <w:rPr>
          <w:i/>
          <w:iCs/>
          <w:u w:val="double"/>
          <w:lang w:val="en-IE" w:eastAsia="en-AU"/>
        </w:rPr>
        <w:t>.</w:t>
      </w:r>
      <w:r w:rsidRPr="008E20C4">
        <w:rPr>
          <w:u w:val="double"/>
          <w:lang w:val="en-IE" w:eastAsia="en-AU"/>
        </w:rPr>
        <w:t xml:space="preserve">, </w:t>
      </w:r>
      <w:r w:rsidRPr="008E20C4">
        <w:rPr>
          <w:b/>
          <w:bCs/>
          <w:u w:val="double"/>
          <w:lang w:val="en-IE" w:eastAsia="en-AU"/>
        </w:rPr>
        <w:t>40</w:t>
      </w:r>
      <w:r w:rsidRPr="008E20C4">
        <w:rPr>
          <w:u w:val="double"/>
          <w:lang w:val="en-IE" w:eastAsia="en-AU"/>
        </w:rPr>
        <w:t>, 205</w:t>
      </w:r>
      <w:r w:rsidR="00CE12A0" w:rsidRPr="008E20C4">
        <w:rPr>
          <w:u w:val="double"/>
          <w:lang w:val="en-IE" w:eastAsia="en-AU"/>
        </w:rPr>
        <w:t>–</w:t>
      </w:r>
      <w:r w:rsidRPr="008E20C4">
        <w:rPr>
          <w:u w:val="double"/>
          <w:lang w:val="en-IE" w:eastAsia="en-AU"/>
        </w:rPr>
        <w:t>215.</w:t>
      </w:r>
      <w:r w:rsidR="00CE12A0" w:rsidRPr="008E20C4">
        <w:rPr>
          <w:u w:val="double"/>
          <w:lang w:val="en-IE" w:eastAsia="en-AU"/>
        </w:rPr>
        <w:t xml:space="preserve"> </w:t>
      </w:r>
      <w:hyperlink r:id="rId43" w:tgtFrame="_blank" w:history="1">
        <w:r w:rsidR="00CE12A0" w:rsidRPr="008E20C4">
          <w:rPr>
            <w:rStyle w:val="fmtalo-doi"/>
            <w:u w:val="double"/>
            <w:shd w:val="clear" w:color="auto" w:fill="FFFFFF"/>
          </w:rPr>
          <w:t>https://doi.org/10.20506/rst.40.1.3218</w:t>
        </w:r>
      </w:hyperlink>
      <w:r w:rsidR="00DF30D0" w:rsidRPr="008E20C4">
        <w:rPr>
          <w:u w:val="double"/>
        </w:rPr>
        <w:t>.</w:t>
      </w:r>
    </w:p>
    <w:p w14:paraId="18B7B0DF" w14:textId="311E9BF8" w:rsidR="000901BE" w:rsidRPr="008E20C4" w:rsidRDefault="000901BE" w:rsidP="000901BE">
      <w:pPr>
        <w:pStyle w:val="Ref"/>
        <w:rPr>
          <w:u w:val="double"/>
        </w:rPr>
      </w:pPr>
      <w:proofErr w:type="spellStart"/>
      <w:r w:rsidRPr="008E20C4">
        <w:rPr>
          <w:smallCaps/>
          <w:u w:val="double"/>
          <w:lang w:val="en-IE" w:eastAsia="en-AU"/>
        </w:rPr>
        <w:t>Kostoulas</w:t>
      </w:r>
      <w:proofErr w:type="spellEnd"/>
      <w:r w:rsidRPr="008E20C4">
        <w:rPr>
          <w:smallCaps/>
          <w:u w:val="double"/>
          <w:lang w:val="en-IE" w:eastAsia="en-AU"/>
        </w:rPr>
        <w:t xml:space="preserve"> P., Gardner I.A., </w:t>
      </w:r>
      <w:proofErr w:type="spellStart"/>
      <w:r w:rsidRPr="008E20C4">
        <w:rPr>
          <w:smallCaps/>
          <w:u w:val="double"/>
          <w:lang w:val="en-IE" w:eastAsia="en-AU"/>
        </w:rPr>
        <w:t>Elschner</w:t>
      </w:r>
      <w:proofErr w:type="spellEnd"/>
      <w:r w:rsidRPr="008E20C4">
        <w:rPr>
          <w:smallCaps/>
          <w:u w:val="double"/>
          <w:lang w:val="en-IE" w:eastAsia="en-AU"/>
        </w:rPr>
        <w:t xml:space="preserve"> M.C., </w:t>
      </w:r>
      <w:proofErr w:type="spellStart"/>
      <w:r w:rsidRPr="008E20C4">
        <w:rPr>
          <w:smallCaps/>
          <w:u w:val="double"/>
          <w:lang w:val="en-IE" w:eastAsia="en-AU"/>
        </w:rPr>
        <w:t>Denwood</w:t>
      </w:r>
      <w:proofErr w:type="spellEnd"/>
      <w:r w:rsidRPr="008E20C4">
        <w:rPr>
          <w:smallCaps/>
          <w:u w:val="double"/>
          <w:lang w:val="en-IE" w:eastAsia="en-AU"/>
        </w:rPr>
        <w:t xml:space="preserve"> M.J., </w:t>
      </w:r>
      <w:proofErr w:type="spellStart"/>
      <w:r w:rsidRPr="008E20C4">
        <w:rPr>
          <w:smallCaps/>
          <w:u w:val="double"/>
          <w:lang w:val="en-IE" w:eastAsia="en-AU"/>
        </w:rPr>
        <w:t>Meletis</w:t>
      </w:r>
      <w:proofErr w:type="spellEnd"/>
      <w:r w:rsidRPr="008E20C4">
        <w:rPr>
          <w:smallCaps/>
          <w:u w:val="double"/>
          <w:lang w:val="en-IE" w:eastAsia="en-AU"/>
        </w:rPr>
        <w:t xml:space="preserve"> E. &amp; Nielsen S.S.</w:t>
      </w:r>
      <w:r w:rsidRPr="008E20C4">
        <w:rPr>
          <w:u w:val="double"/>
          <w:lang w:val="en-IE" w:eastAsia="en-AU"/>
        </w:rPr>
        <w:t xml:space="preserve"> (2021). Examples of proper reporting for evaluation (Stage 2 validation) of diagnostic tests for diseases listed by the World Organisation for Animal Health, </w:t>
      </w:r>
      <w:r w:rsidRPr="008E20C4">
        <w:rPr>
          <w:i/>
          <w:iCs/>
          <w:u w:val="double"/>
          <w:lang w:val="en-IE" w:eastAsia="en-AU"/>
        </w:rPr>
        <w:t xml:space="preserve">Sci. Tech. Off. Int. </w:t>
      </w:r>
      <w:proofErr w:type="spellStart"/>
      <w:r w:rsidRPr="008E20C4">
        <w:rPr>
          <w:i/>
          <w:iCs/>
          <w:u w:val="double"/>
          <w:lang w:val="en-IE" w:eastAsia="en-AU"/>
        </w:rPr>
        <w:t>Epiz</w:t>
      </w:r>
      <w:proofErr w:type="spellEnd"/>
      <w:r w:rsidRPr="008E20C4">
        <w:rPr>
          <w:i/>
          <w:iCs/>
          <w:u w:val="double"/>
          <w:lang w:val="en-IE" w:eastAsia="en-AU"/>
        </w:rPr>
        <w:t>.</w:t>
      </w:r>
      <w:r w:rsidRPr="008E20C4">
        <w:rPr>
          <w:u w:val="double"/>
          <w:lang w:val="en-IE" w:eastAsia="en-AU"/>
        </w:rPr>
        <w:t xml:space="preserve">, </w:t>
      </w:r>
      <w:r w:rsidRPr="008E20C4">
        <w:rPr>
          <w:b/>
          <w:bCs/>
          <w:u w:val="double"/>
          <w:lang w:val="en-IE" w:eastAsia="en-AU"/>
        </w:rPr>
        <w:t>40</w:t>
      </w:r>
      <w:r w:rsidRPr="008E20C4">
        <w:rPr>
          <w:u w:val="double"/>
          <w:lang w:val="en-IE" w:eastAsia="en-AU"/>
        </w:rPr>
        <w:t>, 287</w:t>
      </w:r>
      <w:r w:rsidR="00B51830" w:rsidRPr="008E20C4">
        <w:rPr>
          <w:u w:val="double"/>
          <w:lang w:val="en-IE" w:eastAsia="en-AU"/>
        </w:rPr>
        <w:t>–</w:t>
      </w:r>
      <w:r w:rsidRPr="008E20C4">
        <w:rPr>
          <w:u w:val="double"/>
          <w:lang w:val="en-IE" w:eastAsia="en-AU"/>
        </w:rPr>
        <w:t>298.</w:t>
      </w:r>
      <w:r w:rsidR="00B51830" w:rsidRPr="008E20C4">
        <w:rPr>
          <w:u w:val="double"/>
          <w:lang w:val="en-IE" w:eastAsia="en-AU"/>
        </w:rPr>
        <w:t xml:space="preserve"> </w:t>
      </w:r>
      <w:r w:rsidR="00B51830" w:rsidRPr="008E20C4">
        <w:rPr>
          <w:u w:val="double"/>
        </w:rPr>
        <w:t>doi:10.20506/rst.40.1.3225.</w:t>
      </w:r>
    </w:p>
    <w:p w14:paraId="7E525939" w14:textId="1D336EEA" w:rsidR="00A96DF4" w:rsidRPr="008E20C4" w:rsidRDefault="00A96DF4" w:rsidP="000901BE">
      <w:pPr>
        <w:pStyle w:val="Ref"/>
        <w:rPr>
          <w:u w:val="double"/>
        </w:rPr>
      </w:pPr>
      <w:proofErr w:type="spellStart"/>
      <w:r w:rsidRPr="008E20C4">
        <w:rPr>
          <w:smallCaps/>
          <w:u w:val="double"/>
          <w:shd w:val="clear" w:color="auto" w:fill="FFFFFF" w:themeFill="background1"/>
          <w:lang w:val="en-IE"/>
        </w:rPr>
        <w:t>Kostoulas</w:t>
      </w:r>
      <w:proofErr w:type="spellEnd"/>
      <w:r w:rsidRPr="008E20C4">
        <w:rPr>
          <w:smallCaps/>
          <w:u w:val="double"/>
          <w:shd w:val="clear" w:color="auto" w:fill="FFFFFF" w:themeFill="background1"/>
          <w:lang w:val="en-IE"/>
        </w:rPr>
        <w:t xml:space="preserve"> P., Nielsen S.S., </w:t>
      </w:r>
      <w:proofErr w:type="spellStart"/>
      <w:r w:rsidRPr="008E20C4">
        <w:rPr>
          <w:smallCaps/>
          <w:u w:val="double"/>
          <w:shd w:val="clear" w:color="auto" w:fill="FFFFFF" w:themeFill="background1"/>
          <w:lang w:val="en-IE"/>
        </w:rPr>
        <w:t>Branscum</w:t>
      </w:r>
      <w:proofErr w:type="spellEnd"/>
      <w:r w:rsidRPr="008E20C4">
        <w:rPr>
          <w:smallCaps/>
          <w:u w:val="double"/>
          <w:shd w:val="clear" w:color="auto" w:fill="FFFFFF" w:themeFill="background1"/>
          <w:lang w:val="en-IE"/>
        </w:rPr>
        <w:t xml:space="preserve"> A.J., Johnson W.O., </w:t>
      </w:r>
      <w:proofErr w:type="spellStart"/>
      <w:r w:rsidRPr="008E20C4">
        <w:rPr>
          <w:smallCaps/>
          <w:u w:val="double"/>
          <w:shd w:val="clear" w:color="auto" w:fill="FFFFFF" w:themeFill="background1"/>
          <w:lang w:val="en-IE"/>
        </w:rPr>
        <w:t>Dendukuri</w:t>
      </w:r>
      <w:proofErr w:type="spellEnd"/>
      <w:r w:rsidRPr="008E20C4">
        <w:rPr>
          <w:smallCaps/>
          <w:u w:val="double"/>
          <w:shd w:val="clear" w:color="auto" w:fill="FFFFFF" w:themeFill="background1"/>
          <w:lang w:val="en-IE"/>
        </w:rPr>
        <w:t xml:space="preserve"> N., </w:t>
      </w:r>
      <w:proofErr w:type="spellStart"/>
      <w:r w:rsidRPr="008E20C4">
        <w:rPr>
          <w:smallCaps/>
          <w:u w:val="double"/>
          <w:shd w:val="clear" w:color="auto" w:fill="FFFFFF" w:themeFill="background1"/>
          <w:lang w:val="en-IE"/>
        </w:rPr>
        <w:t>Dhand</w:t>
      </w:r>
      <w:proofErr w:type="spellEnd"/>
      <w:r w:rsidRPr="008E20C4">
        <w:rPr>
          <w:smallCaps/>
          <w:u w:val="double"/>
          <w:shd w:val="clear" w:color="auto" w:fill="FFFFFF" w:themeFill="background1"/>
          <w:lang w:val="en-IE"/>
        </w:rPr>
        <w:t xml:space="preserve"> N.K., Toft N. &amp; Gardner I.A. </w:t>
      </w:r>
      <w:r w:rsidRPr="008E20C4">
        <w:rPr>
          <w:u w:val="double"/>
          <w:shd w:val="clear" w:color="auto" w:fill="FFFFFF" w:themeFill="background1"/>
          <w:lang w:val="en-IE"/>
        </w:rPr>
        <w:t xml:space="preserve">(2017). STARD-BLCM: Standards for the Reporting of Diagnostic accuracy studies that use Bayesian Latent Class Models. </w:t>
      </w:r>
      <w:r w:rsidRPr="008E20C4">
        <w:rPr>
          <w:i/>
          <w:iCs/>
          <w:u w:val="double"/>
          <w:shd w:val="clear" w:color="auto" w:fill="FFFFFF" w:themeFill="background1"/>
          <w:lang w:val="en-IE"/>
        </w:rPr>
        <w:t>Prev. Vet. Med</w:t>
      </w:r>
      <w:r w:rsidRPr="008E20C4">
        <w:rPr>
          <w:u w:val="double"/>
          <w:shd w:val="clear" w:color="auto" w:fill="FFFFFF" w:themeFill="background1"/>
          <w:lang w:val="en-IE"/>
        </w:rPr>
        <w:t xml:space="preserve">., </w:t>
      </w:r>
      <w:r w:rsidRPr="008E20C4">
        <w:rPr>
          <w:b/>
          <w:bCs/>
          <w:u w:val="double"/>
          <w:shd w:val="clear" w:color="auto" w:fill="FFFFFF" w:themeFill="background1"/>
          <w:lang w:val="en-IE"/>
        </w:rPr>
        <w:t>138</w:t>
      </w:r>
      <w:r w:rsidRPr="008E20C4">
        <w:rPr>
          <w:u w:val="double"/>
          <w:shd w:val="clear" w:color="auto" w:fill="FFFFFF" w:themeFill="background1"/>
          <w:lang w:val="en-IE"/>
        </w:rPr>
        <w:t>, 37–47. PMID: </w:t>
      </w:r>
      <w:hyperlink r:id="rId44" w:history="1">
        <w:r w:rsidRPr="008E20C4">
          <w:rPr>
            <w:rStyle w:val="Hyperlink"/>
            <w:rFonts w:cs="Arial"/>
            <w:color w:val="auto"/>
            <w:u w:val="double"/>
            <w:bdr w:val="none" w:sz="0" w:space="0" w:color="auto" w:frame="1"/>
            <w:shd w:val="clear" w:color="auto" w:fill="FFFFFF" w:themeFill="background1"/>
            <w:lang w:val="en-IE"/>
          </w:rPr>
          <w:t>28237234</w:t>
        </w:r>
      </w:hyperlink>
      <w:r w:rsidRPr="008E20C4">
        <w:rPr>
          <w:rStyle w:val="Hyperlink"/>
          <w:rFonts w:cs="Arial"/>
          <w:color w:val="auto"/>
          <w:u w:val="double"/>
          <w:bdr w:val="none" w:sz="0" w:space="0" w:color="auto" w:frame="1"/>
          <w:shd w:val="clear" w:color="auto" w:fill="FFFFFF" w:themeFill="background1"/>
          <w:lang w:val="en-IE"/>
        </w:rPr>
        <w:t>.</w:t>
      </w:r>
    </w:p>
    <w:p w14:paraId="279C9B12" w14:textId="72AC426F" w:rsidR="005662FB" w:rsidRPr="008E20C4" w:rsidRDefault="005662FB" w:rsidP="005662FB">
      <w:pPr>
        <w:pStyle w:val="Ref"/>
        <w:rPr>
          <w:sz w:val="16"/>
          <w:szCs w:val="16"/>
          <w:u w:val="double"/>
          <w:lang w:val="en-IE"/>
        </w:rPr>
      </w:pPr>
      <w:proofErr w:type="spellStart"/>
      <w:r w:rsidRPr="008E20C4">
        <w:rPr>
          <w:smallCaps/>
          <w:u w:val="double"/>
        </w:rPr>
        <w:t>Ludi</w:t>
      </w:r>
      <w:proofErr w:type="spellEnd"/>
      <w:r w:rsidRPr="008E20C4">
        <w:rPr>
          <w:smallCaps/>
          <w:u w:val="double"/>
        </w:rPr>
        <w:t xml:space="preserve"> A.B., </w:t>
      </w:r>
      <w:proofErr w:type="spellStart"/>
      <w:r w:rsidRPr="008E20C4">
        <w:rPr>
          <w:smallCaps/>
          <w:u w:val="double"/>
        </w:rPr>
        <w:t>Mioulet</w:t>
      </w:r>
      <w:proofErr w:type="spellEnd"/>
      <w:r w:rsidRPr="008E20C4">
        <w:rPr>
          <w:smallCaps/>
          <w:u w:val="double"/>
        </w:rPr>
        <w:t xml:space="preserve"> V., </w:t>
      </w:r>
      <w:proofErr w:type="spellStart"/>
      <w:r w:rsidRPr="008E20C4">
        <w:rPr>
          <w:smallCaps/>
          <w:u w:val="double"/>
        </w:rPr>
        <w:t>Bakkali</w:t>
      </w:r>
      <w:proofErr w:type="spellEnd"/>
      <w:r w:rsidRPr="008E20C4">
        <w:rPr>
          <w:smallCaps/>
          <w:u w:val="double"/>
        </w:rPr>
        <w:t xml:space="preserve"> </w:t>
      </w:r>
      <w:proofErr w:type="spellStart"/>
      <w:r w:rsidRPr="008E20C4">
        <w:rPr>
          <w:smallCaps/>
          <w:u w:val="double"/>
        </w:rPr>
        <w:t>Kassimi</w:t>
      </w:r>
      <w:proofErr w:type="spellEnd"/>
      <w:r w:rsidRPr="008E20C4">
        <w:rPr>
          <w:smallCaps/>
          <w:u w:val="double"/>
        </w:rPr>
        <w:t xml:space="preserve"> L., Lefebvre D.J., De </w:t>
      </w:r>
      <w:proofErr w:type="spellStart"/>
      <w:r w:rsidRPr="008E20C4">
        <w:rPr>
          <w:smallCaps/>
          <w:u w:val="double"/>
        </w:rPr>
        <w:t>Clercq</w:t>
      </w:r>
      <w:proofErr w:type="spellEnd"/>
      <w:r w:rsidRPr="008E20C4">
        <w:rPr>
          <w:smallCaps/>
          <w:u w:val="double"/>
        </w:rPr>
        <w:t xml:space="preserve"> K., </w:t>
      </w:r>
      <w:proofErr w:type="spellStart"/>
      <w:r w:rsidRPr="008E20C4">
        <w:rPr>
          <w:smallCaps/>
          <w:u w:val="double"/>
        </w:rPr>
        <w:t>Chitsungo</w:t>
      </w:r>
      <w:proofErr w:type="spellEnd"/>
      <w:r w:rsidRPr="008E20C4">
        <w:rPr>
          <w:smallCaps/>
          <w:u w:val="double"/>
        </w:rPr>
        <w:t xml:space="preserve"> E., </w:t>
      </w:r>
      <w:proofErr w:type="spellStart"/>
      <w:r w:rsidRPr="008E20C4">
        <w:rPr>
          <w:smallCaps/>
          <w:u w:val="double"/>
        </w:rPr>
        <w:t>Nwankpa</w:t>
      </w:r>
      <w:proofErr w:type="spellEnd"/>
      <w:r w:rsidRPr="008E20C4">
        <w:rPr>
          <w:smallCaps/>
          <w:u w:val="double"/>
        </w:rPr>
        <w:t xml:space="preserve"> N., </w:t>
      </w:r>
      <w:proofErr w:type="spellStart"/>
      <w:r w:rsidRPr="008E20C4">
        <w:rPr>
          <w:smallCaps/>
          <w:u w:val="double"/>
        </w:rPr>
        <w:t>Vosloo</w:t>
      </w:r>
      <w:proofErr w:type="spellEnd"/>
      <w:r w:rsidRPr="008E20C4">
        <w:rPr>
          <w:smallCaps/>
          <w:u w:val="double"/>
        </w:rPr>
        <w:t xml:space="preserve"> W., Paton D.J. &amp; King D.P.</w:t>
      </w:r>
      <w:r w:rsidRPr="008E20C4">
        <w:rPr>
          <w:u w:val="double"/>
        </w:rPr>
        <w:t xml:space="preserve"> (2021). Selection and use of reference panels: a case study highlighting current gaps in the materials available for foot and mouth disease. </w:t>
      </w:r>
      <w:r w:rsidRPr="008E20C4">
        <w:rPr>
          <w:i/>
          <w:iCs/>
          <w:u w:val="double"/>
        </w:rPr>
        <w:t xml:space="preserve">Rev. Sci. Tech.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239–251. doi:10.20506/rst.40.1.3221</w:t>
      </w:r>
    </w:p>
    <w:p w14:paraId="5B52E64D" w14:textId="207F4396" w:rsidR="00B30592" w:rsidRPr="008E20C4" w:rsidRDefault="00B30592" w:rsidP="00B30592">
      <w:pPr>
        <w:pStyle w:val="Ref"/>
        <w:rPr>
          <w:rFonts w:eastAsiaTheme="minorHAnsi"/>
          <w:u w:val="double"/>
        </w:rPr>
      </w:pPr>
      <w:r w:rsidRPr="008E20C4">
        <w:rPr>
          <w:rFonts w:eastAsiaTheme="minorHAnsi"/>
          <w:smallCaps/>
          <w:u w:val="double"/>
        </w:rPr>
        <w:t xml:space="preserve">Mayo C.E., </w:t>
      </w:r>
      <w:proofErr w:type="spellStart"/>
      <w:r w:rsidRPr="008E20C4">
        <w:rPr>
          <w:rFonts w:eastAsiaTheme="minorHAnsi"/>
          <w:smallCaps/>
          <w:u w:val="double"/>
        </w:rPr>
        <w:t>Weyer</w:t>
      </w:r>
      <w:proofErr w:type="spellEnd"/>
      <w:r w:rsidRPr="008E20C4">
        <w:rPr>
          <w:rFonts w:eastAsiaTheme="minorHAnsi"/>
          <w:smallCaps/>
          <w:u w:val="double"/>
        </w:rPr>
        <w:t xml:space="preserve"> C.T., Carpenter M.J., Reed K.J., Rodgers C.P., Lovett K.M., Guthrie A.J., Mullens B.A., Barker C.M., Reisen W.K. &amp; MacLachlan N.J.</w:t>
      </w:r>
      <w:r w:rsidRPr="008E20C4">
        <w:rPr>
          <w:rFonts w:eastAsiaTheme="minorHAnsi"/>
          <w:u w:val="double"/>
        </w:rPr>
        <w:t xml:space="preserve"> (2021). Diagnostic applications of molecular and serological assays for bluetongue and African horse sickness. </w:t>
      </w:r>
      <w:r w:rsidRPr="008E20C4">
        <w:rPr>
          <w:rFonts w:eastAsiaTheme="minorHAnsi"/>
          <w:i/>
          <w:iCs/>
          <w:u w:val="double"/>
        </w:rPr>
        <w:t xml:space="preserve">Rev. Sci. Tech. Off. Int. </w:t>
      </w:r>
      <w:proofErr w:type="spellStart"/>
      <w:r w:rsidRPr="008E20C4">
        <w:rPr>
          <w:rFonts w:eastAsiaTheme="minorHAnsi"/>
          <w:i/>
          <w:iCs/>
          <w:u w:val="double"/>
        </w:rPr>
        <w:t>Epiz</w:t>
      </w:r>
      <w:proofErr w:type="spellEnd"/>
      <w:r w:rsidRPr="008E20C4">
        <w:rPr>
          <w:rFonts w:eastAsiaTheme="minorHAnsi"/>
          <w:u w:val="double"/>
        </w:rPr>
        <w:t xml:space="preserve">., </w:t>
      </w:r>
      <w:r w:rsidRPr="008E20C4">
        <w:rPr>
          <w:rFonts w:eastAsiaTheme="minorHAnsi"/>
          <w:b/>
          <w:bCs/>
          <w:u w:val="double"/>
        </w:rPr>
        <w:t>40</w:t>
      </w:r>
      <w:r w:rsidRPr="008E20C4">
        <w:rPr>
          <w:rFonts w:eastAsiaTheme="minorHAnsi"/>
          <w:u w:val="double"/>
        </w:rPr>
        <w:t>, 91–104. doi:10.20506/rst.40.1.3210</w:t>
      </w:r>
      <w:r w:rsidR="000901BE" w:rsidRPr="008E20C4">
        <w:rPr>
          <w:rFonts w:eastAsiaTheme="minorHAnsi"/>
          <w:u w:val="double"/>
        </w:rPr>
        <w:t>.</w:t>
      </w:r>
    </w:p>
    <w:p w14:paraId="2E36052C" w14:textId="6BE0B338" w:rsidR="000901BE" w:rsidRPr="008E20C4" w:rsidRDefault="000901BE" w:rsidP="000901BE">
      <w:pPr>
        <w:pStyle w:val="Ref"/>
        <w:rPr>
          <w:u w:val="double"/>
        </w:rPr>
      </w:pPr>
      <w:r w:rsidRPr="008E20C4">
        <w:rPr>
          <w:smallCaps/>
          <w:u w:val="double"/>
        </w:rPr>
        <w:t xml:space="preserve">Michel A.L., van Heerden H., </w:t>
      </w:r>
      <w:proofErr w:type="spellStart"/>
      <w:r w:rsidRPr="008E20C4">
        <w:rPr>
          <w:smallCaps/>
          <w:u w:val="double"/>
        </w:rPr>
        <w:t>Prasse</w:t>
      </w:r>
      <w:proofErr w:type="spellEnd"/>
      <w:r w:rsidRPr="008E20C4">
        <w:rPr>
          <w:smallCaps/>
          <w:u w:val="double"/>
        </w:rPr>
        <w:t xml:space="preserve"> D., Rutten V., </w:t>
      </w:r>
      <w:proofErr w:type="spellStart"/>
      <w:r w:rsidRPr="008E20C4">
        <w:rPr>
          <w:smallCaps/>
          <w:u w:val="double"/>
        </w:rPr>
        <w:t>Dahouk</w:t>
      </w:r>
      <w:proofErr w:type="spellEnd"/>
      <w:r w:rsidRPr="008E20C4">
        <w:rPr>
          <w:smallCaps/>
          <w:u w:val="double"/>
        </w:rPr>
        <w:t xml:space="preserve"> S. Al &amp; Crossley B.M.</w:t>
      </w:r>
      <w:r w:rsidRPr="008E20C4">
        <w:rPr>
          <w:u w:val="double"/>
        </w:rPr>
        <w:t xml:space="preserve"> (2021). Pathogen detection and disease diagnosis in wildlife: challenges and opportunities. </w:t>
      </w:r>
      <w:r w:rsidRPr="008E20C4">
        <w:rPr>
          <w:i/>
          <w:iCs/>
          <w:u w:val="double"/>
        </w:rPr>
        <w:t xml:space="preserve">Rev. Sci. Tech.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105–118. doi:10.20506/rst.40.1.3211.</w:t>
      </w:r>
    </w:p>
    <w:p w14:paraId="0CC25408" w14:textId="77777777" w:rsidR="00AF0286" w:rsidRPr="008E20C4" w:rsidRDefault="00AF0286" w:rsidP="00AF0286">
      <w:pPr>
        <w:pStyle w:val="Ref"/>
        <w:rPr>
          <w:u w:val="double"/>
          <w:lang w:val="en-IE" w:eastAsia="en-IE"/>
        </w:rPr>
      </w:pPr>
      <w:r w:rsidRPr="008E20C4">
        <w:rPr>
          <w:smallCaps/>
          <w:u w:val="double"/>
          <w:lang w:val="en-IE" w:eastAsia="en-IE"/>
        </w:rPr>
        <w:t xml:space="preserve">Miyachi H., </w:t>
      </w:r>
      <w:proofErr w:type="spellStart"/>
      <w:r w:rsidRPr="008E20C4">
        <w:rPr>
          <w:smallCaps/>
          <w:u w:val="double"/>
          <w:lang w:val="en-IE" w:eastAsia="en-IE"/>
        </w:rPr>
        <w:t>Masukawa</w:t>
      </w:r>
      <w:proofErr w:type="spellEnd"/>
      <w:r w:rsidRPr="008E20C4">
        <w:rPr>
          <w:smallCaps/>
          <w:u w:val="double"/>
          <w:lang w:val="en-IE" w:eastAsia="en-IE"/>
        </w:rPr>
        <w:t xml:space="preserve"> A., Ohshima T., </w:t>
      </w:r>
      <w:proofErr w:type="spellStart"/>
      <w:r w:rsidRPr="008E20C4">
        <w:rPr>
          <w:smallCaps/>
          <w:u w:val="double"/>
          <w:lang w:val="en-IE" w:eastAsia="en-IE"/>
        </w:rPr>
        <w:t>Fusegawa</w:t>
      </w:r>
      <w:proofErr w:type="spellEnd"/>
      <w:r w:rsidRPr="008E20C4">
        <w:rPr>
          <w:smallCaps/>
          <w:u w:val="double"/>
          <w:lang w:val="en-IE" w:eastAsia="en-IE"/>
        </w:rPr>
        <w:t xml:space="preserve"> H., Hirose T., </w:t>
      </w:r>
      <w:proofErr w:type="spellStart"/>
      <w:r w:rsidRPr="008E20C4">
        <w:rPr>
          <w:smallCaps/>
          <w:u w:val="double"/>
          <w:lang w:val="en-IE" w:eastAsia="en-IE"/>
        </w:rPr>
        <w:t>Impraim</w:t>
      </w:r>
      <w:proofErr w:type="spellEnd"/>
      <w:r w:rsidRPr="008E20C4">
        <w:rPr>
          <w:smallCaps/>
          <w:u w:val="double"/>
          <w:lang w:val="en-IE" w:eastAsia="en-IE"/>
        </w:rPr>
        <w:t xml:space="preserve"> C. &amp; Ando Y. </w:t>
      </w:r>
      <w:r w:rsidRPr="008E20C4">
        <w:rPr>
          <w:u w:val="double"/>
          <w:lang w:val="en-IE" w:eastAsia="en-IE"/>
        </w:rPr>
        <w:t xml:space="preserve">(1998). Monitoring of inhibitors of enzymatic amplification in polymerase chain reaction and evaluation of efficacy of RNA extraction for the detection of hepatitis C virus using the internal control. </w:t>
      </w:r>
      <w:r w:rsidRPr="008E20C4">
        <w:rPr>
          <w:i/>
          <w:iCs/>
          <w:u w:val="double"/>
          <w:lang w:val="en-IE" w:eastAsia="en-IE"/>
        </w:rPr>
        <w:t xml:space="preserve">Clin. Chem. Lab. Med., </w:t>
      </w:r>
      <w:r w:rsidRPr="008E20C4">
        <w:rPr>
          <w:b/>
          <w:bCs/>
          <w:u w:val="double"/>
          <w:lang w:val="en-IE" w:eastAsia="en-IE"/>
        </w:rPr>
        <w:t>36</w:t>
      </w:r>
      <w:r w:rsidRPr="008E20C4">
        <w:rPr>
          <w:u w:val="double"/>
          <w:lang w:val="en-IE" w:eastAsia="en-IE"/>
        </w:rPr>
        <w:t>, 571–575. doi:10.1515/CCLM.1998.098.</w:t>
      </w:r>
    </w:p>
    <w:p w14:paraId="27806AC5" w14:textId="6A02E409" w:rsidR="008509D1" w:rsidRPr="008E20C4" w:rsidRDefault="008509D1" w:rsidP="008509D1">
      <w:pPr>
        <w:pStyle w:val="Ref"/>
        <w:rPr>
          <w:u w:val="double"/>
        </w:rPr>
      </w:pPr>
      <w:r w:rsidRPr="008E20C4">
        <w:rPr>
          <w:smallCaps/>
          <w:u w:val="double"/>
          <w:lang w:val="en-IE" w:eastAsia="en-AU"/>
        </w:rPr>
        <w:t>Newberry K.M. &amp; Colling A</w:t>
      </w:r>
      <w:r w:rsidRPr="008E20C4">
        <w:rPr>
          <w:u w:val="double"/>
          <w:lang w:val="en-IE" w:eastAsia="en-AU"/>
        </w:rPr>
        <w:t>. (2021). Quality standards and guidelines for test validation for infectious diseases in veterinary laboratories?</w:t>
      </w:r>
      <w:r w:rsidRPr="008E20C4">
        <w:rPr>
          <w:i/>
          <w:iCs/>
          <w:u w:val="double"/>
          <w:lang w:val="en-IE" w:eastAsia="en-AU"/>
        </w:rPr>
        <w:t xml:space="preserve"> Rev. Sci. Tech. Off. Int. </w:t>
      </w:r>
      <w:proofErr w:type="spellStart"/>
      <w:r w:rsidRPr="008E20C4">
        <w:rPr>
          <w:i/>
          <w:iCs/>
          <w:u w:val="double"/>
          <w:lang w:val="en-IE" w:eastAsia="en-AU"/>
        </w:rPr>
        <w:t>Epiz</w:t>
      </w:r>
      <w:proofErr w:type="spellEnd"/>
      <w:r w:rsidRPr="008E20C4">
        <w:rPr>
          <w:i/>
          <w:iCs/>
          <w:u w:val="double"/>
          <w:lang w:val="en-IE" w:eastAsia="en-AU"/>
        </w:rPr>
        <w:t>.</w:t>
      </w:r>
      <w:r w:rsidRPr="008E20C4">
        <w:rPr>
          <w:u w:val="double"/>
          <w:lang w:val="en-IE" w:eastAsia="en-AU"/>
        </w:rPr>
        <w:t xml:space="preserve">, </w:t>
      </w:r>
      <w:r w:rsidRPr="008E20C4">
        <w:rPr>
          <w:b/>
          <w:bCs/>
          <w:u w:val="double"/>
          <w:lang w:val="en-IE" w:eastAsia="en-AU"/>
        </w:rPr>
        <w:t>40</w:t>
      </w:r>
      <w:r w:rsidRPr="008E20C4">
        <w:rPr>
          <w:u w:val="double"/>
          <w:lang w:val="en-IE" w:eastAsia="en-AU"/>
        </w:rPr>
        <w:t>, 227–237.</w:t>
      </w:r>
      <w:r w:rsidR="00D854E9" w:rsidRPr="008E20C4">
        <w:rPr>
          <w:u w:val="double"/>
          <w:lang w:val="en-IE" w:eastAsia="en-AU"/>
        </w:rPr>
        <w:t xml:space="preserve"> </w:t>
      </w:r>
      <w:r w:rsidR="00D854E9" w:rsidRPr="008E20C4">
        <w:rPr>
          <w:u w:val="double"/>
        </w:rPr>
        <w:t>doi:10.20506/rst.40.1.3220.</w:t>
      </w:r>
    </w:p>
    <w:p w14:paraId="0D0D13F0" w14:textId="77777777" w:rsidR="00594703" w:rsidRPr="008E20C4" w:rsidRDefault="00594703" w:rsidP="00594703">
      <w:pPr>
        <w:pStyle w:val="Ref"/>
        <w:rPr>
          <w:u w:val="double"/>
          <w:lang w:val="en-IE" w:eastAsia="en-AU"/>
        </w:rPr>
      </w:pPr>
      <w:r w:rsidRPr="008E20C4">
        <w:rPr>
          <w:rFonts w:cs="Times New Roman"/>
          <w:smallCaps/>
          <w:u w:val="double"/>
          <w:lang w:val="en-IE"/>
        </w:rPr>
        <w:lastRenderedPageBreak/>
        <w:t xml:space="preserve">Pérez L.J., Lanka S., </w:t>
      </w:r>
      <w:proofErr w:type="spellStart"/>
      <w:r w:rsidRPr="008E20C4">
        <w:rPr>
          <w:rFonts w:cs="Times New Roman"/>
          <w:smallCaps/>
          <w:u w:val="double"/>
          <w:lang w:val="en-IE"/>
        </w:rPr>
        <w:t>DeShambo</w:t>
      </w:r>
      <w:proofErr w:type="spellEnd"/>
      <w:r w:rsidRPr="008E20C4">
        <w:rPr>
          <w:rFonts w:cs="Times New Roman"/>
          <w:smallCaps/>
          <w:u w:val="double"/>
          <w:lang w:val="en-IE"/>
        </w:rPr>
        <w:t xml:space="preserve"> </w:t>
      </w:r>
      <w:proofErr w:type="gramStart"/>
      <w:r w:rsidRPr="008E20C4">
        <w:rPr>
          <w:rFonts w:cs="Times New Roman"/>
          <w:smallCaps/>
          <w:u w:val="double"/>
          <w:lang w:val="en-IE"/>
        </w:rPr>
        <w:t>V.J. ,</w:t>
      </w:r>
      <w:proofErr w:type="gramEnd"/>
      <w:r w:rsidRPr="008E20C4">
        <w:rPr>
          <w:rFonts w:cs="Times New Roman"/>
          <w:smallCaps/>
          <w:u w:val="double"/>
          <w:lang w:val="en-IE"/>
        </w:rPr>
        <w:t xml:space="preserve"> Fredrickson R.L. &amp; Maddox C.V.</w:t>
      </w:r>
      <w:r w:rsidRPr="008E20C4">
        <w:rPr>
          <w:u w:val="double"/>
          <w:lang w:val="en-IE"/>
        </w:rPr>
        <w:t xml:space="preserve"> (2020). A validated multiplex Real Time PCR assay for the diagnosis of infectious Leptospira spp.: a novel assay for the detection and differentiation from both pathogenic groups I and II. </w:t>
      </w:r>
      <w:r w:rsidRPr="008E20C4">
        <w:rPr>
          <w:i/>
          <w:iCs/>
          <w:u w:val="double"/>
          <w:lang w:val="en-IE"/>
        </w:rPr>
        <w:t xml:space="preserve">Front. </w:t>
      </w:r>
      <w:proofErr w:type="spellStart"/>
      <w:r w:rsidRPr="008E20C4">
        <w:rPr>
          <w:i/>
          <w:iCs/>
          <w:u w:val="double"/>
          <w:lang w:val="en-IE"/>
        </w:rPr>
        <w:t>Microbiol</w:t>
      </w:r>
      <w:proofErr w:type="spellEnd"/>
      <w:r w:rsidRPr="008E20C4">
        <w:rPr>
          <w:i/>
          <w:iCs/>
          <w:u w:val="double"/>
          <w:lang w:val="en-IE"/>
        </w:rPr>
        <w:t xml:space="preserve">., </w:t>
      </w:r>
      <w:r w:rsidRPr="008E20C4">
        <w:rPr>
          <w:b/>
          <w:bCs/>
          <w:u w:val="double"/>
          <w:lang w:val="en-IE"/>
        </w:rPr>
        <w:t>11</w:t>
      </w:r>
      <w:r w:rsidRPr="008E20C4">
        <w:rPr>
          <w:u w:val="double"/>
          <w:lang w:val="en-IE"/>
        </w:rPr>
        <w:t xml:space="preserve">, 457. </w:t>
      </w:r>
      <w:hyperlink r:id="rId45" w:history="1">
        <w:r w:rsidRPr="008E20C4">
          <w:rPr>
            <w:rStyle w:val="Hyperlink"/>
            <w:color w:val="000000" w:themeColor="text1"/>
            <w:u w:val="double"/>
            <w:shd w:val="clear" w:color="auto" w:fill="FFFFFF"/>
            <w:lang w:val="en-IE"/>
          </w:rPr>
          <w:t>https://doi.org/10.3389/fmicb.2020.00457</w:t>
        </w:r>
      </w:hyperlink>
      <w:r w:rsidRPr="008E20C4">
        <w:rPr>
          <w:color w:val="000000" w:themeColor="text1"/>
          <w:u w:val="double"/>
          <w:lang w:val="en-IE"/>
        </w:rPr>
        <w:t>.</w:t>
      </w:r>
    </w:p>
    <w:p w14:paraId="3CC65357" w14:textId="78A5EA70" w:rsidR="000D6245" w:rsidRPr="008E20C4" w:rsidRDefault="000D6245" w:rsidP="000D6245">
      <w:pPr>
        <w:pStyle w:val="Ref"/>
        <w:rPr>
          <w:u w:val="double"/>
          <w:lang w:val="en-IE"/>
        </w:rPr>
      </w:pPr>
      <w:r w:rsidRPr="008E20C4">
        <w:rPr>
          <w:smallCaps/>
          <w:u w:val="double"/>
          <w:lang w:val="en-IE"/>
        </w:rPr>
        <w:t xml:space="preserve">Reid T., </w:t>
      </w:r>
      <w:proofErr w:type="spellStart"/>
      <w:r w:rsidRPr="008E20C4">
        <w:rPr>
          <w:smallCaps/>
          <w:u w:val="double"/>
          <w:lang w:val="en-IE"/>
        </w:rPr>
        <w:t>Singanallur</w:t>
      </w:r>
      <w:proofErr w:type="spellEnd"/>
      <w:r w:rsidRPr="008E20C4">
        <w:rPr>
          <w:smallCaps/>
          <w:u w:val="double"/>
          <w:lang w:val="en-IE"/>
        </w:rPr>
        <w:t xml:space="preserve"> N. B., Newberry K., Waugh C., Bowden T. &amp; Colling A</w:t>
      </w:r>
      <w:r w:rsidRPr="008E20C4">
        <w:rPr>
          <w:u w:val="double"/>
          <w:lang w:val="en-IE"/>
        </w:rPr>
        <w:t xml:space="preserve">. (2021). Validation of diagnostic tests for infectious diseases: challenges and opportunities. International Symposium on Sustainable Animal Production and Health Current Status and Way Forward. 28 June–2 July 2021, Joint FAO/IAEA Centre. Accepted for publication in </w:t>
      </w:r>
      <w:r w:rsidR="00AF66BB" w:rsidRPr="008E20C4">
        <w:rPr>
          <w:u w:val="double"/>
          <w:lang w:val="en-IE"/>
        </w:rPr>
        <w:t xml:space="preserve">symposium </w:t>
      </w:r>
      <w:r w:rsidRPr="008E20C4">
        <w:rPr>
          <w:u w:val="double"/>
          <w:lang w:val="en-IE"/>
        </w:rPr>
        <w:t>proceedings 7 April 2022.</w:t>
      </w:r>
    </w:p>
    <w:p w14:paraId="6E9AB842" w14:textId="77777777" w:rsidR="006E58E0" w:rsidRPr="008E20C4" w:rsidRDefault="00CE12A0" w:rsidP="00663379">
      <w:pPr>
        <w:pStyle w:val="Ref"/>
        <w:rPr>
          <w:rFonts w:eastAsiaTheme="minorHAnsi" w:cs="Berkeley-Book"/>
          <w:u w:val="double"/>
          <w:lang w:val="it-IT" w:eastAsia="en-US"/>
        </w:rPr>
      </w:pPr>
      <w:proofErr w:type="spellStart"/>
      <w:r w:rsidRPr="008E20C4">
        <w:rPr>
          <w:smallCaps/>
          <w:u w:val="double"/>
          <w:lang w:val="en-IE" w:eastAsia="en-AU"/>
        </w:rPr>
        <w:t>Reising</w:t>
      </w:r>
      <w:proofErr w:type="spellEnd"/>
      <w:r w:rsidRPr="008E20C4">
        <w:rPr>
          <w:smallCaps/>
          <w:u w:val="double"/>
          <w:lang w:val="en-IE" w:eastAsia="en-AU"/>
        </w:rPr>
        <w:t xml:space="preserve"> M.M., Tong C., Harris B., Toohey-</w:t>
      </w:r>
      <w:proofErr w:type="spellStart"/>
      <w:r w:rsidRPr="008E20C4">
        <w:rPr>
          <w:smallCaps/>
          <w:u w:val="double"/>
          <w:lang w:val="en-IE" w:eastAsia="en-AU"/>
        </w:rPr>
        <w:t>Kurth</w:t>
      </w:r>
      <w:proofErr w:type="spellEnd"/>
      <w:r w:rsidRPr="008E20C4">
        <w:rPr>
          <w:smallCaps/>
          <w:u w:val="double"/>
          <w:lang w:val="en-IE" w:eastAsia="en-AU"/>
        </w:rPr>
        <w:t xml:space="preserve"> K.L., Crossley B., </w:t>
      </w:r>
      <w:proofErr w:type="spellStart"/>
      <w:r w:rsidRPr="008E20C4">
        <w:rPr>
          <w:smallCaps/>
          <w:u w:val="double"/>
          <w:lang w:val="en-IE" w:eastAsia="en-AU"/>
        </w:rPr>
        <w:t>Mulrooney</w:t>
      </w:r>
      <w:proofErr w:type="spellEnd"/>
      <w:r w:rsidRPr="008E20C4">
        <w:rPr>
          <w:smallCaps/>
          <w:u w:val="double"/>
          <w:lang w:val="en-IE" w:eastAsia="en-AU"/>
        </w:rPr>
        <w:t xml:space="preserve"> D., Tallmadge R.L., Schumann K.R., Lock, A.B. &amp; Loiacono C.M.</w:t>
      </w:r>
      <w:r w:rsidRPr="008E20C4">
        <w:rPr>
          <w:u w:val="double"/>
          <w:lang w:val="en-IE" w:eastAsia="en-AU"/>
        </w:rPr>
        <w:t xml:space="preserve"> (2021). A review of guidelines for evaluating a minor modification to a validated assay. </w:t>
      </w:r>
      <w:r w:rsidRPr="008E20C4">
        <w:rPr>
          <w:i/>
          <w:iCs/>
          <w:u w:val="double"/>
          <w:lang w:val="it-IT" w:eastAsia="en-AU"/>
        </w:rPr>
        <w:t>Rev. Sci. Tech. Off. Int. Epiz.</w:t>
      </w:r>
      <w:r w:rsidRPr="008E20C4">
        <w:rPr>
          <w:u w:val="double"/>
          <w:lang w:val="it-IT" w:eastAsia="en-AU"/>
        </w:rPr>
        <w:t xml:space="preserve">, </w:t>
      </w:r>
      <w:r w:rsidRPr="008E20C4">
        <w:rPr>
          <w:b/>
          <w:bCs/>
          <w:u w:val="double"/>
          <w:lang w:val="it-IT" w:eastAsia="en-AU"/>
        </w:rPr>
        <w:t>40</w:t>
      </w:r>
      <w:r w:rsidRPr="008E20C4">
        <w:rPr>
          <w:u w:val="double"/>
          <w:lang w:val="it-IT" w:eastAsia="en-AU"/>
        </w:rPr>
        <w:t>, 217–226.</w:t>
      </w:r>
      <w:r w:rsidR="00A43CA9" w:rsidRPr="008E20C4">
        <w:rPr>
          <w:rFonts w:ascii="Berkeley-Book" w:eastAsiaTheme="minorHAnsi" w:hAnsi="Berkeley-Book" w:cs="Berkeley-Book"/>
          <w:u w:val="double"/>
          <w:lang w:val="it-IT" w:eastAsia="en-US"/>
        </w:rPr>
        <w:t xml:space="preserve"> </w:t>
      </w:r>
      <w:r w:rsidR="00A43CA9" w:rsidRPr="008E20C4">
        <w:rPr>
          <w:rFonts w:eastAsiaTheme="minorHAnsi" w:cs="Berkeley-Book"/>
          <w:u w:val="double"/>
          <w:lang w:val="it-IT" w:eastAsia="en-US"/>
        </w:rPr>
        <w:t>doi:10.20506/rst.40.1.3219.</w:t>
      </w:r>
    </w:p>
    <w:p w14:paraId="65567195" w14:textId="5BEB57F8" w:rsidR="007649C8" w:rsidRPr="008E20C4" w:rsidRDefault="007649C8" w:rsidP="00663379">
      <w:pPr>
        <w:pStyle w:val="Ref"/>
        <w:rPr>
          <w:rFonts w:eastAsiaTheme="minorHAnsi"/>
          <w:u w:val="double"/>
        </w:rPr>
      </w:pPr>
      <w:r w:rsidRPr="008E20C4">
        <w:rPr>
          <w:rFonts w:eastAsiaTheme="minorHAnsi"/>
          <w:smallCaps/>
          <w:u w:val="double"/>
          <w:lang w:val="it-IT"/>
        </w:rPr>
        <w:t>Ricchi M., Mazarelli A., Piscini A., Di Caro, A, Cannas A., Leo S., Russo S.</w:t>
      </w:r>
      <w:r w:rsidR="00663379" w:rsidRPr="008E20C4">
        <w:rPr>
          <w:rFonts w:eastAsiaTheme="minorHAnsi"/>
          <w:smallCaps/>
          <w:u w:val="double"/>
          <w:lang w:val="it-IT"/>
        </w:rPr>
        <w:t xml:space="preserve"> 1</w:t>
      </w:r>
      <w:r w:rsidRPr="008E20C4">
        <w:rPr>
          <w:rFonts w:eastAsiaTheme="minorHAnsi"/>
          <w:smallCaps/>
          <w:u w:val="double"/>
          <w:lang w:val="it-IT"/>
        </w:rPr>
        <w:t xml:space="preserve"> Arrigoni N.</w:t>
      </w:r>
      <w:r w:rsidR="00AF66BB" w:rsidRPr="008E20C4">
        <w:rPr>
          <w:rFonts w:eastAsiaTheme="minorHAnsi"/>
          <w:u w:val="double"/>
          <w:lang w:val="it-IT"/>
        </w:rPr>
        <w:t xml:space="preserve"> (2016). </w:t>
      </w:r>
      <w:r w:rsidRPr="008E20C4">
        <w:rPr>
          <w:rFonts w:eastAsiaTheme="minorEastAsia"/>
          <w:u w:val="double"/>
        </w:rPr>
        <w:t>Exploring MALDI-TOF MS approach for a rapid identification</w:t>
      </w:r>
      <w:r w:rsidR="00AF66BB" w:rsidRPr="008E20C4">
        <w:rPr>
          <w:rFonts w:eastAsiaTheme="minorEastAsia"/>
          <w:u w:val="double"/>
        </w:rPr>
        <w:t xml:space="preserve"> </w:t>
      </w:r>
      <w:r w:rsidRPr="008E20C4">
        <w:rPr>
          <w:rFonts w:eastAsiaTheme="minorEastAsia"/>
          <w:u w:val="double"/>
        </w:rPr>
        <w:t xml:space="preserve">of </w:t>
      </w:r>
      <w:r w:rsidRPr="008E20C4">
        <w:rPr>
          <w:rFonts w:eastAsiaTheme="minorEastAsia"/>
          <w:i/>
          <w:iCs/>
          <w:u w:val="double"/>
        </w:rPr>
        <w:t>Mycobacterium avium</w:t>
      </w:r>
      <w:r w:rsidRPr="008E20C4">
        <w:rPr>
          <w:rFonts w:eastAsiaTheme="minorEastAsia"/>
          <w:u w:val="double"/>
        </w:rPr>
        <w:t xml:space="preserve"> ssp. paratuberculosis field isolates</w:t>
      </w:r>
      <w:r w:rsidR="00AF66BB" w:rsidRPr="008E20C4">
        <w:rPr>
          <w:rFonts w:eastAsiaTheme="minorEastAsia"/>
          <w:u w:val="double"/>
        </w:rPr>
        <w:t xml:space="preserve">. </w:t>
      </w:r>
      <w:r w:rsidR="00AF66BB" w:rsidRPr="008E20C4">
        <w:rPr>
          <w:rFonts w:eastAsiaTheme="minorEastAsia"/>
          <w:i/>
          <w:iCs/>
          <w:u w:val="double"/>
        </w:rPr>
        <w:t>J</w:t>
      </w:r>
      <w:r w:rsidR="00663379" w:rsidRPr="008E20C4">
        <w:rPr>
          <w:rFonts w:eastAsiaTheme="minorEastAsia"/>
          <w:i/>
          <w:iCs/>
          <w:u w:val="double"/>
        </w:rPr>
        <w:t>.</w:t>
      </w:r>
      <w:r w:rsidR="00AF66BB" w:rsidRPr="008E20C4">
        <w:rPr>
          <w:rFonts w:eastAsiaTheme="minorEastAsia"/>
          <w:i/>
          <w:iCs/>
          <w:u w:val="double"/>
        </w:rPr>
        <w:t xml:space="preserve"> Appl</w:t>
      </w:r>
      <w:r w:rsidR="00663379" w:rsidRPr="008E20C4">
        <w:rPr>
          <w:rFonts w:eastAsiaTheme="minorEastAsia"/>
          <w:i/>
          <w:iCs/>
          <w:u w:val="double"/>
        </w:rPr>
        <w:t>.</w:t>
      </w:r>
      <w:r w:rsidR="00AF66BB" w:rsidRPr="008E20C4">
        <w:rPr>
          <w:rFonts w:eastAsiaTheme="minorEastAsia"/>
          <w:i/>
          <w:iCs/>
          <w:u w:val="double"/>
        </w:rPr>
        <w:t xml:space="preserve"> </w:t>
      </w:r>
      <w:proofErr w:type="spellStart"/>
      <w:r w:rsidR="00AF66BB" w:rsidRPr="008E20C4">
        <w:rPr>
          <w:rFonts w:eastAsiaTheme="minorEastAsia"/>
          <w:i/>
          <w:iCs/>
          <w:u w:val="double"/>
        </w:rPr>
        <w:t>Microbiol</w:t>
      </w:r>
      <w:proofErr w:type="spellEnd"/>
      <w:r w:rsidR="00663379" w:rsidRPr="008E20C4">
        <w:rPr>
          <w:rFonts w:eastAsiaTheme="minorEastAsia"/>
          <w:i/>
          <w:iCs/>
          <w:u w:val="double"/>
        </w:rPr>
        <w:t>.</w:t>
      </w:r>
      <w:r w:rsidR="00663379" w:rsidRPr="008E20C4">
        <w:rPr>
          <w:rFonts w:eastAsiaTheme="minorEastAsia"/>
          <w:u w:val="double"/>
        </w:rPr>
        <w:t>,</w:t>
      </w:r>
      <w:r w:rsidR="00AF66BB" w:rsidRPr="008E20C4">
        <w:rPr>
          <w:rFonts w:eastAsiaTheme="minorEastAsia"/>
          <w:u w:val="double"/>
        </w:rPr>
        <w:t xml:space="preserve"> </w:t>
      </w:r>
      <w:r w:rsidR="00AF66BB" w:rsidRPr="008E20C4">
        <w:rPr>
          <w:rFonts w:eastAsiaTheme="minorEastAsia"/>
          <w:b/>
          <w:bCs/>
          <w:u w:val="double"/>
        </w:rPr>
        <w:t>122</w:t>
      </w:r>
      <w:r w:rsidR="00AF66BB" w:rsidRPr="008E20C4">
        <w:rPr>
          <w:rFonts w:eastAsiaTheme="minorEastAsia"/>
          <w:u w:val="double"/>
        </w:rPr>
        <w:t>, 568-577</w:t>
      </w:r>
      <w:r w:rsidR="00AF66BB" w:rsidRPr="008E20C4">
        <w:rPr>
          <w:rFonts w:eastAsiaTheme="minorHAnsi"/>
          <w:u w:val="double"/>
        </w:rPr>
        <w:t>.</w:t>
      </w:r>
    </w:p>
    <w:p w14:paraId="4F179045" w14:textId="77777777" w:rsidR="00594703" w:rsidRPr="008E20C4" w:rsidRDefault="00594703" w:rsidP="00594703">
      <w:pPr>
        <w:pStyle w:val="Ref"/>
        <w:rPr>
          <w:u w:val="double"/>
          <w:lang w:val="de-DE" w:eastAsia="en-AU"/>
        </w:rPr>
      </w:pPr>
      <w:r w:rsidRPr="008E20C4">
        <w:rPr>
          <w:smallCaps/>
          <w:u w:val="double"/>
          <w:shd w:val="clear" w:color="auto" w:fill="FFFFFF"/>
          <w:lang w:val="en-IE"/>
        </w:rPr>
        <w:t xml:space="preserve">Saah A.J. &amp; Hoover D.R. </w:t>
      </w:r>
      <w:r w:rsidRPr="008E20C4">
        <w:rPr>
          <w:u w:val="double"/>
          <w:shd w:val="clear" w:color="auto" w:fill="FFFFFF"/>
          <w:lang w:val="en-IE"/>
        </w:rPr>
        <w:t xml:space="preserve">(1997). ‘Sensitivity’ and ‘Specificity’ Reconsidered: The Meaning of These Terms in Analytical and Diagnostic Settings. </w:t>
      </w:r>
      <w:r w:rsidRPr="008E20C4">
        <w:rPr>
          <w:i/>
          <w:iCs/>
          <w:u w:val="double"/>
          <w:shd w:val="clear" w:color="auto" w:fill="FFFFFF"/>
          <w:lang w:val="de-DE"/>
        </w:rPr>
        <w:t>Ann. Internal Med.</w:t>
      </w:r>
      <w:r w:rsidRPr="008E20C4">
        <w:rPr>
          <w:u w:val="double"/>
          <w:shd w:val="clear" w:color="auto" w:fill="FFFFFF"/>
          <w:lang w:val="de-DE"/>
        </w:rPr>
        <w:t xml:space="preserve">, </w:t>
      </w:r>
      <w:r w:rsidRPr="008E20C4">
        <w:rPr>
          <w:b/>
          <w:bCs/>
          <w:u w:val="double"/>
          <w:shd w:val="clear" w:color="auto" w:fill="FFFFFF"/>
          <w:lang w:val="de-DE"/>
        </w:rPr>
        <w:t>126</w:t>
      </w:r>
      <w:r w:rsidRPr="008E20C4">
        <w:rPr>
          <w:u w:val="double"/>
          <w:shd w:val="clear" w:color="auto" w:fill="FFFFFF"/>
          <w:lang w:val="de-DE"/>
        </w:rPr>
        <w:t>, 91–94.</w:t>
      </w:r>
    </w:p>
    <w:p w14:paraId="6836D168" w14:textId="3B7C617B" w:rsidR="00663379" w:rsidRPr="008E20C4" w:rsidRDefault="00663379" w:rsidP="00663379">
      <w:pPr>
        <w:pStyle w:val="Ref"/>
        <w:rPr>
          <w:u w:val="double"/>
        </w:rPr>
      </w:pPr>
      <w:r w:rsidRPr="008E20C4">
        <w:rPr>
          <w:rStyle w:val="cf01"/>
          <w:rFonts w:ascii="Söhne" w:hAnsi="Söhne" w:cs="Arial"/>
          <w:smallCaps/>
          <w:u w:val="double"/>
          <w:lang w:val="de-DE"/>
        </w:rPr>
        <w:t xml:space="preserve">Schrader C., Schielke A., Ellerbroek L. &amp; Johne R. </w:t>
      </w:r>
      <w:r w:rsidRPr="008E20C4">
        <w:rPr>
          <w:rStyle w:val="cf01"/>
          <w:rFonts w:ascii="Söhne" w:hAnsi="Söhne" w:cs="Arial"/>
          <w:u w:val="double"/>
          <w:lang w:val="de-DE"/>
        </w:rPr>
        <w:t xml:space="preserve">(2012). </w:t>
      </w:r>
      <w:r w:rsidRPr="008E20C4">
        <w:rPr>
          <w:rStyle w:val="cf01"/>
          <w:rFonts w:ascii="Söhne" w:hAnsi="Söhne" w:cs="Arial"/>
          <w:u w:val="double"/>
        </w:rPr>
        <w:t xml:space="preserve">PCR inhibitors – occurrence, </w:t>
      </w:r>
      <w:proofErr w:type="gramStart"/>
      <w:r w:rsidRPr="008E20C4">
        <w:rPr>
          <w:rStyle w:val="cf01"/>
          <w:rFonts w:ascii="Söhne" w:hAnsi="Söhne" w:cs="Arial"/>
          <w:u w:val="double"/>
        </w:rPr>
        <w:t>properties</w:t>
      </w:r>
      <w:proofErr w:type="gramEnd"/>
      <w:r w:rsidRPr="008E20C4">
        <w:rPr>
          <w:rStyle w:val="cf01"/>
          <w:rFonts w:ascii="Söhne" w:hAnsi="Söhne" w:cs="Arial"/>
          <w:u w:val="double"/>
        </w:rPr>
        <w:t xml:space="preserve"> and removal. </w:t>
      </w:r>
      <w:r w:rsidRPr="008E20C4">
        <w:rPr>
          <w:rStyle w:val="cf11"/>
          <w:rFonts w:ascii="Söhne" w:hAnsi="Söhne" w:cs="Arial"/>
          <w:u w:val="double"/>
        </w:rPr>
        <w:t xml:space="preserve">J. Appl. </w:t>
      </w:r>
      <w:proofErr w:type="spellStart"/>
      <w:r w:rsidRPr="008E20C4">
        <w:rPr>
          <w:rStyle w:val="cf11"/>
          <w:rFonts w:ascii="Söhne" w:hAnsi="Söhne" w:cs="Arial"/>
          <w:u w:val="double"/>
        </w:rPr>
        <w:t>Microbiol</w:t>
      </w:r>
      <w:proofErr w:type="spellEnd"/>
      <w:r w:rsidRPr="008E20C4">
        <w:rPr>
          <w:rStyle w:val="cf11"/>
          <w:rFonts w:ascii="Söhne" w:hAnsi="Söhne" w:cs="Arial"/>
          <w:i w:val="0"/>
          <w:iCs w:val="0"/>
          <w:u w:val="double"/>
        </w:rPr>
        <w:t xml:space="preserve">., </w:t>
      </w:r>
      <w:r w:rsidRPr="008E20C4">
        <w:rPr>
          <w:rStyle w:val="cf21"/>
          <w:rFonts w:ascii="Söhne" w:hAnsi="Söhne" w:cs="Arial"/>
          <w:u w:val="double"/>
        </w:rPr>
        <w:t>113</w:t>
      </w:r>
      <w:r w:rsidRPr="008E20C4">
        <w:rPr>
          <w:rStyle w:val="cf01"/>
          <w:rFonts w:ascii="Söhne" w:hAnsi="Söhne" w:cs="Arial"/>
          <w:u w:val="double"/>
        </w:rPr>
        <w:t>, 1014–1026. doi:10.1111/j.1365-2672.2012.</w:t>
      </w:r>
      <w:proofErr w:type="gramStart"/>
      <w:r w:rsidRPr="008E20C4">
        <w:rPr>
          <w:rStyle w:val="cf01"/>
          <w:rFonts w:ascii="Söhne" w:hAnsi="Söhne" w:cs="Arial"/>
          <w:u w:val="double"/>
        </w:rPr>
        <w:t>05384.x.</w:t>
      </w:r>
      <w:proofErr w:type="gramEnd"/>
    </w:p>
    <w:p w14:paraId="1743E671" w14:textId="66EBCBD4" w:rsidR="009D107A" w:rsidRPr="008E20C4" w:rsidRDefault="009D107A" w:rsidP="009D107A">
      <w:pPr>
        <w:pStyle w:val="Ref"/>
        <w:rPr>
          <w:u w:val="double"/>
        </w:rPr>
      </w:pPr>
      <w:r w:rsidRPr="008E20C4">
        <w:rPr>
          <w:smallCaps/>
          <w:u w:val="double"/>
          <w:lang w:val="en-IE"/>
        </w:rPr>
        <w:t>Stevenson M., Halpin K. &amp; Heuer C.</w:t>
      </w:r>
      <w:r w:rsidRPr="008E20C4">
        <w:rPr>
          <w:u w:val="double"/>
          <w:lang w:val="en-IE"/>
        </w:rPr>
        <w:t xml:space="preserve"> (2021). </w:t>
      </w:r>
      <w:r w:rsidRPr="008E20C4">
        <w:rPr>
          <w:u w:val="double"/>
        </w:rPr>
        <w:t xml:space="preserve">Detection of emerging infectious zoonotic diseases. </w:t>
      </w:r>
      <w:r w:rsidRPr="008E20C4">
        <w:rPr>
          <w:i/>
          <w:iCs/>
          <w:u w:val="double"/>
        </w:rPr>
        <w:t xml:space="preserve">Rev. Sci. Tech. Off. Int. </w:t>
      </w:r>
      <w:proofErr w:type="spellStart"/>
      <w:r w:rsidRPr="008E20C4">
        <w:rPr>
          <w:i/>
          <w:iCs/>
          <w:u w:val="double"/>
        </w:rPr>
        <w:t>Epiz</w:t>
      </w:r>
      <w:proofErr w:type="spellEnd"/>
      <w:r w:rsidRPr="008E20C4">
        <w:rPr>
          <w:i/>
          <w:iCs/>
          <w:u w:val="double"/>
        </w:rPr>
        <w:t>.</w:t>
      </w:r>
      <w:r w:rsidRPr="008E20C4">
        <w:rPr>
          <w:u w:val="double"/>
        </w:rPr>
        <w:t xml:space="preserve">, </w:t>
      </w:r>
      <w:r w:rsidRPr="008E20C4">
        <w:rPr>
          <w:b/>
          <w:bCs/>
          <w:u w:val="double"/>
        </w:rPr>
        <w:t>40</w:t>
      </w:r>
      <w:r w:rsidRPr="008E20C4">
        <w:rPr>
          <w:u w:val="double"/>
        </w:rPr>
        <w:t>, 119–130. doi:10.20506/rst.40.1.3212.</w:t>
      </w:r>
    </w:p>
    <w:p w14:paraId="4E6403FF" w14:textId="6DF31D9C" w:rsidR="00594703" w:rsidRPr="008E20C4" w:rsidRDefault="00594703" w:rsidP="00594703">
      <w:pPr>
        <w:pStyle w:val="Ref"/>
        <w:rPr>
          <w:rStyle w:val="Hyperlink"/>
          <w:rFonts w:cstheme="minorHAnsi"/>
          <w:color w:val="auto"/>
          <w:u w:val="double"/>
          <w:lang w:val="nl-NL"/>
        </w:rPr>
      </w:pPr>
      <w:proofErr w:type="spellStart"/>
      <w:r w:rsidRPr="008E20C4">
        <w:rPr>
          <w:rStyle w:val="Hyperlink"/>
          <w:smallCaps/>
          <w:color w:val="auto"/>
          <w:u w:val="double"/>
          <w:lang w:val="en-IE" w:eastAsia="en-AU"/>
        </w:rPr>
        <w:t>Tribolet</w:t>
      </w:r>
      <w:proofErr w:type="spellEnd"/>
      <w:r w:rsidRPr="008E20C4">
        <w:rPr>
          <w:rStyle w:val="Hyperlink"/>
          <w:smallCaps/>
          <w:color w:val="auto"/>
          <w:u w:val="double"/>
          <w:lang w:val="en-IE" w:eastAsia="en-AU"/>
        </w:rPr>
        <w:t xml:space="preserve">, L., Kerr, E. Cowled, C., Bean, A.G., Stewart, C.R., </w:t>
      </w:r>
      <w:proofErr w:type="spellStart"/>
      <w:r w:rsidRPr="008E20C4">
        <w:rPr>
          <w:rStyle w:val="Hyperlink"/>
          <w:smallCaps/>
          <w:color w:val="auto"/>
          <w:u w:val="double"/>
          <w:lang w:val="en-IE" w:eastAsia="en-AU"/>
        </w:rPr>
        <w:t>Dearnley</w:t>
      </w:r>
      <w:proofErr w:type="spellEnd"/>
      <w:r w:rsidRPr="008E20C4">
        <w:rPr>
          <w:rStyle w:val="Hyperlink"/>
          <w:smallCaps/>
          <w:color w:val="auto"/>
          <w:u w:val="double"/>
          <w:lang w:val="en-IE" w:eastAsia="en-AU"/>
        </w:rPr>
        <w:t>, M. and Farr, R.</w:t>
      </w:r>
      <w:r w:rsidRPr="008E20C4">
        <w:rPr>
          <w:rStyle w:val="Hyperlink"/>
          <w:color w:val="auto"/>
          <w:u w:val="double"/>
          <w:lang w:val="en-IE" w:eastAsia="en-AU"/>
        </w:rPr>
        <w:t xml:space="preserve"> (2020. MicroRNA Biomarkers for infectious diseases: </w:t>
      </w:r>
      <w:r w:rsidRPr="008E20C4">
        <w:rPr>
          <w:rStyle w:val="Hyperlink"/>
          <w:rFonts w:cstheme="minorHAnsi"/>
          <w:color w:val="auto"/>
          <w:u w:val="double"/>
          <w:lang w:val="en-IE" w:eastAsia="en-AU"/>
        </w:rPr>
        <w:t xml:space="preserve">from basic research to </w:t>
      </w:r>
      <w:proofErr w:type="spellStart"/>
      <w:r w:rsidRPr="008E20C4">
        <w:rPr>
          <w:rStyle w:val="Hyperlink"/>
          <w:rFonts w:cstheme="minorHAnsi"/>
          <w:color w:val="auto"/>
          <w:u w:val="double"/>
          <w:lang w:val="en-IE" w:eastAsia="en-AU"/>
        </w:rPr>
        <w:t>bionsensing</w:t>
      </w:r>
      <w:proofErr w:type="spellEnd"/>
      <w:r w:rsidRPr="008E20C4">
        <w:rPr>
          <w:rStyle w:val="Hyperlink"/>
          <w:rFonts w:cstheme="minorHAnsi"/>
          <w:color w:val="auto"/>
          <w:u w:val="double"/>
          <w:lang w:val="en-IE" w:eastAsia="en-AU"/>
        </w:rPr>
        <w:t xml:space="preserve">. </w:t>
      </w:r>
      <w:r w:rsidRPr="008E20C4">
        <w:rPr>
          <w:rStyle w:val="Hyperlink"/>
          <w:rFonts w:cstheme="minorHAnsi"/>
          <w:i/>
          <w:iCs/>
          <w:color w:val="auto"/>
          <w:u w:val="double"/>
          <w:lang w:val="nl-NL" w:eastAsia="en-AU"/>
        </w:rPr>
        <w:t>Front. Microbiol.,</w:t>
      </w:r>
      <w:r w:rsidRPr="008E20C4">
        <w:rPr>
          <w:rStyle w:val="Hyperlink"/>
          <w:rFonts w:cstheme="minorHAnsi"/>
          <w:color w:val="auto"/>
          <w:u w:val="double"/>
          <w:lang w:val="nl-NL" w:eastAsia="en-AU"/>
        </w:rPr>
        <w:t xml:space="preserve"> </w:t>
      </w:r>
      <w:r w:rsidRPr="008E20C4">
        <w:rPr>
          <w:rStyle w:val="Hyperlink"/>
          <w:rFonts w:cstheme="minorHAnsi"/>
          <w:b/>
          <w:bCs/>
          <w:color w:val="auto"/>
          <w:u w:val="double"/>
          <w:lang w:val="nl-NL" w:eastAsia="en-AU"/>
        </w:rPr>
        <w:t>11</w:t>
      </w:r>
      <w:r w:rsidRPr="008E20C4">
        <w:rPr>
          <w:rStyle w:val="Hyperlink"/>
          <w:rFonts w:cstheme="minorHAnsi"/>
          <w:color w:val="auto"/>
          <w:u w:val="double"/>
          <w:lang w:val="nl-NL" w:eastAsia="en-AU"/>
        </w:rPr>
        <w:t xml:space="preserve">, 1197. </w:t>
      </w:r>
      <w:r w:rsidRPr="008E20C4">
        <w:rPr>
          <w:rStyle w:val="citation-doi"/>
          <w:rFonts w:cs="Segoe UI"/>
          <w:u w:val="double"/>
          <w:shd w:val="clear" w:color="auto" w:fill="FFFFFF"/>
          <w:lang w:val="nl-NL"/>
        </w:rPr>
        <w:t>doi: 10.3389/fmicb.2020.01197.</w:t>
      </w:r>
      <w:r w:rsidRPr="008E20C4">
        <w:rPr>
          <w:rFonts w:cs="Segoe UI"/>
          <w:u w:val="double"/>
          <w:shd w:val="clear" w:color="auto" w:fill="FFFFFF"/>
          <w:lang w:val="nl-NL"/>
        </w:rPr>
        <w:t> </w:t>
      </w:r>
    </w:p>
    <w:p w14:paraId="2BC72359" w14:textId="7C81BB5A" w:rsidR="007F5B66" w:rsidRPr="008E20C4" w:rsidRDefault="007F5B66" w:rsidP="007F5B66">
      <w:pPr>
        <w:pStyle w:val="Ref"/>
        <w:rPr>
          <w:sz w:val="16"/>
          <w:szCs w:val="16"/>
          <w:u w:val="double"/>
          <w:lang w:val="en-IE"/>
        </w:rPr>
      </w:pPr>
      <w:r w:rsidRPr="008E20C4">
        <w:rPr>
          <w:smallCaps/>
          <w:u w:val="double"/>
          <w:lang w:val="nl-NL"/>
        </w:rPr>
        <w:t>Van Borm S., Wang J., Granberg F. &amp; Colling A</w:t>
      </w:r>
      <w:r w:rsidRPr="008E20C4">
        <w:rPr>
          <w:u w:val="double"/>
          <w:lang w:val="nl-NL"/>
        </w:rPr>
        <w:t xml:space="preserve">. (2016). </w:t>
      </w:r>
      <w:r w:rsidRPr="008E20C4">
        <w:rPr>
          <w:u w:val="double"/>
        </w:rPr>
        <w:t>Next-generation sequencing workflows in veterinary infection biology: towards validation and quality assurance</w:t>
      </w:r>
      <w:r w:rsidRPr="008E20C4">
        <w:rPr>
          <w:i/>
          <w:iCs/>
          <w:u w:val="double"/>
        </w:rPr>
        <w:t xml:space="preserve">. Rev. Sci. Tech. Off. Int. </w:t>
      </w:r>
      <w:proofErr w:type="spellStart"/>
      <w:r w:rsidRPr="008E20C4">
        <w:rPr>
          <w:i/>
          <w:iCs/>
          <w:u w:val="double"/>
        </w:rPr>
        <w:t>Epiz</w:t>
      </w:r>
      <w:proofErr w:type="spellEnd"/>
      <w:r w:rsidRPr="008E20C4">
        <w:rPr>
          <w:u w:val="double"/>
        </w:rPr>
        <w:t xml:space="preserve">., </w:t>
      </w:r>
      <w:r w:rsidRPr="008E20C4">
        <w:rPr>
          <w:b/>
          <w:bCs/>
          <w:u w:val="double"/>
        </w:rPr>
        <w:t>35</w:t>
      </w:r>
      <w:r w:rsidRPr="008E20C4">
        <w:rPr>
          <w:u w:val="double"/>
        </w:rPr>
        <w:t>, 67–81. doi:10.20506/rst.35.1.2418</w:t>
      </w:r>
      <w:r w:rsidR="00710366" w:rsidRPr="008E20C4">
        <w:rPr>
          <w:u w:val="double"/>
        </w:rPr>
        <w:t>.</w:t>
      </w:r>
    </w:p>
    <w:p w14:paraId="2B5AE464" w14:textId="52A40E74" w:rsidR="00667CDB" w:rsidRPr="008E20C4" w:rsidRDefault="00667CDB" w:rsidP="00667CDB">
      <w:pPr>
        <w:pStyle w:val="Ref"/>
        <w:tabs>
          <w:tab w:val="clear" w:pos="-720"/>
        </w:tabs>
        <w:spacing w:after="200"/>
        <w:rPr>
          <w:rStyle w:val="article-articlebody"/>
          <w:rFonts w:cs="Arial"/>
          <w:lang w:val="en-IE"/>
        </w:rPr>
      </w:pPr>
      <w:proofErr w:type="spellStart"/>
      <w:r w:rsidRPr="008E20C4">
        <w:rPr>
          <w:rStyle w:val="article-articlebody"/>
          <w:rFonts w:cs="Arial"/>
          <w:smallCaps/>
          <w:lang w:val="en-IE"/>
        </w:rPr>
        <w:t>Vessman</w:t>
      </w:r>
      <w:proofErr w:type="spellEnd"/>
      <w:r w:rsidRPr="008E20C4">
        <w:rPr>
          <w:rStyle w:val="article-articlebody"/>
          <w:rFonts w:cs="Arial"/>
          <w:smallCaps/>
          <w:lang w:val="en-IE"/>
        </w:rPr>
        <w:t xml:space="preserve"> J., Stefan R., Van </w:t>
      </w:r>
      <w:proofErr w:type="spellStart"/>
      <w:r w:rsidRPr="008E20C4">
        <w:rPr>
          <w:rStyle w:val="article-articlebody"/>
          <w:rFonts w:cs="Arial"/>
          <w:smallCaps/>
          <w:lang w:val="en-IE"/>
        </w:rPr>
        <w:t>Staden</w:t>
      </w:r>
      <w:proofErr w:type="spellEnd"/>
      <w:r w:rsidRPr="008E20C4">
        <w:rPr>
          <w:rStyle w:val="article-articlebody"/>
          <w:rFonts w:cs="Arial"/>
          <w:smallCaps/>
          <w:lang w:val="en-IE"/>
        </w:rPr>
        <w:t xml:space="preserve"> J., </w:t>
      </w:r>
      <w:proofErr w:type="spellStart"/>
      <w:r w:rsidRPr="008E20C4">
        <w:rPr>
          <w:rStyle w:val="article-articlebody"/>
          <w:rFonts w:cs="Arial"/>
          <w:smallCaps/>
          <w:lang w:val="en-IE"/>
        </w:rPr>
        <w:t>Danzer</w:t>
      </w:r>
      <w:proofErr w:type="spellEnd"/>
      <w:r w:rsidRPr="008E20C4">
        <w:rPr>
          <w:rStyle w:val="article-articlebody"/>
          <w:rFonts w:cs="Arial"/>
          <w:smallCaps/>
          <w:lang w:val="en-IE"/>
        </w:rPr>
        <w:t xml:space="preserve"> K., Lindner W., Burns D., </w:t>
      </w:r>
      <w:proofErr w:type="spellStart"/>
      <w:r w:rsidRPr="008E20C4">
        <w:rPr>
          <w:rStyle w:val="article-articlebody"/>
          <w:rFonts w:cs="Arial"/>
          <w:smallCaps/>
          <w:lang w:val="en-IE"/>
        </w:rPr>
        <w:t>Fajgelj</w:t>
      </w:r>
      <w:proofErr w:type="spellEnd"/>
      <w:r w:rsidRPr="008E20C4">
        <w:rPr>
          <w:rStyle w:val="article-articlebody"/>
          <w:rFonts w:cs="Arial"/>
          <w:smallCaps/>
          <w:lang w:val="en-IE"/>
        </w:rPr>
        <w:t xml:space="preserve"> A. &amp; Muller H</w:t>
      </w:r>
      <w:r w:rsidRPr="008E20C4">
        <w:rPr>
          <w:rStyle w:val="article-articlebody"/>
          <w:rFonts w:cs="Arial"/>
          <w:lang w:val="en-IE"/>
        </w:rPr>
        <w:t xml:space="preserve">. (2001). Selectivity in analytical chemistry. </w:t>
      </w:r>
      <w:r w:rsidRPr="008E20C4">
        <w:rPr>
          <w:rStyle w:val="article-articlebody"/>
          <w:rFonts w:cs="Arial"/>
          <w:i/>
          <w:lang w:val="en-IE"/>
        </w:rPr>
        <w:t xml:space="preserve">Pure Appl. Chem., </w:t>
      </w:r>
      <w:r w:rsidRPr="008E20C4">
        <w:rPr>
          <w:rStyle w:val="article-articlebody"/>
          <w:rFonts w:cs="Arial"/>
          <w:b/>
          <w:lang w:val="en-IE"/>
        </w:rPr>
        <w:t>73</w:t>
      </w:r>
      <w:r w:rsidRPr="008E20C4">
        <w:rPr>
          <w:rStyle w:val="article-articlebody"/>
          <w:rFonts w:cs="Arial"/>
          <w:lang w:val="en-IE"/>
        </w:rPr>
        <w:t>, 1381–1386.</w:t>
      </w:r>
    </w:p>
    <w:p w14:paraId="7ACB5892" w14:textId="4E5C9475" w:rsidR="00FC6AE7" w:rsidRPr="008E20C4" w:rsidRDefault="00FC6AE7" w:rsidP="00FC6AE7">
      <w:pPr>
        <w:pStyle w:val="Ref"/>
        <w:rPr>
          <w:u w:val="double"/>
        </w:rPr>
      </w:pPr>
      <w:r w:rsidRPr="008E20C4">
        <w:rPr>
          <w:smallCaps/>
          <w:u w:val="double"/>
        </w:rPr>
        <w:t>Watson J.W., Clark G.A. &amp; Williams D.T.</w:t>
      </w:r>
      <w:r w:rsidRPr="008E20C4">
        <w:rPr>
          <w:u w:val="double"/>
        </w:rPr>
        <w:t xml:space="preserve"> (2021). The value of virtual biobanks for transparency purposes with respect to reagents and samples used during test development and validation. </w:t>
      </w:r>
      <w:r w:rsidRPr="008E20C4">
        <w:rPr>
          <w:i/>
          <w:iCs/>
          <w:u w:val="double"/>
        </w:rPr>
        <w:t xml:space="preserve">Rev. Sci. Tech.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253–259. doi:10.20506/rst.40.1.3222.</w:t>
      </w:r>
    </w:p>
    <w:p w14:paraId="50B81CE7" w14:textId="4B079870" w:rsidR="000408A8" w:rsidRPr="008E20C4" w:rsidRDefault="000408A8" w:rsidP="00FC6AE7">
      <w:pPr>
        <w:pStyle w:val="Ref"/>
        <w:rPr>
          <w:rStyle w:val="article-articlebody"/>
          <w:rFonts w:cs="Arial"/>
          <w:u w:val="double"/>
        </w:rPr>
      </w:pPr>
      <w:r w:rsidRPr="008E20C4">
        <w:rPr>
          <w:smallCaps/>
          <w:u w:val="double"/>
        </w:rPr>
        <w:t>Waugh C. &amp; Clark G</w:t>
      </w:r>
      <w:r w:rsidRPr="008E20C4">
        <w:rPr>
          <w:u w:val="double"/>
        </w:rPr>
        <w:t>. (2021). Factors affecting test reproducibility among laboratories</w:t>
      </w:r>
      <w:r w:rsidRPr="008E20C4">
        <w:rPr>
          <w:i/>
          <w:iCs/>
          <w:u w:val="double"/>
        </w:rPr>
        <w:t xml:space="preserve">. Rev. Sci. Tech. Off. Int. </w:t>
      </w:r>
      <w:proofErr w:type="spellStart"/>
      <w:r w:rsidRPr="008E20C4">
        <w:rPr>
          <w:i/>
          <w:iCs/>
          <w:u w:val="double"/>
        </w:rPr>
        <w:t>Epiz</w:t>
      </w:r>
      <w:proofErr w:type="spellEnd"/>
      <w:r w:rsidRPr="008E20C4">
        <w:rPr>
          <w:u w:val="double"/>
        </w:rPr>
        <w:t xml:space="preserve">., </w:t>
      </w:r>
      <w:r w:rsidRPr="008E20C4">
        <w:rPr>
          <w:b/>
          <w:bCs/>
          <w:u w:val="double"/>
        </w:rPr>
        <w:t>40</w:t>
      </w:r>
      <w:r w:rsidRPr="008E20C4">
        <w:rPr>
          <w:u w:val="double"/>
        </w:rPr>
        <w:t>, 131–143. doi:10.20506/rst.40.1.3213.</w:t>
      </w:r>
    </w:p>
    <w:p w14:paraId="573A83B5" w14:textId="77777777" w:rsidR="00663379" w:rsidRPr="008E20C4" w:rsidRDefault="00663379" w:rsidP="00663379">
      <w:pPr>
        <w:pStyle w:val="Ref"/>
        <w:rPr>
          <w:u w:val="double"/>
        </w:rPr>
      </w:pPr>
      <w:r w:rsidRPr="008E20C4">
        <w:rPr>
          <w:rStyle w:val="cf01"/>
          <w:rFonts w:ascii="Söhne" w:hAnsi="Söhne" w:cs="Arial"/>
          <w:smallCaps/>
          <w:u w:val="double"/>
        </w:rPr>
        <w:t>Wilson</w:t>
      </w:r>
      <w:r w:rsidRPr="008E20C4">
        <w:rPr>
          <w:rStyle w:val="cf01"/>
          <w:rFonts w:ascii="Söhne" w:hAnsi="Söhne" w:cs="Arial"/>
          <w:u w:val="double"/>
        </w:rPr>
        <w:t xml:space="preserve"> I.G. (1997). Inhibition and facilitation of nucleic acid amplification. </w:t>
      </w:r>
      <w:r w:rsidRPr="008E20C4">
        <w:rPr>
          <w:rStyle w:val="cf11"/>
          <w:rFonts w:ascii="Söhne" w:hAnsi="Söhne" w:cs="Arial"/>
          <w:u w:val="double"/>
        </w:rPr>
        <w:t xml:space="preserve">Appl. Environ. </w:t>
      </w:r>
      <w:proofErr w:type="spellStart"/>
      <w:r w:rsidRPr="008E20C4">
        <w:rPr>
          <w:rStyle w:val="cf11"/>
          <w:rFonts w:ascii="Söhne" w:hAnsi="Söhne" w:cs="Arial"/>
          <w:u w:val="double"/>
        </w:rPr>
        <w:t>Microbiol</w:t>
      </w:r>
      <w:proofErr w:type="spellEnd"/>
      <w:r w:rsidRPr="008E20C4">
        <w:rPr>
          <w:rStyle w:val="cf11"/>
          <w:rFonts w:ascii="Söhne" w:hAnsi="Söhne" w:cs="Arial"/>
          <w:i w:val="0"/>
          <w:iCs w:val="0"/>
          <w:u w:val="double"/>
        </w:rPr>
        <w:t xml:space="preserve">., </w:t>
      </w:r>
      <w:r w:rsidRPr="008E20C4">
        <w:rPr>
          <w:rStyle w:val="cf21"/>
          <w:rFonts w:ascii="Söhne" w:hAnsi="Söhne" w:cs="Arial"/>
          <w:u w:val="double"/>
        </w:rPr>
        <w:t>63</w:t>
      </w:r>
      <w:r w:rsidRPr="008E20C4">
        <w:rPr>
          <w:rStyle w:val="cf01"/>
          <w:rFonts w:ascii="Söhne" w:hAnsi="Söhne" w:cs="Arial"/>
          <w:u w:val="double"/>
        </w:rPr>
        <w:t>, 3741–3751. doi:10.1128/AEM.63.10.3741-3751.1997.</w:t>
      </w:r>
    </w:p>
    <w:p w14:paraId="58F898DC" w14:textId="431D0B7B" w:rsidR="00667CDB" w:rsidRPr="008E20C4" w:rsidRDefault="00667CDB" w:rsidP="00667CDB">
      <w:pPr>
        <w:pStyle w:val="Ref"/>
        <w:tabs>
          <w:tab w:val="clear" w:pos="-720"/>
        </w:tabs>
        <w:spacing w:after="200"/>
        <w:rPr>
          <w:strike/>
          <w:lang w:val="en-IE"/>
        </w:rPr>
      </w:pPr>
      <w:r w:rsidRPr="008E20C4">
        <w:rPr>
          <w:smallCaps/>
          <w:strike/>
          <w:color w:val="000000"/>
          <w:lang w:val="en-IE"/>
        </w:rPr>
        <w:t>World Organisation for Animal Health</w:t>
      </w:r>
      <w:r w:rsidRPr="008E20C4">
        <w:rPr>
          <w:strike/>
          <w:color w:val="000000"/>
          <w:lang w:val="en-IE"/>
        </w:rPr>
        <w:t xml:space="preserve"> (</w:t>
      </w:r>
      <w:r w:rsidR="0084586F" w:rsidRPr="008E20C4">
        <w:rPr>
          <w:strike/>
          <w:color w:val="000000"/>
          <w:lang w:val="en-IE"/>
        </w:rPr>
        <w:t>OIE</w:t>
      </w:r>
      <w:r w:rsidRPr="008E20C4">
        <w:rPr>
          <w:strike/>
          <w:color w:val="000000"/>
          <w:lang w:val="en-IE"/>
        </w:rPr>
        <w:t xml:space="preserve">) (2008). </w:t>
      </w:r>
      <w:r w:rsidR="0084586F" w:rsidRPr="008E20C4">
        <w:rPr>
          <w:strike/>
          <w:lang w:val="en-IE"/>
        </w:rPr>
        <w:t>OIE</w:t>
      </w:r>
      <w:r w:rsidRPr="008E20C4">
        <w:rPr>
          <w:strike/>
          <w:lang w:val="en-IE"/>
        </w:rPr>
        <w:t xml:space="preserve"> Standard for Management and Technical Requirements for Laboratories Conducting Tests for Infectious Diseases.</w:t>
      </w:r>
      <w:r w:rsidRPr="008E20C4">
        <w:rPr>
          <w:i/>
          <w:strike/>
          <w:lang w:val="en-IE"/>
        </w:rPr>
        <w:t xml:space="preserve"> In:</w:t>
      </w:r>
      <w:r w:rsidRPr="008E20C4">
        <w:rPr>
          <w:strike/>
          <w:lang w:val="en-IE"/>
        </w:rPr>
        <w:t xml:space="preserve"> </w:t>
      </w:r>
      <w:r w:rsidR="0084586F" w:rsidRPr="008E20C4">
        <w:rPr>
          <w:strike/>
          <w:lang w:val="en-IE"/>
        </w:rPr>
        <w:t>OIE</w:t>
      </w:r>
      <w:r w:rsidRPr="008E20C4">
        <w:rPr>
          <w:strike/>
          <w:lang w:val="en-IE"/>
        </w:rPr>
        <w:t xml:space="preserve"> Quality Standard and Guidelines for Veterinary Laboratories: Infectious Diseases. </w:t>
      </w:r>
      <w:r w:rsidR="0084586F" w:rsidRPr="008E20C4">
        <w:rPr>
          <w:strike/>
          <w:lang w:val="en-IE"/>
        </w:rPr>
        <w:t>OIE</w:t>
      </w:r>
      <w:r w:rsidRPr="008E20C4">
        <w:rPr>
          <w:strike/>
          <w:lang w:val="en-IE"/>
        </w:rPr>
        <w:t>, Paris, France, 1–31.</w:t>
      </w:r>
    </w:p>
    <w:p w14:paraId="2F18DD17" w14:textId="77777777" w:rsidR="00AF0286" w:rsidRPr="008E20C4" w:rsidRDefault="00AF0286" w:rsidP="00AF0286">
      <w:pPr>
        <w:pStyle w:val="Ref"/>
        <w:rPr>
          <w:lang w:val="en-IE" w:eastAsia="en-IE"/>
        </w:rPr>
      </w:pPr>
      <w:r w:rsidRPr="008E20C4">
        <w:rPr>
          <w:smallCaps/>
          <w:lang w:val="en-IE" w:eastAsia="en-IE"/>
        </w:rPr>
        <w:t>Yan L., Toohey-</w:t>
      </w:r>
      <w:proofErr w:type="spellStart"/>
      <w:r w:rsidRPr="008E20C4">
        <w:rPr>
          <w:smallCaps/>
          <w:lang w:val="en-IE" w:eastAsia="en-IE"/>
        </w:rPr>
        <w:t>Kurth</w:t>
      </w:r>
      <w:proofErr w:type="spellEnd"/>
      <w:r w:rsidRPr="008E20C4">
        <w:rPr>
          <w:smallCaps/>
          <w:lang w:val="en-IE" w:eastAsia="en-IE"/>
        </w:rPr>
        <w:t xml:space="preserve"> K.L., Crossley B.M., Bai J., Glaser A.L., Tallmadge R.L. &amp; Goodman L.B.</w:t>
      </w:r>
      <w:r w:rsidRPr="008E20C4">
        <w:rPr>
          <w:lang w:val="en-IE" w:eastAsia="en-IE"/>
        </w:rPr>
        <w:t xml:space="preserve"> (2020). Inhibition monitoring in veterinary molecular testing. </w:t>
      </w:r>
      <w:r w:rsidRPr="008E20C4">
        <w:rPr>
          <w:i/>
          <w:iCs/>
          <w:lang w:val="en-IE" w:eastAsia="en-IE"/>
        </w:rPr>
        <w:t xml:space="preserve">J. Vet. </w:t>
      </w:r>
      <w:proofErr w:type="spellStart"/>
      <w:r w:rsidRPr="008E20C4">
        <w:rPr>
          <w:i/>
          <w:iCs/>
          <w:lang w:val="en-IE" w:eastAsia="en-IE"/>
        </w:rPr>
        <w:t>Diagn</w:t>
      </w:r>
      <w:proofErr w:type="spellEnd"/>
      <w:r w:rsidRPr="008E20C4">
        <w:rPr>
          <w:i/>
          <w:iCs/>
          <w:lang w:val="en-IE" w:eastAsia="en-IE"/>
        </w:rPr>
        <w:t xml:space="preserve">. Invest., </w:t>
      </w:r>
      <w:r w:rsidRPr="008E20C4">
        <w:rPr>
          <w:b/>
          <w:bCs/>
          <w:lang w:val="en-IE" w:eastAsia="en-IE"/>
        </w:rPr>
        <w:t>32</w:t>
      </w:r>
      <w:r w:rsidRPr="008E20C4">
        <w:rPr>
          <w:lang w:val="en-IE" w:eastAsia="en-IE"/>
        </w:rPr>
        <w:t>, 758–766. doi:10.1177/1040638719889315</w:t>
      </w:r>
    </w:p>
    <w:p w14:paraId="67E68755" w14:textId="77777777" w:rsidR="00AF0286" w:rsidRPr="008E20C4" w:rsidRDefault="00AF0286" w:rsidP="00AF0286">
      <w:pPr>
        <w:pStyle w:val="Ref"/>
        <w:rPr>
          <w:lang w:val="en-IE" w:eastAsia="en-IE"/>
        </w:rPr>
      </w:pPr>
      <w:r w:rsidRPr="000F1FC4">
        <w:rPr>
          <w:smallCaps/>
          <w:lang w:val="en-IE" w:eastAsia="en-IE"/>
        </w:rPr>
        <w:t xml:space="preserve">Yokota M., Tatsumi N., </w:t>
      </w:r>
      <w:proofErr w:type="spellStart"/>
      <w:r w:rsidRPr="000F1FC4">
        <w:rPr>
          <w:smallCaps/>
          <w:lang w:val="en-IE" w:eastAsia="en-IE"/>
        </w:rPr>
        <w:t>Nathalang</w:t>
      </w:r>
      <w:proofErr w:type="spellEnd"/>
      <w:r w:rsidRPr="000F1FC4">
        <w:rPr>
          <w:smallCaps/>
          <w:lang w:val="en-IE" w:eastAsia="en-IE"/>
        </w:rPr>
        <w:t xml:space="preserve"> O., Yamada T. &amp; Tsuda I</w:t>
      </w:r>
      <w:r w:rsidRPr="000F1FC4">
        <w:rPr>
          <w:lang w:val="en-IE" w:eastAsia="en-IE"/>
        </w:rPr>
        <w:t xml:space="preserve">. (1999). </w:t>
      </w:r>
      <w:r w:rsidRPr="008E20C4">
        <w:rPr>
          <w:lang w:val="en-IE" w:eastAsia="en-IE"/>
        </w:rPr>
        <w:t xml:space="preserve">Effects of heparin on polymerase chain reaction for blood white cells. </w:t>
      </w:r>
      <w:r w:rsidRPr="008E20C4">
        <w:rPr>
          <w:i/>
          <w:iCs/>
          <w:lang w:val="en-IE" w:eastAsia="en-IE"/>
        </w:rPr>
        <w:t xml:space="preserve">J. Clin. Lab. Anal., </w:t>
      </w:r>
      <w:r w:rsidRPr="008E20C4">
        <w:rPr>
          <w:b/>
          <w:bCs/>
          <w:lang w:val="en-IE" w:eastAsia="en-IE"/>
        </w:rPr>
        <w:t>13</w:t>
      </w:r>
      <w:r w:rsidRPr="008E20C4">
        <w:rPr>
          <w:lang w:val="en-IE" w:eastAsia="en-IE"/>
        </w:rPr>
        <w:t>, 133–140. doi:10.1002/(</w:t>
      </w:r>
      <w:proofErr w:type="spellStart"/>
      <w:r w:rsidRPr="008E20C4">
        <w:rPr>
          <w:lang w:val="en-IE" w:eastAsia="en-IE"/>
        </w:rPr>
        <w:t>sici</w:t>
      </w:r>
      <w:proofErr w:type="spellEnd"/>
      <w:r w:rsidRPr="008E20C4">
        <w:rPr>
          <w:lang w:val="en-IE" w:eastAsia="en-IE"/>
        </w:rPr>
        <w:t>)1098-2825(1999)13:3&lt;</w:t>
      </w:r>
      <w:proofErr w:type="gramStart"/>
      <w:r w:rsidRPr="008E20C4">
        <w:rPr>
          <w:lang w:val="en-IE" w:eastAsia="en-IE"/>
        </w:rPr>
        <w:t>133::</w:t>
      </w:r>
      <w:proofErr w:type="gramEnd"/>
      <w:r w:rsidRPr="008E20C4">
        <w:rPr>
          <w:lang w:val="en-IE" w:eastAsia="en-IE"/>
        </w:rPr>
        <w:t>aid-jcla8&gt;3.0.co;2-0.</w:t>
      </w:r>
    </w:p>
    <w:p w14:paraId="540D032B" w14:textId="70DAD842" w:rsidR="00667CDB" w:rsidRPr="008E20C4" w:rsidRDefault="00667CDB" w:rsidP="00667CDB">
      <w:pPr>
        <w:pStyle w:val="Ref"/>
        <w:tabs>
          <w:tab w:val="clear" w:pos="-720"/>
        </w:tabs>
        <w:rPr>
          <w:color w:val="000000"/>
          <w:lang w:val="en-IE"/>
        </w:rPr>
      </w:pPr>
      <w:r w:rsidRPr="008E20C4">
        <w:rPr>
          <w:smallCaps/>
          <w:color w:val="000000"/>
          <w:lang w:val="en-IE"/>
        </w:rPr>
        <w:t xml:space="preserve">Zweig M.H. &amp; Campbell G. </w:t>
      </w:r>
      <w:r w:rsidRPr="008E20C4">
        <w:rPr>
          <w:color w:val="000000"/>
          <w:lang w:val="en-IE"/>
        </w:rPr>
        <w:t xml:space="preserve">(1993). Receiver-operating characteristic (ROC) plots: a fundamental evaluation tool in clinical medicine. </w:t>
      </w:r>
      <w:r w:rsidRPr="008E20C4">
        <w:rPr>
          <w:i/>
          <w:color w:val="000000"/>
          <w:lang w:val="en-IE"/>
        </w:rPr>
        <w:t>Clin. Chem</w:t>
      </w:r>
      <w:r w:rsidRPr="008E20C4">
        <w:rPr>
          <w:color w:val="000000"/>
          <w:lang w:val="en-IE"/>
        </w:rPr>
        <w:t xml:space="preserve">., </w:t>
      </w:r>
      <w:r w:rsidRPr="008E20C4">
        <w:rPr>
          <w:b/>
          <w:color w:val="000000"/>
          <w:lang w:val="en-IE"/>
        </w:rPr>
        <w:t>39</w:t>
      </w:r>
      <w:r w:rsidRPr="008E20C4">
        <w:rPr>
          <w:color w:val="000000"/>
          <w:lang w:val="en-IE"/>
        </w:rPr>
        <w:t>, 561</w:t>
      </w:r>
      <w:r w:rsidRPr="008E20C4">
        <w:rPr>
          <w:lang w:val="en-IE"/>
        </w:rPr>
        <w:t>–</w:t>
      </w:r>
      <w:r w:rsidRPr="008E20C4">
        <w:rPr>
          <w:color w:val="000000"/>
          <w:lang w:val="en-IE"/>
        </w:rPr>
        <w:t>577.</w:t>
      </w:r>
    </w:p>
    <w:p w14:paraId="57FDE333" w14:textId="77777777" w:rsidR="00594703" w:rsidRPr="008E20C4" w:rsidRDefault="001E72BA" w:rsidP="00594703">
      <w:pPr>
        <w:pStyle w:val="Ref"/>
        <w:rPr>
          <w:rFonts w:cstheme="minorHAnsi"/>
          <w:u w:val="double"/>
          <w:lang w:val="en-IE" w:eastAsia="en-AU"/>
        </w:rPr>
      </w:pPr>
      <w:hyperlink r:id="rId46" w:history="1">
        <w:r w:rsidR="00594703" w:rsidRPr="008E20C4">
          <w:rPr>
            <w:rStyle w:val="Hyperlink"/>
            <w:rFonts w:cstheme="minorHAnsi"/>
            <w:u w:val="double"/>
            <w:lang w:val="en-IE" w:eastAsia="en-AU"/>
          </w:rPr>
          <w:t>https://www.iaea.org/services/networks/vetlab</w:t>
        </w:r>
      </w:hyperlink>
    </w:p>
    <w:p w14:paraId="4201F2AB" w14:textId="77777777" w:rsidR="00594703" w:rsidRPr="008E20C4" w:rsidRDefault="001E72BA" w:rsidP="00594703">
      <w:pPr>
        <w:pStyle w:val="Ref"/>
        <w:rPr>
          <w:rFonts w:cstheme="minorHAnsi"/>
          <w:u w:val="double"/>
          <w:lang w:val="en-IE" w:eastAsia="en-AU"/>
        </w:rPr>
      </w:pPr>
      <w:hyperlink r:id="rId47" w:history="1">
        <w:r w:rsidR="00594703" w:rsidRPr="008E20C4">
          <w:rPr>
            <w:rStyle w:val="Hyperlink"/>
            <w:rFonts w:cstheme="minorHAnsi"/>
            <w:u w:val="double"/>
            <w:lang w:val="en-IE" w:eastAsia="en-AU"/>
          </w:rPr>
          <w:t>https://www.iaea.org/services/zodiac</w:t>
        </w:r>
      </w:hyperlink>
    </w:p>
    <w:p w14:paraId="2F61E8E0" w14:textId="2FF73C2E" w:rsidR="00FD1C4F" w:rsidRPr="008E20C4" w:rsidRDefault="001E72BA" w:rsidP="00594703">
      <w:pPr>
        <w:pStyle w:val="Ref"/>
        <w:rPr>
          <w:rFonts w:cstheme="minorHAnsi"/>
          <w:u w:val="double"/>
          <w:lang w:val="en-IE"/>
        </w:rPr>
      </w:pPr>
      <w:hyperlink r:id="rId48" w:history="1">
        <w:r w:rsidR="00FD1C4F" w:rsidRPr="008E20C4">
          <w:rPr>
            <w:rStyle w:val="Hyperlink"/>
            <w:rFonts w:cstheme="minorHAnsi"/>
            <w:lang w:val="en-IE"/>
          </w:rPr>
          <w:t>https://www.woah.org/en/what-we-offer/veterinary-products/diagnostic-kits/the-register-of-diagnostic-kits/</w:t>
        </w:r>
      </w:hyperlink>
    </w:p>
    <w:p w14:paraId="00BFB59E" w14:textId="5731DFC2" w:rsidR="00594703" w:rsidRPr="008E20C4" w:rsidRDefault="001E72BA" w:rsidP="00594703">
      <w:pPr>
        <w:pStyle w:val="Ref"/>
        <w:rPr>
          <w:rFonts w:cstheme="minorHAnsi"/>
          <w:u w:val="double"/>
          <w:lang w:val="en-IE" w:eastAsia="en-AU"/>
        </w:rPr>
      </w:pPr>
      <w:hyperlink r:id="rId49" w:history="1">
        <w:r w:rsidR="00594703" w:rsidRPr="008E20C4">
          <w:rPr>
            <w:rStyle w:val="Hyperlink"/>
            <w:rFonts w:cstheme="minorHAnsi"/>
            <w:u w:val="double"/>
            <w:lang w:val="en-IE" w:eastAsia="en-AU"/>
          </w:rPr>
          <w:t>https://www.awe.gov.au/agriculture-land/animal/health/laboratories/tests/test-development</w:t>
        </w:r>
      </w:hyperlink>
      <w:r w:rsidR="00594703" w:rsidRPr="008E20C4">
        <w:rPr>
          <w:rFonts w:cstheme="minorHAnsi"/>
          <w:u w:val="double"/>
          <w:lang w:val="en-IE" w:eastAsia="en-AU"/>
        </w:rPr>
        <w:t xml:space="preserve"> </w:t>
      </w:r>
    </w:p>
    <w:p w14:paraId="35624DAF" w14:textId="77777777" w:rsidR="0014264C" w:rsidRPr="008E20C4" w:rsidRDefault="0014264C" w:rsidP="0014264C">
      <w:pPr>
        <w:pStyle w:val="rtoiles"/>
        <w:rPr>
          <w:rFonts w:ascii="Söhne" w:hAnsi="Söhne"/>
          <w:sz w:val="18"/>
          <w:szCs w:val="18"/>
          <w:lang w:val="en-GB"/>
        </w:rPr>
      </w:pPr>
      <w:r w:rsidRPr="008E20C4">
        <w:rPr>
          <w:rFonts w:ascii="Söhne" w:hAnsi="Söhne"/>
          <w:sz w:val="18"/>
          <w:szCs w:val="18"/>
          <w:lang w:val="en-GB"/>
        </w:rPr>
        <w:lastRenderedPageBreak/>
        <w:t>*</w:t>
      </w:r>
      <w:r w:rsidRPr="008E20C4">
        <w:rPr>
          <w:rFonts w:ascii="Söhne" w:hAnsi="Söhne"/>
          <w:sz w:val="18"/>
          <w:szCs w:val="18"/>
          <w:lang w:val="en-GB"/>
        </w:rPr>
        <w:br/>
        <w:t>*   *</w:t>
      </w:r>
    </w:p>
    <w:p w14:paraId="238EC79A" w14:textId="5D04B877" w:rsidR="00667CDB" w:rsidRPr="008E20C4" w:rsidRDefault="00667CDB" w:rsidP="00667CDB">
      <w:pPr>
        <w:pStyle w:val="Reflabnote"/>
        <w:spacing w:before="240" w:after="240"/>
        <w:rPr>
          <w:rFonts w:ascii="Söhne" w:hAnsi="Söhne"/>
          <w:lang w:val="en-IE"/>
        </w:rPr>
      </w:pPr>
      <w:r w:rsidRPr="008E20C4">
        <w:rPr>
          <w:rFonts w:ascii="Söhne" w:hAnsi="Söhne"/>
          <w:b/>
          <w:bCs/>
          <w:lang w:val="en-IE"/>
        </w:rPr>
        <w:t>NB:</w:t>
      </w:r>
      <w:r w:rsidRPr="008E20C4">
        <w:rPr>
          <w:rFonts w:ascii="Söhne" w:hAnsi="Söhne"/>
          <w:lang w:val="en-IE"/>
        </w:rPr>
        <w:t xml:space="preserve"> There is a</w:t>
      </w:r>
      <w:r w:rsidR="00D846D9">
        <w:rPr>
          <w:rFonts w:ascii="Söhne" w:hAnsi="Söhne"/>
          <w:lang w:val="en-IE"/>
        </w:rPr>
        <w:t xml:space="preserve"> WOAH</w:t>
      </w:r>
      <w:r w:rsidRPr="008E20C4">
        <w:rPr>
          <w:rFonts w:ascii="Söhne" w:hAnsi="Söhne"/>
          <w:lang w:val="en-IE"/>
        </w:rPr>
        <w:t xml:space="preserve"> Collaborating Centre for </w:t>
      </w:r>
      <w:r w:rsidR="00D846D9">
        <w:rPr>
          <w:rFonts w:ascii="Söhne" w:hAnsi="Söhne"/>
          <w:lang w:val="en-IE"/>
        </w:rPr>
        <w:br/>
      </w:r>
      <w:r w:rsidRPr="008E20C4">
        <w:rPr>
          <w:rFonts w:ascii="Söhne" w:hAnsi="Söhne"/>
          <w:lang w:val="en-IE"/>
        </w:rPr>
        <w:t xml:space="preserve">Diagnostic Test Validation Science in the Asia-Pacific Region (please consult the </w:t>
      </w:r>
      <w:r w:rsidR="00D846D9">
        <w:rPr>
          <w:rFonts w:ascii="Söhne" w:hAnsi="Söhne"/>
          <w:lang w:val="en-IE"/>
        </w:rPr>
        <w:t>WOAH</w:t>
      </w:r>
      <w:r w:rsidRPr="008E20C4">
        <w:rPr>
          <w:rFonts w:ascii="Söhne" w:hAnsi="Söhne"/>
          <w:lang w:val="en-IE"/>
        </w:rPr>
        <w:t xml:space="preserve"> Web site: </w:t>
      </w:r>
      <w:r w:rsidRPr="008E20C4">
        <w:rPr>
          <w:rFonts w:ascii="Söhne" w:hAnsi="Söhne"/>
          <w:lang w:val="en-IE"/>
        </w:rPr>
        <w:br/>
      </w:r>
      <w:hyperlink r:id="rId50" w:anchor="ui-id-3" w:history="1">
        <w:r w:rsidR="002C1D0B" w:rsidRPr="008E20C4">
          <w:rPr>
            <w:rStyle w:val="Hyperlink"/>
            <w:rFonts w:ascii="Söhne" w:hAnsi="Söhne" w:cs="Arial"/>
          </w:rPr>
          <w:t>https://www.woah.org/en/what-we-offer/expertise-network/collaborating-centres/#ui-id-3</w:t>
        </w:r>
      </w:hyperlink>
      <w:r w:rsidRPr="008E20C4">
        <w:rPr>
          <w:rFonts w:ascii="Söhne" w:hAnsi="Söhne"/>
          <w:lang w:val="en-IE"/>
        </w:rPr>
        <w:t xml:space="preserve">). </w:t>
      </w:r>
      <w:r w:rsidRPr="008E20C4">
        <w:rPr>
          <w:rFonts w:ascii="Söhne" w:hAnsi="Söhne"/>
          <w:lang w:val="en-IE"/>
        </w:rPr>
        <w:br/>
        <w:t xml:space="preserve">Please contact the </w:t>
      </w:r>
      <w:r w:rsidR="00D846D9">
        <w:rPr>
          <w:rFonts w:ascii="Söhne" w:hAnsi="Söhne"/>
          <w:lang w:val="en-IE"/>
        </w:rPr>
        <w:t>WOAH</w:t>
      </w:r>
      <w:r w:rsidR="00D846D9" w:rsidRPr="008E20C4">
        <w:rPr>
          <w:rFonts w:ascii="Söhne" w:hAnsi="Söhne"/>
          <w:lang w:val="en-IE"/>
        </w:rPr>
        <w:t xml:space="preserve"> </w:t>
      </w:r>
      <w:r w:rsidRPr="008E20C4">
        <w:rPr>
          <w:rFonts w:ascii="Söhne" w:hAnsi="Söhne"/>
          <w:lang w:val="en-IE"/>
        </w:rPr>
        <w:t>Collaborating Centre for any further information on validation</w:t>
      </w:r>
      <w:r w:rsidRPr="008E20C4">
        <w:rPr>
          <w:rFonts w:ascii="Söhne" w:hAnsi="Söhne"/>
          <w:iCs/>
          <w:lang w:val="en-IE"/>
        </w:rPr>
        <w:t>.</w:t>
      </w:r>
    </w:p>
    <w:p w14:paraId="49A3FDF0" w14:textId="11DA61CB" w:rsidR="00594703" w:rsidRPr="00FD1C4F" w:rsidRDefault="00667CDB" w:rsidP="00594703">
      <w:pPr>
        <w:spacing w:after="240" w:line="240" w:lineRule="auto"/>
        <w:jc w:val="center"/>
        <w:rPr>
          <w:rFonts w:ascii="Söhne" w:hAnsi="Söhne" w:cstheme="minorHAnsi"/>
          <w:sz w:val="18"/>
          <w:szCs w:val="18"/>
          <w:u w:val="double"/>
          <w:lang w:val="en-IE" w:eastAsia="en-AU"/>
        </w:rPr>
      </w:pPr>
      <w:r w:rsidRPr="008E20C4">
        <w:rPr>
          <w:rFonts w:ascii="Söhne" w:hAnsi="Söhne" w:cs="Arial"/>
          <w:b/>
          <w:smallCaps/>
          <w:sz w:val="18"/>
          <w:szCs w:val="18"/>
          <w:lang w:val="en-IE"/>
        </w:rPr>
        <w:t>NB:</w:t>
      </w:r>
      <w:r w:rsidRPr="008E20C4">
        <w:rPr>
          <w:rFonts w:ascii="Söhne" w:hAnsi="Söhne" w:cs="Arial"/>
          <w:smallCaps/>
          <w:sz w:val="18"/>
          <w:szCs w:val="18"/>
          <w:lang w:val="en-IE"/>
        </w:rPr>
        <w:t xml:space="preserve"> first adopted in 1996 as </w:t>
      </w:r>
      <w:r w:rsidRPr="008E20C4">
        <w:rPr>
          <w:rFonts w:ascii="Söhne" w:hAnsi="Söhne" w:cs="Arial"/>
          <w:iCs/>
          <w:smallCaps/>
          <w:sz w:val="18"/>
          <w:szCs w:val="18"/>
          <w:lang w:val="en-IE"/>
        </w:rPr>
        <w:t>Principles of validation of diagnostic assays for infectious diseases.</w:t>
      </w:r>
      <w:r w:rsidRPr="008E20C4">
        <w:rPr>
          <w:rFonts w:ascii="Söhne" w:hAnsi="Söhne" w:cs="Arial"/>
          <w:smallCaps/>
          <w:sz w:val="18"/>
          <w:szCs w:val="18"/>
          <w:lang w:val="en-IE"/>
        </w:rPr>
        <w:t xml:space="preserve"> </w:t>
      </w:r>
      <w:r w:rsidRPr="008E20C4">
        <w:rPr>
          <w:rFonts w:ascii="Söhne" w:hAnsi="Söhne" w:cs="Arial"/>
          <w:smallCaps/>
          <w:sz w:val="18"/>
          <w:szCs w:val="18"/>
          <w:lang w:val="en-IE"/>
        </w:rPr>
        <w:br/>
        <w:t>Most recent updates adopted in 2013.</w:t>
      </w:r>
    </w:p>
    <w:sectPr w:rsidR="00594703" w:rsidRPr="00FD1C4F" w:rsidSect="00F121FC">
      <w:headerReference w:type="even" r:id="rId51"/>
      <w:headerReference w:type="default" r:id="rId52"/>
      <w:footerReference w:type="even" r:id="rId53"/>
      <w:footerReference w:type="default" r:id="rId54"/>
      <w:footerReference w:type="first" r:id="rId55"/>
      <w:pgSz w:w="11907" w:h="16840" w:code="9"/>
      <w:pgMar w:top="1418" w:right="1304" w:bottom="1418" w:left="1304" w:header="567" w:footer="567" w:gutter="0"/>
      <w:pgBorders w:offsetFrom="page">
        <w:top w:val="none" w:sz="0" w:space="13" w:color="000000"/>
        <w:left w:val="none" w:sz="0" w:space="19" w:color="000000"/>
        <w:bottom w:val="none" w:sz="0" w:space="0" w:color="000000"/>
        <w:right w:val="none" w:sz="0" w:space="13" w:color="000000"/>
      </w:pgBorders>
      <w:lnNumType w:countBy="1" w:start="225" w:restart="continuou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F5CDF" w14:textId="77777777" w:rsidR="00327576" w:rsidRDefault="00327576" w:rsidP="007B3178">
      <w:pPr>
        <w:spacing w:line="240" w:lineRule="auto"/>
      </w:pPr>
      <w:r>
        <w:separator/>
      </w:r>
    </w:p>
  </w:endnote>
  <w:endnote w:type="continuationSeparator" w:id="0">
    <w:p w14:paraId="3279A2B9" w14:textId="77777777" w:rsidR="00327576" w:rsidRDefault="00327576" w:rsidP="007B3178">
      <w:pPr>
        <w:spacing w:line="240" w:lineRule="auto"/>
      </w:pPr>
      <w:r>
        <w:continuationSeparator/>
      </w:r>
    </w:p>
  </w:endnote>
  <w:endnote w:type="continuationNotice" w:id="1">
    <w:p w14:paraId="4B8A0D97" w14:textId="77777777" w:rsidR="00327576" w:rsidRDefault="003275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erkeley-Book">
    <w:altName w:val="Cambria"/>
    <w:panose1 w:val="00000000000000000000"/>
    <w:charset w:val="00"/>
    <w:family w:val="roman"/>
    <w:notTrueType/>
    <w:pitch w:val="default"/>
    <w:sig w:usb0="00000003" w:usb1="00000000" w:usb2="00000000" w:usb3="00000000" w:csb0="00000001" w:csb1="00000000"/>
  </w:font>
  <w:font w:name="Berkeley-BookItalic">
    <w:altName w:val="Cambria"/>
    <w:panose1 w:val="00000000000000000000"/>
    <w:charset w:val="00"/>
    <w:family w:val="roman"/>
    <w:notTrueType/>
    <w:pitch w:val="default"/>
    <w:sig w:usb0="00000003" w:usb1="00000000" w:usb2="00000000" w:usb3="00000000" w:csb0="00000001" w:csb1="00000000"/>
  </w:font>
  <w:font w:name="Berkeley-Bold">
    <w:altName w:val="Cambria"/>
    <w:panose1 w:val="00000000000000000000"/>
    <w:charset w:val="00"/>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E51C" w14:textId="33D58E76" w:rsidR="000F1FC4" w:rsidRPr="000F1FC4" w:rsidRDefault="000F1FC4" w:rsidP="000F1FC4">
    <w:pPr>
      <w:pStyle w:val="Footer"/>
    </w:pPr>
    <w:r>
      <w:fldChar w:fldCharType="begin"/>
    </w:r>
    <w:r>
      <w:instrText>PAGE</w:instrText>
    </w:r>
    <w:r>
      <w:fldChar w:fldCharType="separate"/>
    </w:r>
    <w:r>
      <w:t>1</w:t>
    </w:r>
    <w:r>
      <w:fldChar w:fldCharType="end"/>
    </w:r>
    <w:r>
      <w:tab/>
    </w:r>
    <w:r w:rsidR="00C64763">
      <w:t>WOAH</w:t>
    </w:r>
    <w:r>
      <w:t xml:space="preserve"> </w:t>
    </w:r>
    <w:r>
      <w:rPr>
        <w:i/>
        <w:iCs/>
      </w:rPr>
      <w:t>Terrestrial</w:t>
    </w:r>
    <w:r>
      <w:t xml:space="preserve"> </w:t>
    </w:r>
    <w:r>
      <w:rPr>
        <w:i/>
      </w:rPr>
      <w:t>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D141" w14:textId="18B8FEB8" w:rsidR="000F1FC4" w:rsidRPr="000F1FC4" w:rsidRDefault="00C64763" w:rsidP="000F1FC4">
    <w:pPr>
      <w:pStyle w:val="Footer"/>
    </w:pPr>
    <w:r>
      <w:t xml:space="preserve">WOAH </w:t>
    </w:r>
    <w:r w:rsidR="000F1FC4">
      <w:rPr>
        <w:i/>
        <w:iCs/>
      </w:rPr>
      <w:t>Terrestrial</w:t>
    </w:r>
    <w:r w:rsidR="000F1FC4">
      <w:t xml:space="preserve"> </w:t>
    </w:r>
    <w:r w:rsidR="000F1FC4">
      <w:rPr>
        <w:i/>
      </w:rPr>
      <w:t>Manual</w:t>
    </w:r>
    <w:r w:rsidR="000F1FC4">
      <w:t xml:space="preserve"> 2023</w:t>
    </w:r>
    <w:r w:rsidR="000F1FC4">
      <w:tab/>
    </w:r>
    <w:r w:rsidR="000F1FC4">
      <w:fldChar w:fldCharType="begin"/>
    </w:r>
    <w:r w:rsidR="000F1FC4">
      <w:instrText>PAGE</w:instrText>
    </w:r>
    <w:r w:rsidR="000F1FC4">
      <w:fldChar w:fldCharType="separate"/>
    </w:r>
    <w:r w:rsidR="000F1FC4">
      <w:t>1</w:t>
    </w:r>
    <w:r w:rsidR="000F1F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46630" w14:textId="5DE5D968" w:rsidR="00BF72D7" w:rsidRPr="00CF2912" w:rsidRDefault="00907D25" w:rsidP="0089300E">
    <w:pPr>
      <w:pStyle w:val="Footer"/>
    </w:pPr>
    <w:r>
      <w:t>WOAH</w:t>
    </w:r>
    <w:r w:rsidR="00BF72D7">
      <w:t xml:space="preserve"> </w:t>
    </w:r>
    <w:r w:rsidR="00BF72D7">
      <w:rPr>
        <w:i/>
        <w:iCs/>
      </w:rPr>
      <w:t>Terrestrial</w:t>
    </w:r>
    <w:r w:rsidR="00BF72D7">
      <w:t xml:space="preserve"> </w:t>
    </w:r>
    <w:r w:rsidR="00BF72D7">
      <w:rPr>
        <w:i/>
      </w:rPr>
      <w:t>Manual</w:t>
    </w:r>
    <w:r w:rsidR="00BF72D7">
      <w:t xml:space="preserve"> 2023</w:t>
    </w:r>
    <w:r w:rsidR="00BF72D7">
      <w:tab/>
    </w:r>
    <w:r w:rsidR="00BF72D7">
      <w:fldChar w:fldCharType="begin"/>
    </w:r>
    <w:r w:rsidR="00BF72D7">
      <w:instrText>PAGE</w:instrText>
    </w:r>
    <w:r w:rsidR="00BF72D7">
      <w:fldChar w:fldCharType="separate"/>
    </w:r>
    <w:r w:rsidR="00BF72D7">
      <w:t>72</w:t>
    </w:r>
    <w:r w:rsidR="00BF72D7">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8B3E" w14:textId="43C1B8B1" w:rsidR="00980E79" w:rsidRDefault="00286118" w:rsidP="00980E79">
    <w:pPr>
      <w:pStyle w:val="Footer"/>
      <w:tabs>
        <w:tab w:val="clear" w:pos="9072"/>
        <w:tab w:val="right" w:pos="14175"/>
      </w:tabs>
    </w:pPr>
    <w:r>
      <w:t>WOAH</w:t>
    </w:r>
    <w:r w:rsidR="00980E79">
      <w:t xml:space="preserve"> </w:t>
    </w:r>
    <w:r w:rsidR="00980E79">
      <w:rPr>
        <w:i/>
        <w:iCs/>
      </w:rPr>
      <w:t>Terrestrial</w:t>
    </w:r>
    <w:r w:rsidR="00980E79">
      <w:t xml:space="preserve"> </w:t>
    </w:r>
    <w:r w:rsidR="00980E79">
      <w:rPr>
        <w:i/>
      </w:rPr>
      <w:t>Manual</w:t>
    </w:r>
    <w:r w:rsidR="00980E79">
      <w:t xml:space="preserve"> 2023</w:t>
    </w:r>
    <w:r w:rsidR="00980E79">
      <w:tab/>
    </w:r>
    <w:r w:rsidR="00980E79">
      <w:fldChar w:fldCharType="begin"/>
    </w:r>
    <w:r w:rsidR="00980E79">
      <w:instrText>PAGE</w:instrText>
    </w:r>
    <w:r w:rsidR="00980E79">
      <w:fldChar w:fldCharType="separate"/>
    </w:r>
    <w:r w:rsidR="00980E79">
      <w:rPr>
        <w:noProof/>
      </w:rPr>
      <w:t>87</w:t>
    </w:r>
    <w:r w:rsidR="00980E79">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A81A0" w14:textId="77702C3D" w:rsidR="00667CDB" w:rsidRDefault="00667CDB" w:rsidP="0089300E">
    <w:pPr>
      <w:pStyle w:val="Footer"/>
    </w:pPr>
    <w:r>
      <w:fldChar w:fldCharType="begin"/>
    </w:r>
    <w:r>
      <w:instrText>PAGE</w:instrText>
    </w:r>
    <w:r>
      <w:fldChar w:fldCharType="separate"/>
    </w:r>
    <w:r>
      <w:rPr>
        <w:noProof/>
      </w:rPr>
      <w:t>74</w:t>
    </w:r>
    <w:r>
      <w:fldChar w:fldCharType="end"/>
    </w:r>
    <w:r>
      <w:tab/>
    </w:r>
    <w:r w:rsidR="00907D25">
      <w:t>WOAH</w:t>
    </w:r>
    <w:r>
      <w:t xml:space="preserve"> </w:t>
    </w:r>
    <w:r>
      <w:rPr>
        <w:i/>
        <w:iCs/>
      </w:rPr>
      <w:t>Terrestrial</w:t>
    </w:r>
    <w:r>
      <w:t xml:space="preserve"> </w:t>
    </w:r>
    <w:r>
      <w:rPr>
        <w:i/>
      </w:rPr>
      <w:t>Manual</w:t>
    </w:r>
    <w:r>
      <w:t xml:space="preserve"> 2023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3675" w14:textId="0DDE7E68" w:rsidR="00667CDB" w:rsidRDefault="00907D25" w:rsidP="0089300E">
    <w:pPr>
      <w:pStyle w:val="Footer"/>
    </w:pPr>
    <w:r>
      <w:t>WOAH</w:t>
    </w:r>
    <w:r w:rsidR="00667CDB">
      <w:t xml:space="preserve"> </w:t>
    </w:r>
    <w:r w:rsidR="00667CDB">
      <w:rPr>
        <w:i/>
        <w:iCs/>
      </w:rPr>
      <w:t>Terrestrial</w:t>
    </w:r>
    <w:r w:rsidR="00667CDB">
      <w:t xml:space="preserve"> </w:t>
    </w:r>
    <w:r w:rsidR="00667CDB">
      <w:rPr>
        <w:i/>
      </w:rPr>
      <w:t>Manual</w:t>
    </w:r>
    <w:r w:rsidR="00667CDB">
      <w:t xml:space="preserve"> 2023</w:t>
    </w:r>
    <w:r w:rsidR="00667CDB">
      <w:tab/>
    </w:r>
    <w:r w:rsidR="00667CDB">
      <w:fldChar w:fldCharType="begin"/>
    </w:r>
    <w:r w:rsidR="00667CDB">
      <w:instrText>PAGE</w:instrText>
    </w:r>
    <w:r w:rsidR="00667CDB">
      <w:fldChar w:fldCharType="separate"/>
    </w:r>
    <w:r w:rsidR="00667CDB">
      <w:rPr>
        <w:noProof/>
      </w:rPr>
      <w:t>87</w:t>
    </w:r>
    <w:r w:rsidR="00667CD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36207" w14:textId="00552C37" w:rsidR="00667CDB" w:rsidRPr="00CF2912" w:rsidRDefault="0089300E" w:rsidP="0089300E">
    <w:pPr>
      <w:pStyle w:val="Footer"/>
    </w:pPr>
    <w:r>
      <w:t xml:space="preserve">OIE </w:t>
    </w:r>
    <w:r w:rsidR="00667CDB">
      <w:rPr>
        <w:i/>
        <w:iCs/>
      </w:rPr>
      <w:t>Terrestrial</w:t>
    </w:r>
    <w:r w:rsidR="00667CDB">
      <w:t xml:space="preserve"> </w:t>
    </w:r>
    <w:r w:rsidR="00667CDB">
      <w:rPr>
        <w:i/>
      </w:rPr>
      <w:t>Manual</w:t>
    </w:r>
    <w:r w:rsidR="00667CDB">
      <w:t xml:space="preserve"> 2023</w:t>
    </w:r>
    <w:r w:rsidR="00667CDB">
      <w:tab/>
    </w:r>
    <w:r w:rsidR="00667CDB">
      <w:fldChar w:fldCharType="begin"/>
    </w:r>
    <w:r w:rsidR="00667CDB">
      <w:instrText>PAGE</w:instrText>
    </w:r>
    <w:r w:rsidR="00667CDB">
      <w:fldChar w:fldCharType="separate"/>
    </w:r>
    <w:r w:rsidR="00667CDB">
      <w:t>72</w:t>
    </w:r>
    <w:r w:rsidR="00667CD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D3BB4" w14:textId="77777777" w:rsidR="00327576" w:rsidRDefault="00327576" w:rsidP="007B3178">
      <w:pPr>
        <w:spacing w:line="240" w:lineRule="auto"/>
      </w:pPr>
      <w:r>
        <w:separator/>
      </w:r>
    </w:p>
  </w:footnote>
  <w:footnote w:type="continuationSeparator" w:id="0">
    <w:p w14:paraId="002F5653" w14:textId="77777777" w:rsidR="00327576" w:rsidRDefault="00327576" w:rsidP="007B3178">
      <w:pPr>
        <w:spacing w:line="240" w:lineRule="auto"/>
      </w:pPr>
      <w:r>
        <w:continuationSeparator/>
      </w:r>
    </w:p>
  </w:footnote>
  <w:footnote w:type="continuationNotice" w:id="1">
    <w:p w14:paraId="6F90BDA8" w14:textId="77777777" w:rsidR="00327576" w:rsidRDefault="00327576">
      <w:pPr>
        <w:spacing w:line="240" w:lineRule="auto"/>
      </w:pPr>
    </w:p>
  </w:footnote>
  <w:footnote w:id="2">
    <w:p w14:paraId="53148595" w14:textId="77777777" w:rsidR="00667CDB" w:rsidRPr="0089300E" w:rsidRDefault="00667CDB" w:rsidP="00667CDB">
      <w:pPr>
        <w:pStyle w:val="FootnoteText"/>
        <w:spacing w:line="240" w:lineRule="auto"/>
        <w:ind w:left="425" w:hanging="425"/>
        <w:rPr>
          <w:rFonts w:ascii="Söhne" w:hAnsi="Söhne" w:cs="Arial"/>
          <w:sz w:val="16"/>
          <w:szCs w:val="16"/>
        </w:rPr>
      </w:pPr>
      <w:r w:rsidRPr="0089300E">
        <w:rPr>
          <w:rStyle w:val="FootnoteReference"/>
          <w:rFonts w:ascii="Söhne" w:hAnsi="Söhne" w:cs="Arial"/>
          <w:sz w:val="16"/>
          <w:szCs w:val="16"/>
          <w:vertAlign w:val="baseline"/>
        </w:rPr>
        <w:footnoteRef/>
      </w:r>
      <w:r w:rsidRPr="0089300E">
        <w:rPr>
          <w:rFonts w:ascii="Söhne" w:hAnsi="Söhne" w:cs="Arial"/>
          <w:sz w:val="16"/>
          <w:szCs w:val="16"/>
        </w:rPr>
        <w:t xml:space="preserve"> </w:t>
      </w:r>
      <w:r w:rsidRPr="0089300E">
        <w:rPr>
          <w:rFonts w:ascii="Söhne" w:hAnsi="Söhne" w:cs="Arial"/>
          <w:sz w:val="16"/>
          <w:szCs w:val="16"/>
        </w:rPr>
        <w:tab/>
        <w:t>“</w:t>
      </w:r>
      <w:r w:rsidRPr="0089300E">
        <w:rPr>
          <w:rFonts w:ascii="Söhne" w:hAnsi="Söhne" w:cs="Arial"/>
          <w:bCs/>
          <w:sz w:val="16"/>
          <w:szCs w:val="16"/>
        </w:rPr>
        <w:t>Assay,” “test method,” and “test”</w:t>
      </w:r>
      <w:r w:rsidRPr="0089300E">
        <w:rPr>
          <w:rFonts w:ascii="Söhne" w:hAnsi="Söhne" w:cs="Arial"/>
          <w:b/>
          <w:bCs/>
          <w:sz w:val="16"/>
          <w:szCs w:val="16"/>
        </w:rPr>
        <w:t xml:space="preserve"> </w:t>
      </w:r>
      <w:r w:rsidRPr="0089300E">
        <w:rPr>
          <w:rFonts w:ascii="Söhne" w:hAnsi="Söhne" w:cs="Arial"/>
          <w:sz w:val="16"/>
          <w:szCs w:val="16"/>
        </w:rPr>
        <w:t>are synonymous terms for purposes of this chapter, and therefore are used interchangeably.</w:t>
      </w:r>
    </w:p>
  </w:footnote>
  <w:footnote w:id="3">
    <w:p w14:paraId="2DDD2564" w14:textId="43CC710D" w:rsidR="000D6245" w:rsidRPr="000D6245" w:rsidRDefault="000D6245" w:rsidP="000D6245">
      <w:pPr>
        <w:pStyle w:val="FootnoteText"/>
        <w:spacing w:line="240" w:lineRule="auto"/>
        <w:ind w:left="425" w:hanging="425"/>
        <w:rPr>
          <w:rFonts w:ascii="Söhne" w:hAnsi="Söhne"/>
          <w:sz w:val="16"/>
          <w:szCs w:val="16"/>
        </w:rPr>
      </w:pPr>
      <w:r w:rsidRPr="000D6245">
        <w:rPr>
          <w:rStyle w:val="FootnoteReference"/>
          <w:rFonts w:ascii="Söhne" w:hAnsi="Söhne"/>
          <w:sz w:val="16"/>
          <w:szCs w:val="16"/>
          <w:vertAlign w:val="baseline"/>
        </w:rPr>
        <w:footnoteRef/>
      </w:r>
      <w:r w:rsidRPr="000D6245">
        <w:rPr>
          <w:rFonts w:ascii="Söhne" w:hAnsi="Söhne"/>
          <w:sz w:val="16"/>
          <w:szCs w:val="16"/>
        </w:rPr>
        <w:t xml:space="preserve"> </w:t>
      </w:r>
      <w:r w:rsidRPr="000D6245">
        <w:rPr>
          <w:rFonts w:ascii="Söhne" w:hAnsi="Söhne"/>
          <w:sz w:val="16"/>
          <w:szCs w:val="16"/>
        </w:rPr>
        <w:tab/>
      </w:r>
      <w:r w:rsidRPr="000D6245">
        <w:rPr>
          <w:rFonts w:ascii="Söhne" w:hAnsi="Söhne"/>
          <w:color w:val="0000FF"/>
          <w:sz w:val="16"/>
          <w:szCs w:val="16"/>
          <w:u w:val="double"/>
          <w:lang w:val="en-IE"/>
        </w:rPr>
        <w:t>https://www.woah.org/en/what-we-offer/veterinary-products/diagnostic-kits/the-register-of-diagnostic-kits/</w:t>
      </w:r>
    </w:p>
  </w:footnote>
  <w:footnote w:id="4">
    <w:p w14:paraId="003D7B8D" w14:textId="2B6708DE" w:rsidR="00AE7126" w:rsidRPr="00903B26" w:rsidRDefault="00AE7126" w:rsidP="00C24FE6">
      <w:pPr>
        <w:pStyle w:val="FootnoteText"/>
        <w:spacing w:line="240" w:lineRule="auto"/>
        <w:ind w:left="426" w:hanging="426"/>
        <w:rPr>
          <w:rFonts w:ascii="Söhne" w:hAnsi="Söhne"/>
          <w:strike/>
        </w:rPr>
      </w:pPr>
      <w:r w:rsidRPr="00903B26">
        <w:rPr>
          <w:rStyle w:val="FootnoteReference"/>
          <w:rFonts w:ascii="Söhne" w:hAnsi="Söhne" w:cs="Arial"/>
          <w:strike/>
          <w:sz w:val="16"/>
          <w:szCs w:val="16"/>
          <w:vertAlign w:val="baseline"/>
        </w:rPr>
        <w:footnoteRef/>
      </w:r>
      <w:r w:rsidRPr="00903B26">
        <w:rPr>
          <w:rFonts w:ascii="Söhne" w:hAnsi="Söhne" w:cs="Arial"/>
          <w:strike/>
          <w:sz w:val="16"/>
          <w:szCs w:val="16"/>
        </w:rPr>
        <w:t xml:space="preserve"> </w:t>
      </w:r>
      <w:r w:rsidRPr="00903B26">
        <w:rPr>
          <w:rFonts w:ascii="Söhne" w:hAnsi="Söhne" w:cs="Arial"/>
          <w:strike/>
          <w:sz w:val="16"/>
          <w:szCs w:val="16"/>
        </w:rPr>
        <w:tab/>
        <w:t xml:space="preserve">This </w:t>
      </w:r>
      <w:r w:rsidRPr="00903B26">
        <w:rPr>
          <w:rFonts w:ascii="Söhne" w:hAnsi="Söhne" w:cs="Arial"/>
          <w:strike/>
          <w:sz w:val="16"/>
          <w:szCs w:val="16"/>
          <w:lang w:val="en-IE"/>
        </w:rPr>
        <w:t>is a specific interpretation of the more generally stated requirements of the ISO/IEC 17025:2005 international quality standard for testing laboratories (2005). This publication further states that for a test method to be considered appropriate, it must be properly validated and that this validation must respect the principles outlined in this document, the OIE Validation Standard</w:t>
      </w:r>
      <w:r w:rsidRPr="00903B26">
        <w:rPr>
          <w:rFonts w:ascii="Söhne" w:hAnsi="Söhne" w:cs="Arial"/>
          <w:i/>
          <w:strike/>
          <w:sz w:val="16"/>
          <w:szCs w:val="16"/>
          <w:lang w:val="en-IE"/>
        </w:rPr>
        <w:t>.</w:t>
      </w:r>
      <w:r w:rsidRPr="00903B26">
        <w:rPr>
          <w:rFonts w:ascii="Söhne" w:hAnsi="Söhne" w:cs="Arial"/>
          <w:iCs/>
          <w:strike/>
          <w:sz w:val="16"/>
          <w:szCs w:val="16"/>
          <w:lang w:val="en-IE"/>
        </w:rPr>
        <w:t xml:space="preserve"> </w:t>
      </w:r>
    </w:p>
  </w:footnote>
  <w:footnote w:id="5">
    <w:p w14:paraId="00AA4507" w14:textId="77777777" w:rsidR="00500285" w:rsidRPr="00500285" w:rsidRDefault="00500285" w:rsidP="00500285">
      <w:pPr>
        <w:pStyle w:val="FootnoteText"/>
        <w:ind w:left="426" w:hanging="426"/>
        <w:rPr>
          <w:rFonts w:ascii="Söhne" w:hAnsi="Söhne"/>
          <w:sz w:val="16"/>
          <w:szCs w:val="16"/>
          <w:u w:val="double"/>
        </w:rPr>
      </w:pPr>
      <w:r w:rsidRPr="00500285">
        <w:rPr>
          <w:rStyle w:val="FootnoteReference"/>
          <w:rFonts w:ascii="Söhne" w:hAnsi="Söhne"/>
          <w:sz w:val="16"/>
          <w:szCs w:val="16"/>
          <w:u w:val="double"/>
          <w:vertAlign w:val="baseline"/>
        </w:rPr>
        <w:footnoteRef/>
      </w:r>
      <w:r w:rsidRPr="00500285">
        <w:rPr>
          <w:rFonts w:ascii="Söhne" w:hAnsi="Söhne"/>
          <w:sz w:val="16"/>
          <w:szCs w:val="16"/>
          <w:u w:val="double"/>
        </w:rPr>
        <w:t xml:space="preserve"> </w:t>
      </w:r>
      <w:r w:rsidRPr="00500285">
        <w:rPr>
          <w:rFonts w:ascii="Söhne" w:hAnsi="Söhne"/>
          <w:sz w:val="16"/>
          <w:szCs w:val="16"/>
          <w:u w:val="double"/>
        </w:rPr>
        <w:tab/>
      </w:r>
      <w:hyperlink r:id="rId1" w:history="1">
        <w:r w:rsidRPr="00500285">
          <w:rPr>
            <w:rStyle w:val="Hyperlink"/>
            <w:rFonts w:ascii="Söhne" w:hAnsi="Söhne"/>
            <w:sz w:val="16"/>
            <w:szCs w:val="16"/>
            <w:u w:val="double"/>
          </w:rPr>
          <w:t>https://www.woah.org/fileadmin/Home/eng/Health_standards/tahm/2.02.00_INTRODUCTION.pdf</w:t>
        </w:r>
      </w:hyperlink>
      <w:r w:rsidRPr="00500285">
        <w:rPr>
          <w:rFonts w:ascii="Söhne" w:hAnsi="Söhne"/>
          <w:sz w:val="16"/>
          <w:szCs w:val="16"/>
          <w:u w:val="double"/>
        </w:rPr>
        <w:t xml:space="preserve"> </w:t>
      </w:r>
    </w:p>
  </w:footnote>
  <w:footnote w:id="6">
    <w:p w14:paraId="312A0E1A" w14:textId="77777777" w:rsidR="00C64763" w:rsidRPr="00A75449" w:rsidRDefault="00C64763" w:rsidP="00C64763">
      <w:pPr>
        <w:pStyle w:val="FootnoteText"/>
        <w:spacing w:line="240" w:lineRule="auto"/>
        <w:ind w:left="426" w:hanging="426"/>
        <w:rPr>
          <w:rFonts w:ascii="Söhne" w:hAnsi="Söhne"/>
          <w:strike/>
        </w:rPr>
      </w:pPr>
      <w:r w:rsidRPr="00A75449">
        <w:rPr>
          <w:rStyle w:val="FootnoteReference"/>
          <w:rFonts w:ascii="Söhne" w:hAnsi="Söhne" w:cs="Arial"/>
          <w:strike/>
          <w:sz w:val="16"/>
          <w:szCs w:val="16"/>
          <w:vertAlign w:val="baseline"/>
        </w:rPr>
        <w:footnoteRef/>
      </w:r>
      <w:r w:rsidRPr="00A75449">
        <w:rPr>
          <w:rFonts w:ascii="Söhne" w:hAnsi="Söhne" w:cs="Arial"/>
          <w:strike/>
          <w:sz w:val="16"/>
          <w:szCs w:val="16"/>
        </w:rPr>
        <w:tab/>
        <w:t xml:space="preserve">Laboratory sources of variation that affect assay precision </w:t>
      </w:r>
      <w:r w:rsidRPr="00A75449">
        <w:rPr>
          <w:rFonts w:ascii="Söhne" w:hAnsi="Söhne" w:cs="Arial"/>
          <w:strike/>
          <w:sz w:val="16"/>
          <w:szCs w:val="16"/>
          <w:lang w:val="en-US"/>
        </w:rPr>
        <w:t>include: 1) within a single test run, 2) between concurrent runs, 3a) between assay runs at different times in the same day or on different days under similar conditions, 3b) between assay runs on different days with different operators, 4) between laboratories. In this chapter, categories 1–3 are estimates of repeatability, and category 4 is synonymous with reproducibility</w:t>
      </w:r>
      <w:r>
        <w:rPr>
          <w:rFonts w:ascii="Söhne" w:hAnsi="Söhne" w:cs="Arial"/>
          <w:strike/>
          <w:sz w:val="16"/>
          <w:szCs w:val="16"/>
          <w:lang w:val="en-US"/>
        </w:rPr>
        <w:t>.</w:t>
      </w:r>
    </w:p>
  </w:footnote>
  <w:footnote w:id="7">
    <w:p w14:paraId="4BC6C3D6" w14:textId="7515BC01" w:rsidR="00667CDB" w:rsidRPr="00FD0B89" w:rsidRDefault="00667CDB" w:rsidP="00667CDB">
      <w:pPr>
        <w:pStyle w:val="FootnoteText"/>
        <w:spacing w:line="240" w:lineRule="auto"/>
        <w:ind w:left="426" w:hanging="426"/>
        <w:rPr>
          <w:rFonts w:ascii="Söhne" w:hAnsi="Söhne" w:cs="Arial"/>
          <w:sz w:val="16"/>
          <w:szCs w:val="16"/>
        </w:rPr>
      </w:pPr>
      <w:r w:rsidRPr="00FD0B89">
        <w:rPr>
          <w:rStyle w:val="FootnoteReference"/>
          <w:rFonts w:ascii="Söhne" w:hAnsi="Söhne" w:cs="Arial"/>
          <w:sz w:val="16"/>
          <w:szCs w:val="16"/>
          <w:vertAlign w:val="baseline"/>
        </w:rPr>
        <w:footnoteRef/>
      </w:r>
      <w:r w:rsidRPr="00FD0B89">
        <w:rPr>
          <w:rFonts w:ascii="Söhne" w:hAnsi="Söhne" w:cs="Arial"/>
          <w:sz w:val="16"/>
          <w:szCs w:val="16"/>
        </w:rPr>
        <w:t xml:space="preserve"> </w:t>
      </w:r>
      <w:r w:rsidRPr="00FD0B89">
        <w:rPr>
          <w:rFonts w:ascii="Söhne" w:hAnsi="Söhne" w:cs="Arial"/>
          <w:sz w:val="16"/>
          <w:szCs w:val="16"/>
        </w:rPr>
        <w:tab/>
        <w:t xml:space="preserve">Available at: </w:t>
      </w:r>
      <w:hyperlink r:id="rId2" w:history="1">
        <w:r w:rsidR="00FD0B89" w:rsidRPr="00801252">
          <w:rPr>
            <w:rStyle w:val="Hyperlink"/>
            <w:rFonts w:ascii="Söhne" w:hAnsi="Söhne" w:cs="Arial"/>
            <w:sz w:val="16"/>
            <w:szCs w:val="16"/>
          </w:rPr>
          <w:t>https://www.woah.org/en/what-we-offer/veterinary-products/reference-reagents/</w:t>
        </w:r>
      </w:hyperlink>
      <w:r w:rsidR="00FD0B89">
        <w:rPr>
          <w:rFonts w:ascii="Söhne" w:hAnsi="Söhne" w:cs="Arial"/>
          <w:sz w:val="16"/>
          <w:szCs w:val="16"/>
        </w:rPr>
        <w:t xml:space="preserve"> </w:t>
      </w:r>
    </w:p>
  </w:footnote>
  <w:footnote w:id="8">
    <w:p w14:paraId="4134B8AA" w14:textId="230645DA" w:rsidR="005662FB" w:rsidRPr="005662FB" w:rsidRDefault="005662FB" w:rsidP="005662FB">
      <w:pPr>
        <w:pStyle w:val="FootnoteText"/>
        <w:spacing w:line="240" w:lineRule="auto"/>
        <w:ind w:left="425" w:hanging="425"/>
        <w:rPr>
          <w:rFonts w:ascii="Söhne" w:hAnsi="Söhne"/>
          <w:sz w:val="16"/>
          <w:szCs w:val="16"/>
          <w:u w:val="double"/>
        </w:rPr>
      </w:pPr>
      <w:r w:rsidRPr="005662FB">
        <w:rPr>
          <w:rStyle w:val="FootnoteReference"/>
          <w:rFonts w:ascii="Söhne" w:hAnsi="Söhne"/>
          <w:sz w:val="16"/>
          <w:szCs w:val="16"/>
          <w:u w:val="double"/>
          <w:vertAlign w:val="baseline"/>
        </w:rPr>
        <w:footnoteRef/>
      </w:r>
      <w:r w:rsidRPr="005662FB">
        <w:rPr>
          <w:rFonts w:ascii="Söhne" w:hAnsi="Söhne"/>
          <w:sz w:val="16"/>
          <w:szCs w:val="16"/>
          <w:u w:val="double"/>
        </w:rPr>
        <w:t xml:space="preserve"> </w:t>
      </w:r>
      <w:r w:rsidRPr="005662FB">
        <w:rPr>
          <w:rFonts w:ascii="Söhne" w:hAnsi="Söhne"/>
          <w:sz w:val="16"/>
          <w:szCs w:val="16"/>
          <w:u w:val="double"/>
        </w:rPr>
        <w:tab/>
      </w:r>
      <w:r w:rsidRPr="005662FB">
        <w:rPr>
          <w:rFonts w:ascii="Söhne" w:hAnsi="Söhne" w:cs="Arial"/>
          <w:sz w:val="16"/>
          <w:szCs w:val="16"/>
          <w:u w:val="double"/>
          <w:lang w:val="en-US"/>
        </w:rPr>
        <w:t>Precision may be evaluated in several ways by testing the same replicated sample: 1) within a plate or plates in a run of the assay, 2) between plates run concurrently within a run of the assay, 3a) between assay runs at different times in the same day or on different days under similar conditions, 3b) between assay runs on different days with different operators, 4) between laboratories. In this chapter, precision categories 1–3 are estimates of repeatability, and precision category 4 is synonymous with reproducibility. Levels 3a and 3b are also known as intermediate precision</w:t>
      </w:r>
      <w:r w:rsidR="009111C5">
        <w:rPr>
          <w:rFonts w:ascii="Söhne" w:hAnsi="Söhne" w:cs="Arial"/>
          <w:sz w:val="16"/>
          <w:szCs w:val="16"/>
          <w:u w:val="double"/>
          <w:lang w:val="en-US"/>
        </w:rPr>
        <w:t>.</w:t>
      </w:r>
    </w:p>
  </w:footnote>
  <w:footnote w:id="9">
    <w:p w14:paraId="2353B758" w14:textId="36AC5213" w:rsidR="00667CDB" w:rsidRPr="00FD0B89" w:rsidRDefault="00667CDB" w:rsidP="00667CDB">
      <w:pPr>
        <w:pStyle w:val="FootnoteText"/>
        <w:spacing w:line="240" w:lineRule="auto"/>
        <w:ind w:left="425" w:hanging="425"/>
        <w:rPr>
          <w:rFonts w:ascii="Söhne" w:hAnsi="Söhne"/>
        </w:rPr>
      </w:pPr>
      <w:r w:rsidRPr="00FD0B89">
        <w:rPr>
          <w:rStyle w:val="FootnoteReference"/>
          <w:rFonts w:ascii="Söhne" w:hAnsi="Söhne" w:cs="Arial"/>
          <w:sz w:val="16"/>
          <w:szCs w:val="16"/>
          <w:vertAlign w:val="baseline"/>
        </w:rPr>
        <w:footnoteRef/>
      </w:r>
      <w:r w:rsidRPr="00FD0B89">
        <w:rPr>
          <w:rFonts w:ascii="Söhne" w:hAnsi="Söhne" w:cs="Arial"/>
          <w:sz w:val="16"/>
          <w:szCs w:val="16"/>
        </w:rPr>
        <w:t xml:space="preserve"> </w:t>
      </w:r>
      <w:r w:rsidRPr="00FD0B89">
        <w:rPr>
          <w:rFonts w:ascii="Söhne" w:hAnsi="Söhne" w:cs="Arial"/>
          <w:sz w:val="16"/>
          <w:szCs w:val="16"/>
        </w:rPr>
        <w:tab/>
      </w:r>
      <w:r w:rsidRPr="00FD0B89">
        <w:rPr>
          <w:rFonts w:ascii="Söhne" w:hAnsi="Söhne" w:cs="Arial"/>
          <w:sz w:val="16"/>
          <w:szCs w:val="16"/>
          <w:lang w:val="en-US"/>
        </w:rPr>
        <w:t xml:space="preserve">Provisional recognition </w:t>
      </w:r>
      <w:r w:rsidRPr="00FD0B89">
        <w:rPr>
          <w:rFonts w:ascii="Söhne" w:hAnsi="Söhne" w:cs="Arial"/>
          <w:sz w:val="16"/>
          <w:szCs w:val="16"/>
        </w:rPr>
        <w:t xml:space="preserve">does not imply acceptance by </w:t>
      </w:r>
      <w:r w:rsidR="00FC7E69">
        <w:rPr>
          <w:rFonts w:ascii="Söhne" w:hAnsi="Söhne" w:cs="Arial"/>
          <w:sz w:val="16"/>
          <w:szCs w:val="16"/>
        </w:rPr>
        <w:t>WOAH</w:t>
      </w:r>
      <w:r w:rsidRPr="00FD0B89">
        <w:rPr>
          <w:rFonts w:ascii="Söhne" w:hAnsi="Söhne" w:cs="Arial"/>
          <w:sz w:val="16"/>
          <w:szCs w:val="16"/>
        </w:rPr>
        <w:t xml:space="preserve">. It does, however, recognise an informed decision of authorities at local, state, national or international levels of their conditional approval of a partially validated assay. </w:t>
      </w:r>
    </w:p>
  </w:footnote>
  <w:footnote w:id="10">
    <w:p w14:paraId="2A81A4E4" w14:textId="4AEDE8C4" w:rsidR="00474AF9" w:rsidRPr="00474AF9" w:rsidRDefault="00474AF9" w:rsidP="00474AF9">
      <w:pPr>
        <w:pStyle w:val="FootnoteText"/>
        <w:spacing w:line="240" w:lineRule="auto"/>
        <w:ind w:left="425" w:hanging="425"/>
        <w:rPr>
          <w:rFonts w:ascii="Söhne" w:hAnsi="Söhne"/>
          <w:sz w:val="16"/>
          <w:szCs w:val="16"/>
        </w:rPr>
      </w:pPr>
      <w:r w:rsidRPr="00474AF9">
        <w:rPr>
          <w:rStyle w:val="FootnoteReference"/>
          <w:rFonts w:ascii="Söhne" w:hAnsi="Söhne"/>
          <w:sz w:val="16"/>
          <w:szCs w:val="16"/>
          <w:vertAlign w:val="baseline"/>
        </w:rPr>
        <w:footnoteRef/>
      </w:r>
      <w:r w:rsidRPr="00474AF9">
        <w:rPr>
          <w:rFonts w:ascii="Söhne" w:hAnsi="Söhne"/>
          <w:sz w:val="16"/>
          <w:szCs w:val="16"/>
        </w:rPr>
        <w:t xml:space="preserve"> </w:t>
      </w:r>
      <w:r w:rsidRPr="00474AF9">
        <w:rPr>
          <w:rFonts w:ascii="Söhne" w:hAnsi="Söhne"/>
          <w:sz w:val="16"/>
          <w:szCs w:val="16"/>
        </w:rPr>
        <w:tab/>
      </w:r>
      <w:hyperlink r:id="rId3" w:history="1">
        <w:r w:rsidRPr="00474AF9">
          <w:rPr>
            <w:rStyle w:val="Hyperlink"/>
            <w:rFonts w:ascii="Söhne" w:hAnsi="Söhne" w:cs="Arial"/>
            <w:sz w:val="16"/>
            <w:szCs w:val="16"/>
            <w:lang w:val="en-IE"/>
          </w:rPr>
          <w:t>http://www.woah.org/en/scientific-expertise/registration-of-diagnostic-kits/the-register-of-diagnostic-kits/</w:t>
        </w:r>
      </w:hyperlink>
    </w:p>
  </w:footnote>
  <w:footnote w:id="11">
    <w:p w14:paraId="5DAD7333" w14:textId="77777777" w:rsidR="00667CDB" w:rsidRPr="00474AF9" w:rsidRDefault="00667CDB" w:rsidP="00474AF9">
      <w:pPr>
        <w:pStyle w:val="FootnoteText"/>
        <w:spacing w:line="240" w:lineRule="auto"/>
        <w:ind w:left="425" w:hanging="425"/>
        <w:rPr>
          <w:rFonts w:ascii="Söhne" w:hAnsi="Söhne"/>
          <w:sz w:val="16"/>
          <w:szCs w:val="16"/>
        </w:rPr>
      </w:pPr>
      <w:r w:rsidRPr="00474AF9">
        <w:rPr>
          <w:rStyle w:val="FootnoteReference"/>
          <w:rFonts w:ascii="Söhne" w:hAnsi="Söhne" w:cs="Arial"/>
          <w:sz w:val="16"/>
          <w:szCs w:val="16"/>
          <w:vertAlign w:val="baseline"/>
        </w:rPr>
        <w:footnoteRef/>
      </w:r>
      <w:r w:rsidRPr="00474AF9">
        <w:rPr>
          <w:rFonts w:ascii="Söhne" w:hAnsi="Söhne" w:cs="Arial"/>
          <w:sz w:val="16"/>
          <w:szCs w:val="16"/>
        </w:rPr>
        <w:t xml:space="preserve"> </w:t>
      </w:r>
      <w:r w:rsidRPr="00474AF9">
        <w:rPr>
          <w:rFonts w:ascii="Söhne" w:hAnsi="Söhne" w:cs="Arial"/>
          <w:sz w:val="16"/>
          <w:szCs w:val="16"/>
        </w:rPr>
        <w:tab/>
      </w:r>
      <w:r w:rsidRPr="00474AF9">
        <w:rPr>
          <w:rFonts w:ascii="Söhne" w:hAnsi="Söhne" w:cs="Arial"/>
          <w:bCs/>
          <w:i/>
          <w:sz w:val="16"/>
          <w:szCs w:val="16"/>
        </w:rPr>
        <w:t>Control chart:</w:t>
      </w:r>
      <w:r w:rsidRPr="00474AF9">
        <w:rPr>
          <w:rFonts w:ascii="Söhne" w:hAnsi="Söhne" w:cs="Arial"/>
          <w:bCs/>
          <w:sz w:val="16"/>
          <w:szCs w:val="16"/>
        </w:rPr>
        <w:t xml:space="preserve"> </w:t>
      </w:r>
      <w:r w:rsidRPr="00474AF9">
        <w:rPr>
          <w:rFonts w:ascii="Söhne" w:hAnsi="Söhne" w:cs="Arial"/>
          <w:sz w:val="16"/>
          <w:szCs w:val="16"/>
        </w:rPr>
        <w:t>A graphical representation of data from the repetitive measurement of a control sample(s) tested in different runs of the assay over time.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00926" w14:textId="468FA961" w:rsidR="000F1FC4" w:rsidRPr="000F1FC4" w:rsidRDefault="000F1FC4" w:rsidP="000F1FC4">
    <w:pPr>
      <w:pStyle w:val="Header"/>
    </w:pPr>
    <w:r>
      <w:t>Chapter 1.1.6. – Principles and methods of validation of diagnostic assays for infectious diseases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8BF7A" w14:textId="0C1DC1B0" w:rsidR="000F1FC4" w:rsidRPr="000F1FC4" w:rsidRDefault="000F1FC4" w:rsidP="000F1FC4">
    <w:pPr>
      <w:pStyle w:val="Header"/>
    </w:pPr>
    <w:r>
      <w:t>Chapter 1.1.6. – Principles and methods of validation of diagnostic assays for infectious diseases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4F2F" w14:textId="77777777" w:rsidR="000F1FC4" w:rsidRDefault="000F1FC4" w:rsidP="000F1FC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94943" w14:textId="77777777" w:rsidR="00667CDB" w:rsidRPr="00E030B5" w:rsidRDefault="00667CDB" w:rsidP="0089300E">
    <w:pPr>
      <w:pStyle w:val="Header"/>
    </w:pPr>
    <w:r>
      <w:t>Chapter 1.1.6. – Principles and methods of validation of diagnostic assays for infectious diseases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EBFE" w14:textId="77777777" w:rsidR="00667CDB" w:rsidRPr="00E030B5" w:rsidRDefault="00667CDB" w:rsidP="0089300E">
    <w:pPr>
      <w:pStyle w:val="Header"/>
    </w:pPr>
    <w:r>
      <w:t>Chapter 1.1.6. – Principles and methods of validation of diagnostic assays for infectious diseases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77617"/>
    <w:multiLevelType w:val="hybridMultilevel"/>
    <w:tmpl w:val="2026C278"/>
    <w:lvl w:ilvl="0" w:tplc="18090001">
      <w:start w:val="1"/>
      <w:numFmt w:val="bullet"/>
      <w:lvlText w:val=""/>
      <w:lvlJc w:val="left"/>
      <w:pPr>
        <w:ind w:left="1069" w:hanging="360"/>
      </w:pPr>
      <w:rPr>
        <w:rFonts w:ascii="Symbol" w:hAnsi="Symbol" w:hint="default"/>
      </w:rPr>
    </w:lvl>
    <w:lvl w:ilvl="1" w:tplc="18090003" w:tentative="1">
      <w:start w:val="1"/>
      <w:numFmt w:val="bullet"/>
      <w:lvlText w:val="o"/>
      <w:lvlJc w:val="left"/>
      <w:pPr>
        <w:ind w:left="1789" w:hanging="360"/>
      </w:pPr>
      <w:rPr>
        <w:rFonts w:ascii="Courier New" w:hAnsi="Courier New" w:cs="Courier New" w:hint="default"/>
      </w:rPr>
    </w:lvl>
    <w:lvl w:ilvl="2" w:tplc="18090005" w:tentative="1">
      <w:start w:val="1"/>
      <w:numFmt w:val="bullet"/>
      <w:lvlText w:val=""/>
      <w:lvlJc w:val="left"/>
      <w:pPr>
        <w:ind w:left="2509" w:hanging="360"/>
      </w:pPr>
      <w:rPr>
        <w:rFonts w:ascii="Wingdings" w:hAnsi="Wingdings" w:hint="default"/>
      </w:rPr>
    </w:lvl>
    <w:lvl w:ilvl="3" w:tplc="18090001" w:tentative="1">
      <w:start w:val="1"/>
      <w:numFmt w:val="bullet"/>
      <w:lvlText w:val=""/>
      <w:lvlJc w:val="left"/>
      <w:pPr>
        <w:ind w:left="3229" w:hanging="360"/>
      </w:pPr>
      <w:rPr>
        <w:rFonts w:ascii="Symbol" w:hAnsi="Symbol" w:hint="default"/>
      </w:rPr>
    </w:lvl>
    <w:lvl w:ilvl="4" w:tplc="18090003" w:tentative="1">
      <w:start w:val="1"/>
      <w:numFmt w:val="bullet"/>
      <w:lvlText w:val="o"/>
      <w:lvlJc w:val="left"/>
      <w:pPr>
        <w:ind w:left="3949" w:hanging="360"/>
      </w:pPr>
      <w:rPr>
        <w:rFonts w:ascii="Courier New" w:hAnsi="Courier New" w:cs="Courier New" w:hint="default"/>
      </w:rPr>
    </w:lvl>
    <w:lvl w:ilvl="5" w:tplc="18090005" w:tentative="1">
      <w:start w:val="1"/>
      <w:numFmt w:val="bullet"/>
      <w:lvlText w:val=""/>
      <w:lvlJc w:val="left"/>
      <w:pPr>
        <w:ind w:left="4669" w:hanging="360"/>
      </w:pPr>
      <w:rPr>
        <w:rFonts w:ascii="Wingdings" w:hAnsi="Wingdings" w:hint="default"/>
      </w:rPr>
    </w:lvl>
    <w:lvl w:ilvl="6" w:tplc="18090001" w:tentative="1">
      <w:start w:val="1"/>
      <w:numFmt w:val="bullet"/>
      <w:lvlText w:val=""/>
      <w:lvlJc w:val="left"/>
      <w:pPr>
        <w:ind w:left="5389" w:hanging="360"/>
      </w:pPr>
      <w:rPr>
        <w:rFonts w:ascii="Symbol" w:hAnsi="Symbol" w:hint="default"/>
      </w:rPr>
    </w:lvl>
    <w:lvl w:ilvl="7" w:tplc="18090003" w:tentative="1">
      <w:start w:val="1"/>
      <w:numFmt w:val="bullet"/>
      <w:lvlText w:val="o"/>
      <w:lvlJc w:val="left"/>
      <w:pPr>
        <w:ind w:left="6109" w:hanging="360"/>
      </w:pPr>
      <w:rPr>
        <w:rFonts w:ascii="Courier New" w:hAnsi="Courier New" w:cs="Courier New" w:hint="default"/>
      </w:rPr>
    </w:lvl>
    <w:lvl w:ilvl="8" w:tplc="18090005" w:tentative="1">
      <w:start w:val="1"/>
      <w:numFmt w:val="bullet"/>
      <w:lvlText w:val=""/>
      <w:lvlJc w:val="left"/>
      <w:pPr>
        <w:ind w:left="6829" w:hanging="360"/>
      </w:pPr>
      <w:rPr>
        <w:rFonts w:ascii="Wingdings" w:hAnsi="Wingdings" w:hint="default"/>
      </w:rPr>
    </w:lvl>
  </w:abstractNum>
  <w:abstractNum w:abstractNumId="1" w15:restartNumberingAfterBreak="0">
    <w:nsid w:val="2BA76B7F"/>
    <w:multiLevelType w:val="hybridMultilevel"/>
    <w:tmpl w:val="AD1451E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30730CA"/>
    <w:multiLevelType w:val="multilevel"/>
    <w:tmpl w:val="0A48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EB56B5"/>
    <w:multiLevelType w:val="multilevel"/>
    <w:tmpl w:val="A5B0E714"/>
    <w:lvl w:ilvl="0">
      <w:start w:val="1"/>
      <w:numFmt w:val="upperLetter"/>
      <w:suff w:val="space"/>
      <w:lvlText w:val="%1"/>
      <w:lvlJc w:val="left"/>
      <w:rPr>
        <w:rFonts w:cs="Times New Roman" w:hint="default"/>
      </w:rPr>
    </w:lvl>
    <w:lvl w:ilvl="1">
      <w:start w:val="1"/>
      <w:numFmt w:val="decimal"/>
      <w:suff w:val="nothing"/>
      <w:lvlText w:val="%2."/>
      <w:lvlJc w:val="left"/>
      <w:rPr>
        <w:rFonts w:cs="Times New Roman" w:hint="default"/>
      </w:rPr>
    </w:lvl>
    <w:lvl w:ilvl="2">
      <w:start w:val="1"/>
      <w:numFmt w:val="lowerLetter"/>
      <w:suff w:val="nothing"/>
      <w:lvlText w:val="%3"/>
      <w:lvlJc w:val="left"/>
      <w:rPr>
        <w:rFonts w:cs="Times New Roman" w:hint="default"/>
      </w:rPr>
    </w:lvl>
    <w:lvl w:ilvl="3">
      <w:start w:val="1"/>
      <w:numFmt w:val="lowerRoman"/>
      <w:suff w:val="nothing"/>
      <w:lvlText w:val="%4"/>
      <w:lvlJc w:val="left"/>
      <w:rPr>
        <w:rFonts w:cs="Times New Roman" w:hint="default"/>
      </w:rPr>
    </w:lvl>
    <w:lvl w:ilvl="4">
      <w:start w:val="1"/>
      <w:numFmt w:val="bullet"/>
      <w:suff w:val="nothing"/>
      <w:lvlText w:val=""/>
      <w:lvlJc w:val="left"/>
      <w:rPr>
        <w:rFonts w:ascii="Symbol" w:hAnsi="Symbol" w:hint="default"/>
        <w:color w:val="auto"/>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4" w15:restartNumberingAfterBreak="0">
    <w:nsid w:val="67CD0187"/>
    <w:multiLevelType w:val="hybridMultilevel"/>
    <w:tmpl w:val="814E1A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4E129E9"/>
    <w:multiLevelType w:val="hybridMultilevel"/>
    <w:tmpl w:val="FD486E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8617D5C"/>
    <w:multiLevelType w:val="hybridMultilevel"/>
    <w:tmpl w:val="FBD831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B734355"/>
    <w:multiLevelType w:val="hybridMultilevel"/>
    <w:tmpl w:val="90185D1E"/>
    <w:lvl w:ilvl="0" w:tplc="18090001">
      <w:start w:val="1"/>
      <w:numFmt w:val="bullet"/>
      <w:lvlText w:val=""/>
      <w:lvlJc w:val="left"/>
      <w:pPr>
        <w:ind w:left="1287" w:hanging="360"/>
      </w:pPr>
      <w:rPr>
        <w:rFonts w:ascii="Symbol" w:hAnsi="Symbol" w:hint="default"/>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num w:numId="1" w16cid:durableId="838540392">
    <w:abstractNumId w:val="3"/>
  </w:num>
  <w:num w:numId="2" w16cid:durableId="122622756">
    <w:abstractNumId w:val="1"/>
  </w:num>
  <w:num w:numId="3" w16cid:durableId="2073232292">
    <w:abstractNumId w:val="7"/>
  </w:num>
  <w:num w:numId="4" w16cid:durableId="520243626">
    <w:abstractNumId w:val="5"/>
  </w:num>
  <w:num w:numId="5" w16cid:durableId="1653362515">
    <w:abstractNumId w:val="4"/>
  </w:num>
  <w:num w:numId="6" w16cid:durableId="201988627">
    <w:abstractNumId w:val="6"/>
  </w:num>
  <w:num w:numId="7" w16cid:durableId="895043136">
    <w:abstractNumId w:val="0"/>
  </w:num>
  <w:num w:numId="8" w16cid:durableId="47017705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CDB"/>
    <w:rsid w:val="00000490"/>
    <w:rsid w:val="0000057E"/>
    <w:rsid w:val="00002F60"/>
    <w:rsid w:val="0000422D"/>
    <w:rsid w:val="00004CEC"/>
    <w:rsid w:val="00005E71"/>
    <w:rsid w:val="00010681"/>
    <w:rsid w:val="0001197A"/>
    <w:rsid w:val="000120AD"/>
    <w:rsid w:val="0001210B"/>
    <w:rsid w:val="000154A4"/>
    <w:rsid w:val="00015F91"/>
    <w:rsid w:val="00024004"/>
    <w:rsid w:val="00025031"/>
    <w:rsid w:val="000250BB"/>
    <w:rsid w:val="000254DA"/>
    <w:rsid w:val="0002584F"/>
    <w:rsid w:val="00025B8F"/>
    <w:rsid w:val="0002726E"/>
    <w:rsid w:val="00030B7C"/>
    <w:rsid w:val="00030B84"/>
    <w:rsid w:val="00031166"/>
    <w:rsid w:val="000311DB"/>
    <w:rsid w:val="00031438"/>
    <w:rsid w:val="00031E99"/>
    <w:rsid w:val="00033A7C"/>
    <w:rsid w:val="00033C96"/>
    <w:rsid w:val="0003795B"/>
    <w:rsid w:val="00037E0E"/>
    <w:rsid w:val="000408A8"/>
    <w:rsid w:val="00040933"/>
    <w:rsid w:val="00041213"/>
    <w:rsid w:val="00041C7F"/>
    <w:rsid w:val="0004487D"/>
    <w:rsid w:val="00051310"/>
    <w:rsid w:val="0005263B"/>
    <w:rsid w:val="00054020"/>
    <w:rsid w:val="000554B4"/>
    <w:rsid w:val="00056BC3"/>
    <w:rsid w:val="00057916"/>
    <w:rsid w:val="00060D79"/>
    <w:rsid w:val="00064131"/>
    <w:rsid w:val="00064A3C"/>
    <w:rsid w:val="00070668"/>
    <w:rsid w:val="0007150A"/>
    <w:rsid w:val="00072545"/>
    <w:rsid w:val="0008007A"/>
    <w:rsid w:val="00082B00"/>
    <w:rsid w:val="00083A03"/>
    <w:rsid w:val="00083AE8"/>
    <w:rsid w:val="00084866"/>
    <w:rsid w:val="00084C21"/>
    <w:rsid w:val="000860DC"/>
    <w:rsid w:val="000873CE"/>
    <w:rsid w:val="000901BE"/>
    <w:rsid w:val="00092193"/>
    <w:rsid w:val="000922E3"/>
    <w:rsid w:val="000955F7"/>
    <w:rsid w:val="00097B36"/>
    <w:rsid w:val="000A06F8"/>
    <w:rsid w:val="000A0A6F"/>
    <w:rsid w:val="000A0F32"/>
    <w:rsid w:val="000A1B58"/>
    <w:rsid w:val="000A265E"/>
    <w:rsid w:val="000A65A8"/>
    <w:rsid w:val="000A70BA"/>
    <w:rsid w:val="000A7270"/>
    <w:rsid w:val="000A73CF"/>
    <w:rsid w:val="000B6968"/>
    <w:rsid w:val="000C010D"/>
    <w:rsid w:val="000C14E6"/>
    <w:rsid w:val="000D02A1"/>
    <w:rsid w:val="000D27A5"/>
    <w:rsid w:val="000D3A9A"/>
    <w:rsid w:val="000D5948"/>
    <w:rsid w:val="000D6245"/>
    <w:rsid w:val="000D6393"/>
    <w:rsid w:val="000E0B7C"/>
    <w:rsid w:val="000E1331"/>
    <w:rsid w:val="000E1B8F"/>
    <w:rsid w:val="000E6D23"/>
    <w:rsid w:val="000F01A5"/>
    <w:rsid w:val="000F0BFF"/>
    <w:rsid w:val="000F1FC4"/>
    <w:rsid w:val="000F288B"/>
    <w:rsid w:val="000F31A0"/>
    <w:rsid w:val="000F3514"/>
    <w:rsid w:val="000F3724"/>
    <w:rsid w:val="000F3A60"/>
    <w:rsid w:val="000F427C"/>
    <w:rsid w:val="000F493E"/>
    <w:rsid w:val="000F498C"/>
    <w:rsid w:val="000F571B"/>
    <w:rsid w:val="000F67A7"/>
    <w:rsid w:val="00100449"/>
    <w:rsid w:val="00100C05"/>
    <w:rsid w:val="00100F2B"/>
    <w:rsid w:val="00102A3B"/>
    <w:rsid w:val="00103F66"/>
    <w:rsid w:val="00104793"/>
    <w:rsid w:val="001059DB"/>
    <w:rsid w:val="00107FAC"/>
    <w:rsid w:val="00110368"/>
    <w:rsid w:val="0011127A"/>
    <w:rsid w:val="00114287"/>
    <w:rsid w:val="001142D4"/>
    <w:rsid w:val="001152BF"/>
    <w:rsid w:val="001212CC"/>
    <w:rsid w:val="00122DE4"/>
    <w:rsid w:val="00123677"/>
    <w:rsid w:val="00124A21"/>
    <w:rsid w:val="00125AFB"/>
    <w:rsid w:val="00126A42"/>
    <w:rsid w:val="00126AB0"/>
    <w:rsid w:val="00130F43"/>
    <w:rsid w:val="001342C1"/>
    <w:rsid w:val="0013777B"/>
    <w:rsid w:val="00140A14"/>
    <w:rsid w:val="001414B4"/>
    <w:rsid w:val="001414F3"/>
    <w:rsid w:val="001422FE"/>
    <w:rsid w:val="0014264C"/>
    <w:rsid w:val="001442EC"/>
    <w:rsid w:val="0014519A"/>
    <w:rsid w:val="001464E1"/>
    <w:rsid w:val="001536E3"/>
    <w:rsid w:val="00154F78"/>
    <w:rsid w:val="00155EC3"/>
    <w:rsid w:val="00156A1D"/>
    <w:rsid w:val="00160075"/>
    <w:rsid w:val="00160441"/>
    <w:rsid w:val="0016112D"/>
    <w:rsid w:val="00161CA1"/>
    <w:rsid w:val="00162912"/>
    <w:rsid w:val="00163850"/>
    <w:rsid w:val="00163A1A"/>
    <w:rsid w:val="00165BFA"/>
    <w:rsid w:val="001666B9"/>
    <w:rsid w:val="00167D2C"/>
    <w:rsid w:val="00172260"/>
    <w:rsid w:val="001724B7"/>
    <w:rsid w:val="00172BE6"/>
    <w:rsid w:val="00174D2E"/>
    <w:rsid w:val="00175DF5"/>
    <w:rsid w:val="00176806"/>
    <w:rsid w:val="00176AE4"/>
    <w:rsid w:val="00181852"/>
    <w:rsid w:val="001822ED"/>
    <w:rsid w:val="00185102"/>
    <w:rsid w:val="0018584F"/>
    <w:rsid w:val="0018657F"/>
    <w:rsid w:val="00190E45"/>
    <w:rsid w:val="00191602"/>
    <w:rsid w:val="001917C7"/>
    <w:rsid w:val="00191EBE"/>
    <w:rsid w:val="001923AE"/>
    <w:rsid w:val="00192AF6"/>
    <w:rsid w:val="001970A5"/>
    <w:rsid w:val="001A051A"/>
    <w:rsid w:val="001A104C"/>
    <w:rsid w:val="001A4403"/>
    <w:rsid w:val="001A65FF"/>
    <w:rsid w:val="001A66FA"/>
    <w:rsid w:val="001A7D9F"/>
    <w:rsid w:val="001A7EDC"/>
    <w:rsid w:val="001B1C65"/>
    <w:rsid w:val="001B2300"/>
    <w:rsid w:val="001B31CB"/>
    <w:rsid w:val="001B4109"/>
    <w:rsid w:val="001B56E0"/>
    <w:rsid w:val="001B79B4"/>
    <w:rsid w:val="001C0E31"/>
    <w:rsid w:val="001C1977"/>
    <w:rsid w:val="001C2191"/>
    <w:rsid w:val="001C56F0"/>
    <w:rsid w:val="001C5E2A"/>
    <w:rsid w:val="001C61F4"/>
    <w:rsid w:val="001C7850"/>
    <w:rsid w:val="001D0650"/>
    <w:rsid w:val="001D29D1"/>
    <w:rsid w:val="001D4700"/>
    <w:rsid w:val="001D700E"/>
    <w:rsid w:val="001D7C98"/>
    <w:rsid w:val="001D7E4E"/>
    <w:rsid w:val="001E26DD"/>
    <w:rsid w:val="001E323F"/>
    <w:rsid w:val="001E366D"/>
    <w:rsid w:val="001E56D7"/>
    <w:rsid w:val="001E5A08"/>
    <w:rsid w:val="001E65A3"/>
    <w:rsid w:val="001E72BA"/>
    <w:rsid w:val="001E79CB"/>
    <w:rsid w:val="001F02E8"/>
    <w:rsid w:val="001F06EA"/>
    <w:rsid w:val="001F0E52"/>
    <w:rsid w:val="001F107D"/>
    <w:rsid w:val="001F1710"/>
    <w:rsid w:val="001F1CAF"/>
    <w:rsid w:val="001F30B8"/>
    <w:rsid w:val="001F3402"/>
    <w:rsid w:val="001F5F94"/>
    <w:rsid w:val="00201020"/>
    <w:rsid w:val="00201C54"/>
    <w:rsid w:val="0020523F"/>
    <w:rsid w:val="00206529"/>
    <w:rsid w:val="00207C93"/>
    <w:rsid w:val="00207E8B"/>
    <w:rsid w:val="002100DE"/>
    <w:rsid w:val="002102A2"/>
    <w:rsid w:val="00210CA2"/>
    <w:rsid w:val="00220DD8"/>
    <w:rsid w:val="00221DA3"/>
    <w:rsid w:val="002236D6"/>
    <w:rsid w:val="00224019"/>
    <w:rsid w:val="0022430D"/>
    <w:rsid w:val="0022561B"/>
    <w:rsid w:val="00226213"/>
    <w:rsid w:val="002305DB"/>
    <w:rsid w:val="00231DAF"/>
    <w:rsid w:val="00232217"/>
    <w:rsid w:val="002328CE"/>
    <w:rsid w:val="00232B63"/>
    <w:rsid w:val="00234D73"/>
    <w:rsid w:val="00235F75"/>
    <w:rsid w:val="002371C8"/>
    <w:rsid w:val="00240D05"/>
    <w:rsid w:val="00240E9E"/>
    <w:rsid w:val="00242901"/>
    <w:rsid w:val="002430C5"/>
    <w:rsid w:val="00246CB6"/>
    <w:rsid w:val="00247F1D"/>
    <w:rsid w:val="00247FFE"/>
    <w:rsid w:val="00251309"/>
    <w:rsid w:val="002513EF"/>
    <w:rsid w:val="00251632"/>
    <w:rsid w:val="002520CF"/>
    <w:rsid w:val="0025357C"/>
    <w:rsid w:val="00253B3C"/>
    <w:rsid w:val="00255DE7"/>
    <w:rsid w:val="00257010"/>
    <w:rsid w:val="002573F6"/>
    <w:rsid w:val="00257AEC"/>
    <w:rsid w:val="00257B80"/>
    <w:rsid w:val="002650B8"/>
    <w:rsid w:val="00265734"/>
    <w:rsid w:val="00270DD5"/>
    <w:rsid w:val="002710E2"/>
    <w:rsid w:val="002728E7"/>
    <w:rsid w:val="00273805"/>
    <w:rsid w:val="002748F0"/>
    <w:rsid w:val="00276547"/>
    <w:rsid w:val="00281A7F"/>
    <w:rsid w:val="00282994"/>
    <w:rsid w:val="00282F79"/>
    <w:rsid w:val="00284739"/>
    <w:rsid w:val="00284A62"/>
    <w:rsid w:val="00285D85"/>
    <w:rsid w:val="00286118"/>
    <w:rsid w:val="00290C58"/>
    <w:rsid w:val="0029274D"/>
    <w:rsid w:val="00292CAB"/>
    <w:rsid w:val="00292D4E"/>
    <w:rsid w:val="00297990"/>
    <w:rsid w:val="00297A57"/>
    <w:rsid w:val="00297B44"/>
    <w:rsid w:val="002A011E"/>
    <w:rsid w:val="002A22D4"/>
    <w:rsid w:val="002A2317"/>
    <w:rsid w:val="002A2F5A"/>
    <w:rsid w:val="002A64DD"/>
    <w:rsid w:val="002A682D"/>
    <w:rsid w:val="002A7A99"/>
    <w:rsid w:val="002A7D41"/>
    <w:rsid w:val="002B52C7"/>
    <w:rsid w:val="002B54A5"/>
    <w:rsid w:val="002B5EC9"/>
    <w:rsid w:val="002B66F6"/>
    <w:rsid w:val="002B6B55"/>
    <w:rsid w:val="002B7AAC"/>
    <w:rsid w:val="002B7ED3"/>
    <w:rsid w:val="002C043A"/>
    <w:rsid w:val="002C0E65"/>
    <w:rsid w:val="002C15DD"/>
    <w:rsid w:val="002C1D0B"/>
    <w:rsid w:val="002C28D1"/>
    <w:rsid w:val="002C32E0"/>
    <w:rsid w:val="002C63B3"/>
    <w:rsid w:val="002C7A5B"/>
    <w:rsid w:val="002D0909"/>
    <w:rsid w:val="002D0C32"/>
    <w:rsid w:val="002D1E84"/>
    <w:rsid w:val="002D3E1A"/>
    <w:rsid w:val="002D406E"/>
    <w:rsid w:val="002D53E6"/>
    <w:rsid w:val="002D5444"/>
    <w:rsid w:val="002D6791"/>
    <w:rsid w:val="002D679B"/>
    <w:rsid w:val="002D6CF6"/>
    <w:rsid w:val="002E138C"/>
    <w:rsid w:val="002E47FB"/>
    <w:rsid w:val="002E49D8"/>
    <w:rsid w:val="002E4CFC"/>
    <w:rsid w:val="002F1D92"/>
    <w:rsid w:val="002F258F"/>
    <w:rsid w:val="002F31A4"/>
    <w:rsid w:val="002F4B3B"/>
    <w:rsid w:val="002F6431"/>
    <w:rsid w:val="002F68AA"/>
    <w:rsid w:val="002F6E3C"/>
    <w:rsid w:val="00301999"/>
    <w:rsid w:val="00302E3B"/>
    <w:rsid w:val="00304E71"/>
    <w:rsid w:val="003054AE"/>
    <w:rsid w:val="003062B6"/>
    <w:rsid w:val="0030662B"/>
    <w:rsid w:val="00306C87"/>
    <w:rsid w:val="00307FA4"/>
    <w:rsid w:val="00310E72"/>
    <w:rsid w:val="003130F3"/>
    <w:rsid w:val="003144B9"/>
    <w:rsid w:val="00314927"/>
    <w:rsid w:val="003173E8"/>
    <w:rsid w:val="00317795"/>
    <w:rsid w:val="00320ED4"/>
    <w:rsid w:val="00321703"/>
    <w:rsid w:val="00324866"/>
    <w:rsid w:val="00327576"/>
    <w:rsid w:val="0033332A"/>
    <w:rsid w:val="00335F60"/>
    <w:rsid w:val="0033722D"/>
    <w:rsid w:val="00341EAB"/>
    <w:rsid w:val="00342B44"/>
    <w:rsid w:val="00343068"/>
    <w:rsid w:val="00343388"/>
    <w:rsid w:val="00343E33"/>
    <w:rsid w:val="0034470E"/>
    <w:rsid w:val="00345849"/>
    <w:rsid w:val="00347DC9"/>
    <w:rsid w:val="00347F31"/>
    <w:rsid w:val="00350B17"/>
    <w:rsid w:val="0035272A"/>
    <w:rsid w:val="00352ADE"/>
    <w:rsid w:val="00354D83"/>
    <w:rsid w:val="003564BC"/>
    <w:rsid w:val="003606E0"/>
    <w:rsid w:val="00360EF1"/>
    <w:rsid w:val="00365E44"/>
    <w:rsid w:val="003660BD"/>
    <w:rsid w:val="003678DA"/>
    <w:rsid w:val="00371C58"/>
    <w:rsid w:val="00375119"/>
    <w:rsid w:val="00375752"/>
    <w:rsid w:val="00375DAA"/>
    <w:rsid w:val="00380B6E"/>
    <w:rsid w:val="00387457"/>
    <w:rsid w:val="003942BD"/>
    <w:rsid w:val="0039500B"/>
    <w:rsid w:val="003967BA"/>
    <w:rsid w:val="003A1A9C"/>
    <w:rsid w:val="003A4F3E"/>
    <w:rsid w:val="003A5E36"/>
    <w:rsid w:val="003B339E"/>
    <w:rsid w:val="003B4B14"/>
    <w:rsid w:val="003B74A6"/>
    <w:rsid w:val="003B7D00"/>
    <w:rsid w:val="003C019D"/>
    <w:rsid w:val="003C108B"/>
    <w:rsid w:val="003C1C64"/>
    <w:rsid w:val="003C5281"/>
    <w:rsid w:val="003C58DC"/>
    <w:rsid w:val="003D26A7"/>
    <w:rsid w:val="003D491F"/>
    <w:rsid w:val="003D4F05"/>
    <w:rsid w:val="003D724A"/>
    <w:rsid w:val="003E1765"/>
    <w:rsid w:val="003E25CA"/>
    <w:rsid w:val="003E7143"/>
    <w:rsid w:val="003F0BCA"/>
    <w:rsid w:val="003F142E"/>
    <w:rsid w:val="003F3DA6"/>
    <w:rsid w:val="003F6712"/>
    <w:rsid w:val="003F74A4"/>
    <w:rsid w:val="003F768D"/>
    <w:rsid w:val="003F7C17"/>
    <w:rsid w:val="004003F5"/>
    <w:rsid w:val="00400B2A"/>
    <w:rsid w:val="00400F46"/>
    <w:rsid w:val="00402CC0"/>
    <w:rsid w:val="00403116"/>
    <w:rsid w:val="004066AF"/>
    <w:rsid w:val="0041018E"/>
    <w:rsid w:val="004117F0"/>
    <w:rsid w:val="004119A6"/>
    <w:rsid w:val="00411F90"/>
    <w:rsid w:val="00412ABD"/>
    <w:rsid w:val="004131CE"/>
    <w:rsid w:val="00413966"/>
    <w:rsid w:val="00413DE0"/>
    <w:rsid w:val="00422095"/>
    <w:rsid w:val="0042412D"/>
    <w:rsid w:val="004269A3"/>
    <w:rsid w:val="00430493"/>
    <w:rsid w:val="00430619"/>
    <w:rsid w:val="00430CC9"/>
    <w:rsid w:val="00431061"/>
    <w:rsid w:val="0043132D"/>
    <w:rsid w:val="004321BB"/>
    <w:rsid w:val="00432BC4"/>
    <w:rsid w:val="00436E86"/>
    <w:rsid w:val="0044090A"/>
    <w:rsid w:val="00441508"/>
    <w:rsid w:val="0044229F"/>
    <w:rsid w:val="0044265C"/>
    <w:rsid w:val="00442F5D"/>
    <w:rsid w:val="00444146"/>
    <w:rsid w:val="00444300"/>
    <w:rsid w:val="00444CED"/>
    <w:rsid w:val="00445EAA"/>
    <w:rsid w:val="00447115"/>
    <w:rsid w:val="00447325"/>
    <w:rsid w:val="00450690"/>
    <w:rsid w:val="00452EC8"/>
    <w:rsid w:val="00454F4E"/>
    <w:rsid w:val="004551AD"/>
    <w:rsid w:val="004562F8"/>
    <w:rsid w:val="00456776"/>
    <w:rsid w:val="004571E5"/>
    <w:rsid w:val="004610C3"/>
    <w:rsid w:val="00464156"/>
    <w:rsid w:val="004672D1"/>
    <w:rsid w:val="004672E0"/>
    <w:rsid w:val="00474AF9"/>
    <w:rsid w:val="004822D9"/>
    <w:rsid w:val="00483FA4"/>
    <w:rsid w:val="00484C45"/>
    <w:rsid w:val="00485866"/>
    <w:rsid w:val="00486B79"/>
    <w:rsid w:val="00491AC8"/>
    <w:rsid w:val="0049303D"/>
    <w:rsid w:val="0049333E"/>
    <w:rsid w:val="0049527E"/>
    <w:rsid w:val="004A071B"/>
    <w:rsid w:val="004A0AB0"/>
    <w:rsid w:val="004A3187"/>
    <w:rsid w:val="004A406B"/>
    <w:rsid w:val="004A565C"/>
    <w:rsid w:val="004B0D49"/>
    <w:rsid w:val="004B0F8E"/>
    <w:rsid w:val="004B1149"/>
    <w:rsid w:val="004B14BE"/>
    <w:rsid w:val="004B16B5"/>
    <w:rsid w:val="004B2643"/>
    <w:rsid w:val="004B3887"/>
    <w:rsid w:val="004B6F98"/>
    <w:rsid w:val="004C0607"/>
    <w:rsid w:val="004C0C78"/>
    <w:rsid w:val="004C1BE3"/>
    <w:rsid w:val="004C26C0"/>
    <w:rsid w:val="004C41F4"/>
    <w:rsid w:val="004C5C06"/>
    <w:rsid w:val="004C66AE"/>
    <w:rsid w:val="004D1B6D"/>
    <w:rsid w:val="004D23E9"/>
    <w:rsid w:val="004D6E31"/>
    <w:rsid w:val="004D71BA"/>
    <w:rsid w:val="004E16B4"/>
    <w:rsid w:val="004E20E2"/>
    <w:rsid w:val="004E23F9"/>
    <w:rsid w:val="004E334D"/>
    <w:rsid w:val="004E4052"/>
    <w:rsid w:val="004E6F08"/>
    <w:rsid w:val="004F0028"/>
    <w:rsid w:val="004F0979"/>
    <w:rsid w:val="004F1820"/>
    <w:rsid w:val="004F207A"/>
    <w:rsid w:val="004F246C"/>
    <w:rsid w:val="004F51C6"/>
    <w:rsid w:val="00500285"/>
    <w:rsid w:val="00501A14"/>
    <w:rsid w:val="00501F6D"/>
    <w:rsid w:val="005021DD"/>
    <w:rsid w:val="00502A83"/>
    <w:rsid w:val="00504E0E"/>
    <w:rsid w:val="005054F6"/>
    <w:rsid w:val="00505A54"/>
    <w:rsid w:val="00505DBD"/>
    <w:rsid w:val="005076B9"/>
    <w:rsid w:val="00510368"/>
    <w:rsid w:val="00511A53"/>
    <w:rsid w:val="0051202D"/>
    <w:rsid w:val="00512D8B"/>
    <w:rsid w:val="005130F8"/>
    <w:rsid w:val="00513C9E"/>
    <w:rsid w:val="00514E1E"/>
    <w:rsid w:val="00514E63"/>
    <w:rsid w:val="005201D1"/>
    <w:rsid w:val="0052104B"/>
    <w:rsid w:val="00526582"/>
    <w:rsid w:val="00527AEF"/>
    <w:rsid w:val="00530C15"/>
    <w:rsid w:val="005310FD"/>
    <w:rsid w:val="00531300"/>
    <w:rsid w:val="00532769"/>
    <w:rsid w:val="00534260"/>
    <w:rsid w:val="00536D15"/>
    <w:rsid w:val="00537533"/>
    <w:rsid w:val="00540E85"/>
    <w:rsid w:val="00545241"/>
    <w:rsid w:val="00545AF7"/>
    <w:rsid w:val="00552CE8"/>
    <w:rsid w:val="0055337F"/>
    <w:rsid w:val="0055431B"/>
    <w:rsid w:val="00555564"/>
    <w:rsid w:val="005557D8"/>
    <w:rsid w:val="00555B42"/>
    <w:rsid w:val="005561C9"/>
    <w:rsid w:val="005607FD"/>
    <w:rsid w:val="00564D76"/>
    <w:rsid w:val="00565555"/>
    <w:rsid w:val="005662FB"/>
    <w:rsid w:val="00571266"/>
    <w:rsid w:val="005723FB"/>
    <w:rsid w:val="00573BA6"/>
    <w:rsid w:val="0057487E"/>
    <w:rsid w:val="00574920"/>
    <w:rsid w:val="00577011"/>
    <w:rsid w:val="005811E3"/>
    <w:rsid w:val="00582FCC"/>
    <w:rsid w:val="00583214"/>
    <w:rsid w:val="00583E41"/>
    <w:rsid w:val="00584878"/>
    <w:rsid w:val="0058540E"/>
    <w:rsid w:val="00585EF7"/>
    <w:rsid w:val="0058777B"/>
    <w:rsid w:val="00587F8D"/>
    <w:rsid w:val="00590B56"/>
    <w:rsid w:val="00590DD9"/>
    <w:rsid w:val="005926A2"/>
    <w:rsid w:val="00592B6A"/>
    <w:rsid w:val="00593197"/>
    <w:rsid w:val="00593D6F"/>
    <w:rsid w:val="005941BC"/>
    <w:rsid w:val="00594703"/>
    <w:rsid w:val="00595A73"/>
    <w:rsid w:val="0059705B"/>
    <w:rsid w:val="005A05E0"/>
    <w:rsid w:val="005A0A81"/>
    <w:rsid w:val="005A15F1"/>
    <w:rsid w:val="005A2D85"/>
    <w:rsid w:val="005B146B"/>
    <w:rsid w:val="005B1AFD"/>
    <w:rsid w:val="005B405A"/>
    <w:rsid w:val="005C0D57"/>
    <w:rsid w:val="005C1C41"/>
    <w:rsid w:val="005C2481"/>
    <w:rsid w:val="005C360F"/>
    <w:rsid w:val="005C509D"/>
    <w:rsid w:val="005C51DA"/>
    <w:rsid w:val="005C57C0"/>
    <w:rsid w:val="005C6940"/>
    <w:rsid w:val="005C6CDA"/>
    <w:rsid w:val="005D1FD6"/>
    <w:rsid w:val="005D58D9"/>
    <w:rsid w:val="005D69CF"/>
    <w:rsid w:val="005D6F60"/>
    <w:rsid w:val="005E06B3"/>
    <w:rsid w:val="005E225A"/>
    <w:rsid w:val="005F375C"/>
    <w:rsid w:val="005F39AD"/>
    <w:rsid w:val="005F401B"/>
    <w:rsid w:val="005F5894"/>
    <w:rsid w:val="0060115A"/>
    <w:rsid w:val="006029E5"/>
    <w:rsid w:val="00605405"/>
    <w:rsid w:val="006055D0"/>
    <w:rsid w:val="0061072B"/>
    <w:rsid w:val="00612E79"/>
    <w:rsid w:val="00614575"/>
    <w:rsid w:val="00615985"/>
    <w:rsid w:val="00616FE3"/>
    <w:rsid w:val="00620ED2"/>
    <w:rsid w:val="00621395"/>
    <w:rsid w:val="0062166E"/>
    <w:rsid w:val="00621E07"/>
    <w:rsid w:val="006222A6"/>
    <w:rsid w:val="00623464"/>
    <w:rsid w:val="00624014"/>
    <w:rsid w:val="00624A6C"/>
    <w:rsid w:val="00631AAF"/>
    <w:rsid w:val="00633790"/>
    <w:rsid w:val="00637A18"/>
    <w:rsid w:val="00637CD0"/>
    <w:rsid w:val="00642410"/>
    <w:rsid w:val="00642EE0"/>
    <w:rsid w:val="00644245"/>
    <w:rsid w:val="00644EF6"/>
    <w:rsid w:val="0064657D"/>
    <w:rsid w:val="00650E43"/>
    <w:rsid w:val="006527DB"/>
    <w:rsid w:val="0065354C"/>
    <w:rsid w:val="00653BB6"/>
    <w:rsid w:val="00654419"/>
    <w:rsid w:val="00655590"/>
    <w:rsid w:val="00656F0F"/>
    <w:rsid w:val="0066048A"/>
    <w:rsid w:val="0066105D"/>
    <w:rsid w:val="00661ECA"/>
    <w:rsid w:val="00662A57"/>
    <w:rsid w:val="00663379"/>
    <w:rsid w:val="006641A8"/>
    <w:rsid w:val="0066599E"/>
    <w:rsid w:val="00665CB7"/>
    <w:rsid w:val="00665E97"/>
    <w:rsid w:val="006662BF"/>
    <w:rsid w:val="0066671C"/>
    <w:rsid w:val="00667CDB"/>
    <w:rsid w:val="0067065A"/>
    <w:rsid w:val="00674D37"/>
    <w:rsid w:val="00677FDE"/>
    <w:rsid w:val="00681EBA"/>
    <w:rsid w:val="006826AE"/>
    <w:rsid w:val="00683296"/>
    <w:rsid w:val="0068407A"/>
    <w:rsid w:val="006848E6"/>
    <w:rsid w:val="00685419"/>
    <w:rsid w:val="006870BF"/>
    <w:rsid w:val="00690AEF"/>
    <w:rsid w:val="00694205"/>
    <w:rsid w:val="00694ADB"/>
    <w:rsid w:val="0069560D"/>
    <w:rsid w:val="00696A7A"/>
    <w:rsid w:val="006A00C6"/>
    <w:rsid w:val="006A2891"/>
    <w:rsid w:val="006A34C2"/>
    <w:rsid w:val="006A5276"/>
    <w:rsid w:val="006A7382"/>
    <w:rsid w:val="006B0215"/>
    <w:rsid w:val="006B3F8D"/>
    <w:rsid w:val="006B4599"/>
    <w:rsid w:val="006B516F"/>
    <w:rsid w:val="006B5770"/>
    <w:rsid w:val="006B6AB8"/>
    <w:rsid w:val="006B7067"/>
    <w:rsid w:val="006C1EBC"/>
    <w:rsid w:val="006C337F"/>
    <w:rsid w:val="006C42E7"/>
    <w:rsid w:val="006C55CC"/>
    <w:rsid w:val="006C7162"/>
    <w:rsid w:val="006C73A3"/>
    <w:rsid w:val="006D3A0C"/>
    <w:rsid w:val="006D536C"/>
    <w:rsid w:val="006D54CD"/>
    <w:rsid w:val="006D576B"/>
    <w:rsid w:val="006D5837"/>
    <w:rsid w:val="006D7259"/>
    <w:rsid w:val="006D7991"/>
    <w:rsid w:val="006E01E6"/>
    <w:rsid w:val="006E358B"/>
    <w:rsid w:val="006E58E0"/>
    <w:rsid w:val="006F0650"/>
    <w:rsid w:val="006F26CD"/>
    <w:rsid w:val="006F3129"/>
    <w:rsid w:val="006F5BE6"/>
    <w:rsid w:val="006F667C"/>
    <w:rsid w:val="006F7FE5"/>
    <w:rsid w:val="007001A5"/>
    <w:rsid w:val="0070422D"/>
    <w:rsid w:val="007067CC"/>
    <w:rsid w:val="00707BD6"/>
    <w:rsid w:val="00710366"/>
    <w:rsid w:val="00710567"/>
    <w:rsid w:val="007107F7"/>
    <w:rsid w:val="00710FBA"/>
    <w:rsid w:val="00710FD0"/>
    <w:rsid w:val="007134AE"/>
    <w:rsid w:val="00714A70"/>
    <w:rsid w:val="007150F8"/>
    <w:rsid w:val="00715427"/>
    <w:rsid w:val="00715630"/>
    <w:rsid w:val="0071629F"/>
    <w:rsid w:val="007228B1"/>
    <w:rsid w:val="007311A8"/>
    <w:rsid w:val="00731C5E"/>
    <w:rsid w:val="0073302A"/>
    <w:rsid w:val="0073336E"/>
    <w:rsid w:val="007339B4"/>
    <w:rsid w:val="00735569"/>
    <w:rsid w:val="00735CC4"/>
    <w:rsid w:val="00740403"/>
    <w:rsid w:val="007440DA"/>
    <w:rsid w:val="00744A1A"/>
    <w:rsid w:val="00751477"/>
    <w:rsid w:val="00752CA2"/>
    <w:rsid w:val="00752CCC"/>
    <w:rsid w:val="00752EAF"/>
    <w:rsid w:val="00753673"/>
    <w:rsid w:val="00757305"/>
    <w:rsid w:val="00762365"/>
    <w:rsid w:val="00762B55"/>
    <w:rsid w:val="00762E95"/>
    <w:rsid w:val="00763F15"/>
    <w:rsid w:val="007649C8"/>
    <w:rsid w:val="0076542E"/>
    <w:rsid w:val="00765E0A"/>
    <w:rsid w:val="00765F44"/>
    <w:rsid w:val="0076610B"/>
    <w:rsid w:val="007670E3"/>
    <w:rsid w:val="0076790F"/>
    <w:rsid w:val="00767E97"/>
    <w:rsid w:val="00770700"/>
    <w:rsid w:val="0077123A"/>
    <w:rsid w:val="00771E65"/>
    <w:rsid w:val="0077272D"/>
    <w:rsid w:val="00772A54"/>
    <w:rsid w:val="00772EC4"/>
    <w:rsid w:val="00773A13"/>
    <w:rsid w:val="00773F27"/>
    <w:rsid w:val="00775587"/>
    <w:rsid w:val="00777E9A"/>
    <w:rsid w:val="0078158B"/>
    <w:rsid w:val="00784655"/>
    <w:rsid w:val="0078515A"/>
    <w:rsid w:val="0078551B"/>
    <w:rsid w:val="00787630"/>
    <w:rsid w:val="00790CC3"/>
    <w:rsid w:val="00795BCD"/>
    <w:rsid w:val="007978E8"/>
    <w:rsid w:val="007A3874"/>
    <w:rsid w:val="007A448C"/>
    <w:rsid w:val="007A5EE0"/>
    <w:rsid w:val="007A6E53"/>
    <w:rsid w:val="007A7BEA"/>
    <w:rsid w:val="007A7D57"/>
    <w:rsid w:val="007B0B64"/>
    <w:rsid w:val="007B1AF1"/>
    <w:rsid w:val="007B3178"/>
    <w:rsid w:val="007B3649"/>
    <w:rsid w:val="007B5974"/>
    <w:rsid w:val="007B5D9B"/>
    <w:rsid w:val="007B76E6"/>
    <w:rsid w:val="007C0B9C"/>
    <w:rsid w:val="007C24AA"/>
    <w:rsid w:val="007C3388"/>
    <w:rsid w:val="007C365D"/>
    <w:rsid w:val="007C387C"/>
    <w:rsid w:val="007C3AEE"/>
    <w:rsid w:val="007C420F"/>
    <w:rsid w:val="007C6054"/>
    <w:rsid w:val="007C6DC9"/>
    <w:rsid w:val="007D23C7"/>
    <w:rsid w:val="007D276B"/>
    <w:rsid w:val="007D4484"/>
    <w:rsid w:val="007D4B2E"/>
    <w:rsid w:val="007D4BF7"/>
    <w:rsid w:val="007D5691"/>
    <w:rsid w:val="007D791F"/>
    <w:rsid w:val="007E05C0"/>
    <w:rsid w:val="007E0800"/>
    <w:rsid w:val="007E3722"/>
    <w:rsid w:val="007E45AC"/>
    <w:rsid w:val="007E6471"/>
    <w:rsid w:val="007F14E1"/>
    <w:rsid w:val="007F1D52"/>
    <w:rsid w:val="007F1DAA"/>
    <w:rsid w:val="007F5B66"/>
    <w:rsid w:val="008007F5"/>
    <w:rsid w:val="00801CA5"/>
    <w:rsid w:val="00802015"/>
    <w:rsid w:val="00802C5C"/>
    <w:rsid w:val="0080496D"/>
    <w:rsid w:val="00804D9E"/>
    <w:rsid w:val="00810087"/>
    <w:rsid w:val="0081113A"/>
    <w:rsid w:val="00811AB2"/>
    <w:rsid w:val="00812254"/>
    <w:rsid w:val="008147A5"/>
    <w:rsid w:val="00820CB8"/>
    <w:rsid w:val="00821508"/>
    <w:rsid w:val="00821A0E"/>
    <w:rsid w:val="00824988"/>
    <w:rsid w:val="008314F0"/>
    <w:rsid w:val="00831535"/>
    <w:rsid w:val="00833AB2"/>
    <w:rsid w:val="00834089"/>
    <w:rsid w:val="00834DD7"/>
    <w:rsid w:val="00835B39"/>
    <w:rsid w:val="00841D7C"/>
    <w:rsid w:val="00842EBF"/>
    <w:rsid w:val="0084323B"/>
    <w:rsid w:val="00843F14"/>
    <w:rsid w:val="0084537C"/>
    <w:rsid w:val="0084586F"/>
    <w:rsid w:val="008458F3"/>
    <w:rsid w:val="008459DC"/>
    <w:rsid w:val="00847003"/>
    <w:rsid w:val="00850999"/>
    <w:rsid w:val="008509D1"/>
    <w:rsid w:val="008519ED"/>
    <w:rsid w:val="00853177"/>
    <w:rsid w:val="00853AA0"/>
    <w:rsid w:val="00854E61"/>
    <w:rsid w:val="0085691B"/>
    <w:rsid w:val="00857AF4"/>
    <w:rsid w:val="00857B52"/>
    <w:rsid w:val="0086078E"/>
    <w:rsid w:val="008621F9"/>
    <w:rsid w:val="00862C3A"/>
    <w:rsid w:val="0086663C"/>
    <w:rsid w:val="0087097D"/>
    <w:rsid w:val="008716EA"/>
    <w:rsid w:val="00871DC2"/>
    <w:rsid w:val="0087271B"/>
    <w:rsid w:val="008731E1"/>
    <w:rsid w:val="00873964"/>
    <w:rsid w:val="00873A4C"/>
    <w:rsid w:val="0087586E"/>
    <w:rsid w:val="00876432"/>
    <w:rsid w:val="008804B8"/>
    <w:rsid w:val="0088066E"/>
    <w:rsid w:val="00880C6F"/>
    <w:rsid w:val="00883C8A"/>
    <w:rsid w:val="00884826"/>
    <w:rsid w:val="00884B34"/>
    <w:rsid w:val="00887EF9"/>
    <w:rsid w:val="0089114A"/>
    <w:rsid w:val="0089300E"/>
    <w:rsid w:val="0089311C"/>
    <w:rsid w:val="00895A49"/>
    <w:rsid w:val="00895F16"/>
    <w:rsid w:val="008A0052"/>
    <w:rsid w:val="008A0D98"/>
    <w:rsid w:val="008A0F71"/>
    <w:rsid w:val="008A1A2B"/>
    <w:rsid w:val="008A3147"/>
    <w:rsid w:val="008A44A9"/>
    <w:rsid w:val="008A5061"/>
    <w:rsid w:val="008A7097"/>
    <w:rsid w:val="008B0BD0"/>
    <w:rsid w:val="008B1131"/>
    <w:rsid w:val="008B1BC6"/>
    <w:rsid w:val="008B2426"/>
    <w:rsid w:val="008B530D"/>
    <w:rsid w:val="008B5488"/>
    <w:rsid w:val="008B5931"/>
    <w:rsid w:val="008B6EEE"/>
    <w:rsid w:val="008B72D1"/>
    <w:rsid w:val="008C04FF"/>
    <w:rsid w:val="008C09FD"/>
    <w:rsid w:val="008C11EA"/>
    <w:rsid w:val="008C27DC"/>
    <w:rsid w:val="008C2824"/>
    <w:rsid w:val="008C5E08"/>
    <w:rsid w:val="008C6A65"/>
    <w:rsid w:val="008D0219"/>
    <w:rsid w:val="008D0591"/>
    <w:rsid w:val="008D11A9"/>
    <w:rsid w:val="008D176B"/>
    <w:rsid w:val="008D19A7"/>
    <w:rsid w:val="008D4BB0"/>
    <w:rsid w:val="008D705F"/>
    <w:rsid w:val="008E0FEE"/>
    <w:rsid w:val="008E20C4"/>
    <w:rsid w:val="008E2E82"/>
    <w:rsid w:val="008E4FC2"/>
    <w:rsid w:val="008E64C8"/>
    <w:rsid w:val="008E74D7"/>
    <w:rsid w:val="008F0BC8"/>
    <w:rsid w:val="008F0E92"/>
    <w:rsid w:val="008F3B43"/>
    <w:rsid w:val="008F6A35"/>
    <w:rsid w:val="008F70F1"/>
    <w:rsid w:val="008F7AE3"/>
    <w:rsid w:val="009032D9"/>
    <w:rsid w:val="009035EF"/>
    <w:rsid w:val="00903B26"/>
    <w:rsid w:val="0090601F"/>
    <w:rsid w:val="009062F0"/>
    <w:rsid w:val="00907D25"/>
    <w:rsid w:val="009111C5"/>
    <w:rsid w:val="00911626"/>
    <w:rsid w:val="00913424"/>
    <w:rsid w:val="00914CD9"/>
    <w:rsid w:val="009151C0"/>
    <w:rsid w:val="0091679A"/>
    <w:rsid w:val="0091782A"/>
    <w:rsid w:val="00925FE1"/>
    <w:rsid w:val="009352A4"/>
    <w:rsid w:val="009355BA"/>
    <w:rsid w:val="00935F2A"/>
    <w:rsid w:val="0093731C"/>
    <w:rsid w:val="00941903"/>
    <w:rsid w:val="009423A6"/>
    <w:rsid w:val="009428F1"/>
    <w:rsid w:val="00944A83"/>
    <w:rsid w:val="009457E8"/>
    <w:rsid w:val="00946268"/>
    <w:rsid w:val="0094688A"/>
    <w:rsid w:val="0094799B"/>
    <w:rsid w:val="009517B5"/>
    <w:rsid w:val="0095388C"/>
    <w:rsid w:val="009539BE"/>
    <w:rsid w:val="00953C4F"/>
    <w:rsid w:val="0095442F"/>
    <w:rsid w:val="00955111"/>
    <w:rsid w:val="009560BE"/>
    <w:rsid w:val="0095666D"/>
    <w:rsid w:val="00956D90"/>
    <w:rsid w:val="009602D1"/>
    <w:rsid w:val="009640E9"/>
    <w:rsid w:val="00964F21"/>
    <w:rsid w:val="0096503E"/>
    <w:rsid w:val="009651E2"/>
    <w:rsid w:val="009653F0"/>
    <w:rsid w:val="00971CB9"/>
    <w:rsid w:val="00971DBC"/>
    <w:rsid w:val="00972216"/>
    <w:rsid w:val="00973306"/>
    <w:rsid w:val="00980146"/>
    <w:rsid w:val="00980504"/>
    <w:rsid w:val="00980E79"/>
    <w:rsid w:val="00981B27"/>
    <w:rsid w:val="0098323E"/>
    <w:rsid w:val="00983420"/>
    <w:rsid w:val="00984651"/>
    <w:rsid w:val="009858E8"/>
    <w:rsid w:val="00991B18"/>
    <w:rsid w:val="009927E2"/>
    <w:rsid w:val="009934FD"/>
    <w:rsid w:val="00993E22"/>
    <w:rsid w:val="009952E6"/>
    <w:rsid w:val="00996B33"/>
    <w:rsid w:val="009A00BE"/>
    <w:rsid w:val="009A0F75"/>
    <w:rsid w:val="009A26BE"/>
    <w:rsid w:val="009A2723"/>
    <w:rsid w:val="009A2BC9"/>
    <w:rsid w:val="009A441B"/>
    <w:rsid w:val="009A54F7"/>
    <w:rsid w:val="009A56E2"/>
    <w:rsid w:val="009A5D18"/>
    <w:rsid w:val="009A603B"/>
    <w:rsid w:val="009A65DA"/>
    <w:rsid w:val="009A7444"/>
    <w:rsid w:val="009B122B"/>
    <w:rsid w:val="009B29A8"/>
    <w:rsid w:val="009B3C02"/>
    <w:rsid w:val="009B553A"/>
    <w:rsid w:val="009C0097"/>
    <w:rsid w:val="009C1AF4"/>
    <w:rsid w:val="009C1E01"/>
    <w:rsid w:val="009C205F"/>
    <w:rsid w:val="009C255B"/>
    <w:rsid w:val="009C7602"/>
    <w:rsid w:val="009D107A"/>
    <w:rsid w:val="009D4297"/>
    <w:rsid w:val="009D573D"/>
    <w:rsid w:val="009D797A"/>
    <w:rsid w:val="009E05C6"/>
    <w:rsid w:val="009E1FFF"/>
    <w:rsid w:val="009E22DD"/>
    <w:rsid w:val="009E45F2"/>
    <w:rsid w:val="009E534B"/>
    <w:rsid w:val="009F0AD1"/>
    <w:rsid w:val="009F1ECF"/>
    <w:rsid w:val="009F4045"/>
    <w:rsid w:val="009F76F5"/>
    <w:rsid w:val="00A02091"/>
    <w:rsid w:val="00A03041"/>
    <w:rsid w:val="00A037FF"/>
    <w:rsid w:val="00A049C6"/>
    <w:rsid w:val="00A050C7"/>
    <w:rsid w:val="00A055DC"/>
    <w:rsid w:val="00A058F6"/>
    <w:rsid w:val="00A07D01"/>
    <w:rsid w:val="00A13FB6"/>
    <w:rsid w:val="00A158EF"/>
    <w:rsid w:val="00A17067"/>
    <w:rsid w:val="00A17A77"/>
    <w:rsid w:val="00A20144"/>
    <w:rsid w:val="00A209DE"/>
    <w:rsid w:val="00A20D6E"/>
    <w:rsid w:val="00A21BB1"/>
    <w:rsid w:val="00A22794"/>
    <w:rsid w:val="00A22FF2"/>
    <w:rsid w:val="00A237B3"/>
    <w:rsid w:val="00A25D79"/>
    <w:rsid w:val="00A2650C"/>
    <w:rsid w:val="00A27292"/>
    <w:rsid w:val="00A30049"/>
    <w:rsid w:val="00A3167A"/>
    <w:rsid w:val="00A33C98"/>
    <w:rsid w:val="00A410D6"/>
    <w:rsid w:val="00A41BAD"/>
    <w:rsid w:val="00A43CA9"/>
    <w:rsid w:val="00A44751"/>
    <w:rsid w:val="00A451B4"/>
    <w:rsid w:val="00A46DA0"/>
    <w:rsid w:val="00A527CE"/>
    <w:rsid w:val="00A52DFA"/>
    <w:rsid w:val="00A61D87"/>
    <w:rsid w:val="00A623CB"/>
    <w:rsid w:val="00A62700"/>
    <w:rsid w:val="00A65FFF"/>
    <w:rsid w:val="00A7056F"/>
    <w:rsid w:val="00A72F62"/>
    <w:rsid w:val="00A73DC4"/>
    <w:rsid w:val="00A74676"/>
    <w:rsid w:val="00A74C6E"/>
    <w:rsid w:val="00A75449"/>
    <w:rsid w:val="00A754E4"/>
    <w:rsid w:val="00A75F74"/>
    <w:rsid w:val="00A77717"/>
    <w:rsid w:val="00A80F0B"/>
    <w:rsid w:val="00A83DF1"/>
    <w:rsid w:val="00A852E9"/>
    <w:rsid w:val="00A875EF"/>
    <w:rsid w:val="00A87DAF"/>
    <w:rsid w:val="00A910E6"/>
    <w:rsid w:val="00A94F01"/>
    <w:rsid w:val="00A95F4E"/>
    <w:rsid w:val="00A96DF4"/>
    <w:rsid w:val="00AA0314"/>
    <w:rsid w:val="00AA0579"/>
    <w:rsid w:val="00AA2D2B"/>
    <w:rsid w:val="00AA2DC8"/>
    <w:rsid w:val="00AA330B"/>
    <w:rsid w:val="00AA3A6F"/>
    <w:rsid w:val="00AA3B2F"/>
    <w:rsid w:val="00AA50C6"/>
    <w:rsid w:val="00AA52C6"/>
    <w:rsid w:val="00AA7773"/>
    <w:rsid w:val="00AB0280"/>
    <w:rsid w:val="00AB4D5D"/>
    <w:rsid w:val="00AB552A"/>
    <w:rsid w:val="00AB626F"/>
    <w:rsid w:val="00AB7204"/>
    <w:rsid w:val="00AC0399"/>
    <w:rsid w:val="00AC2C9B"/>
    <w:rsid w:val="00AD0746"/>
    <w:rsid w:val="00AD09E0"/>
    <w:rsid w:val="00AD52D7"/>
    <w:rsid w:val="00AD727F"/>
    <w:rsid w:val="00AE0E96"/>
    <w:rsid w:val="00AE2716"/>
    <w:rsid w:val="00AE4A7E"/>
    <w:rsid w:val="00AE4C7C"/>
    <w:rsid w:val="00AE5CAF"/>
    <w:rsid w:val="00AE6037"/>
    <w:rsid w:val="00AE6CDF"/>
    <w:rsid w:val="00AE7126"/>
    <w:rsid w:val="00AF0286"/>
    <w:rsid w:val="00AF06F4"/>
    <w:rsid w:val="00AF1BB6"/>
    <w:rsid w:val="00AF2CA7"/>
    <w:rsid w:val="00AF2F8A"/>
    <w:rsid w:val="00AF4073"/>
    <w:rsid w:val="00AF4534"/>
    <w:rsid w:val="00AF45BD"/>
    <w:rsid w:val="00AF51DB"/>
    <w:rsid w:val="00AF66BB"/>
    <w:rsid w:val="00AF7FA0"/>
    <w:rsid w:val="00B007E8"/>
    <w:rsid w:val="00B03019"/>
    <w:rsid w:val="00B0471C"/>
    <w:rsid w:val="00B071BD"/>
    <w:rsid w:val="00B07298"/>
    <w:rsid w:val="00B10ADD"/>
    <w:rsid w:val="00B1278B"/>
    <w:rsid w:val="00B14088"/>
    <w:rsid w:val="00B1688D"/>
    <w:rsid w:val="00B209E8"/>
    <w:rsid w:val="00B214D8"/>
    <w:rsid w:val="00B21B90"/>
    <w:rsid w:val="00B21BA9"/>
    <w:rsid w:val="00B224F6"/>
    <w:rsid w:val="00B235B2"/>
    <w:rsid w:val="00B2695C"/>
    <w:rsid w:val="00B26C59"/>
    <w:rsid w:val="00B30592"/>
    <w:rsid w:val="00B30876"/>
    <w:rsid w:val="00B3128B"/>
    <w:rsid w:val="00B31AD4"/>
    <w:rsid w:val="00B3362B"/>
    <w:rsid w:val="00B34E96"/>
    <w:rsid w:val="00B35E37"/>
    <w:rsid w:val="00B3696F"/>
    <w:rsid w:val="00B36EE0"/>
    <w:rsid w:val="00B3703A"/>
    <w:rsid w:val="00B370F2"/>
    <w:rsid w:val="00B3765A"/>
    <w:rsid w:val="00B37C39"/>
    <w:rsid w:val="00B4001D"/>
    <w:rsid w:val="00B40DA7"/>
    <w:rsid w:val="00B410E3"/>
    <w:rsid w:val="00B41117"/>
    <w:rsid w:val="00B43826"/>
    <w:rsid w:val="00B4680D"/>
    <w:rsid w:val="00B51830"/>
    <w:rsid w:val="00B540E6"/>
    <w:rsid w:val="00B54D11"/>
    <w:rsid w:val="00B57B8C"/>
    <w:rsid w:val="00B6079D"/>
    <w:rsid w:val="00B61BD1"/>
    <w:rsid w:val="00B622E6"/>
    <w:rsid w:val="00B642B5"/>
    <w:rsid w:val="00B6753B"/>
    <w:rsid w:val="00B67990"/>
    <w:rsid w:val="00B736B6"/>
    <w:rsid w:val="00B74A00"/>
    <w:rsid w:val="00B74A96"/>
    <w:rsid w:val="00B756D2"/>
    <w:rsid w:val="00B75856"/>
    <w:rsid w:val="00B76405"/>
    <w:rsid w:val="00B779B6"/>
    <w:rsid w:val="00B801B2"/>
    <w:rsid w:val="00B8254D"/>
    <w:rsid w:val="00B825C9"/>
    <w:rsid w:val="00B83050"/>
    <w:rsid w:val="00B87080"/>
    <w:rsid w:val="00B9230A"/>
    <w:rsid w:val="00B93D3D"/>
    <w:rsid w:val="00B945C1"/>
    <w:rsid w:val="00B94C06"/>
    <w:rsid w:val="00BA03F4"/>
    <w:rsid w:val="00BA2823"/>
    <w:rsid w:val="00BA35B3"/>
    <w:rsid w:val="00BA755E"/>
    <w:rsid w:val="00BB1ED5"/>
    <w:rsid w:val="00BB2E7E"/>
    <w:rsid w:val="00BB63E0"/>
    <w:rsid w:val="00BB6E30"/>
    <w:rsid w:val="00BC2E87"/>
    <w:rsid w:val="00BC341E"/>
    <w:rsid w:val="00BC4F58"/>
    <w:rsid w:val="00BC546D"/>
    <w:rsid w:val="00BC55B8"/>
    <w:rsid w:val="00BC638A"/>
    <w:rsid w:val="00BD1324"/>
    <w:rsid w:val="00BD38B2"/>
    <w:rsid w:val="00BD504E"/>
    <w:rsid w:val="00BD74B0"/>
    <w:rsid w:val="00BE0624"/>
    <w:rsid w:val="00BE1954"/>
    <w:rsid w:val="00BE4316"/>
    <w:rsid w:val="00BE4849"/>
    <w:rsid w:val="00BE6E8D"/>
    <w:rsid w:val="00BE7293"/>
    <w:rsid w:val="00BF085B"/>
    <w:rsid w:val="00BF4CC4"/>
    <w:rsid w:val="00BF4EA8"/>
    <w:rsid w:val="00BF5168"/>
    <w:rsid w:val="00BF72D7"/>
    <w:rsid w:val="00BF7796"/>
    <w:rsid w:val="00C00381"/>
    <w:rsid w:val="00C015C2"/>
    <w:rsid w:val="00C0240D"/>
    <w:rsid w:val="00C03A30"/>
    <w:rsid w:val="00C159C8"/>
    <w:rsid w:val="00C15D7F"/>
    <w:rsid w:val="00C15EDD"/>
    <w:rsid w:val="00C1696D"/>
    <w:rsid w:val="00C2059C"/>
    <w:rsid w:val="00C23AF7"/>
    <w:rsid w:val="00C24FE6"/>
    <w:rsid w:val="00C25216"/>
    <w:rsid w:val="00C25EDE"/>
    <w:rsid w:val="00C2664F"/>
    <w:rsid w:val="00C2775E"/>
    <w:rsid w:val="00C277BD"/>
    <w:rsid w:val="00C279A3"/>
    <w:rsid w:val="00C30F63"/>
    <w:rsid w:val="00C33D07"/>
    <w:rsid w:val="00C37C54"/>
    <w:rsid w:val="00C44D5F"/>
    <w:rsid w:val="00C503B2"/>
    <w:rsid w:val="00C507DF"/>
    <w:rsid w:val="00C51A0B"/>
    <w:rsid w:val="00C51CFB"/>
    <w:rsid w:val="00C52B5F"/>
    <w:rsid w:val="00C5368D"/>
    <w:rsid w:val="00C56FFA"/>
    <w:rsid w:val="00C60893"/>
    <w:rsid w:val="00C6095F"/>
    <w:rsid w:val="00C61630"/>
    <w:rsid w:val="00C61E7F"/>
    <w:rsid w:val="00C61FCA"/>
    <w:rsid w:val="00C646CE"/>
    <w:rsid w:val="00C64763"/>
    <w:rsid w:val="00C70883"/>
    <w:rsid w:val="00C70B2F"/>
    <w:rsid w:val="00C72397"/>
    <w:rsid w:val="00C73B8F"/>
    <w:rsid w:val="00C73EA5"/>
    <w:rsid w:val="00C75D8A"/>
    <w:rsid w:val="00C76C7B"/>
    <w:rsid w:val="00C8078E"/>
    <w:rsid w:val="00C814B7"/>
    <w:rsid w:val="00C820AB"/>
    <w:rsid w:val="00C914CF"/>
    <w:rsid w:val="00C94140"/>
    <w:rsid w:val="00CA12D8"/>
    <w:rsid w:val="00CA2930"/>
    <w:rsid w:val="00CA310D"/>
    <w:rsid w:val="00CA3515"/>
    <w:rsid w:val="00CA7C49"/>
    <w:rsid w:val="00CB230A"/>
    <w:rsid w:val="00CB46FC"/>
    <w:rsid w:val="00CB6CCF"/>
    <w:rsid w:val="00CB7F54"/>
    <w:rsid w:val="00CC196B"/>
    <w:rsid w:val="00CC2390"/>
    <w:rsid w:val="00CC2841"/>
    <w:rsid w:val="00CC374B"/>
    <w:rsid w:val="00CC3E86"/>
    <w:rsid w:val="00CC497F"/>
    <w:rsid w:val="00CC66FA"/>
    <w:rsid w:val="00CD0DF1"/>
    <w:rsid w:val="00CD2846"/>
    <w:rsid w:val="00CD3F15"/>
    <w:rsid w:val="00CD42B1"/>
    <w:rsid w:val="00CD5D59"/>
    <w:rsid w:val="00CD693C"/>
    <w:rsid w:val="00CD6C94"/>
    <w:rsid w:val="00CE02C4"/>
    <w:rsid w:val="00CE0701"/>
    <w:rsid w:val="00CE12A0"/>
    <w:rsid w:val="00CE2C66"/>
    <w:rsid w:val="00CE50CA"/>
    <w:rsid w:val="00CE6554"/>
    <w:rsid w:val="00CE77C1"/>
    <w:rsid w:val="00CF0825"/>
    <w:rsid w:val="00CF0A93"/>
    <w:rsid w:val="00CF1569"/>
    <w:rsid w:val="00CF2763"/>
    <w:rsid w:val="00CF2912"/>
    <w:rsid w:val="00CF3AD7"/>
    <w:rsid w:val="00CF4286"/>
    <w:rsid w:val="00CF4BF3"/>
    <w:rsid w:val="00CF5558"/>
    <w:rsid w:val="00CF5A39"/>
    <w:rsid w:val="00CF6949"/>
    <w:rsid w:val="00CF7901"/>
    <w:rsid w:val="00D04002"/>
    <w:rsid w:val="00D041D4"/>
    <w:rsid w:val="00D05600"/>
    <w:rsid w:val="00D057A0"/>
    <w:rsid w:val="00D06E97"/>
    <w:rsid w:val="00D10463"/>
    <w:rsid w:val="00D153E0"/>
    <w:rsid w:val="00D15419"/>
    <w:rsid w:val="00D15DC5"/>
    <w:rsid w:val="00D16B65"/>
    <w:rsid w:val="00D16FEF"/>
    <w:rsid w:val="00D213D1"/>
    <w:rsid w:val="00D21463"/>
    <w:rsid w:val="00D2167F"/>
    <w:rsid w:val="00D2342B"/>
    <w:rsid w:val="00D275E4"/>
    <w:rsid w:val="00D306DC"/>
    <w:rsid w:val="00D30FC5"/>
    <w:rsid w:val="00D31C87"/>
    <w:rsid w:val="00D3476F"/>
    <w:rsid w:val="00D34D3F"/>
    <w:rsid w:val="00D413EF"/>
    <w:rsid w:val="00D41472"/>
    <w:rsid w:val="00D4157C"/>
    <w:rsid w:val="00D41D83"/>
    <w:rsid w:val="00D41DFB"/>
    <w:rsid w:val="00D42254"/>
    <w:rsid w:val="00D44812"/>
    <w:rsid w:val="00D44B35"/>
    <w:rsid w:val="00D4606B"/>
    <w:rsid w:val="00D46271"/>
    <w:rsid w:val="00D46CE7"/>
    <w:rsid w:val="00D51394"/>
    <w:rsid w:val="00D5273B"/>
    <w:rsid w:val="00D55473"/>
    <w:rsid w:val="00D55B5A"/>
    <w:rsid w:val="00D56B0E"/>
    <w:rsid w:val="00D56C38"/>
    <w:rsid w:val="00D5724C"/>
    <w:rsid w:val="00D57ECC"/>
    <w:rsid w:val="00D60610"/>
    <w:rsid w:val="00D61A59"/>
    <w:rsid w:val="00D62E25"/>
    <w:rsid w:val="00D63DD0"/>
    <w:rsid w:val="00D64414"/>
    <w:rsid w:val="00D64890"/>
    <w:rsid w:val="00D66771"/>
    <w:rsid w:val="00D708A1"/>
    <w:rsid w:val="00D71BCE"/>
    <w:rsid w:val="00D72E3B"/>
    <w:rsid w:val="00D73782"/>
    <w:rsid w:val="00D74733"/>
    <w:rsid w:val="00D74F2F"/>
    <w:rsid w:val="00D75278"/>
    <w:rsid w:val="00D75486"/>
    <w:rsid w:val="00D76FFA"/>
    <w:rsid w:val="00D800F1"/>
    <w:rsid w:val="00D819E6"/>
    <w:rsid w:val="00D846D9"/>
    <w:rsid w:val="00D854E9"/>
    <w:rsid w:val="00D86EC2"/>
    <w:rsid w:val="00D87688"/>
    <w:rsid w:val="00D916FF"/>
    <w:rsid w:val="00D91CE1"/>
    <w:rsid w:val="00D92511"/>
    <w:rsid w:val="00D926E9"/>
    <w:rsid w:val="00D943BD"/>
    <w:rsid w:val="00D94C1C"/>
    <w:rsid w:val="00D95B1F"/>
    <w:rsid w:val="00D973E3"/>
    <w:rsid w:val="00D97D40"/>
    <w:rsid w:val="00DA1C90"/>
    <w:rsid w:val="00DA27AC"/>
    <w:rsid w:val="00DA3C92"/>
    <w:rsid w:val="00DA5C4F"/>
    <w:rsid w:val="00DB0ABB"/>
    <w:rsid w:val="00DB19CF"/>
    <w:rsid w:val="00DB2659"/>
    <w:rsid w:val="00DB270C"/>
    <w:rsid w:val="00DB3474"/>
    <w:rsid w:val="00DB43A6"/>
    <w:rsid w:val="00DB77DE"/>
    <w:rsid w:val="00DC11AD"/>
    <w:rsid w:val="00DC1907"/>
    <w:rsid w:val="00DC217D"/>
    <w:rsid w:val="00DD2243"/>
    <w:rsid w:val="00DD3515"/>
    <w:rsid w:val="00DD469D"/>
    <w:rsid w:val="00DD5A88"/>
    <w:rsid w:val="00DD748F"/>
    <w:rsid w:val="00DE27A4"/>
    <w:rsid w:val="00DE360C"/>
    <w:rsid w:val="00DE4064"/>
    <w:rsid w:val="00DE5952"/>
    <w:rsid w:val="00DE7A7C"/>
    <w:rsid w:val="00DF143E"/>
    <w:rsid w:val="00DF30D0"/>
    <w:rsid w:val="00DF3E82"/>
    <w:rsid w:val="00DF4011"/>
    <w:rsid w:val="00DF4699"/>
    <w:rsid w:val="00DF5900"/>
    <w:rsid w:val="00DF5AB2"/>
    <w:rsid w:val="00DF5F0F"/>
    <w:rsid w:val="00DF63B8"/>
    <w:rsid w:val="00DF6970"/>
    <w:rsid w:val="00E00BFB"/>
    <w:rsid w:val="00E0120D"/>
    <w:rsid w:val="00E030B5"/>
    <w:rsid w:val="00E04595"/>
    <w:rsid w:val="00E053BE"/>
    <w:rsid w:val="00E05F0C"/>
    <w:rsid w:val="00E11334"/>
    <w:rsid w:val="00E123AB"/>
    <w:rsid w:val="00E129BE"/>
    <w:rsid w:val="00E141AB"/>
    <w:rsid w:val="00E21356"/>
    <w:rsid w:val="00E21675"/>
    <w:rsid w:val="00E2236D"/>
    <w:rsid w:val="00E224BD"/>
    <w:rsid w:val="00E2400B"/>
    <w:rsid w:val="00E24735"/>
    <w:rsid w:val="00E24C39"/>
    <w:rsid w:val="00E259E5"/>
    <w:rsid w:val="00E3205C"/>
    <w:rsid w:val="00E3375D"/>
    <w:rsid w:val="00E34D3E"/>
    <w:rsid w:val="00E37CAC"/>
    <w:rsid w:val="00E42910"/>
    <w:rsid w:val="00E44111"/>
    <w:rsid w:val="00E45C66"/>
    <w:rsid w:val="00E46D15"/>
    <w:rsid w:val="00E46DEF"/>
    <w:rsid w:val="00E472CE"/>
    <w:rsid w:val="00E4783A"/>
    <w:rsid w:val="00E514F8"/>
    <w:rsid w:val="00E5309E"/>
    <w:rsid w:val="00E54680"/>
    <w:rsid w:val="00E56154"/>
    <w:rsid w:val="00E5686D"/>
    <w:rsid w:val="00E57BA3"/>
    <w:rsid w:val="00E57E95"/>
    <w:rsid w:val="00E60166"/>
    <w:rsid w:val="00E60E9C"/>
    <w:rsid w:val="00E62DF7"/>
    <w:rsid w:val="00E644C8"/>
    <w:rsid w:val="00E665D0"/>
    <w:rsid w:val="00E67EF3"/>
    <w:rsid w:val="00E7119C"/>
    <w:rsid w:val="00E715A0"/>
    <w:rsid w:val="00E71B28"/>
    <w:rsid w:val="00E734CE"/>
    <w:rsid w:val="00E75943"/>
    <w:rsid w:val="00E77831"/>
    <w:rsid w:val="00E806DF"/>
    <w:rsid w:val="00E82A1F"/>
    <w:rsid w:val="00E82A4E"/>
    <w:rsid w:val="00E83BD0"/>
    <w:rsid w:val="00E840E4"/>
    <w:rsid w:val="00E84D96"/>
    <w:rsid w:val="00E8577B"/>
    <w:rsid w:val="00E86F25"/>
    <w:rsid w:val="00E87ECD"/>
    <w:rsid w:val="00E91B39"/>
    <w:rsid w:val="00E9285B"/>
    <w:rsid w:val="00E932D5"/>
    <w:rsid w:val="00E93CE6"/>
    <w:rsid w:val="00E94D05"/>
    <w:rsid w:val="00E9534C"/>
    <w:rsid w:val="00E97CE4"/>
    <w:rsid w:val="00EA0DAD"/>
    <w:rsid w:val="00EA3033"/>
    <w:rsid w:val="00EA3B0B"/>
    <w:rsid w:val="00EA7B61"/>
    <w:rsid w:val="00EB00FB"/>
    <w:rsid w:val="00EB1DC3"/>
    <w:rsid w:val="00EB2CBC"/>
    <w:rsid w:val="00EB7D2A"/>
    <w:rsid w:val="00EC3BD2"/>
    <w:rsid w:val="00EC3DFF"/>
    <w:rsid w:val="00EC4E06"/>
    <w:rsid w:val="00EC6327"/>
    <w:rsid w:val="00EC7E8E"/>
    <w:rsid w:val="00ED12FC"/>
    <w:rsid w:val="00ED1867"/>
    <w:rsid w:val="00ED1B5F"/>
    <w:rsid w:val="00ED24CA"/>
    <w:rsid w:val="00ED524C"/>
    <w:rsid w:val="00EE008C"/>
    <w:rsid w:val="00EE0CFE"/>
    <w:rsid w:val="00EE2B3C"/>
    <w:rsid w:val="00EE45FF"/>
    <w:rsid w:val="00EE5257"/>
    <w:rsid w:val="00EE5369"/>
    <w:rsid w:val="00EE61C7"/>
    <w:rsid w:val="00EF1AD0"/>
    <w:rsid w:val="00EF1E2E"/>
    <w:rsid w:val="00EF2F8C"/>
    <w:rsid w:val="00EF3345"/>
    <w:rsid w:val="00EF3580"/>
    <w:rsid w:val="00EF44B9"/>
    <w:rsid w:val="00EF4659"/>
    <w:rsid w:val="00EF72D4"/>
    <w:rsid w:val="00EF7597"/>
    <w:rsid w:val="00F00100"/>
    <w:rsid w:val="00F00E29"/>
    <w:rsid w:val="00F03A46"/>
    <w:rsid w:val="00F04C0D"/>
    <w:rsid w:val="00F06280"/>
    <w:rsid w:val="00F06C2B"/>
    <w:rsid w:val="00F07E90"/>
    <w:rsid w:val="00F10E4B"/>
    <w:rsid w:val="00F121FC"/>
    <w:rsid w:val="00F20BF4"/>
    <w:rsid w:val="00F2208E"/>
    <w:rsid w:val="00F22DA8"/>
    <w:rsid w:val="00F23053"/>
    <w:rsid w:val="00F25638"/>
    <w:rsid w:val="00F26B51"/>
    <w:rsid w:val="00F307D5"/>
    <w:rsid w:val="00F31B67"/>
    <w:rsid w:val="00F31DCA"/>
    <w:rsid w:val="00F347D7"/>
    <w:rsid w:val="00F36E16"/>
    <w:rsid w:val="00F375CD"/>
    <w:rsid w:val="00F40A04"/>
    <w:rsid w:val="00F4215A"/>
    <w:rsid w:val="00F43581"/>
    <w:rsid w:val="00F44FC6"/>
    <w:rsid w:val="00F47339"/>
    <w:rsid w:val="00F47795"/>
    <w:rsid w:val="00F50842"/>
    <w:rsid w:val="00F51751"/>
    <w:rsid w:val="00F53780"/>
    <w:rsid w:val="00F548AF"/>
    <w:rsid w:val="00F56421"/>
    <w:rsid w:val="00F56A1B"/>
    <w:rsid w:val="00F60DD9"/>
    <w:rsid w:val="00F6119F"/>
    <w:rsid w:val="00F618EC"/>
    <w:rsid w:val="00F627C9"/>
    <w:rsid w:val="00F6383D"/>
    <w:rsid w:val="00F67DB5"/>
    <w:rsid w:val="00F67E17"/>
    <w:rsid w:val="00F73786"/>
    <w:rsid w:val="00F75A96"/>
    <w:rsid w:val="00F7758F"/>
    <w:rsid w:val="00F775F7"/>
    <w:rsid w:val="00F805FA"/>
    <w:rsid w:val="00F842A1"/>
    <w:rsid w:val="00F8488D"/>
    <w:rsid w:val="00F85B39"/>
    <w:rsid w:val="00F866E1"/>
    <w:rsid w:val="00F905EC"/>
    <w:rsid w:val="00F921B8"/>
    <w:rsid w:val="00F94061"/>
    <w:rsid w:val="00F95F43"/>
    <w:rsid w:val="00F96910"/>
    <w:rsid w:val="00FA05B3"/>
    <w:rsid w:val="00FA117E"/>
    <w:rsid w:val="00FA1378"/>
    <w:rsid w:val="00FA17C7"/>
    <w:rsid w:val="00FA17CB"/>
    <w:rsid w:val="00FA1BCE"/>
    <w:rsid w:val="00FA20B5"/>
    <w:rsid w:val="00FA73ED"/>
    <w:rsid w:val="00FA7853"/>
    <w:rsid w:val="00FB12E3"/>
    <w:rsid w:val="00FB2EE4"/>
    <w:rsid w:val="00FB61AA"/>
    <w:rsid w:val="00FC2046"/>
    <w:rsid w:val="00FC2063"/>
    <w:rsid w:val="00FC30F8"/>
    <w:rsid w:val="00FC31FC"/>
    <w:rsid w:val="00FC5CB7"/>
    <w:rsid w:val="00FC5E3B"/>
    <w:rsid w:val="00FC6865"/>
    <w:rsid w:val="00FC6AE7"/>
    <w:rsid w:val="00FC7A44"/>
    <w:rsid w:val="00FC7E69"/>
    <w:rsid w:val="00FC7F25"/>
    <w:rsid w:val="00FD0B89"/>
    <w:rsid w:val="00FD1C4F"/>
    <w:rsid w:val="00FD3EB3"/>
    <w:rsid w:val="00FD400A"/>
    <w:rsid w:val="00FD58CE"/>
    <w:rsid w:val="00FD65B1"/>
    <w:rsid w:val="00FE00AA"/>
    <w:rsid w:val="00FE0100"/>
    <w:rsid w:val="00FE0FE8"/>
    <w:rsid w:val="00FE2A6E"/>
    <w:rsid w:val="00FE2BEF"/>
    <w:rsid w:val="00FE5830"/>
    <w:rsid w:val="00FF05E1"/>
    <w:rsid w:val="00FF5F23"/>
    <w:rsid w:val="00FF61BC"/>
    <w:rsid w:val="00FF7273"/>
    <w:rsid w:val="00FF7644"/>
    <w:rsid w:val="07036C91"/>
    <w:rsid w:val="075C3FD1"/>
    <w:rsid w:val="090C9EFD"/>
    <w:rsid w:val="0968CA95"/>
    <w:rsid w:val="0DA665C6"/>
    <w:rsid w:val="12000085"/>
    <w:rsid w:val="17A18621"/>
    <w:rsid w:val="17A9A57D"/>
    <w:rsid w:val="1ADA1DEF"/>
    <w:rsid w:val="1DB8019C"/>
    <w:rsid w:val="24EF032F"/>
    <w:rsid w:val="273BD5C1"/>
    <w:rsid w:val="2AA78B9E"/>
    <w:rsid w:val="33ADC228"/>
    <w:rsid w:val="3548EEF8"/>
    <w:rsid w:val="3A2C1852"/>
    <w:rsid w:val="3B931FFA"/>
    <w:rsid w:val="3FEC9648"/>
    <w:rsid w:val="49AA46E4"/>
    <w:rsid w:val="4A2F6E8E"/>
    <w:rsid w:val="4F6BDA27"/>
    <w:rsid w:val="54675018"/>
    <w:rsid w:val="5682A2A5"/>
    <w:rsid w:val="5FD9693F"/>
    <w:rsid w:val="6D5B0187"/>
    <w:rsid w:val="6F6925F0"/>
    <w:rsid w:val="712620BE"/>
    <w:rsid w:val="740E9764"/>
    <w:rsid w:val="7DB659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EF2149"/>
  <w15:chartTrackingRefBased/>
  <w15:docId w15:val="{E841D2BA-30DC-458B-A163-AF0A66BB9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178"/>
    <w:pPr>
      <w:tabs>
        <w:tab w:val="left" w:pos="-720"/>
      </w:tabs>
      <w:spacing w:after="0" w:line="360" w:lineRule="atLeast"/>
      <w:jc w:val="both"/>
    </w:pPr>
    <w:rPr>
      <w:rFonts w:ascii="Times New Roman" w:eastAsia="Times New Roman" w:hAnsi="Times New Roman" w:cs="Times New Roman"/>
      <w:sz w:val="20"/>
      <w:szCs w:val="20"/>
      <w:lang w:val="en-GB" w:eastAsia="fr-FR"/>
    </w:rPr>
  </w:style>
  <w:style w:type="paragraph" w:styleId="Heading1">
    <w:name w:val="heading 1"/>
    <w:basedOn w:val="Normal"/>
    <w:next w:val="Normal"/>
    <w:link w:val="Heading1Char"/>
    <w:uiPriority w:val="99"/>
    <w:qFormat/>
    <w:rsid w:val="00667CDB"/>
    <w:pPr>
      <w:spacing w:before="240"/>
      <w:outlineLvl w:val="0"/>
    </w:pPr>
    <w:rPr>
      <w:rFonts w:ascii="Arial" w:hAnsi="Arial" w:cs="Arial"/>
      <w:b/>
      <w:bCs/>
      <w:sz w:val="24"/>
      <w:szCs w:val="24"/>
      <w:u w:val="single"/>
    </w:rPr>
  </w:style>
  <w:style w:type="paragraph" w:styleId="Heading2">
    <w:name w:val="heading 2"/>
    <w:basedOn w:val="Normal"/>
    <w:next w:val="Normal"/>
    <w:link w:val="Heading2Char"/>
    <w:uiPriority w:val="99"/>
    <w:qFormat/>
    <w:rsid w:val="00667CDB"/>
    <w:pPr>
      <w:spacing w:before="120"/>
      <w:outlineLvl w:val="1"/>
    </w:pPr>
    <w:rPr>
      <w:rFonts w:ascii="Arial" w:hAnsi="Arial" w:cs="Arial"/>
      <w:b/>
      <w:bCs/>
      <w:sz w:val="24"/>
      <w:szCs w:val="24"/>
    </w:rPr>
  </w:style>
  <w:style w:type="paragraph" w:styleId="Heading3">
    <w:name w:val="heading 3"/>
    <w:basedOn w:val="Normal"/>
    <w:next w:val="Normal"/>
    <w:link w:val="Heading3Char"/>
    <w:uiPriority w:val="99"/>
    <w:qFormat/>
    <w:rsid w:val="00667CDB"/>
    <w:pPr>
      <w:ind w:left="360"/>
      <w:outlineLvl w:val="2"/>
    </w:pPr>
    <w:rPr>
      <w:b/>
      <w:bCs/>
      <w:sz w:val="24"/>
      <w:szCs w:val="24"/>
    </w:rPr>
  </w:style>
  <w:style w:type="paragraph" w:styleId="Heading4">
    <w:name w:val="heading 4"/>
    <w:basedOn w:val="Normal"/>
    <w:next w:val="Normal"/>
    <w:link w:val="Heading4Char"/>
    <w:uiPriority w:val="99"/>
    <w:qFormat/>
    <w:rsid w:val="00667CDB"/>
    <w:pPr>
      <w:ind w:left="360"/>
      <w:outlineLvl w:val="3"/>
    </w:pPr>
    <w:rPr>
      <w:sz w:val="24"/>
      <w:szCs w:val="24"/>
      <w:u w:val="single"/>
    </w:rPr>
  </w:style>
  <w:style w:type="paragraph" w:styleId="Heading5">
    <w:name w:val="heading 5"/>
    <w:basedOn w:val="Normal"/>
    <w:next w:val="Normal"/>
    <w:link w:val="Heading5Char"/>
    <w:uiPriority w:val="99"/>
    <w:qFormat/>
    <w:rsid w:val="00667CDB"/>
    <w:pPr>
      <w:ind w:left="720"/>
      <w:outlineLvl w:val="4"/>
    </w:pPr>
    <w:rPr>
      <w:b/>
      <w:bCs/>
    </w:rPr>
  </w:style>
  <w:style w:type="paragraph" w:styleId="Heading6">
    <w:name w:val="heading 6"/>
    <w:basedOn w:val="Normal"/>
    <w:next w:val="Normal"/>
    <w:link w:val="Heading6Char"/>
    <w:uiPriority w:val="99"/>
    <w:qFormat/>
    <w:rsid w:val="00667CDB"/>
    <w:pPr>
      <w:numPr>
        <w:ilvl w:val="5"/>
        <w:numId w:val="1"/>
      </w:numPr>
      <w:outlineLvl w:val="5"/>
    </w:pPr>
    <w:rPr>
      <w:u w:val="single"/>
    </w:rPr>
  </w:style>
  <w:style w:type="paragraph" w:styleId="Heading7">
    <w:name w:val="heading 7"/>
    <w:basedOn w:val="Normal"/>
    <w:next w:val="Normal"/>
    <w:link w:val="Heading7Char"/>
    <w:uiPriority w:val="99"/>
    <w:qFormat/>
    <w:rsid w:val="00667CDB"/>
    <w:pPr>
      <w:numPr>
        <w:ilvl w:val="6"/>
        <w:numId w:val="1"/>
      </w:numPr>
      <w:outlineLvl w:val="6"/>
    </w:pPr>
    <w:rPr>
      <w:i/>
      <w:iCs/>
    </w:rPr>
  </w:style>
  <w:style w:type="paragraph" w:styleId="Heading8">
    <w:name w:val="heading 8"/>
    <w:basedOn w:val="Normal"/>
    <w:next w:val="Normal"/>
    <w:link w:val="Heading8Char"/>
    <w:uiPriority w:val="99"/>
    <w:qFormat/>
    <w:rsid w:val="00667CDB"/>
    <w:pPr>
      <w:numPr>
        <w:ilvl w:val="7"/>
        <w:numId w:val="1"/>
      </w:numPr>
      <w:outlineLvl w:val="7"/>
    </w:pPr>
    <w:rPr>
      <w:i/>
      <w:iCs/>
    </w:rPr>
  </w:style>
  <w:style w:type="paragraph" w:styleId="Heading9">
    <w:name w:val="heading 9"/>
    <w:basedOn w:val="Normal"/>
    <w:next w:val="Normal"/>
    <w:link w:val="Heading9Char"/>
    <w:uiPriority w:val="99"/>
    <w:qFormat/>
    <w:rsid w:val="00667CDB"/>
    <w:pPr>
      <w:numPr>
        <w:ilvl w:val="8"/>
        <w:numId w:val="1"/>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7CDB"/>
    <w:rPr>
      <w:rFonts w:ascii="Arial" w:eastAsia="Times New Roman" w:hAnsi="Arial" w:cs="Arial"/>
      <w:b/>
      <w:bCs/>
      <w:sz w:val="24"/>
      <w:szCs w:val="24"/>
      <w:u w:val="single"/>
      <w:lang w:val="en-GB" w:eastAsia="fr-FR"/>
    </w:rPr>
  </w:style>
  <w:style w:type="character" w:customStyle="1" w:styleId="Heading2Char">
    <w:name w:val="Heading 2 Char"/>
    <w:basedOn w:val="DefaultParagraphFont"/>
    <w:link w:val="Heading2"/>
    <w:uiPriority w:val="9"/>
    <w:rsid w:val="00667CDB"/>
    <w:rPr>
      <w:rFonts w:ascii="Arial" w:eastAsia="Times New Roman" w:hAnsi="Arial" w:cs="Arial"/>
      <w:b/>
      <w:bCs/>
      <w:sz w:val="24"/>
      <w:szCs w:val="24"/>
      <w:lang w:val="en-GB" w:eastAsia="fr-FR"/>
    </w:rPr>
  </w:style>
  <w:style w:type="character" w:customStyle="1" w:styleId="Heading3Char">
    <w:name w:val="Heading 3 Char"/>
    <w:basedOn w:val="DefaultParagraphFont"/>
    <w:link w:val="Heading3"/>
    <w:uiPriority w:val="9"/>
    <w:rsid w:val="00667CDB"/>
    <w:rPr>
      <w:rFonts w:ascii="Times New Roman" w:eastAsia="Times New Roman" w:hAnsi="Times New Roman" w:cs="Times New Roman"/>
      <w:b/>
      <w:bCs/>
      <w:sz w:val="24"/>
      <w:szCs w:val="24"/>
      <w:lang w:val="en-GB" w:eastAsia="fr-FR"/>
    </w:rPr>
  </w:style>
  <w:style w:type="character" w:customStyle="1" w:styleId="Heading4Char">
    <w:name w:val="Heading 4 Char"/>
    <w:basedOn w:val="DefaultParagraphFont"/>
    <w:link w:val="Heading4"/>
    <w:uiPriority w:val="9"/>
    <w:rsid w:val="00667CDB"/>
    <w:rPr>
      <w:rFonts w:ascii="Times New Roman" w:eastAsia="Times New Roman" w:hAnsi="Times New Roman" w:cs="Times New Roman"/>
      <w:sz w:val="24"/>
      <w:szCs w:val="24"/>
      <w:u w:val="single"/>
      <w:lang w:val="en-GB" w:eastAsia="fr-FR"/>
    </w:rPr>
  </w:style>
  <w:style w:type="character" w:customStyle="1" w:styleId="Heading5Char">
    <w:name w:val="Heading 5 Char"/>
    <w:basedOn w:val="DefaultParagraphFont"/>
    <w:link w:val="Heading5"/>
    <w:uiPriority w:val="9"/>
    <w:rsid w:val="00667CDB"/>
    <w:rPr>
      <w:rFonts w:ascii="Times New Roman" w:eastAsia="Times New Roman" w:hAnsi="Times New Roman" w:cs="Times New Roman"/>
      <w:b/>
      <w:bCs/>
      <w:sz w:val="20"/>
      <w:szCs w:val="20"/>
      <w:lang w:val="en-GB" w:eastAsia="fr-FR"/>
    </w:rPr>
  </w:style>
  <w:style w:type="character" w:customStyle="1" w:styleId="Heading6Char">
    <w:name w:val="Heading 6 Char"/>
    <w:basedOn w:val="DefaultParagraphFont"/>
    <w:link w:val="Heading6"/>
    <w:uiPriority w:val="99"/>
    <w:rsid w:val="00667CDB"/>
    <w:rPr>
      <w:rFonts w:ascii="Times New Roman" w:eastAsia="Times New Roman" w:hAnsi="Times New Roman" w:cs="Times New Roman"/>
      <w:sz w:val="20"/>
      <w:szCs w:val="20"/>
      <w:u w:val="single"/>
      <w:lang w:val="en-GB" w:eastAsia="fr-FR"/>
    </w:rPr>
  </w:style>
  <w:style w:type="character" w:customStyle="1" w:styleId="Heading7Char">
    <w:name w:val="Heading 7 Char"/>
    <w:basedOn w:val="DefaultParagraphFont"/>
    <w:link w:val="Heading7"/>
    <w:uiPriority w:val="99"/>
    <w:rsid w:val="00667CDB"/>
    <w:rPr>
      <w:rFonts w:ascii="Times New Roman" w:eastAsia="Times New Roman" w:hAnsi="Times New Roman" w:cs="Times New Roman"/>
      <w:i/>
      <w:iCs/>
      <w:sz w:val="20"/>
      <w:szCs w:val="20"/>
      <w:lang w:val="en-GB" w:eastAsia="fr-FR"/>
    </w:rPr>
  </w:style>
  <w:style w:type="character" w:customStyle="1" w:styleId="Heading8Char">
    <w:name w:val="Heading 8 Char"/>
    <w:basedOn w:val="DefaultParagraphFont"/>
    <w:link w:val="Heading8"/>
    <w:uiPriority w:val="99"/>
    <w:rsid w:val="00667CDB"/>
    <w:rPr>
      <w:rFonts w:ascii="Times New Roman" w:eastAsia="Times New Roman" w:hAnsi="Times New Roman" w:cs="Times New Roman"/>
      <w:i/>
      <w:iCs/>
      <w:sz w:val="20"/>
      <w:szCs w:val="20"/>
      <w:lang w:val="en-GB" w:eastAsia="fr-FR"/>
    </w:rPr>
  </w:style>
  <w:style w:type="character" w:customStyle="1" w:styleId="Heading9Char">
    <w:name w:val="Heading 9 Char"/>
    <w:basedOn w:val="DefaultParagraphFont"/>
    <w:link w:val="Heading9"/>
    <w:uiPriority w:val="99"/>
    <w:rsid w:val="00667CDB"/>
    <w:rPr>
      <w:rFonts w:ascii="Times New Roman" w:eastAsia="Times New Roman" w:hAnsi="Times New Roman" w:cs="Times New Roman"/>
      <w:i/>
      <w:iCs/>
      <w:sz w:val="20"/>
      <w:szCs w:val="20"/>
      <w:lang w:val="en-GB" w:eastAsia="fr-FR"/>
    </w:rPr>
  </w:style>
  <w:style w:type="character" w:styleId="LineNumber">
    <w:name w:val="line number"/>
    <w:basedOn w:val="DefaultParagraphFont"/>
    <w:uiPriority w:val="99"/>
    <w:rsid w:val="00667CDB"/>
    <w:rPr>
      <w:rFonts w:ascii="Arial" w:hAnsi="Arial" w:cs="Times New Roman"/>
      <w:sz w:val="16"/>
    </w:rPr>
  </w:style>
  <w:style w:type="paragraph" w:styleId="Header">
    <w:name w:val="header"/>
    <w:basedOn w:val="Normal"/>
    <w:link w:val="HeaderChar"/>
    <w:uiPriority w:val="99"/>
    <w:rsid w:val="0089300E"/>
    <w:pPr>
      <w:widowControl w:val="0"/>
      <w:pBdr>
        <w:bottom w:val="single" w:sz="4" w:space="5" w:color="auto"/>
      </w:pBdr>
      <w:tabs>
        <w:tab w:val="clear" w:pos="-720"/>
        <w:tab w:val="center" w:pos="4536"/>
        <w:tab w:val="right" w:pos="9072"/>
      </w:tabs>
      <w:spacing w:line="240" w:lineRule="auto"/>
      <w:jc w:val="center"/>
    </w:pPr>
    <w:rPr>
      <w:rFonts w:ascii="Söhne" w:eastAsiaTheme="minorEastAsia" w:hAnsi="Söhne"/>
      <w:i/>
      <w:sz w:val="16"/>
      <w:szCs w:val="22"/>
      <w:lang w:val="en-US" w:eastAsia="en-US"/>
    </w:rPr>
  </w:style>
  <w:style w:type="character" w:customStyle="1" w:styleId="HeaderChar">
    <w:name w:val="Header Char"/>
    <w:basedOn w:val="DefaultParagraphFont"/>
    <w:link w:val="Header"/>
    <w:uiPriority w:val="99"/>
    <w:rsid w:val="0089300E"/>
    <w:rPr>
      <w:rFonts w:ascii="Söhne" w:eastAsiaTheme="minorEastAsia" w:hAnsi="Söhne" w:cs="Times New Roman"/>
      <w:i/>
      <w:sz w:val="16"/>
      <w:lang w:val="en-US"/>
    </w:rPr>
  </w:style>
  <w:style w:type="paragraph" w:customStyle="1" w:styleId="notedebas">
    <w:name w:val="note de bas"/>
    <w:basedOn w:val="Normal"/>
    <w:uiPriority w:val="99"/>
    <w:rsid w:val="00667CDB"/>
    <w:pPr>
      <w:widowControl w:val="0"/>
      <w:spacing w:line="240" w:lineRule="auto"/>
      <w:ind w:left="425" w:hanging="425"/>
    </w:pPr>
    <w:rPr>
      <w:rFonts w:ascii="Arial" w:hAnsi="Arial" w:cs="Arial"/>
      <w:sz w:val="16"/>
      <w:szCs w:val="16"/>
      <w:lang w:val="en-US"/>
    </w:rPr>
  </w:style>
  <w:style w:type="paragraph" w:customStyle="1" w:styleId="a">
    <w:name w:val="a)"/>
    <w:basedOn w:val="Normal"/>
    <w:rsid w:val="00667CDB"/>
    <w:pPr>
      <w:tabs>
        <w:tab w:val="clear" w:pos="-720"/>
      </w:tabs>
      <w:spacing w:after="120" w:line="240" w:lineRule="auto"/>
      <w:ind w:left="425" w:hanging="425"/>
    </w:pPr>
    <w:rPr>
      <w:rFonts w:ascii="Ottawa" w:hAnsi="Ottawa"/>
      <w:b/>
      <w:bCs/>
    </w:rPr>
  </w:style>
  <w:style w:type="paragraph" w:customStyle="1" w:styleId="paraa">
    <w:name w:val="paraa)"/>
    <w:basedOn w:val="Normal"/>
    <w:rsid w:val="00667CDB"/>
    <w:pPr>
      <w:spacing w:after="240" w:line="240" w:lineRule="auto"/>
      <w:ind w:left="425"/>
    </w:pPr>
    <w:rPr>
      <w:rFonts w:ascii="Arial" w:hAnsi="Arial" w:cs="Arial"/>
      <w:sz w:val="18"/>
      <w:szCs w:val="18"/>
    </w:rPr>
  </w:style>
  <w:style w:type="paragraph" w:customStyle="1" w:styleId="1">
    <w:name w:val="1"/>
    <w:basedOn w:val="Normal"/>
    <w:uiPriority w:val="99"/>
    <w:rsid w:val="00FD65B1"/>
    <w:pPr>
      <w:tabs>
        <w:tab w:val="clear" w:pos="-720"/>
      </w:tabs>
      <w:spacing w:after="240" w:line="240" w:lineRule="auto"/>
      <w:ind w:left="425" w:hanging="425"/>
    </w:pPr>
    <w:rPr>
      <w:rFonts w:ascii="Söhne Halbfett" w:eastAsiaTheme="minorEastAsia" w:hAnsi="Söhne Halbfett" w:cs="Arial"/>
      <w:bCs/>
      <w:color w:val="000000"/>
      <w:sz w:val="22"/>
      <w:szCs w:val="18"/>
      <w:lang w:eastAsia="en-US"/>
    </w:rPr>
  </w:style>
  <w:style w:type="paragraph" w:customStyle="1" w:styleId="para1">
    <w:name w:val="para1"/>
    <w:basedOn w:val="Normal"/>
    <w:rsid w:val="0000422D"/>
    <w:pPr>
      <w:spacing w:after="240" w:line="240" w:lineRule="auto"/>
    </w:pPr>
    <w:rPr>
      <w:rFonts w:ascii="Söhne" w:hAnsi="Söhne" w:cs="Arial"/>
      <w:sz w:val="18"/>
      <w:szCs w:val="18"/>
    </w:rPr>
  </w:style>
  <w:style w:type="paragraph" w:customStyle="1" w:styleId="i">
    <w:name w:val="i)"/>
    <w:basedOn w:val="Normal"/>
    <w:uiPriority w:val="99"/>
    <w:rsid w:val="0089300E"/>
    <w:pPr>
      <w:tabs>
        <w:tab w:val="clear" w:pos="-720"/>
      </w:tabs>
      <w:spacing w:after="120" w:line="240" w:lineRule="auto"/>
      <w:ind w:left="1843" w:hanging="425"/>
    </w:pPr>
    <w:rPr>
      <w:rFonts w:ascii="Söhne" w:eastAsiaTheme="minorEastAsia" w:hAnsi="Söhne" w:cs="Arial"/>
      <w:sz w:val="18"/>
      <w:szCs w:val="18"/>
      <w:lang w:eastAsia="en-US"/>
    </w:rPr>
  </w:style>
  <w:style w:type="paragraph" w:customStyle="1" w:styleId="A0">
    <w:name w:val="A"/>
    <w:basedOn w:val="Normal"/>
    <w:uiPriority w:val="99"/>
    <w:rsid w:val="0089300E"/>
    <w:pPr>
      <w:spacing w:after="240" w:line="240" w:lineRule="auto"/>
      <w:jc w:val="center"/>
    </w:pPr>
    <w:rPr>
      <w:rFonts w:ascii="Söhne Halbfett" w:hAnsi="Söhne Halbfett"/>
      <w:bCs/>
      <w:caps/>
      <w:sz w:val="24"/>
      <w:szCs w:val="24"/>
    </w:rPr>
  </w:style>
  <w:style w:type="paragraph" w:customStyle="1" w:styleId="Ref">
    <w:name w:val="Ref."/>
    <w:basedOn w:val="Normal"/>
    <w:uiPriority w:val="99"/>
    <w:rsid w:val="001F02E8"/>
    <w:pPr>
      <w:spacing w:after="240" w:line="240" w:lineRule="auto"/>
    </w:pPr>
    <w:rPr>
      <w:rFonts w:ascii="Söhne" w:hAnsi="Söhne" w:cs="Arial"/>
      <w:sz w:val="18"/>
      <w:szCs w:val="18"/>
    </w:rPr>
  </w:style>
  <w:style w:type="paragraph" w:customStyle="1" w:styleId="sumtexte">
    <w:name w:val="sumtexte"/>
    <w:basedOn w:val="Normal"/>
    <w:rsid w:val="0089300E"/>
    <w:pPr>
      <w:spacing w:after="120" w:line="240" w:lineRule="exact"/>
      <w:ind w:left="567" w:right="567"/>
    </w:pPr>
    <w:rPr>
      <w:rFonts w:ascii="Söhne" w:hAnsi="Söhne" w:cs="Arial"/>
      <w:i/>
      <w:iCs/>
      <w:sz w:val="18"/>
      <w:szCs w:val="18"/>
    </w:rPr>
  </w:style>
  <w:style w:type="paragraph" w:customStyle="1" w:styleId="paraA0">
    <w:name w:val="paraA"/>
    <w:basedOn w:val="Normal"/>
    <w:link w:val="paraACar"/>
    <w:uiPriority w:val="99"/>
    <w:rsid w:val="0089300E"/>
    <w:pPr>
      <w:spacing w:after="240" w:line="240" w:lineRule="auto"/>
    </w:pPr>
    <w:rPr>
      <w:rFonts w:ascii="Söhne" w:hAnsi="Söhne"/>
      <w:sz w:val="18"/>
      <w:szCs w:val="18"/>
    </w:rPr>
  </w:style>
  <w:style w:type="paragraph" w:customStyle="1" w:styleId="TITRE">
    <w:name w:val="TITRE"/>
    <w:basedOn w:val="Normal"/>
    <w:uiPriority w:val="99"/>
    <w:rsid w:val="00667CDB"/>
    <w:pPr>
      <w:spacing w:after="240"/>
      <w:jc w:val="center"/>
    </w:pPr>
    <w:rPr>
      <w:b/>
      <w:bCs/>
      <w:caps/>
    </w:rPr>
  </w:style>
  <w:style w:type="paragraph" w:styleId="Footer">
    <w:name w:val="footer"/>
    <w:basedOn w:val="Normal"/>
    <w:link w:val="FooterChar"/>
    <w:uiPriority w:val="99"/>
    <w:rsid w:val="0089300E"/>
    <w:pPr>
      <w:widowControl w:val="0"/>
      <w:pBdr>
        <w:top w:val="single" w:sz="4" w:space="5" w:color="auto"/>
      </w:pBdr>
      <w:tabs>
        <w:tab w:val="clear" w:pos="-720"/>
        <w:tab w:val="right" w:pos="9072"/>
      </w:tabs>
      <w:spacing w:line="240" w:lineRule="auto"/>
      <w:jc w:val="left"/>
    </w:pPr>
    <w:rPr>
      <w:rFonts w:ascii="Söhne" w:eastAsiaTheme="minorEastAsia" w:hAnsi="Söhne"/>
      <w:sz w:val="16"/>
      <w:szCs w:val="22"/>
      <w:lang w:val="en-US" w:eastAsia="en-US"/>
    </w:rPr>
  </w:style>
  <w:style w:type="character" w:customStyle="1" w:styleId="FooterChar">
    <w:name w:val="Footer Char"/>
    <w:basedOn w:val="DefaultParagraphFont"/>
    <w:link w:val="Footer"/>
    <w:uiPriority w:val="99"/>
    <w:rsid w:val="0089300E"/>
    <w:rPr>
      <w:rFonts w:ascii="Söhne" w:eastAsiaTheme="minorEastAsia" w:hAnsi="Söhne" w:cs="Times New Roman"/>
      <w:sz w:val="16"/>
      <w:lang w:val="en-US"/>
    </w:rPr>
  </w:style>
  <w:style w:type="paragraph" w:styleId="FootnoteText">
    <w:name w:val="footnote text"/>
    <w:basedOn w:val="Normal"/>
    <w:link w:val="FootnoteTextChar"/>
    <w:uiPriority w:val="99"/>
    <w:semiHidden/>
    <w:rsid w:val="00667CDB"/>
  </w:style>
  <w:style w:type="character" w:customStyle="1" w:styleId="FootnoteTextChar">
    <w:name w:val="Footnote Text Char"/>
    <w:basedOn w:val="DefaultParagraphFont"/>
    <w:link w:val="FootnoteText"/>
    <w:uiPriority w:val="99"/>
    <w:semiHidden/>
    <w:rsid w:val="00667CDB"/>
    <w:rPr>
      <w:rFonts w:ascii="Times New Roman" w:eastAsia="Times New Roman" w:hAnsi="Times New Roman" w:cs="Times New Roman"/>
      <w:sz w:val="20"/>
      <w:szCs w:val="20"/>
      <w:lang w:val="en-GB" w:eastAsia="fr-FR"/>
    </w:rPr>
  </w:style>
  <w:style w:type="character" w:styleId="FootnoteReference">
    <w:name w:val="footnote reference"/>
    <w:basedOn w:val="DefaultParagraphFont"/>
    <w:uiPriority w:val="99"/>
    <w:semiHidden/>
    <w:rsid w:val="00667CDB"/>
    <w:rPr>
      <w:rFonts w:cs="Times New Roman"/>
      <w:vertAlign w:val="superscript"/>
    </w:rPr>
  </w:style>
  <w:style w:type="paragraph" w:customStyle="1" w:styleId="sumtextelastpara">
    <w:name w:val="sumtexte last para"/>
    <w:basedOn w:val="sumtexte"/>
    <w:uiPriority w:val="99"/>
    <w:rsid w:val="00667CDB"/>
    <w:pPr>
      <w:spacing w:after="480"/>
    </w:pPr>
  </w:style>
  <w:style w:type="paragraph" w:customStyle="1" w:styleId="b">
    <w:name w:val="b)"/>
    <w:basedOn w:val="Normal"/>
    <w:uiPriority w:val="99"/>
    <w:rsid w:val="00667CDB"/>
    <w:pPr>
      <w:spacing w:after="120" w:line="240" w:lineRule="auto"/>
      <w:ind w:left="850" w:hanging="425"/>
    </w:pPr>
    <w:rPr>
      <w:rFonts w:ascii="Ottawa" w:hAnsi="Ottawa"/>
      <w:b/>
      <w:bCs/>
      <w:sz w:val="18"/>
      <w:szCs w:val="18"/>
    </w:rPr>
  </w:style>
  <w:style w:type="paragraph" w:customStyle="1" w:styleId="ipara">
    <w:name w:val="i_para"/>
    <w:basedOn w:val="i"/>
    <w:uiPriority w:val="99"/>
    <w:rsid w:val="00667CDB"/>
    <w:pPr>
      <w:spacing w:line="200" w:lineRule="exact"/>
      <w:ind w:left="851" w:firstLine="0"/>
    </w:pPr>
  </w:style>
  <w:style w:type="paragraph" w:customStyle="1" w:styleId="iparalast">
    <w:name w:val="i_para_last"/>
    <w:basedOn w:val="i"/>
    <w:uiPriority w:val="99"/>
    <w:rsid w:val="00667CDB"/>
    <w:pPr>
      <w:spacing w:after="240" w:line="200" w:lineRule="exact"/>
    </w:pPr>
  </w:style>
  <w:style w:type="paragraph" w:customStyle="1" w:styleId="Referencetitle">
    <w:name w:val="Reference_title"/>
    <w:basedOn w:val="Normal"/>
    <w:uiPriority w:val="99"/>
    <w:rsid w:val="0089300E"/>
    <w:pPr>
      <w:widowControl w:val="0"/>
      <w:tabs>
        <w:tab w:val="left" w:pos="2410"/>
      </w:tabs>
      <w:spacing w:after="240" w:line="240" w:lineRule="auto"/>
      <w:jc w:val="center"/>
    </w:pPr>
    <w:rPr>
      <w:rFonts w:ascii="Söhne Halbfett" w:hAnsi="Söhne Halbfett"/>
      <w:sz w:val="22"/>
    </w:rPr>
  </w:style>
  <w:style w:type="paragraph" w:customStyle="1" w:styleId="Chatperno">
    <w:name w:val="Chatper_no"/>
    <w:basedOn w:val="Normal"/>
    <w:uiPriority w:val="99"/>
    <w:rsid w:val="0089300E"/>
    <w:pPr>
      <w:spacing w:after="240" w:line="240" w:lineRule="auto"/>
      <w:jc w:val="center"/>
    </w:pPr>
    <w:rPr>
      <w:rFonts w:ascii="Söhne Kräftig" w:hAnsi="Söhne Kräftig"/>
      <w:caps/>
      <w:spacing w:val="60"/>
      <w:sz w:val="24"/>
    </w:rPr>
  </w:style>
  <w:style w:type="paragraph" w:customStyle="1" w:styleId="Chaptertitle">
    <w:name w:val="Chapter_title"/>
    <w:basedOn w:val="Normal"/>
    <w:rsid w:val="0089300E"/>
    <w:pPr>
      <w:pBdr>
        <w:bottom w:val="single" w:sz="6" w:space="10" w:color="auto"/>
      </w:pBdr>
      <w:spacing w:line="240" w:lineRule="auto"/>
      <w:jc w:val="center"/>
    </w:pPr>
    <w:rPr>
      <w:rFonts w:ascii="Söhne Halbfett" w:hAnsi="Söhne Halbfett"/>
      <w:caps/>
      <w:spacing w:val="40"/>
      <w:sz w:val="32"/>
    </w:rPr>
  </w:style>
  <w:style w:type="paragraph" w:customStyle="1" w:styleId="Summarytitle">
    <w:name w:val="Summary_title"/>
    <w:basedOn w:val="Normal"/>
    <w:uiPriority w:val="99"/>
    <w:rsid w:val="0089300E"/>
    <w:pPr>
      <w:spacing w:before="1200" w:after="240" w:line="240" w:lineRule="auto"/>
      <w:jc w:val="center"/>
    </w:pPr>
    <w:rPr>
      <w:rFonts w:ascii="Söhne Halbfett" w:hAnsi="Söhne Halbfett"/>
      <w:bCs/>
      <w:caps/>
      <w:sz w:val="24"/>
      <w:szCs w:val="24"/>
    </w:rPr>
  </w:style>
  <w:style w:type="paragraph" w:customStyle="1" w:styleId="rtoiles">
    <w:name w:val="r_étoiles"/>
    <w:basedOn w:val="Normal"/>
    <w:next w:val="Normal"/>
    <w:uiPriority w:val="99"/>
    <w:rsid w:val="0089300E"/>
    <w:pPr>
      <w:keepLines/>
      <w:tabs>
        <w:tab w:val="clear" w:pos="-720"/>
      </w:tabs>
      <w:spacing w:before="240" w:after="240" w:line="240" w:lineRule="atLeast"/>
      <w:jc w:val="center"/>
    </w:pPr>
    <w:rPr>
      <w:lang w:val="fr-FR"/>
    </w:rPr>
  </w:style>
  <w:style w:type="paragraph" w:customStyle="1" w:styleId="Textedebulles2">
    <w:name w:val="Texte de bulles2"/>
    <w:basedOn w:val="Normal"/>
    <w:uiPriority w:val="99"/>
    <w:semiHidden/>
    <w:rsid w:val="00667CDB"/>
    <w:rPr>
      <w:rFonts w:ascii="Tahoma" w:hAnsi="Tahoma" w:cs="Tahoma"/>
      <w:sz w:val="16"/>
      <w:szCs w:val="16"/>
    </w:rPr>
  </w:style>
  <w:style w:type="paragraph" w:customStyle="1" w:styleId="Textedebulles1">
    <w:name w:val="Texte de bulles1"/>
    <w:basedOn w:val="Normal"/>
    <w:uiPriority w:val="99"/>
    <w:semiHidden/>
    <w:rsid w:val="00667CDB"/>
    <w:rPr>
      <w:rFonts w:ascii="Tahoma" w:hAnsi="Tahoma" w:cs="Tahoma"/>
      <w:sz w:val="16"/>
      <w:szCs w:val="16"/>
    </w:rPr>
  </w:style>
  <w:style w:type="paragraph" w:customStyle="1" w:styleId="texte">
    <w:name w:val="texte"/>
    <w:basedOn w:val="Normal"/>
    <w:uiPriority w:val="99"/>
    <w:rsid w:val="00667CDB"/>
    <w:pPr>
      <w:tabs>
        <w:tab w:val="clear" w:pos="-720"/>
      </w:tabs>
      <w:spacing w:before="100" w:beforeAutospacing="1" w:after="100" w:afterAutospacing="1" w:line="240" w:lineRule="auto"/>
      <w:jc w:val="left"/>
    </w:pPr>
    <w:rPr>
      <w:rFonts w:ascii="Arial Unicode MS" w:hAnsi="Arial Unicode MS"/>
      <w:sz w:val="24"/>
      <w:szCs w:val="24"/>
      <w:lang w:val="en-US" w:eastAsia="en-US"/>
    </w:rPr>
  </w:style>
  <w:style w:type="character" w:styleId="CommentReference">
    <w:name w:val="annotation reference"/>
    <w:basedOn w:val="DefaultParagraphFont"/>
    <w:uiPriority w:val="99"/>
    <w:semiHidden/>
    <w:rsid w:val="00667CDB"/>
    <w:rPr>
      <w:rFonts w:cs="Times New Roman"/>
      <w:sz w:val="16"/>
    </w:rPr>
  </w:style>
  <w:style w:type="paragraph" w:styleId="CommentText">
    <w:name w:val="annotation text"/>
    <w:basedOn w:val="Normal"/>
    <w:link w:val="CommentTextChar"/>
    <w:uiPriority w:val="99"/>
    <w:semiHidden/>
    <w:rsid w:val="00667CDB"/>
  </w:style>
  <w:style w:type="character" w:customStyle="1" w:styleId="CommentTextChar">
    <w:name w:val="Comment Text Char"/>
    <w:basedOn w:val="DefaultParagraphFont"/>
    <w:link w:val="CommentText"/>
    <w:uiPriority w:val="99"/>
    <w:semiHidden/>
    <w:rsid w:val="00667CDB"/>
    <w:rPr>
      <w:rFonts w:ascii="Times New Roman" w:eastAsia="Times New Roman" w:hAnsi="Times New Roman" w:cs="Times New Roman"/>
      <w:sz w:val="20"/>
      <w:szCs w:val="20"/>
      <w:lang w:val="en-GB" w:eastAsia="fr-FR"/>
    </w:rPr>
  </w:style>
  <w:style w:type="paragraph" w:customStyle="1" w:styleId="Objetducommentaire1">
    <w:name w:val="Objet du commentaire1"/>
    <w:basedOn w:val="CommentText"/>
    <w:next w:val="CommentText"/>
    <w:uiPriority w:val="99"/>
    <w:semiHidden/>
    <w:rsid w:val="00667CDB"/>
    <w:rPr>
      <w:b/>
      <w:bCs/>
    </w:rPr>
  </w:style>
  <w:style w:type="paragraph" w:styleId="BodyText">
    <w:name w:val="Body Text"/>
    <w:basedOn w:val="Normal"/>
    <w:link w:val="BodyTextChar"/>
    <w:uiPriority w:val="99"/>
    <w:rsid w:val="00667CDB"/>
    <w:pPr>
      <w:spacing w:after="120"/>
    </w:pPr>
  </w:style>
  <w:style w:type="character" w:customStyle="1" w:styleId="BodyTextChar">
    <w:name w:val="Body Text Char"/>
    <w:basedOn w:val="DefaultParagraphFont"/>
    <w:link w:val="BodyText"/>
    <w:uiPriority w:val="99"/>
    <w:rsid w:val="00667CDB"/>
    <w:rPr>
      <w:rFonts w:ascii="Times New Roman" w:eastAsia="Times New Roman" w:hAnsi="Times New Roman" w:cs="Times New Roman"/>
      <w:sz w:val="20"/>
      <w:szCs w:val="20"/>
      <w:lang w:val="en-GB" w:eastAsia="fr-FR"/>
    </w:rPr>
  </w:style>
  <w:style w:type="paragraph" w:customStyle="1" w:styleId="BalloonText1">
    <w:name w:val="Balloon Text1"/>
    <w:basedOn w:val="Normal"/>
    <w:uiPriority w:val="99"/>
    <w:semiHidden/>
    <w:rsid w:val="00667CDB"/>
    <w:rPr>
      <w:rFonts w:ascii="Tahoma" w:hAnsi="Tahoma" w:cs="Tahoma"/>
      <w:sz w:val="16"/>
      <w:szCs w:val="16"/>
    </w:rPr>
  </w:style>
  <w:style w:type="paragraph" w:customStyle="1" w:styleId="CommentSubject1">
    <w:name w:val="Comment Subject1"/>
    <w:basedOn w:val="CommentText"/>
    <w:next w:val="CommentText"/>
    <w:uiPriority w:val="99"/>
    <w:semiHidden/>
    <w:rsid w:val="00667CDB"/>
    <w:rPr>
      <w:b/>
      <w:bCs/>
    </w:rPr>
  </w:style>
  <w:style w:type="paragraph" w:styleId="BodyText3">
    <w:name w:val="Body Text 3"/>
    <w:basedOn w:val="Normal"/>
    <w:link w:val="BodyText3Char"/>
    <w:uiPriority w:val="99"/>
    <w:rsid w:val="00667CDB"/>
    <w:pPr>
      <w:spacing w:after="120"/>
    </w:pPr>
    <w:rPr>
      <w:sz w:val="16"/>
      <w:szCs w:val="16"/>
    </w:rPr>
  </w:style>
  <w:style w:type="character" w:customStyle="1" w:styleId="BodyText3Char">
    <w:name w:val="Body Text 3 Char"/>
    <w:basedOn w:val="DefaultParagraphFont"/>
    <w:link w:val="BodyText3"/>
    <w:uiPriority w:val="99"/>
    <w:rsid w:val="00667CDB"/>
    <w:rPr>
      <w:rFonts w:ascii="Times New Roman" w:eastAsia="Times New Roman" w:hAnsi="Times New Roman" w:cs="Times New Roman"/>
      <w:sz w:val="16"/>
      <w:szCs w:val="16"/>
      <w:lang w:val="en-GB" w:eastAsia="fr-FR"/>
    </w:rPr>
  </w:style>
  <w:style w:type="paragraph" w:customStyle="1" w:styleId="Para1i">
    <w:name w:val="Para1i"/>
    <w:basedOn w:val="para1"/>
    <w:uiPriority w:val="99"/>
    <w:rsid w:val="00B36EE0"/>
    <w:pPr>
      <w:ind w:left="425" w:hanging="425"/>
    </w:pPr>
  </w:style>
  <w:style w:type="paragraph" w:customStyle="1" w:styleId="Para1ii">
    <w:name w:val="Para1ii"/>
    <w:basedOn w:val="Para1i"/>
    <w:uiPriority w:val="99"/>
    <w:rsid w:val="00667CDB"/>
    <w:pPr>
      <w:ind w:left="850"/>
    </w:pPr>
  </w:style>
  <w:style w:type="character" w:styleId="Hyperlink">
    <w:name w:val="Hyperlink"/>
    <w:basedOn w:val="DefaultParagraphFont"/>
    <w:uiPriority w:val="99"/>
    <w:rsid w:val="00667CDB"/>
    <w:rPr>
      <w:rFonts w:cs="Times New Roman"/>
      <w:color w:val="0000FF"/>
      <w:u w:val="single"/>
    </w:rPr>
  </w:style>
  <w:style w:type="paragraph" w:customStyle="1" w:styleId="para11">
    <w:name w:val="para 1.1."/>
    <w:basedOn w:val="Normal"/>
    <w:uiPriority w:val="99"/>
    <w:rsid w:val="00667CDB"/>
    <w:pPr>
      <w:tabs>
        <w:tab w:val="clear" w:pos="-720"/>
      </w:tabs>
      <w:spacing w:after="240" w:line="240" w:lineRule="auto"/>
      <w:ind w:left="992"/>
    </w:pPr>
    <w:rPr>
      <w:lang w:val="en-US" w:eastAsia="en-CA"/>
    </w:rPr>
  </w:style>
  <w:style w:type="character" w:styleId="FollowedHyperlink">
    <w:name w:val="FollowedHyperlink"/>
    <w:basedOn w:val="DefaultParagraphFont"/>
    <w:uiPriority w:val="99"/>
    <w:rsid w:val="00667CDB"/>
    <w:rPr>
      <w:rFonts w:cs="Times New Roman"/>
      <w:color w:val="800080"/>
      <w:u w:val="single"/>
    </w:rPr>
  </w:style>
  <w:style w:type="paragraph" w:styleId="BalloonText">
    <w:name w:val="Balloon Text"/>
    <w:basedOn w:val="Normal"/>
    <w:link w:val="BalloonTextChar"/>
    <w:uiPriority w:val="99"/>
    <w:semiHidden/>
    <w:rsid w:val="00667CDB"/>
    <w:rPr>
      <w:rFonts w:ascii="Tahoma" w:hAnsi="Tahoma" w:cs="Tahoma"/>
      <w:sz w:val="16"/>
      <w:szCs w:val="16"/>
    </w:rPr>
  </w:style>
  <w:style w:type="character" w:customStyle="1" w:styleId="BalloonTextChar">
    <w:name w:val="Balloon Text Char"/>
    <w:basedOn w:val="DefaultParagraphFont"/>
    <w:link w:val="BalloonText"/>
    <w:uiPriority w:val="99"/>
    <w:semiHidden/>
    <w:rsid w:val="00667CDB"/>
    <w:rPr>
      <w:rFonts w:ascii="Tahoma" w:eastAsia="Times New Roman" w:hAnsi="Tahoma" w:cs="Tahoma"/>
      <w:sz w:val="16"/>
      <w:szCs w:val="16"/>
      <w:lang w:val="en-GB" w:eastAsia="fr-FR"/>
    </w:rPr>
  </w:style>
  <w:style w:type="paragraph" w:styleId="CommentSubject">
    <w:name w:val="annotation subject"/>
    <w:basedOn w:val="CommentText"/>
    <w:next w:val="CommentText"/>
    <w:link w:val="CommentSubjectChar"/>
    <w:uiPriority w:val="99"/>
    <w:semiHidden/>
    <w:rsid w:val="00667CDB"/>
    <w:rPr>
      <w:b/>
      <w:bCs/>
    </w:rPr>
  </w:style>
  <w:style w:type="character" w:customStyle="1" w:styleId="CommentSubjectChar">
    <w:name w:val="Comment Subject Char"/>
    <w:basedOn w:val="CommentTextChar"/>
    <w:link w:val="CommentSubject"/>
    <w:uiPriority w:val="99"/>
    <w:semiHidden/>
    <w:rsid w:val="00667CDB"/>
    <w:rPr>
      <w:rFonts w:ascii="Times New Roman" w:eastAsia="Times New Roman" w:hAnsi="Times New Roman" w:cs="Times New Roman"/>
      <w:b/>
      <w:bCs/>
      <w:sz w:val="20"/>
      <w:szCs w:val="20"/>
      <w:lang w:val="en-GB" w:eastAsia="fr-FR"/>
    </w:rPr>
  </w:style>
  <w:style w:type="paragraph" w:styleId="TOC1">
    <w:name w:val="toc 1"/>
    <w:basedOn w:val="Normal"/>
    <w:next w:val="Normal"/>
    <w:autoRedefine/>
    <w:uiPriority w:val="99"/>
    <w:semiHidden/>
    <w:rsid w:val="00667CDB"/>
    <w:pPr>
      <w:tabs>
        <w:tab w:val="clear" w:pos="-720"/>
      </w:tabs>
    </w:pPr>
  </w:style>
  <w:style w:type="paragraph" w:styleId="TOC2">
    <w:name w:val="toc 2"/>
    <w:basedOn w:val="Normal"/>
    <w:next w:val="Normal"/>
    <w:autoRedefine/>
    <w:uiPriority w:val="99"/>
    <w:semiHidden/>
    <w:rsid w:val="00667CDB"/>
    <w:pPr>
      <w:tabs>
        <w:tab w:val="clear" w:pos="-720"/>
      </w:tabs>
      <w:ind w:left="200"/>
    </w:pPr>
  </w:style>
  <w:style w:type="paragraph" w:styleId="TOC3">
    <w:name w:val="toc 3"/>
    <w:basedOn w:val="Normal"/>
    <w:next w:val="Normal"/>
    <w:autoRedefine/>
    <w:uiPriority w:val="99"/>
    <w:semiHidden/>
    <w:rsid w:val="00667CDB"/>
    <w:pPr>
      <w:tabs>
        <w:tab w:val="clear" w:pos="-720"/>
      </w:tabs>
      <w:ind w:left="400"/>
    </w:pPr>
  </w:style>
  <w:style w:type="paragraph" w:styleId="TOC4">
    <w:name w:val="toc 4"/>
    <w:basedOn w:val="Normal"/>
    <w:next w:val="Normal"/>
    <w:autoRedefine/>
    <w:uiPriority w:val="99"/>
    <w:semiHidden/>
    <w:rsid w:val="00667CDB"/>
    <w:pPr>
      <w:tabs>
        <w:tab w:val="clear" w:pos="-720"/>
      </w:tabs>
      <w:ind w:left="600"/>
    </w:pPr>
  </w:style>
  <w:style w:type="paragraph" w:styleId="TOC5">
    <w:name w:val="toc 5"/>
    <w:basedOn w:val="Normal"/>
    <w:next w:val="Normal"/>
    <w:autoRedefine/>
    <w:uiPriority w:val="99"/>
    <w:semiHidden/>
    <w:rsid w:val="00667CDB"/>
    <w:pPr>
      <w:tabs>
        <w:tab w:val="clear" w:pos="-720"/>
      </w:tabs>
      <w:ind w:left="800"/>
    </w:pPr>
  </w:style>
  <w:style w:type="paragraph" w:styleId="TOC6">
    <w:name w:val="toc 6"/>
    <w:basedOn w:val="Normal"/>
    <w:next w:val="Normal"/>
    <w:autoRedefine/>
    <w:uiPriority w:val="99"/>
    <w:semiHidden/>
    <w:rsid w:val="00667CDB"/>
    <w:pPr>
      <w:tabs>
        <w:tab w:val="clear" w:pos="-720"/>
      </w:tabs>
      <w:ind w:left="1000"/>
    </w:pPr>
  </w:style>
  <w:style w:type="paragraph" w:styleId="TOC7">
    <w:name w:val="toc 7"/>
    <w:basedOn w:val="Normal"/>
    <w:next w:val="Normal"/>
    <w:autoRedefine/>
    <w:uiPriority w:val="99"/>
    <w:semiHidden/>
    <w:rsid w:val="00667CDB"/>
    <w:pPr>
      <w:tabs>
        <w:tab w:val="clear" w:pos="-720"/>
      </w:tabs>
      <w:ind w:left="1200"/>
    </w:pPr>
  </w:style>
  <w:style w:type="paragraph" w:styleId="TOC8">
    <w:name w:val="toc 8"/>
    <w:basedOn w:val="Normal"/>
    <w:next w:val="Normal"/>
    <w:autoRedefine/>
    <w:uiPriority w:val="99"/>
    <w:semiHidden/>
    <w:rsid w:val="00667CDB"/>
    <w:pPr>
      <w:tabs>
        <w:tab w:val="clear" w:pos="-720"/>
      </w:tabs>
      <w:ind w:left="1400"/>
    </w:pPr>
  </w:style>
  <w:style w:type="paragraph" w:styleId="TOC9">
    <w:name w:val="toc 9"/>
    <w:basedOn w:val="Normal"/>
    <w:next w:val="Normal"/>
    <w:autoRedefine/>
    <w:uiPriority w:val="99"/>
    <w:semiHidden/>
    <w:rsid w:val="00667CDB"/>
    <w:pPr>
      <w:tabs>
        <w:tab w:val="clear" w:pos="-720"/>
      </w:tabs>
      <w:ind w:left="1600"/>
    </w:pPr>
  </w:style>
  <w:style w:type="character" w:styleId="PageNumber">
    <w:name w:val="page number"/>
    <w:basedOn w:val="DefaultParagraphFont"/>
    <w:uiPriority w:val="99"/>
    <w:rsid w:val="00667CDB"/>
    <w:rPr>
      <w:rFonts w:cs="Times New Roman"/>
    </w:rPr>
  </w:style>
  <w:style w:type="table" w:styleId="TableGrid">
    <w:name w:val="Table Grid"/>
    <w:basedOn w:val="TableNormal"/>
    <w:uiPriority w:val="99"/>
    <w:rsid w:val="00667CDB"/>
    <w:pPr>
      <w:spacing w:after="0" w:line="240" w:lineRule="auto"/>
    </w:pPr>
    <w:rPr>
      <w:rFonts w:ascii="Times New Roman" w:eastAsia="Times New Roman" w:hAnsi="Times New Roman" w:cs="Times New Roman"/>
      <w:sz w:val="20"/>
      <w:szCs w:val="20"/>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uiPriority w:val="99"/>
    <w:rsid w:val="00667CDB"/>
    <w:pPr>
      <w:tabs>
        <w:tab w:val="left" w:pos="-720"/>
      </w:tabs>
      <w:spacing w:after="0" w:line="360" w:lineRule="atLeast"/>
      <w:jc w:val="both"/>
    </w:pPr>
    <w:rPr>
      <w:rFonts w:ascii="Times New Roman" w:eastAsia="Times New Roman" w:hAnsi="Times New Roman" w:cs="Times New Roman"/>
      <w:sz w:val="20"/>
      <w:szCs w:val="20"/>
      <w:lang w:val="de-DE" w:eastAsia="de-DE"/>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paragraph" w:styleId="Revision">
    <w:name w:val="Revision"/>
    <w:hidden/>
    <w:uiPriority w:val="99"/>
    <w:semiHidden/>
    <w:rsid w:val="007B3178"/>
    <w:pPr>
      <w:spacing w:after="0" w:line="240" w:lineRule="auto"/>
    </w:pPr>
    <w:rPr>
      <w:rFonts w:ascii="Times New Roman" w:eastAsia="Times New Roman" w:hAnsi="Times New Roman" w:cs="Times New Roman"/>
      <w:sz w:val="20"/>
      <w:szCs w:val="20"/>
      <w:lang w:val="en-GB" w:eastAsia="fr-FR"/>
    </w:rPr>
  </w:style>
  <w:style w:type="character" w:customStyle="1" w:styleId="article-articlebody">
    <w:name w:val="article-articlebody"/>
    <w:basedOn w:val="DefaultParagraphFont"/>
    <w:uiPriority w:val="99"/>
    <w:rsid w:val="00667CDB"/>
    <w:rPr>
      <w:rFonts w:cs="Times New Roman"/>
    </w:rPr>
  </w:style>
  <w:style w:type="paragraph" w:styleId="NormalWeb">
    <w:name w:val="Normal (Web)"/>
    <w:basedOn w:val="Normal"/>
    <w:uiPriority w:val="99"/>
    <w:rsid w:val="00667CDB"/>
    <w:pPr>
      <w:tabs>
        <w:tab w:val="clear" w:pos="-720"/>
      </w:tabs>
      <w:spacing w:before="100" w:beforeAutospacing="1" w:after="100" w:afterAutospacing="1" w:line="240" w:lineRule="auto"/>
      <w:jc w:val="left"/>
    </w:pPr>
    <w:rPr>
      <w:sz w:val="24"/>
      <w:szCs w:val="24"/>
      <w:lang w:val="en-US" w:eastAsia="en-US"/>
    </w:rPr>
  </w:style>
  <w:style w:type="paragraph" w:styleId="ListParagraph">
    <w:name w:val="List Paragraph"/>
    <w:basedOn w:val="Normal"/>
    <w:uiPriority w:val="99"/>
    <w:qFormat/>
    <w:rsid w:val="00667CDB"/>
    <w:pPr>
      <w:ind w:left="720"/>
      <w:contextualSpacing/>
    </w:pPr>
  </w:style>
  <w:style w:type="paragraph" w:customStyle="1" w:styleId="A1">
    <w:name w:val="A1"/>
    <w:basedOn w:val="Heading1"/>
    <w:qFormat/>
    <w:rsid w:val="00667CDB"/>
    <w:pPr>
      <w:tabs>
        <w:tab w:val="clear" w:pos="-720"/>
      </w:tabs>
      <w:spacing w:before="0" w:after="240" w:line="240" w:lineRule="auto"/>
      <w:ind w:left="425" w:hanging="425"/>
      <w:jc w:val="left"/>
    </w:pPr>
    <w:rPr>
      <w:rFonts w:ascii="Ottawa" w:eastAsiaTheme="majorEastAsia" w:hAnsi="Ottawa"/>
      <w:sz w:val="22"/>
      <w:szCs w:val="28"/>
      <w:u w:val="none"/>
      <w:lang w:eastAsia="en-US"/>
    </w:rPr>
  </w:style>
  <w:style w:type="paragraph" w:customStyle="1" w:styleId="1Para">
    <w:name w:val="1_Para"/>
    <w:basedOn w:val="Normal"/>
    <w:qFormat/>
    <w:rsid w:val="0089300E"/>
    <w:pPr>
      <w:tabs>
        <w:tab w:val="clear" w:pos="-720"/>
      </w:tabs>
      <w:spacing w:after="240" w:line="240" w:lineRule="auto"/>
    </w:pPr>
    <w:rPr>
      <w:rFonts w:ascii="Söhne" w:eastAsiaTheme="minorEastAsia" w:hAnsi="Söhne" w:cs="Arial"/>
      <w:sz w:val="18"/>
      <w:szCs w:val="18"/>
      <w:lang w:eastAsia="en-US"/>
    </w:rPr>
  </w:style>
  <w:style w:type="paragraph" w:customStyle="1" w:styleId="11">
    <w:name w:val="1.1"/>
    <w:basedOn w:val="Normal"/>
    <w:uiPriority w:val="99"/>
    <w:rsid w:val="0089300E"/>
    <w:pPr>
      <w:tabs>
        <w:tab w:val="clear" w:pos="-720"/>
      </w:tabs>
      <w:spacing w:after="240" w:line="240" w:lineRule="auto"/>
      <w:ind w:left="850" w:hanging="425"/>
      <w:jc w:val="left"/>
    </w:pPr>
    <w:rPr>
      <w:rFonts w:ascii="Söhne Halbfett" w:eastAsiaTheme="minorEastAsia" w:hAnsi="Söhne Halbfett" w:cs="Arial"/>
      <w:szCs w:val="22"/>
      <w:lang w:eastAsia="en-US"/>
    </w:rPr>
  </w:style>
  <w:style w:type="paragraph" w:customStyle="1" w:styleId="11Para">
    <w:name w:val="1.1_Para"/>
    <w:basedOn w:val="Normal"/>
    <w:uiPriority w:val="99"/>
    <w:rsid w:val="0089300E"/>
    <w:pPr>
      <w:tabs>
        <w:tab w:val="clear" w:pos="-720"/>
      </w:tabs>
      <w:spacing w:after="240" w:line="240" w:lineRule="auto"/>
      <w:ind w:left="851"/>
    </w:pPr>
    <w:rPr>
      <w:rFonts w:ascii="Söhne" w:eastAsiaTheme="minorEastAsia" w:hAnsi="Söhne" w:cs="Arial"/>
      <w:sz w:val="18"/>
      <w:szCs w:val="18"/>
      <w:lang w:eastAsia="en-US"/>
    </w:rPr>
  </w:style>
  <w:style w:type="paragraph" w:customStyle="1" w:styleId="111">
    <w:name w:val="1.1.1"/>
    <w:basedOn w:val="Normal"/>
    <w:uiPriority w:val="99"/>
    <w:qFormat/>
    <w:rsid w:val="0089300E"/>
    <w:pPr>
      <w:tabs>
        <w:tab w:val="clear" w:pos="-720"/>
      </w:tabs>
      <w:spacing w:after="120" w:line="240" w:lineRule="auto"/>
      <w:ind w:left="1418" w:hanging="567"/>
      <w:jc w:val="left"/>
    </w:pPr>
    <w:rPr>
      <w:rFonts w:ascii="Söhne Kräftig" w:eastAsiaTheme="minorEastAsia" w:hAnsi="Söhne Kräftig" w:cs="Arial"/>
      <w:sz w:val="19"/>
      <w:lang w:eastAsia="en-US"/>
    </w:rPr>
  </w:style>
  <w:style w:type="paragraph" w:customStyle="1" w:styleId="111Para">
    <w:name w:val="1.1.1_Para"/>
    <w:basedOn w:val="Normal"/>
    <w:qFormat/>
    <w:rsid w:val="0089300E"/>
    <w:pPr>
      <w:tabs>
        <w:tab w:val="clear" w:pos="-720"/>
      </w:tabs>
      <w:spacing w:after="240" w:line="240" w:lineRule="auto"/>
      <w:ind w:left="1418"/>
    </w:pPr>
    <w:rPr>
      <w:rFonts w:ascii="Söhne" w:eastAsiaTheme="minorEastAsia" w:hAnsi="Söhne" w:cs="Arial"/>
      <w:sz w:val="18"/>
      <w:szCs w:val="18"/>
      <w:lang w:eastAsia="en-US"/>
    </w:rPr>
  </w:style>
  <w:style w:type="paragraph" w:customStyle="1" w:styleId="ilast">
    <w:name w:val="i)_last"/>
    <w:basedOn w:val="Normal"/>
    <w:uiPriority w:val="99"/>
    <w:rsid w:val="0089300E"/>
    <w:pPr>
      <w:tabs>
        <w:tab w:val="clear" w:pos="-720"/>
      </w:tabs>
      <w:spacing w:after="240" w:line="240" w:lineRule="auto"/>
      <w:ind w:left="1843" w:hanging="425"/>
      <w:jc w:val="left"/>
    </w:pPr>
    <w:rPr>
      <w:rFonts w:ascii="Arial" w:eastAsiaTheme="minorEastAsia" w:hAnsi="Arial" w:cs="Arial"/>
      <w:sz w:val="18"/>
      <w:szCs w:val="18"/>
      <w:lang w:eastAsia="en-US"/>
    </w:rPr>
  </w:style>
  <w:style w:type="paragraph" w:customStyle="1" w:styleId="afourthlevel">
    <w:name w:val="a)_fourth_level"/>
    <w:basedOn w:val="Normal"/>
    <w:uiPriority w:val="99"/>
    <w:rsid w:val="0089300E"/>
    <w:pPr>
      <w:tabs>
        <w:tab w:val="clear" w:pos="-720"/>
      </w:tabs>
      <w:spacing w:after="120" w:line="240" w:lineRule="auto"/>
      <w:ind w:left="1843" w:hanging="425"/>
      <w:jc w:val="left"/>
    </w:pPr>
    <w:rPr>
      <w:rFonts w:ascii="Söhne Kräftig" w:eastAsiaTheme="minorEastAsia" w:hAnsi="Söhne Kräftig" w:cs="Arial"/>
      <w:sz w:val="18"/>
      <w:lang w:eastAsia="en-US"/>
    </w:rPr>
  </w:style>
  <w:style w:type="paragraph" w:customStyle="1" w:styleId="afourthpara">
    <w:name w:val="a)_fourth_para"/>
    <w:basedOn w:val="Normal"/>
    <w:uiPriority w:val="99"/>
    <w:rsid w:val="0089300E"/>
    <w:pPr>
      <w:tabs>
        <w:tab w:val="clear" w:pos="-720"/>
      </w:tabs>
      <w:spacing w:after="240" w:line="240" w:lineRule="auto"/>
      <w:ind w:left="1843"/>
    </w:pPr>
    <w:rPr>
      <w:rFonts w:ascii="Söhne" w:eastAsiaTheme="minorEastAsia" w:hAnsi="Söhne" w:cs="Arial"/>
      <w:sz w:val="18"/>
      <w:szCs w:val="18"/>
      <w:lang w:eastAsia="en-US"/>
    </w:rPr>
  </w:style>
  <w:style w:type="paragraph" w:customStyle="1" w:styleId="ififthlevel">
    <w:name w:val="i)_fifth_level"/>
    <w:basedOn w:val="Normal"/>
    <w:uiPriority w:val="99"/>
    <w:rsid w:val="0089300E"/>
    <w:pPr>
      <w:tabs>
        <w:tab w:val="clear" w:pos="-720"/>
      </w:tabs>
      <w:spacing w:after="120" w:line="240" w:lineRule="auto"/>
      <w:ind w:left="2268" w:hanging="425"/>
      <w:jc w:val="left"/>
    </w:pPr>
    <w:rPr>
      <w:rFonts w:ascii="Ottawa" w:eastAsiaTheme="minorEastAsia" w:hAnsi="Ottawa" w:cs="Arial"/>
      <w:b/>
      <w:sz w:val="17"/>
      <w:szCs w:val="18"/>
      <w:lang w:eastAsia="en-US"/>
    </w:rPr>
  </w:style>
  <w:style w:type="paragraph" w:customStyle="1" w:styleId="ififthpara">
    <w:name w:val="i)_fifth_para"/>
    <w:basedOn w:val="Normal"/>
    <w:uiPriority w:val="99"/>
    <w:rsid w:val="0089300E"/>
    <w:pPr>
      <w:tabs>
        <w:tab w:val="clear" w:pos="-720"/>
      </w:tabs>
      <w:spacing w:after="240" w:line="240" w:lineRule="auto"/>
      <w:ind w:left="1843"/>
    </w:pPr>
    <w:rPr>
      <w:rFonts w:ascii="Söhne" w:eastAsiaTheme="minorEastAsia" w:hAnsi="Söhne" w:cs="Arial"/>
      <w:sz w:val="18"/>
      <w:szCs w:val="18"/>
      <w:lang w:eastAsia="en-US"/>
    </w:rPr>
  </w:style>
  <w:style w:type="paragraph" w:customStyle="1" w:styleId="dotsixthlevel">
    <w:name w:val="dot_sixth_level"/>
    <w:basedOn w:val="Normal"/>
    <w:uiPriority w:val="99"/>
    <w:rsid w:val="0089300E"/>
    <w:pPr>
      <w:tabs>
        <w:tab w:val="clear" w:pos="-720"/>
      </w:tabs>
      <w:spacing w:after="120" w:line="240" w:lineRule="auto"/>
      <w:ind w:left="2268" w:hanging="425"/>
    </w:pPr>
    <w:rPr>
      <w:rFonts w:ascii="Söhne" w:eastAsiaTheme="minorEastAsia" w:hAnsi="Söhne" w:cs="Arial"/>
      <w:sz w:val="18"/>
      <w:szCs w:val="18"/>
      <w:lang w:eastAsia="en-US"/>
    </w:rPr>
  </w:style>
  <w:style w:type="paragraph" w:customStyle="1" w:styleId="dotsixthpara">
    <w:name w:val="dot_sixth_para"/>
    <w:basedOn w:val="Normal"/>
    <w:uiPriority w:val="99"/>
    <w:rsid w:val="0089300E"/>
    <w:pPr>
      <w:tabs>
        <w:tab w:val="clear" w:pos="-720"/>
      </w:tabs>
      <w:spacing w:after="240" w:line="240" w:lineRule="auto"/>
      <w:ind w:left="2268"/>
    </w:pPr>
    <w:rPr>
      <w:rFonts w:ascii="Söhne" w:eastAsiaTheme="minorEastAsia" w:hAnsi="Söhne" w:cs="Arial"/>
      <w:sz w:val="18"/>
      <w:szCs w:val="18"/>
      <w:lang w:eastAsia="en-US"/>
    </w:rPr>
  </w:style>
  <w:style w:type="paragraph" w:customStyle="1" w:styleId="ififthlevellist">
    <w:name w:val="i_fifth_level_list"/>
    <w:basedOn w:val="ififthpara"/>
    <w:uiPriority w:val="99"/>
    <w:rsid w:val="0089300E"/>
    <w:pPr>
      <w:spacing w:after="120"/>
      <w:ind w:hanging="425"/>
    </w:pPr>
  </w:style>
  <w:style w:type="paragraph" w:customStyle="1" w:styleId="Reflabnote">
    <w:name w:val="Ref_lab_note"/>
    <w:basedOn w:val="Normal"/>
    <w:link w:val="ReflabnoteCar"/>
    <w:rsid w:val="00667CDB"/>
    <w:pPr>
      <w:tabs>
        <w:tab w:val="clear" w:pos="-720"/>
      </w:tabs>
      <w:spacing w:before="120" w:after="120" w:line="240" w:lineRule="auto"/>
      <w:jc w:val="center"/>
    </w:pPr>
    <w:rPr>
      <w:rFonts w:ascii="Arial" w:hAnsi="Arial" w:cs="Arial"/>
      <w:sz w:val="18"/>
      <w:szCs w:val="18"/>
    </w:rPr>
  </w:style>
  <w:style w:type="character" w:customStyle="1" w:styleId="ReflabnoteCar">
    <w:name w:val="Ref_lab_note Car"/>
    <w:basedOn w:val="DefaultParagraphFont"/>
    <w:link w:val="Reflabnote"/>
    <w:rsid w:val="00667CDB"/>
    <w:rPr>
      <w:rFonts w:ascii="Arial" w:eastAsia="Times New Roman" w:hAnsi="Arial" w:cs="Arial"/>
      <w:sz w:val="18"/>
      <w:szCs w:val="18"/>
      <w:lang w:val="en-GB" w:eastAsia="fr-FR"/>
    </w:rPr>
  </w:style>
  <w:style w:type="character" w:styleId="UnresolvedMention">
    <w:name w:val="Unresolved Mention"/>
    <w:basedOn w:val="DefaultParagraphFont"/>
    <w:uiPriority w:val="99"/>
    <w:semiHidden/>
    <w:unhideWhenUsed/>
    <w:rsid w:val="00667CDB"/>
    <w:rPr>
      <w:color w:val="605E5C"/>
      <w:shd w:val="clear" w:color="auto" w:fill="E1DFDD"/>
    </w:rPr>
  </w:style>
  <w:style w:type="paragraph" w:customStyle="1" w:styleId="Default">
    <w:name w:val="Default"/>
    <w:rsid w:val="00667C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Emphasis">
    <w:name w:val="Emphasis"/>
    <w:uiPriority w:val="20"/>
    <w:qFormat/>
    <w:rsid w:val="005B1AFD"/>
    <w:rPr>
      <w:i/>
      <w:iCs/>
    </w:rPr>
  </w:style>
  <w:style w:type="character" w:styleId="Strong">
    <w:name w:val="Strong"/>
    <w:basedOn w:val="DefaultParagraphFont"/>
    <w:uiPriority w:val="22"/>
    <w:qFormat/>
    <w:rsid w:val="00172260"/>
    <w:rPr>
      <w:b/>
      <w:bCs/>
    </w:rPr>
  </w:style>
  <w:style w:type="paragraph" w:customStyle="1" w:styleId="1111">
    <w:name w:val="1.1.1.1"/>
    <w:basedOn w:val="Normal"/>
    <w:uiPriority w:val="99"/>
    <w:qFormat/>
    <w:rsid w:val="0089300E"/>
    <w:pPr>
      <w:tabs>
        <w:tab w:val="clear" w:pos="-720"/>
      </w:tabs>
      <w:spacing w:after="120" w:line="240" w:lineRule="auto"/>
      <w:ind w:left="1843" w:hanging="425"/>
      <w:jc w:val="left"/>
    </w:pPr>
    <w:rPr>
      <w:rFonts w:ascii="Söhne Kräftig" w:eastAsiaTheme="minorEastAsia" w:hAnsi="Söhne Kräftig" w:cs="Arial"/>
      <w:sz w:val="18"/>
      <w:szCs w:val="18"/>
      <w:lang w:eastAsia="en-US"/>
    </w:rPr>
  </w:style>
  <w:style w:type="paragraph" w:customStyle="1" w:styleId="11111">
    <w:name w:val="1.1.1.1.1"/>
    <w:basedOn w:val="Normal"/>
    <w:uiPriority w:val="99"/>
    <w:rsid w:val="0089300E"/>
    <w:pPr>
      <w:tabs>
        <w:tab w:val="clear" w:pos="-720"/>
      </w:tabs>
      <w:spacing w:after="120" w:line="240" w:lineRule="auto"/>
      <w:ind w:left="1588"/>
      <w:jc w:val="left"/>
    </w:pPr>
    <w:rPr>
      <w:rFonts w:ascii="Söhne" w:eastAsiaTheme="minorEastAsia" w:hAnsi="Söhne" w:cs="Arial"/>
      <w:sz w:val="18"/>
      <w:szCs w:val="18"/>
      <w:lang w:eastAsia="en-US"/>
    </w:rPr>
  </w:style>
  <w:style w:type="paragraph" w:customStyle="1" w:styleId="11ilist">
    <w:name w:val="1.1.i_list"/>
    <w:basedOn w:val="ListParagraph"/>
    <w:uiPriority w:val="99"/>
    <w:rsid w:val="0089300E"/>
    <w:pPr>
      <w:tabs>
        <w:tab w:val="clear" w:pos="-720"/>
        <w:tab w:val="left" w:pos="851"/>
      </w:tabs>
      <w:spacing w:after="120" w:line="240" w:lineRule="auto"/>
      <w:ind w:left="1276" w:hanging="425"/>
      <w:contextualSpacing w:val="0"/>
    </w:pPr>
    <w:rPr>
      <w:rFonts w:ascii="Söhne" w:eastAsiaTheme="minorEastAsia" w:hAnsi="Söhne" w:cs="Arial"/>
      <w:sz w:val="18"/>
      <w:szCs w:val="18"/>
      <w:lang w:eastAsia="en-US"/>
    </w:rPr>
  </w:style>
  <w:style w:type="character" w:customStyle="1" w:styleId="paraACar">
    <w:name w:val="paraA Car"/>
    <w:link w:val="paraA0"/>
    <w:uiPriority w:val="99"/>
    <w:locked/>
    <w:rsid w:val="0089300E"/>
    <w:rPr>
      <w:rFonts w:ascii="Söhne" w:eastAsia="Times New Roman" w:hAnsi="Söhne" w:cs="Times New Roman"/>
      <w:sz w:val="18"/>
      <w:szCs w:val="18"/>
      <w:lang w:val="en-GB" w:eastAsia="fr-FR"/>
    </w:rPr>
  </w:style>
  <w:style w:type="paragraph" w:customStyle="1" w:styleId="rfrences">
    <w:name w:val="références"/>
    <w:basedOn w:val="Normal"/>
    <w:link w:val="rfrencesChar"/>
    <w:rsid w:val="0089300E"/>
    <w:pPr>
      <w:tabs>
        <w:tab w:val="clear" w:pos="-720"/>
      </w:tabs>
      <w:spacing w:after="240" w:line="240" w:lineRule="auto"/>
    </w:pPr>
    <w:rPr>
      <w:rFonts w:ascii="Söhne" w:hAnsi="Söhne"/>
      <w:sz w:val="18"/>
      <w:szCs w:val="22"/>
      <w:lang w:val="fr-FR" w:bidi="en-US"/>
    </w:rPr>
  </w:style>
  <w:style w:type="character" w:customStyle="1" w:styleId="rfrencesChar">
    <w:name w:val="références Char"/>
    <w:link w:val="rfrences"/>
    <w:rsid w:val="0089300E"/>
    <w:rPr>
      <w:rFonts w:ascii="Söhne" w:eastAsia="Times New Roman" w:hAnsi="Söhne" w:cs="Times New Roman"/>
      <w:sz w:val="18"/>
      <w:lang w:val="fr-FR" w:eastAsia="fr-FR" w:bidi="en-US"/>
    </w:rPr>
  </w:style>
  <w:style w:type="paragraph" w:customStyle="1" w:styleId="Tabletitle">
    <w:name w:val="Table title"/>
    <w:basedOn w:val="Normal"/>
    <w:autoRedefine/>
    <w:uiPriority w:val="99"/>
    <w:rsid w:val="00CE2C66"/>
    <w:pPr>
      <w:tabs>
        <w:tab w:val="clear" w:pos="-720"/>
      </w:tabs>
      <w:spacing w:before="120" w:after="120" w:line="240" w:lineRule="auto"/>
      <w:jc w:val="center"/>
    </w:pPr>
    <w:rPr>
      <w:rFonts w:ascii="Söhne Kräftig" w:hAnsi="Söhne Kräftig" w:cs="Ottawa"/>
      <w:b/>
      <w:bCs/>
      <w:i/>
      <w:iCs/>
      <w:sz w:val="18"/>
      <w:szCs w:val="18"/>
      <w:lang w:eastAsia="en-US"/>
    </w:rPr>
  </w:style>
  <w:style w:type="character" w:customStyle="1" w:styleId="fmtalo-doi">
    <w:name w:val="fmtalo-doi"/>
    <w:basedOn w:val="DefaultParagraphFont"/>
    <w:rsid w:val="0091782A"/>
  </w:style>
  <w:style w:type="character" w:customStyle="1" w:styleId="title-text">
    <w:name w:val="title-text"/>
    <w:basedOn w:val="DefaultParagraphFont"/>
    <w:rsid w:val="004B3887"/>
  </w:style>
  <w:style w:type="character" w:customStyle="1" w:styleId="cit">
    <w:name w:val="cit"/>
    <w:basedOn w:val="DefaultParagraphFont"/>
    <w:rsid w:val="00C33D07"/>
  </w:style>
  <w:style w:type="character" w:customStyle="1" w:styleId="citation-doi">
    <w:name w:val="citation-doi"/>
    <w:basedOn w:val="DefaultParagraphFont"/>
    <w:rsid w:val="00C33D07"/>
  </w:style>
  <w:style w:type="character" w:customStyle="1" w:styleId="cf01">
    <w:name w:val="cf01"/>
    <w:basedOn w:val="DefaultParagraphFont"/>
    <w:rsid w:val="00545241"/>
    <w:rPr>
      <w:rFonts w:ascii="Segoe UI" w:hAnsi="Segoe UI" w:cs="Segoe UI" w:hint="default"/>
      <w:sz w:val="18"/>
      <w:szCs w:val="18"/>
    </w:rPr>
  </w:style>
  <w:style w:type="paragraph" w:customStyle="1" w:styleId="pf0">
    <w:name w:val="pf0"/>
    <w:basedOn w:val="Normal"/>
    <w:rsid w:val="00663379"/>
    <w:pPr>
      <w:tabs>
        <w:tab w:val="clear" w:pos="-720"/>
      </w:tabs>
      <w:spacing w:before="100" w:beforeAutospacing="1" w:after="100" w:afterAutospacing="1" w:line="240" w:lineRule="auto"/>
      <w:jc w:val="left"/>
    </w:pPr>
    <w:rPr>
      <w:sz w:val="24"/>
      <w:szCs w:val="24"/>
      <w:lang w:val="en-IE" w:eastAsia="en-IE"/>
    </w:rPr>
  </w:style>
  <w:style w:type="character" w:customStyle="1" w:styleId="cf11">
    <w:name w:val="cf11"/>
    <w:basedOn w:val="DefaultParagraphFont"/>
    <w:rsid w:val="00663379"/>
    <w:rPr>
      <w:rFonts w:ascii="Segoe UI" w:hAnsi="Segoe UI" w:cs="Segoe UI" w:hint="default"/>
      <w:i/>
      <w:iCs/>
      <w:sz w:val="18"/>
      <w:szCs w:val="18"/>
    </w:rPr>
  </w:style>
  <w:style w:type="character" w:customStyle="1" w:styleId="cf21">
    <w:name w:val="cf21"/>
    <w:basedOn w:val="DefaultParagraphFont"/>
    <w:rsid w:val="00663379"/>
    <w:rPr>
      <w:rFonts w:ascii="Segoe UI" w:hAnsi="Segoe UI" w:cs="Segoe UI" w:hint="default"/>
      <w:b/>
      <w:bCs/>
      <w:sz w:val="18"/>
      <w:szCs w:val="18"/>
    </w:rPr>
  </w:style>
  <w:style w:type="character" w:customStyle="1" w:styleId="cf31">
    <w:name w:val="cf31"/>
    <w:basedOn w:val="DefaultParagraphFont"/>
    <w:rsid w:val="00E5686D"/>
    <w:rPr>
      <w:rFonts w:ascii="Segoe UI" w:hAnsi="Segoe UI" w:cs="Segoe UI" w:hint="default"/>
      <w:b/>
      <w:bCs/>
      <w:sz w:val="18"/>
      <w:szCs w:val="18"/>
    </w:rPr>
  </w:style>
  <w:style w:type="character" w:customStyle="1" w:styleId="identifier">
    <w:name w:val="identifier"/>
    <w:basedOn w:val="DefaultParagraphFont"/>
    <w:rsid w:val="006E5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64854">
      <w:bodyDiv w:val="1"/>
      <w:marLeft w:val="0"/>
      <w:marRight w:val="0"/>
      <w:marTop w:val="0"/>
      <w:marBottom w:val="0"/>
      <w:divBdr>
        <w:top w:val="none" w:sz="0" w:space="0" w:color="auto"/>
        <w:left w:val="none" w:sz="0" w:space="0" w:color="auto"/>
        <w:bottom w:val="none" w:sz="0" w:space="0" w:color="auto"/>
        <w:right w:val="none" w:sz="0" w:space="0" w:color="auto"/>
      </w:divBdr>
    </w:div>
    <w:div w:id="179122877">
      <w:bodyDiv w:val="1"/>
      <w:marLeft w:val="0"/>
      <w:marRight w:val="0"/>
      <w:marTop w:val="0"/>
      <w:marBottom w:val="0"/>
      <w:divBdr>
        <w:top w:val="none" w:sz="0" w:space="0" w:color="auto"/>
        <w:left w:val="none" w:sz="0" w:space="0" w:color="auto"/>
        <w:bottom w:val="none" w:sz="0" w:space="0" w:color="auto"/>
        <w:right w:val="none" w:sz="0" w:space="0" w:color="auto"/>
      </w:divBdr>
    </w:div>
    <w:div w:id="367223561">
      <w:bodyDiv w:val="1"/>
      <w:marLeft w:val="0"/>
      <w:marRight w:val="0"/>
      <w:marTop w:val="0"/>
      <w:marBottom w:val="0"/>
      <w:divBdr>
        <w:top w:val="none" w:sz="0" w:space="0" w:color="auto"/>
        <w:left w:val="none" w:sz="0" w:space="0" w:color="auto"/>
        <w:bottom w:val="none" w:sz="0" w:space="0" w:color="auto"/>
        <w:right w:val="none" w:sz="0" w:space="0" w:color="auto"/>
      </w:divBdr>
    </w:div>
    <w:div w:id="380592843">
      <w:bodyDiv w:val="1"/>
      <w:marLeft w:val="0"/>
      <w:marRight w:val="0"/>
      <w:marTop w:val="0"/>
      <w:marBottom w:val="0"/>
      <w:divBdr>
        <w:top w:val="none" w:sz="0" w:space="0" w:color="auto"/>
        <w:left w:val="none" w:sz="0" w:space="0" w:color="auto"/>
        <w:bottom w:val="none" w:sz="0" w:space="0" w:color="auto"/>
        <w:right w:val="none" w:sz="0" w:space="0" w:color="auto"/>
      </w:divBdr>
    </w:div>
    <w:div w:id="476606447">
      <w:bodyDiv w:val="1"/>
      <w:marLeft w:val="0"/>
      <w:marRight w:val="0"/>
      <w:marTop w:val="0"/>
      <w:marBottom w:val="0"/>
      <w:divBdr>
        <w:top w:val="none" w:sz="0" w:space="0" w:color="auto"/>
        <w:left w:val="none" w:sz="0" w:space="0" w:color="auto"/>
        <w:bottom w:val="none" w:sz="0" w:space="0" w:color="auto"/>
        <w:right w:val="none" w:sz="0" w:space="0" w:color="auto"/>
      </w:divBdr>
      <w:divsChild>
        <w:div w:id="257636117">
          <w:marLeft w:val="360"/>
          <w:marRight w:val="0"/>
          <w:marTop w:val="200"/>
          <w:marBottom w:val="0"/>
          <w:divBdr>
            <w:top w:val="none" w:sz="0" w:space="0" w:color="auto"/>
            <w:left w:val="none" w:sz="0" w:space="0" w:color="auto"/>
            <w:bottom w:val="none" w:sz="0" w:space="0" w:color="auto"/>
            <w:right w:val="none" w:sz="0" w:space="0" w:color="auto"/>
          </w:divBdr>
        </w:div>
        <w:div w:id="990521780">
          <w:marLeft w:val="360"/>
          <w:marRight w:val="0"/>
          <w:marTop w:val="200"/>
          <w:marBottom w:val="0"/>
          <w:divBdr>
            <w:top w:val="none" w:sz="0" w:space="0" w:color="auto"/>
            <w:left w:val="none" w:sz="0" w:space="0" w:color="auto"/>
            <w:bottom w:val="none" w:sz="0" w:space="0" w:color="auto"/>
            <w:right w:val="none" w:sz="0" w:space="0" w:color="auto"/>
          </w:divBdr>
        </w:div>
        <w:div w:id="1260799645">
          <w:marLeft w:val="360"/>
          <w:marRight w:val="0"/>
          <w:marTop w:val="200"/>
          <w:marBottom w:val="0"/>
          <w:divBdr>
            <w:top w:val="none" w:sz="0" w:space="0" w:color="auto"/>
            <w:left w:val="none" w:sz="0" w:space="0" w:color="auto"/>
            <w:bottom w:val="none" w:sz="0" w:space="0" w:color="auto"/>
            <w:right w:val="none" w:sz="0" w:space="0" w:color="auto"/>
          </w:divBdr>
        </w:div>
        <w:div w:id="1545405366">
          <w:marLeft w:val="360"/>
          <w:marRight w:val="0"/>
          <w:marTop w:val="200"/>
          <w:marBottom w:val="0"/>
          <w:divBdr>
            <w:top w:val="none" w:sz="0" w:space="0" w:color="auto"/>
            <w:left w:val="none" w:sz="0" w:space="0" w:color="auto"/>
            <w:bottom w:val="none" w:sz="0" w:space="0" w:color="auto"/>
            <w:right w:val="none" w:sz="0" w:space="0" w:color="auto"/>
          </w:divBdr>
        </w:div>
        <w:div w:id="1642805860">
          <w:marLeft w:val="360"/>
          <w:marRight w:val="0"/>
          <w:marTop w:val="200"/>
          <w:marBottom w:val="0"/>
          <w:divBdr>
            <w:top w:val="none" w:sz="0" w:space="0" w:color="auto"/>
            <w:left w:val="none" w:sz="0" w:space="0" w:color="auto"/>
            <w:bottom w:val="none" w:sz="0" w:space="0" w:color="auto"/>
            <w:right w:val="none" w:sz="0" w:space="0" w:color="auto"/>
          </w:divBdr>
        </w:div>
      </w:divsChild>
    </w:div>
    <w:div w:id="596402207">
      <w:bodyDiv w:val="1"/>
      <w:marLeft w:val="0"/>
      <w:marRight w:val="0"/>
      <w:marTop w:val="0"/>
      <w:marBottom w:val="0"/>
      <w:divBdr>
        <w:top w:val="none" w:sz="0" w:space="0" w:color="auto"/>
        <w:left w:val="none" w:sz="0" w:space="0" w:color="auto"/>
        <w:bottom w:val="none" w:sz="0" w:space="0" w:color="auto"/>
        <w:right w:val="none" w:sz="0" w:space="0" w:color="auto"/>
      </w:divBdr>
    </w:div>
    <w:div w:id="787117792">
      <w:marLeft w:val="0"/>
      <w:marRight w:val="0"/>
      <w:marTop w:val="0"/>
      <w:marBottom w:val="0"/>
      <w:divBdr>
        <w:top w:val="none" w:sz="0" w:space="0" w:color="auto"/>
        <w:left w:val="none" w:sz="0" w:space="0" w:color="auto"/>
        <w:bottom w:val="none" w:sz="0" w:space="0" w:color="auto"/>
        <w:right w:val="none" w:sz="0" w:space="0" w:color="auto"/>
      </w:divBdr>
    </w:div>
    <w:div w:id="787117793">
      <w:marLeft w:val="0"/>
      <w:marRight w:val="0"/>
      <w:marTop w:val="0"/>
      <w:marBottom w:val="0"/>
      <w:divBdr>
        <w:top w:val="none" w:sz="0" w:space="0" w:color="auto"/>
        <w:left w:val="none" w:sz="0" w:space="0" w:color="auto"/>
        <w:bottom w:val="none" w:sz="0" w:space="0" w:color="auto"/>
        <w:right w:val="none" w:sz="0" w:space="0" w:color="auto"/>
      </w:divBdr>
    </w:div>
    <w:div w:id="787117794">
      <w:marLeft w:val="0"/>
      <w:marRight w:val="0"/>
      <w:marTop w:val="0"/>
      <w:marBottom w:val="0"/>
      <w:divBdr>
        <w:top w:val="none" w:sz="0" w:space="0" w:color="auto"/>
        <w:left w:val="none" w:sz="0" w:space="0" w:color="auto"/>
        <w:bottom w:val="none" w:sz="0" w:space="0" w:color="auto"/>
        <w:right w:val="none" w:sz="0" w:space="0" w:color="auto"/>
      </w:divBdr>
    </w:div>
    <w:div w:id="787117795">
      <w:marLeft w:val="0"/>
      <w:marRight w:val="0"/>
      <w:marTop w:val="0"/>
      <w:marBottom w:val="0"/>
      <w:divBdr>
        <w:top w:val="none" w:sz="0" w:space="0" w:color="auto"/>
        <w:left w:val="none" w:sz="0" w:space="0" w:color="auto"/>
        <w:bottom w:val="none" w:sz="0" w:space="0" w:color="auto"/>
        <w:right w:val="none" w:sz="0" w:space="0" w:color="auto"/>
      </w:divBdr>
    </w:div>
    <w:div w:id="787117796">
      <w:marLeft w:val="0"/>
      <w:marRight w:val="0"/>
      <w:marTop w:val="0"/>
      <w:marBottom w:val="0"/>
      <w:divBdr>
        <w:top w:val="none" w:sz="0" w:space="0" w:color="auto"/>
        <w:left w:val="none" w:sz="0" w:space="0" w:color="auto"/>
        <w:bottom w:val="none" w:sz="0" w:space="0" w:color="auto"/>
        <w:right w:val="none" w:sz="0" w:space="0" w:color="auto"/>
      </w:divBdr>
    </w:div>
    <w:div w:id="787117797">
      <w:marLeft w:val="0"/>
      <w:marRight w:val="0"/>
      <w:marTop w:val="0"/>
      <w:marBottom w:val="0"/>
      <w:divBdr>
        <w:top w:val="none" w:sz="0" w:space="0" w:color="auto"/>
        <w:left w:val="none" w:sz="0" w:space="0" w:color="auto"/>
        <w:bottom w:val="none" w:sz="0" w:space="0" w:color="auto"/>
        <w:right w:val="none" w:sz="0" w:space="0" w:color="auto"/>
      </w:divBdr>
    </w:div>
    <w:div w:id="787117798">
      <w:marLeft w:val="0"/>
      <w:marRight w:val="0"/>
      <w:marTop w:val="0"/>
      <w:marBottom w:val="0"/>
      <w:divBdr>
        <w:top w:val="none" w:sz="0" w:space="0" w:color="auto"/>
        <w:left w:val="none" w:sz="0" w:space="0" w:color="auto"/>
        <w:bottom w:val="none" w:sz="0" w:space="0" w:color="auto"/>
        <w:right w:val="none" w:sz="0" w:space="0" w:color="auto"/>
      </w:divBdr>
    </w:div>
    <w:div w:id="787117799">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55257170">
      <w:bodyDiv w:val="1"/>
      <w:marLeft w:val="0"/>
      <w:marRight w:val="0"/>
      <w:marTop w:val="0"/>
      <w:marBottom w:val="0"/>
      <w:divBdr>
        <w:top w:val="none" w:sz="0" w:space="0" w:color="auto"/>
        <w:left w:val="none" w:sz="0" w:space="0" w:color="auto"/>
        <w:bottom w:val="none" w:sz="0" w:space="0" w:color="auto"/>
        <w:right w:val="none" w:sz="0" w:space="0" w:color="auto"/>
      </w:divBdr>
      <w:divsChild>
        <w:div w:id="914172562">
          <w:marLeft w:val="360"/>
          <w:marRight w:val="0"/>
          <w:marTop w:val="200"/>
          <w:marBottom w:val="0"/>
          <w:divBdr>
            <w:top w:val="none" w:sz="0" w:space="0" w:color="auto"/>
            <w:left w:val="none" w:sz="0" w:space="0" w:color="auto"/>
            <w:bottom w:val="none" w:sz="0" w:space="0" w:color="auto"/>
            <w:right w:val="none" w:sz="0" w:space="0" w:color="auto"/>
          </w:divBdr>
        </w:div>
        <w:div w:id="1450976379">
          <w:marLeft w:val="360"/>
          <w:marRight w:val="0"/>
          <w:marTop w:val="200"/>
          <w:marBottom w:val="0"/>
          <w:divBdr>
            <w:top w:val="none" w:sz="0" w:space="0" w:color="auto"/>
            <w:left w:val="none" w:sz="0" w:space="0" w:color="auto"/>
            <w:bottom w:val="none" w:sz="0" w:space="0" w:color="auto"/>
            <w:right w:val="none" w:sz="0" w:space="0" w:color="auto"/>
          </w:divBdr>
        </w:div>
        <w:div w:id="1803883742">
          <w:marLeft w:val="360"/>
          <w:marRight w:val="0"/>
          <w:marTop w:val="200"/>
          <w:marBottom w:val="0"/>
          <w:divBdr>
            <w:top w:val="none" w:sz="0" w:space="0" w:color="auto"/>
            <w:left w:val="none" w:sz="0" w:space="0" w:color="auto"/>
            <w:bottom w:val="none" w:sz="0" w:space="0" w:color="auto"/>
            <w:right w:val="none" w:sz="0" w:space="0" w:color="auto"/>
          </w:divBdr>
        </w:div>
        <w:div w:id="2010330477">
          <w:marLeft w:val="547"/>
          <w:marRight w:val="0"/>
          <w:marTop w:val="200"/>
          <w:marBottom w:val="0"/>
          <w:divBdr>
            <w:top w:val="none" w:sz="0" w:space="0" w:color="auto"/>
            <w:left w:val="none" w:sz="0" w:space="0" w:color="auto"/>
            <w:bottom w:val="none" w:sz="0" w:space="0" w:color="auto"/>
            <w:right w:val="none" w:sz="0" w:space="0" w:color="auto"/>
          </w:divBdr>
        </w:div>
      </w:divsChild>
    </w:div>
    <w:div w:id="1237665477">
      <w:bodyDiv w:val="1"/>
      <w:marLeft w:val="0"/>
      <w:marRight w:val="0"/>
      <w:marTop w:val="0"/>
      <w:marBottom w:val="0"/>
      <w:divBdr>
        <w:top w:val="none" w:sz="0" w:space="0" w:color="auto"/>
        <w:left w:val="none" w:sz="0" w:space="0" w:color="auto"/>
        <w:bottom w:val="none" w:sz="0" w:space="0" w:color="auto"/>
        <w:right w:val="none" w:sz="0" w:space="0" w:color="auto"/>
      </w:divBdr>
    </w:div>
    <w:div w:id="1281569853">
      <w:bodyDiv w:val="1"/>
      <w:marLeft w:val="0"/>
      <w:marRight w:val="0"/>
      <w:marTop w:val="0"/>
      <w:marBottom w:val="0"/>
      <w:divBdr>
        <w:top w:val="none" w:sz="0" w:space="0" w:color="auto"/>
        <w:left w:val="none" w:sz="0" w:space="0" w:color="auto"/>
        <w:bottom w:val="none" w:sz="0" w:space="0" w:color="auto"/>
        <w:right w:val="none" w:sz="0" w:space="0" w:color="auto"/>
      </w:divBdr>
    </w:div>
    <w:div w:id="1291981467">
      <w:bodyDiv w:val="1"/>
      <w:marLeft w:val="0"/>
      <w:marRight w:val="0"/>
      <w:marTop w:val="0"/>
      <w:marBottom w:val="0"/>
      <w:divBdr>
        <w:top w:val="none" w:sz="0" w:space="0" w:color="auto"/>
        <w:left w:val="none" w:sz="0" w:space="0" w:color="auto"/>
        <w:bottom w:val="none" w:sz="0" w:space="0" w:color="auto"/>
        <w:right w:val="none" w:sz="0" w:space="0" w:color="auto"/>
      </w:divBdr>
    </w:div>
    <w:div w:id="1643119235">
      <w:bodyDiv w:val="1"/>
      <w:marLeft w:val="0"/>
      <w:marRight w:val="0"/>
      <w:marTop w:val="0"/>
      <w:marBottom w:val="0"/>
      <w:divBdr>
        <w:top w:val="none" w:sz="0" w:space="0" w:color="auto"/>
        <w:left w:val="none" w:sz="0" w:space="0" w:color="auto"/>
        <w:bottom w:val="none" w:sz="0" w:space="0" w:color="auto"/>
        <w:right w:val="none" w:sz="0" w:space="0" w:color="auto"/>
      </w:divBdr>
    </w:div>
    <w:div w:id="1932739441">
      <w:bodyDiv w:val="1"/>
      <w:marLeft w:val="0"/>
      <w:marRight w:val="0"/>
      <w:marTop w:val="0"/>
      <w:marBottom w:val="0"/>
      <w:divBdr>
        <w:top w:val="none" w:sz="0" w:space="0" w:color="auto"/>
        <w:left w:val="none" w:sz="0" w:space="0" w:color="auto"/>
        <w:bottom w:val="none" w:sz="0" w:space="0" w:color="auto"/>
        <w:right w:val="none" w:sz="0" w:space="0" w:color="auto"/>
      </w:divBdr>
    </w:div>
    <w:div w:id="2026907386">
      <w:bodyDiv w:val="1"/>
      <w:marLeft w:val="0"/>
      <w:marRight w:val="0"/>
      <w:marTop w:val="0"/>
      <w:marBottom w:val="0"/>
      <w:divBdr>
        <w:top w:val="none" w:sz="0" w:space="0" w:color="auto"/>
        <w:left w:val="none" w:sz="0" w:space="0" w:color="auto"/>
        <w:bottom w:val="none" w:sz="0" w:space="0" w:color="auto"/>
        <w:right w:val="none" w:sz="0" w:space="0" w:color="auto"/>
      </w:divBdr>
    </w:div>
    <w:div w:id="2044942898">
      <w:bodyDiv w:val="1"/>
      <w:marLeft w:val="0"/>
      <w:marRight w:val="0"/>
      <w:marTop w:val="0"/>
      <w:marBottom w:val="0"/>
      <w:divBdr>
        <w:top w:val="none" w:sz="0" w:space="0" w:color="auto"/>
        <w:left w:val="none" w:sz="0" w:space="0" w:color="auto"/>
        <w:bottom w:val="none" w:sz="0" w:space="0" w:color="auto"/>
        <w:right w:val="none" w:sz="0" w:space="0" w:color="auto"/>
      </w:divBdr>
    </w:div>
    <w:div w:id="2099597078">
      <w:bodyDiv w:val="1"/>
      <w:marLeft w:val="0"/>
      <w:marRight w:val="0"/>
      <w:marTop w:val="0"/>
      <w:marBottom w:val="0"/>
      <w:divBdr>
        <w:top w:val="none" w:sz="0" w:space="0" w:color="auto"/>
        <w:left w:val="none" w:sz="0" w:space="0" w:color="auto"/>
        <w:bottom w:val="none" w:sz="0" w:space="0" w:color="auto"/>
        <w:right w:val="none" w:sz="0" w:space="0" w:color="auto"/>
      </w:divBdr>
    </w:div>
    <w:div w:id="211493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customXml" Target="ink/ink2.xml"/><Relationship Id="rId39" Type="http://schemas.openxmlformats.org/officeDocument/2006/relationships/hyperlink" Target="https://publications.csiro.au/rpr/pub?pid=csiro:EP1312151" TargetMode="External"/><Relationship Id="rId34" Type="http://schemas.openxmlformats.org/officeDocument/2006/relationships/hyperlink" Target="https://doi.org/10.3390/diagnostics1010053" TargetMode="External"/><Relationship Id="rId42" Type="http://schemas.openxmlformats.org/officeDocument/2006/relationships/hyperlink" Target="https://doi.org/10.20506/rst.40.1.3217" TargetMode="External"/><Relationship Id="rId47" Type="http://schemas.openxmlformats.org/officeDocument/2006/relationships/hyperlink" Target="https://www.iaea.org/services/zodiac" TargetMode="External"/><Relationship Id="rId50" Type="http://schemas.openxmlformats.org/officeDocument/2006/relationships/hyperlink" Target="https://www.woah.org/en/what-we-offer/expertise-network/collaborating-centres/" TargetMode="External"/><Relationship Id="rId55" Type="http://schemas.openxmlformats.org/officeDocument/2006/relationships/footer" Target="footer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customXml" Target="ink/ink4.xml"/><Relationship Id="rId11" Type="http://schemas.openxmlformats.org/officeDocument/2006/relationships/header" Target="header1.xml"/><Relationship Id="rId32" Type="http://schemas.openxmlformats.org/officeDocument/2006/relationships/hyperlink" Target="http://dx.doi.org/10.1111/tbed.13589" TargetMode="External"/><Relationship Id="rId37" Type="http://schemas.openxmlformats.org/officeDocument/2006/relationships/hyperlink" Target="https://doi.org/10.20506/rst.40.1.3209" TargetMode="External"/><Relationship Id="rId40" Type="http://schemas.openxmlformats.org/officeDocument/2006/relationships/hyperlink" Target="http://www.ncbi.nlm.nih.gov/pubmed/21601933" TargetMode="External"/><Relationship Id="rId45" Type="http://schemas.openxmlformats.org/officeDocument/2006/relationships/hyperlink" Target="https://doi.org/10.3389/fmicb.2020.00457" TargetMode="External"/><Relationship Id="rId53" Type="http://schemas.openxmlformats.org/officeDocument/2006/relationships/footer" Target="footer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www.lcgceurope.com/lcgceurope/author/authorInfo.jsp?id=33692" TargetMode="External"/><Relationship Id="rId31" Type="http://schemas.openxmlformats.org/officeDocument/2006/relationships/customXml" Target="ink/ink5.xml"/><Relationship Id="rId44" Type="http://schemas.openxmlformats.org/officeDocument/2006/relationships/hyperlink" Target="https://www.ncbi.nlm.nih.gov/pubmed/28237234" TargetMode="External"/><Relationship Id="rId52"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openxmlformats.org/officeDocument/2006/relationships/image" Target="media/image3.png"/><Relationship Id="rId30" Type="http://schemas.openxmlformats.org/officeDocument/2006/relationships/image" Target="media/image4.png"/><Relationship Id="rId35" Type="http://schemas.openxmlformats.org/officeDocument/2006/relationships/hyperlink" Target="https://doc.woah.org/dyn/portal/index.xhtml?page=alo&amp;aloId=41245&amp;req=21&amp;cid=1c1f3a2e-2399-408c-946f-fb8d0c089a57" TargetMode="External"/><Relationship Id="rId43" Type="http://schemas.openxmlformats.org/officeDocument/2006/relationships/hyperlink" Target="https://doi.org/10.20506/rst.40.1.3218" TargetMode="External"/><Relationship Id="rId48" Type="http://schemas.openxmlformats.org/officeDocument/2006/relationships/hyperlink" Target="https://www.woah.org/en/what-we-offer/veterinary-products/diagnostic-kits/the-register-of-diagnostic-kits/"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image" Target="media/image2.png"/><Relationship Id="rId33" Type="http://schemas.openxmlformats.org/officeDocument/2006/relationships/hyperlink" Target="https://doi.org/10.3390/diagnostics1010001" TargetMode="External"/><Relationship Id="rId38" Type="http://schemas.openxmlformats.org/officeDocument/2006/relationships/hyperlink" Target="http://www.lcgceurope.com/lcgceurope/content/printContentPopup.jsp?id=357956" TargetMode="External"/><Relationship Id="rId46" Type="http://schemas.openxmlformats.org/officeDocument/2006/relationships/hyperlink" Target="https://www.iaea.org/services/networks/vetlab" TargetMode="External"/><Relationship Id="rId20" Type="http://schemas.openxmlformats.org/officeDocument/2006/relationships/customXml" Target="ink/ink1.xml"/><Relationship Id="rId41" Type="http://schemas.openxmlformats.org/officeDocument/2006/relationships/hyperlink" Target="https://www.iso.org/obp/ui/" TargetMode="External"/><Relationship Id="rId54"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8" Type="http://schemas.openxmlformats.org/officeDocument/2006/relationships/customXml" Target="ink/ink3.xml"/><Relationship Id="rId36" Type="http://schemas.openxmlformats.org/officeDocument/2006/relationships/hyperlink" Target="https://doi.org/10.1177/1040638718760102" TargetMode="External"/><Relationship Id="rId49" Type="http://schemas.openxmlformats.org/officeDocument/2006/relationships/hyperlink" Target="https://www.awe.gov.au/agriculture-land/animal/health/laboratories/tests/test-development" TargetMode="External"/><Relationship Id="rId5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woah.org/en/scientific-expertise/registration-of-diagnostic-kits/the-register-of-diagnostic-kits/" TargetMode="External"/><Relationship Id="rId2" Type="http://schemas.openxmlformats.org/officeDocument/2006/relationships/hyperlink" Target="https://www.woah.org/en/what-we-offer/veterinary-products/reference-reagents/" TargetMode="External"/><Relationship Id="rId1" Type="http://schemas.openxmlformats.org/officeDocument/2006/relationships/hyperlink" Target="https://www.woah.org/fileadmin/Home/eng/Health_standards/tahm/2.02.00_INTRODUCTION.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22:01:15.085"/>
    </inkml:context>
    <inkml:brush xml:id="br0">
      <inkml:brushProperty name="width" value="0.025" units="cm"/>
      <inkml:brushProperty name="height" value="0.025" units="cm"/>
    </inkml:brush>
  </inkml:definitions>
  <inkml:trace contextRef="#ctx0" brushRef="#br0">1 1 24575,'94'-1'0,"98"3"0,-102 9 0,-8 1 0,158-10 0,-122-4 0,-96 2-1365,-13 0-5461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21:59:17.153"/>
    </inkml:context>
    <inkml:brush xml:id="br0">
      <inkml:brushProperty name="width" value="0.025" units="cm"/>
      <inkml:brushProperty name="height" value="0.025" units="cm"/>
    </inkml:brush>
  </inkml:definitions>
  <inkml:trace contextRef="#ctx0" brushRef="#br0">0 1 24575,'0'0'0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21:58:04.096"/>
    </inkml:context>
    <inkml:brush xml:id="br0">
      <inkml:brushProperty name="width" value="0.025" units="cm"/>
      <inkml:brushProperty name="height" value="0.025" units="cm"/>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22:01:19.777"/>
    </inkml:context>
    <inkml:brush xml:id="br0">
      <inkml:brushProperty name="width" value="0.025" units="cm"/>
      <inkml:brushProperty name="height" value="0.025" units="cm"/>
    </inkml:brush>
  </inkml:definitions>
  <inkml:trace contextRef="#ctx0" brushRef="#br0">0 1 24575,'7'0'0,"1"1"0,-1 0 0,13 4 0,18 3 0,168-6 0,19 2 0,-190 0 0,56 13 0,-89-16 0,21 2 0,0 0 0,0-2 0,46-3 0,-12 0 0,67 2-1365,-113 0-5461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4T22:02:05.067"/>
    </inkml:context>
    <inkml:brush xml:id="br0">
      <inkml:brushProperty name="width" value="0.02498" units="cm"/>
      <inkml:brushProperty name="height" value="0.02498" units="cm"/>
    </inkml:brush>
  </inkml:definitions>
  <inkml:trace contextRef="#ctx0" brushRef="#br0">0 1 24575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783A7DC-51D9-49FD-929C-86DF8C14A452}">
  <ds:schemaRefs>
    <ds:schemaRef ds:uri="http://schemas.microsoft.com/sharepoint/v3/contenttype/forms"/>
  </ds:schemaRefs>
</ds:datastoreItem>
</file>

<file path=customXml/itemProps2.xml><?xml version="1.0" encoding="utf-8"?>
<ds:datastoreItem xmlns:ds="http://schemas.openxmlformats.org/officeDocument/2006/customXml" ds:itemID="{C6797BBD-8871-4C13-86B3-4852257954EF}">
  <ds:schemaRefs>
    <ds:schemaRef ds:uri="http://schemas.openxmlformats.org/officeDocument/2006/bibliography"/>
  </ds:schemaRefs>
</ds:datastoreItem>
</file>

<file path=customXml/itemProps3.xml><?xml version="1.0" encoding="utf-8"?>
<ds:datastoreItem xmlns:ds="http://schemas.openxmlformats.org/officeDocument/2006/customXml" ds:itemID="{946E645E-17D6-4F71-9DF8-35BD7908FF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2542C4-DF4C-4431-92E0-F694AE334C7A}">
  <ds:schemaRefs>
    <ds:schemaRef ds:uri="http://www.w3.org/XML/1998/namespace"/>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2d8f2bc2-ce05-4280-abbb-a54dfdc4c8e8"/>
    <ds:schemaRef ds:uri="http://schemas.openxmlformats.org/package/2006/metadata/core-properties"/>
    <ds:schemaRef ds:uri="dd973180-a4c1-4e52-b4bc-58f54f6e42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17737</Words>
  <Characters>101103</Characters>
  <Application>Microsoft Office Word</Application>
  <DocSecurity>4</DocSecurity>
  <Lines>842</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118603</CharactersWithSpaces>
  <SharedDoc>false</SharedDoc>
  <HLinks>
    <vt:vector size="138" baseType="variant">
      <vt:variant>
        <vt:i4>5046341</vt:i4>
      </vt:variant>
      <vt:variant>
        <vt:i4>61</vt:i4>
      </vt:variant>
      <vt:variant>
        <vt:i4>0</vt:i4>
      </vt:variant>
      <vt:variant>
        <vt:i4>5</vt:i4>
      </vt:variant>
      <vt:variant>
        <vt:lpwstr>https://www.woah.org/en/what-we-offer/expertise-network/collaborating-centres/</vt:lpwstr>
      </vt:variant>
      <vt:variant>
        <vt:lpwstr>ui-id-3</vt:lpwstr>
      </vt:variant>
      <vt:variant>
        <vt:i4>1114141</vt:i4>
      </vt:variant>
      <vt:variant>
        <vt:i4>58</vt:i4>
      </vt:variant>
      <vt:variant>
        <vt:i4>0</vt:i4>
      </vt:variant>
      <vt:variant>
        <vt:i4>5</vt:i4>
      </vt:variant>
      <vt:variant>
        <vt:lpwstr>https://www.awe.gov.au/agriculture-land/animal/health/laboratories/tests/test-development</vt:lpwstr>
      </vt:variant>
      <vt:variant>
        <vt:lpwstr/>
      </vt:variant>
      <vt:variant>
        <vt:i4>2752624</vt:i4>
      </vt:variant>
      <vt:variant>
        <vt:i4>55</vt:i4>
      </vt:variant>
      <vt:variant>
        <vt:i4>0</vt:i4>
      </vt:variant>
      <vt:variant>
        <vt:i4>5</vt:i4>
      </vt:variant>
      <vt:variant>
        <vt:lpwstr>https://www.woah.org/en/what-we-offer/veterinary-products/diagnostic-kits/the-register-of-diagnostic-kits/</vt:lpwstr>
      </vt:variant>
      <vt:variant>
        <vt:lpwstr/>
      </vt:variant>
      <vt:variant>
        <vt:i4>458819</vt:i4>
      </vt:variant>
      <vt:variant>
        <vt:i4>52</vt:i4>
      </vt:variant>
      <vt:variant>
        <vt:i4>0</vt:i4>
      </vt:variant>
      <vt:variant>
        <vt:i4>5</vt:i4>
      </vt:variant>
      <vt:variant>
        <vt:lpwstr>https://www.iaea.org/services/zodiac</vt:lpwstr>
      </vt:variant>
      <vt:variant>
        <vt:lpwstr/>
      </vt:variant>
      <vt:variant>
        <vt:i4>1179652</vt:i4>
      </vt:variant>
      <vt:variant>
        <vt:i4>49</vt:i4>
      </vt:variant>
      <vt:variant>
        <vt:i4>0</vt:i4>
      </vt:variant>
      <vt:variant>
        <vt:i4>5</vt:i4>
      </vt:variant>
      <vt:variant>
        <vt:lpwstr>https://www.iaea.org/services/networks/vetlab</vt:lpwstr>
      </vt:variant>
      <vt:variant>
        <vt:lpwstr/>
      </vt:variant>
      <vt:variant>
        <vt:i4>655382</vt:i4>
      </vt:variant>
      <vt:variant>
        <vt:i4>46</vt:i4>
      </vt:variant>
      <vt:variant>
        <vt:i4>0</vt:i4>
      </vt:variant>
      <vt:variant>
        <vt:i4>5</vt:i4>
      </vt:variant>
      <vt:variant>
        <vt:lpwstr>https://doi.org/10.3389/fmicb.2020.00457</vt:lpwstr>
      </vt:variant>
      <vt:variant>
        <vt:lpwstr/>
      </vt:variant>
      <vt:variant>
        <vt:i4>196703</vt:i4>
      </vt:variant>
      <vt:variant>
        <vt:i4>43</vt:i4>
      </vt:variant>
      <vt:variant>
        <vt:i4>0</vt:i4>
      </vt:variant>
      <vt:variant>
        <vt:i4>5</vt:i4>
      </vt:variant>
      <vt:variant>
        <vt:lpwstr>https://www.ncbi.nlm.nih.gov/pubmed/28237234</vt:lpwstr>
      </vt:variant>
      <vt:variant>
        <vt:lpwstr/>
      </vt:variant>
      <vt:variant>
        <vt:i4>3407915</vt:i4>
      </vt:variant>
      <vt:variant>
        <vt:i4>40</vt:i4>
      </vt:variant>
      <vt:variant>
        <vt:i4>0</vt:i4>
      </vt:variant>
      <vt:variant>
        <vt:i4>5</vt:i4>
      </vt:variant>
      <vt:variant>
        <vt:lpwstr>https://doi.org/10.20506/rst.40.1.3218</vt:lpwstr>
      </vt:variant>
      <vt:variant>
        <vt:lpwstr/>
      </vt:variant>
      <vt:variant>
        <vt:i4>3866667</vt:i4>
      </vt:variant>
      <vt:variant>
        <vt:i4>37</vt:i4>
      </vt:variant>
      <vt:variant>
        <vt:i4>0</vt:i4>
      </vt:variant>
      <vt:variant>
        <vt:i4>5</vt:i4>
      </vt:variant>
      <vt:variant>
        <vt:lpwstr>https://doi.org/10.20506/rst.40.1.3217</vt:lpwstr>
      </vt:variant>
      <vt:variant>
        <vt:lpwstr/>
      </vt:variant>
      <vt:variant>
        <vt:i4>4390996</vt:i4>
      </vt:variant>
      <vt:variant>
        <vt:i4>34</vt:i4>
      </vt:variant>
      <vt:variant>
        <vt:i4>0</vt:i4>
      </vt:variant>
      <vt:variant>
        <vt:i4>5</vt:i4>
      </vt:variant>
      <vt:variant>
        <vt:lpwstr>https://www.iso.org/obp/ui/</vt:lpwstr>
      </vt:variant>
      <vt:variant>
        <vt:lpwstr>iso:std:iso:ts:22583:ed-1:v1:en</vt:lpwstr>
      </vt:variant>
      <vt:variant>
        <vt:i4>3538990</vt:i4>
      </vt:variant>
      <vt:variant>
        <vt:i4>31</vt:i4>
      </vt:variant>
      <vt:variant>
        <vt:i4>0</vt:i4>
      </vt:variant>
      <vt:variant>
        <vt:i4>5</vt:i4>
      </vt:variant>
      <vt:variant>
        <vt:lpwstr>http://www.ncbi.nlm.nih.gov/pubmed/21601933</vt:lpwstr>
      </vt:variant>
      <vt:variant>
        <vt:lpwstr/>
      </vt:variant>
      <vt:variant>
        <vt:i4>1441822</vt:i4>
      </vt:variant>
      <vt:variant>
        <vt:i4>28</vt:i4>
      </vt:variant>
      <vt:variant>
        <vt:i4>0</vt:i4>
      </vt:variant>
      <vt:variant>
        <vt:i4>5</vt:i4>
      </vt:variant>
      <vt:variant>
        <vt:lpwstr>https://publications.csiro.au/rpr/pub?pid=csiro:EP1312151</vt:lpwstr>
      </vt:variant>
      <vt:variant>
        <vt:lpwstr/>
      </vt:variant>
      <vt:variant>
        <vt:i4>5636117</vt:i4>
      </vt:variant>
      <vt:variant>
        <vt:i4>25</vt:i4>
      </vt:variant>
      <vt:variant>
        <vt:i4>0</vt:i4>
      </vt:variant>
      <vt:variant>
        <vt:i4>5</vt:i4>
      </vt:variant>
      <vt:variant>
        <vt:lpwstr>http://www.lcgceurope.com/lcgceurope/content/printContentPopup.jsp?id=357956</vt:lpwstr>
      </vt:variant>
      <vt:variant>
        <vt:lpwstr/>
      </vt:variant>
      <vt:variant>
        <vt:i4>3473450</vt:i4>
      </vt:variant>
      <vt:variant>
        <vt:i4>22</vt:i4>
      </vt:variant>
      <vt:variant>
        <vt:i4>0</vt:i4>
      </vt:variant>
      <vt:variant>
        <vt:i4>5</vt:i4>
      </vt:variant>
      <vt:variant>
        <vt:lpwstr>https://doi.org/10.20506/rst.40.1.3209</vt:lpwstr>
      </vt:variant>
      <vt:variant>
        <vt:lpwstr/>
      </vt:variant>
      <vt:variant>
        <vt:i4>1900625</vt:i4>
      </vt:variant>
      <vt:variant>
        <vt:i4>19</vt:i4>
      </vt:variant>
      <vt:variant>
        <vt:i4>0</vt:i4>
      </vt:variant>
      <vt:variant>
        <vt:i4>5</vt:i4>
      </vt:variant>
      <vt:variant>
        <vt:lpwstr>https://doi.org/10.1177/1040638718760102</vt:lpwstr>
      </vt:variant>
      <vt:variant>
        <vt:lpwstr/>
      </vt:variant>
      <vt:variant>
        <vt:i4>4915204</vt:i4>
      </vt:variant>
      <vt:variant>
        <vt:i4>16</vt:i4>
      </vt:variant>
      <vt:variant>
        <vt:i4>0</vt:i4>
      </vt:variant>
      <vt:variant>
        <vt:i4>5</vt:i4>
      </vt:variant>
      <vt:variant>
        <vt:lpwstr>https://doc.woah.org/dyn/portal/index.xhtml?page=alo&amp;aloId=41245&amp;req=21&amp;cid=1c1f3a2e-2399-408c-946f-fb8d0c089a57</vt:lpwstr>
      </vt:variant>
      <vt:variant>
        <vt:lpwstr/>
      </vt:variant>
      <vt:variant>
        <vt:i4>7143534</vt:i4>
      </vt:variant>
      <vt:variant>
        <vt:i4>13</vt:i4>
      </vt:variant>
      <vt:variant>
        <vt:i4>0</vt:i4>
      </vt:variant>
      <vt:variant>
        <vt:i4>5</vt:i4>
      </vt:variant>
      <vt:variant>
        <vt:lpwstr>https://doi.org/10.3390/diagnostics1010053</vt:lpwstr>
      </vt:variant>
      <vt:variant>
        <vt:lpwstr/>
      </vt:variant>
      <vt:variant>
        <vt:i4>7274603</vt:i4>
      </vt:variant>
      <vt:variant>
        <vt:i4>10</vt:i4>
      </vt:variant>
      <vt:variant>
        <vt:i4>0</vt:i4>
      </vt:variant>
      <vt:variant>
        <vt:i4>5</vt:i4>
      </vt:variant>
      <vt:variant>
        <vt:lpwstr>https://doi.org/10.3390/diagnostics1010001</vt:lpwstr>
      </vt:variant>
      <vt:variant>
        <vt:lpwstr/>
      </vt:variant>
      <vt:variant>
        <vt:i4>5832799</vt:i4>
      </vt:variant>
      <vt:variant>
        <vt:i4>7</vt:i4>
      </vt:variant>
      <vt:variant>
        <vt:i4>0</vt:i4>
      </vt:variant>
      <vt:variant>
        <vt:i4>5</vt:i4>
      </vt:variant>
      <vt:variant>
        <vt:lpwstr>http://dx.doi.org/10.1111/tbed.13589</vt:lpwstr>
      </vt:variant>
      <vt:variant>
        <vt:lpwstr/>
      </vt:variant>
      <vt:variant>
        <vt:i4>2687099</vt:i4>
      </vt:variant>
      <vt:variant>
        <vt:i4>0</vt:i4>
      </vt:variant>
      <vt:variant>
        <vt:i4>0</vt:i4>
      </vt:variant>
      <vt:variant>
        <vt:i4>5</vt:i4>
      </vt:variant>
      <vt:variant>
        <vt:lpwstr>http://www.lcgceurope.com/lcgceurope/author/authorInfo.jsp?id=33692</vt:lpwstr>
      </vt:variant>
      <vt:variant>
        <vt:lpwstr/>
      </vt:variant>
      <vt:variant>
        <vt:i4>1900564</vt:i4>
      </vt:variant>
      <vt:variant>
        <vt:i4>6</vt:i4>
      </vt:variant>
      <vt:variant>
        <vt:i4>0</vt:i4>
      </vt:variant>
      <vt:variant>
        <vt:i4>5</vt:i4>
      </vt:variant>
      <vt:variant>
        <vt:lpwstr>http://www.woah.org/en/scientific-expertise/registration-of-diagnostic-kits/the-register-of-diagnostic-kits/</vt:lpwstr>
      </vt:variant>
      <vt:variant>
        <vt:lpwstr/>
      </vt:variant>
      <vt:variant>
        <vt:i4>1245254</vt:i4>
      </vt:variant>
      <vt:variant>
        <vt:i4>3</vt:i4>
      </vt:variant>
      <vt:variant>
        <vt:i4>0</vt:i4>
      </vt:variant>
      <vt:variant>
        <vt:i4>5</vt:i4>
      </vt:variant>
      <vt:variant>
        <vt:lpwstr>https://www.woah.org/en/what-we-offer/veterinary-products/reference-reagents/</vt:lpwstr>
      </vt:variant>
      <vt:variant>
        <vt:lpwstr/>
      </vt:variant>
      <vt:variant>
        <vt:i4>1572951</vt:i4>
      </vt:variant>
      <vt:variant>
        <vt:i4>0</vt:i4>
      </vt:variant>
      <vt:variant>
        <vt:i4>0</vt:i4>
      </vt:variant>
      <vt:variant>
        <vt:i4>5</vt:i4>
      </vt:variant>
      <vt:variant>
        <vt:lpwstr>https://www.woah.org/fileadmin/Home/eng/Health_standards/tahm/2.02.00_INTRODUCTION.pdf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of tests</dc:title>
  <dc:subject/>
  <dc:creator>Colling, Axel (AAHL, Geelong ACDP)</dc:creator>
  <cp:keywords/>
  <dc:description/>
  <cp:lastModifiedBy>Egrie, Paul - MRP-APHIS</cp:lastModifiedBy>
  <cp:revision>2</cp:revision>
  <cp:lastPrinted>2022-09-28T06:46:00Z</cp:lastPrinted>
  <dcterms:created xsi:type="dcterms:W3CDTF">2023-04-10T09:53:00Z</dcterms:created>
  <dcterms:modified xsi:type="dcterms:W3CDTF">2023-04-10T09:53:00Z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