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7BFDA" w14:textId="77777777" w:rsidR="00BC7F24" w:rsidRPr="00C63176" w:rsidRDefault="00BC7F24" w:rsidP="00BC7F24">
      <w:pPr>
        <w:jc w:val="center"/>
        <w:rPr>
          <w:rFonts w:ascii="Times New Roman" w:hAnsi="Times New Roman" w:cs="Times New Roman"/>
          <w:b/>
          <w:bCs/>
        </w:rPr>
      </w:pPr>
      <w:r w:rsidRPr="00C63176">
        <w:rPr>
          <w:rFonts w:ascii="Times New Roman" w:hAnsi="Times New Roman" w:cs="Times New Roman"/>
          <w:b/>
          <w:bCs/>
        </w:rPr>
        <w:t>THE USE OF ENVIRONMENTAL DNA METHODS FOR DETECTION OF</w:t>
      </w:r>
      <w:r>
        <w:rPr>
          <w:rFonts w:ascii="Times New Roman" w:hAnsi="Times New Roman" w:cs="Times New Roman"/>
          <w:b/>
          <w:bCs/>
        </w:rPr>
        <w:br/>
      </w:r>
      <w:r w:rsidRPr="00C63176">
        <w:rPr>
          <w:rFonts w:ascii="Times New Roman" w:hAnsi="Times New Roman" w:cs="Times New Roman"/>
          <w:b/>
          <w:bCs/>
        </w:rPr>
        <w:t>OIE LISTED AQUATIC ANIMAL DISEASES</w:t>
      </w:r>
      <w:bookmarkStart w:id="0" w:name="A9"/>
      <w:bookmarkEnd w:id="0"/>
    </w:p>
    <w:p w14:paraId="78F7F824" w14:textId="77777777" w:rsidR="00BC7F24" w:rsidRPr="00D73FF0" w:rsidRDefault="00BC7F24" w:rsidP="00BC7F24">
      <w:pPr>
        <w:spacing w:after="120" w:line="276" w:lineRule="auto"/>
        <w:jc w:val="both"/>
        <w:rPr>
          <w:rFonts w:ascii="Times New Roman" w:hAnsi="Times New Roman" w:cs="Times New Roman"/>
          <w:sz w:val="20"/>
          <w:szCs w:val="20"/>
        </w:rPr>
      </w:pPr>
      <w:r w:rsidRPr="00D73FF0">
        <w:rPr>
          <w:rFonts w:ascii="Tahoma" w:hAnsi="Tahoma" w:cs="Tahoma"/>
          <w:sz w:val="20"/>
          <w:szCs w:val="20"/>
        </w:rPr>
        <w:t>﻿</w:t>
      </w:r>
      <w:r w:rsidRPr="00D73FF0">
        <w:rPr>
          <w:rFonts w:ascii="Times New Roman" w:hAnsi="Times New Roman" w:cs="Times New Roman"/>
          <w:sz w:val="20"/>
          <w:szCs w:val="20"/>
        </w:rPr>
        <w:t>A discussion paper developed by the OIE Aquatic Animal Health Standards Commission (Aquatic Animals Commission) for Member comments.</w:t>
      </w:r>
    </w:p>
    <w:p w14:paraId="5BF77749" w14:textId="77777777" w:rsidR="00BC7F24" w:rsidRPr="00D73FF0" w:rsidRDefault="00BC7F24" w:rsidP="00BC7F24">
      <w:pPr>
        <w:spacing w:after="120" w:line="276" w:lineRule="auto"/>
        <w:jc w:val="both"/>
        <w:rPr>
          <w:rFonts w:ascii="Times New Roman" w:hAnsi="Times New Roman" w:cs="Times New Roman"/>
          <w:sz w:val="20"/>
          <w:szCs w:val="20"/>
        </w:rPr>
      </w:pPr>
      <w:r w:rsidRPr="00D73FF0">
        <w:rPr>
          <w:rFonts w:ascii="Times New Roman" w:hAnsi="Times New Roman" w:cs="Times New Roman"/>
          <w:sz w:val="20"/>
          <w:szCs w:val="20"/>
        </w:rPr>
        <w:t xml:space="preserve">Version: 6 May 2021 </w:t>
      </w:r>
    </w:p>
    <w:p w14:paraId="3FA80F40" w14:textId="77777777" w:rsidR="00BC7F24" w:rsidRPr="00D73FF0" w:rsidRDefault="00BC7F24" w:rsidP="00BC7F24">
      <w:pPr>
        <w:spacing w:after="240" w:line="240" w:lineRule="auto"/>
        <w:ind w:left="425"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w:t>
      </w:r>
      <w:r>
        <w:rPr>
          <w:rFonts w:ascii="Times New Roman" w:hAnsi="Times New Roman" w:cs="Times New Roman"/>
          <w:b/>
          <w:bCs/>
          <w:sz w:val="20"/>
          <w:szCs w:val="20"/>
        </w:rPr>
        <w:tab/>
      </w:r>
      <w:r w:rsidRPr="00D73FF0">
        <w:rPr>
          <w:rFonts w:ascii="Times New Roman" w:hAnsi="Times New Roman" w:cs="Times New Roman"/>
          <w:b/>
          <w:bCs/>
          <w:sz w:val="20"/>
          <w:szCs w:val="20"/>
        </w:rPr>
        <w:t>Summary</w:t>
      </w:r>
    </w:p>
    <w:p w14:paraId="2D5DDB06"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monitoring of aquatic systems using environmental DNA (eDNA) is a rapidly advancing research field that will provide opportunities for cost-effective, non-destructive methods to screen for pathogenic agents, including those of wild aquatic populations where samples may be difficult or undesirable to obtain. </w:t>
      </w:r>
    </w:p>
    <w:p w14:paraId="04A847AE"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w:t>
      </w:r>
      <w:r w:rsidRPr="00D73FF0">
        <w:rPr>
          <w:rFonts w:ascii="Times New Roman" w:hAnsi="Times New Roman" w:cs="Times New Roman"/>
          <w:sz w:val="20"/>
          <w:szCs w:val="20"/>
          <w:lang w:val="en-IE"/>
        </w:rPr>
        <w:t xml:space="preserve">Aquatic Animals </w:t>
      </w:r>
      <w:r w:rsidRPr="00D73FF0">
        <w:rPr>
          <w:rFonts w:ascii="Times New Roman" w:hAnsi="Times New Roman" w:cs="Times New Roman"/>
          <w:bCs/>
          <w:sz w:val="20"/>
          <w:szCs w:val="20"/>
          <w:lang w:val="en-IE"/>
        </w:rPr>
        <w:t>Commission</w:t>
      </w:r>
      <w:r w:rsidRPr="00D73FF0">
        <w:rPr>
          <w:rFonts w:ascii="Times New Roman" w:hAnsi="Times New Roman" w:cs="Times New Roman"/>
          <w:sz w:val="20"/>
          <w:szCs w:val="20"/>
          <w:lang w:val="en-CA"/>
        </w:rPr>
        <w:t xml:space="preserve"> is aware that eDNA methods are being applied for detecting the causative agents of several OIE listed diseases. As these methods are available and currently in use, the Commission has agreed that it would be advisable for guidance to be provided on appropriate application of eDNA methods and potential limitations. </w:t>
      </w:r>
    </w:p>
    <w:p w14:paraId="46D29129"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Commission notes that, as accurate estimates of diagnostic performance are not available for designing surveillance programmes using eDNA assays, data obtained from eDNA methods are unlikely to be suitable to support declarations of freedom from listed diseases. Confirmation of infection with listed diseases could also not be made using eDNA methods because a positive result does not demonstrate that a susceptible host animal(s) is infected. </w:t>
      </w:r>
    </w:p>
    <w:p w14:paraId="1717BF84"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Positive eDNA results could, however, provide evidence amounting to suspicion of infection. This application of eDNA methods may be particularly useful for the monitoring of high-value or rare animals as an alternative to collection of tissue samples. It has a potential role in early detection of disease incursion in wild populations or under circumstances when infection is not likely to result in observable clinical signs. However, following suspicion, based on positive eDNA, samples obtained directly from aquatic animals need to be tested—as described in the relevant disease-specific chapters of the </w:t>
      </w:r>
      <w:r w:rsidRPr="00D73FF0">
        <w:rPr>
          <w:rFonts w:ascii="Times New Roman" w:hAnsi="Times New Roman" w:cs="Times New Roman"/>
          <w:i/>
          <w:iCs/>
          <w:sz w:val="20"/>
          <w:szCs w:val="20"/>
          <w:lang w:val="en-CA"/>
        </w:rPr>
        <w:t>Manual of Diagnostic Tests for Aquatic Animals</w:t>
      </w:r>
      <w:r w:rsidRPr="00D73FF0">
        <w:rPr>
          <w:rFonts w:ascii="Times New Roman" w:hAnsi="Times New Roman" w:cs="Times New Roman"/>
          <w:sz w:val="20"/>
          <w:szCs w:val="20"/>
          <w:lang w:val="en-CA"/>
        </w:rPr>
        <w:t xml:space="preserv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to confirm or exclude the case. </w:t>
      </w:r>
    </w:p>
    <w:p w14:paraId="051AFAD5"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This document is intended to explore the potential use of eDNA methods with respect to the standards of the OIE </w:t>
      </w:r>
      <w:r w:rsidRPr="00D73FF0">
        <w:rPr>
          <w:rFonts w:ascii="Times New Roman" w:hAnsi="Times New Roman" w:cs="Times New Roman"/>
          <w:i/>
          <w:iCs/>
          <w:sz w:val="20"/>
          <w:szCs w:val="20"/>
          <w:lang w:val="en-CA"/>
        </w:rPr>
        <w:t xml:space="preserve">Aquatic Animal Health Code </w:t>
      </w:r>
      <w:r w:rsidRPr="00D73FF0">
        <w:rPr>
          <w:rFonts w:ascii="Times New Roman" w:hAnsi="Times New Roman" w:cs="Times New Roman"/>
          <w:sz w:val="20"/>
          <w:szCs w:val="20"/>
          <w:lang w:val="en-CA"/>
        </w:rPr>
        <w:t>(</w:t>
      </w:r>
      <w:r w:rsidRPr="00D73FF0">
        <w:rPr>
          <w:rFonts w:ascii="Times New Roman" w:hAnsi="Times New Roman" w:cs="Times New Roman"/>
          <w:i/>
          <w:iCs/>
          <w:sz w:val="20"/>
          <w:szCs w:val="20"/>
          <w:lang w:val="en-CA"/>
        </w:rPr>
        <w:t>Aquatic Code</w:t>
      </w:r>
      <w:r w:rsidRPr="00D73FF0">
        <w:rPr>
          <w:rFonts w:ascii="Times New Roman" w:hAnsi="Times New Roman" w:cs="Times New Roman"/>
          <w:sz w:val="20"/>
          <w:szCs w:val="20"/>
          <w:lang w:val="en-CA"/>
        </w:rPr>
        <w:t xml:space="preserve">) and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and to outline benefits and limitations. </w:t>
      </w:r>
    </w:p>
    <w:p w14:paraId="7715629E" w14:textId="77777777" w:rsidR="00BC7F24" w:rsidRPr="00D73FF0" w:rsidRDefault="00BC7F24" w:rsidP="00BC7F24">
      <w:pPr>
        <w:spacing w:after="240" w:line="240" w:lineRule="auto"/>
        <w:ind w:left="425"/>
        <w:jc w:val="both"/>
        <w:rPr>
          <w:rFonts w:ascii="Times New Roman" w:hAnsi="Times New Roman" w:cs="Times New Roman"/>
          <w:sz w:val="20"/>
          <w:szCs w:val="20"/>
          <w:lang w:val="en-CA"/>
        </w:rPr>
      </w:pPr>
      <w:r w:rsidRPr="00D73FF0">
        <w:rPr>
          <w:rFonts w:ascii="Times New Roman" w:hAnsi="Times New Roman" w:cs="Times New Roman"/>
          <w:sz w:val="20"/>
          <w:szCs w:val="20"/>
          <w:lang w:val="en-CA"/>
        </w:rPr>
        <w:t xml:space="preserve">The use of an eDNA method for the detection of </w:t>
      </w:r>
      <w:proofErr w:type="spellStart"/>
      <w:r w:rsidRPr="00D73FF0">
        <w:rPr>
          <w:rFonts w:ascii="Times New Roman" w:hAnsi="Times New Roman" w:cs="Times New Roman"/>
          <w:i/>
          <w:iCs/>
          <w:sz w:val="20"/>
          <w:szCs w:val="20"/>
          <w:lang w:val="en-CA"/>
        </w:rPr>
        <w:t>Gyrodactylus</w:t>
      </w:r>
      <w:proofErr w:type="spellEnd"/>
      <w:r w:rsidRPr="00D73FF0">
        <w:rPr>
          <w:rFonts w:ascii="Times New Roman" w:hAnsi="Times New Roman" w:cs="Times New Roman"/>
          <w:i/>
          <w:iCs/>
          <w:sz w:val="20"/>
          <w:szCs w:val="20"/>
          <w:lang w:val="en-CA"/>
        </w:rPr>
        <w:t xml:space="preserve"> </w:t>
      </w:r>
      <w:proofErr w:type="spellStart"/>
      <w:r w:rsidRPr="00D73FF0">
        <w:rPr>
          <w:rFonts w:ascii="Times New Roman" w:hAnsi="Times New Roman" w:cs="Times New Roman"/>
          <w:i/>
          <w:iCs/>
          <w:sz w:val="20"/>
          <w:szCs w:val="20"/>
          <w:lang w:val="en-CA"/>
        </w:rPr>
        <w:t>salaris</w:t>
      </w:r>
      <w:proofErr w:type="spellEnd"/>
      <w:r w:rsidRPr="00D73FF0">
        <w:rPr>
          <w:rFonts w:ascii="Times New Roman" w:hAnsi="Times New Roman" w:cs="Times New Roman"/>
          <w:sz w:val="20"/>
          <w:szCs w:val="20"/>
          <w:lang w:val="en-CA"/>
        </w:rPr>
        <w:t xml:space="preserve"> has been proposed for inclusion in the </w:t>
      </w:r>
      <w:r w:rsidRPr="00D73FF0">
        <w:rPr>
          <w:rFonts w:ascii="Times New Roman" w:hAnsi="Times New Roman" w:cs="Times New Roman"/>
          <w:i/>
          <w:iCs/>
          <w:sz w:val="20"/>
          <w:szCs w:val="20"/>
          <w:lang w:val="en-CA"/>
        </w:rPr>
        <w:t>Aquatic Manual</w:t>
      </w:r>
      <w:r w:rsidRPr="00D73FF0">
        <w:rPr>
          <w:rFonts w:ascii="Times New Roman" w:hAnsi="Times New Roman" w:cs="Times New Roman"/>
          <w:sz w:val="20"/>
          <w:szCs w:val="20"/>
          <w:lang w:val="en-CA"/>
        </w:rPr>
        <w:t xml:space="preserve"> chapter for Infection with </w:t>
      </w:r>
      <w:proofErr w:type="spellStart"/>
      <w:r w:rsidRPr="00D73FF0">
        <w:rPr>
          <w:rFonts w:ascii="Times New Roman" w:hAnsi="Times New Roman" w:cs="Times New Roman"/>
          <w:i/>
          <w:iCs/>
          <w:sz w:val="20"/>
          <w:szCs w:val="20"/>
          <w:lang w:val="en-CA"/>
        </w:rPr>
        <w:t>Gyrodactylus</w:t>
      </w:r>
      <w:proofErr w:type="spellEnd"/>
      <w:r w:rsidRPr="00D73FF0">
        <w:rPr>
          <w:rFonts w:ascii="Times New Roman" w:hAnsi="Times New Roman" w:cs="Times New Roman"/>
          <w:i/>
          <w:iCs/>
          <w:sz w:val="20"/>
          <w:szCs w:val="20"/>
          <w:lang w:val="en-CA"/>
        </w:rPr>
        <w:t xml:space="preserve"> </w:t>
      </w:r>
      <w:proofErr w:type="spellStart"/>
      <w:r w:rsidRPr="00D73FF0">
        <w:rPr>
          <w:rFonts w:ascii="Times New Roman" w:hAnsi="Times New Roman" w:cs="Times New Roman"/>
          <w:i/>
          <w:iCs/>
          <w:sz w:val="20"/>
          <w:szCs w:val="20"/>
          <w:lang w:val="en-CA"/>
        </w:rPr>
        <w:t>salaris</w:t>
      </w:r>
      <w:proofErr w:type="spellEnd"/>
      <w:r w:rsidRPr="00D73FF0">
        <w:rPr>
          <w:rFonts w:ascii="Times New Roman" w:hAnsi="Times New Roman" w:cs="Times New Roman"/>
          <w:sz w:val="20"/>
          <w:szCs w:val="20"/>
          <w:lang w:val="en-CA"/>
        </w:rPr>
        <w:t xml:space="preserve"> (see February 2021 Aquatic Animals Commission report, Part A, </w:t>
      </w:r>
      <w:r w:rsidRPr="00D73FF0">
        <w:rPr>
          <w:rFonts w:ascii="Times New Roman" w:hAnsi="Times New Roman" w:cs="Times New Roman"/>
          <w:sz w:val="20"/>
          <w:szCs w:val="20"/>
          <w:u w:val="single"/>
          <w:lang w:val="en-CA"/>
        </w:rPr>
        <w:t>Annex 9)</w:t>
      </w:r>
      <w:r w:rsidRPr="00D73FF0">
        <w:rPr>
          <w:rFonts w:ascii="Times New Roman" w:hAnsi="Times New Roman" w:cs="Times New Roman"/>
          <w:sz w:val="20"/>
          <w:szCs w:val="20"/>
          <w:lang w:val="en-CA"/>
        </w:rPr>
        <w:t>. The inclusion of this method conforms with the conclusions of this discussion paper.</w:t>
      </w:r>
    </w:p>
    <w:p w14:paraId="0A752BCE" w14:textId="77777777" w:rsidR="00BC7F24" w:rsidRPr="00D73FF0" w:rsidRDefault="00BC7F24" w:rsidP="00BC7F24">
      <w:pPr>
        <w:pStyle w:val="ListParagraph"/>
        <w:numPr>
          <w:ilvl w:val="0"/>
          <w:numId w:val="1"/>
        </w:numPr>
        <w:spacing w:after="240" w:line="240" w:lineRule="auto"/>
        <w:ind w:left="425"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Definitions for eDNA</w:t>
      </w:r>
    </w:p>
    <w:p w14:paraId="4C1E4099" w14:textId="77777777" w:rsidR="00BC7F24" w:rsidRDefault="00BC7F24" w:rsidP="00BC7F24">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Numerous definitions for eDNA exist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{"citationItems":[{"id":"ITEM-1","itemData":{"DOI":"10.1016/j.biocon.2014.11.019","ISSN":"00063207","abstract":"The continuous decline in Earth's biodiversity represents a major crisis and challenge for the 21st century, and there is international political agreement to slow down or halt this decline. The challenge is in large part impeded by the lack of knowledge on the state and distribution of biodiversity - especially since the majority of species on Earth are un-described by science. All conservation efforts to save biodiversity essentially depend on the monitoring of species and populations to obtain reliable distribution patterns and population size estimates. Such monitoring has traditionally relied on physical identification of species by visual surveys and counting of individuals. However, traditional monitoring techniques remain problematic due to difficulties associated with correct identification of cryptic species or juvenile life stages, a continuous decline in taxonomic expertise, non-standardized sampling, and the invasive nature of some survey techniques. Hence, there is urgent need for alternative and efficient techniques for large-scale biodiversity monitoring. Environmental DNA (eDNA) - defined here as: genetic material obtained directly from environmental samples (soil, sediment, water, etc.) without any obvious signs of biological source material - is an efficient, non-invasive and easy-to-standardize sampling approach. Coupled with sensitive, cost-efficient and ever-advancing DNA sequencing technology, it may be an appropriate candidate for the challenge of biodiversity monitoring. Environmental DNA has been obtained from ancient as well as modern samples and encompasses single species detection to analyses of ecosystems. The research on eDNA initiated in microbiology, recognizing that culture-based methods grossly misrepresent the microbial diversity in nature. Subsequently, as a method to assess the diversity of macro-organismal communities, eDNA was first analyzed in sediments, revealing DNA from extinct and extant animals and plants, but has since been obtained from various terrestrial and aquatic environmental samples. Results from eDNA approaches have provided valuable insights to the study of ancient environments and proven useful for monitoring contemporary biodiversity in terrestrial and aquatic ecosystems. In the future, we expect the eDNA-based approaches to move from single-marker analyses of species or communities to meta-genomic surveys of entire ecosystems to predict spatial and temporal biodiversity patterns. Such advances …","author":[{"dropping-particle":"","family":"Thomsen","given":"Philip Francis","non-dropping-particle":"","parse-names":false,"suffix":""},{"dropping-particle":"","family":"Willerslev","given":"Eske","non-dropping-particle":"","parse-names":false,"suffix":""}],"container-title":"Biological Conservation","id":"ITEM-1","issued":{"date-parts":[["2015"]]},"page":"4-18","publisher":"Elsevier Ltd","title":"Environmental DNA - An emerging tool in conservation for monitoring past and present biodiversity","type":"article-journal","volume":"183"},"uris":["http://www.mendeley.com/documents/?uuid=3de70a3a-b2ac-411b-a3ab-e3f7f1540cec"]},{"id":"ITEM-2","itemData":{"DOI":"10.15517/rbt.v62i4.13231","ISSN":"0034-7744","PMID":"25720166","abstract":"Genetic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Tropical","id":"ITEM-2","issue":"4","issued":{"date-parts":[["2014"]]},"page":"1273","title":"History, applications, methodological issues and perspectives for the use environmental DNA (eDNA) in marine and freshwater environments","type":"article-journal","volume":"62"},"uris":["http://www.mendeley.com/documents/?uuid=8b0a88c9-0c1a-465f-8697-1b0a3411430a"]},{"id":"ITEM-3","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w:instrText>
      </w:r>
      <w:r w:rsidRPr="00D73FF0">
        <w:rPr>
          <w:rFonts w:ascii="Times New Roman" w:hAnsi="Times New Roman" w:cs="Times New Roman"/>
          <w:sz w:val="20"/>
          <w:szCs w:val="20"/>
          <w:lang w:val="nb-NO"/>
        </w:rPr>
        <w:instrText>,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Parasitology","id":"ITEM-3","issue":"10","issued":{"date-parts":[["2015"]]},"page":"499-513","publisher":"Elsevier Ltd","title":"Diverse Applications of Environmental DNA Methods in Parasitology","type":"article-journal","volume":"31"},"uris":["http://www.mendeley.com/documents/?uuid=3265983f-d1c0-4de0-aa39-0ec624e7c65b"]}],"mendeley":{"formattedCitation":"(Díaz-Ferguson &amp; Moyer 2014, Bass et al. 2015, Thomsen &amp; Willerslev 2015)","manualFormatting":"(e.g. Díaz-Ferguson &amp; Moyer 2014, Bass et al. 2015, Thomsen &amp; Willerslev 2015)","plainTextFormattedCitation":"(Díaz-Ferguson &amp; Moyer 2014, Bass et al. 2015, Thomsen &amp; Willerslev 2015)","previouslyFormattedCitation":"(Díaz-Ferguson &amp; Moyer 2014, Bass et al. 2015, Thomsen &amp; Willerslev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(e.g. Díaz-Ferguson and Moyer</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2014</w:t>
      </w:r>
      <w:r w:rsidRPr="00D73FF0">
        <w:rPr>
          <w:rFonts w:ascii="Times New Roman" w:hAnsi="Times New Roman" w:cs="Times New Roman"/>
          <w:noProof/>
          <w:sz w:val="20"/>
          <w:szCs w:val="20"/>
          <w:lang w:val="nb-NO"/>
        </w:rPr>
        <w:t xml:space="preserve">; Bass </w:t>
      </w:r>
      <w:r w:rsidRPr="00D73FF0">
        <w:rPr>
          <w:rFonts w:ascii="Times New Roman" w:hAnsi="Times New Roman" w:cs="Times New Roman"/>
          <w:i/>
          <w:iCs/>
          <w:noProof/>
          <w:sz w:val="20"/>
          <w:szCs w:val="20"/>
          <w:lang w:val="nb-NO"/>
        </w:rPr>
        <w:t>et al</w:t>
      </w:r>
      <w:r w:rsidRPr="00D73FF0">
        <w:rPr>
          <w:rFonts w:ascii="Times New Roman" w:hAnsi="Times New Roman" w:cs="Times New Roman"/>
          <w:noProof/>
          <w:sz w:val="20"/>
          <w:szCs w:val="20"/>
        </w:rPr>
        <w:t>.</w:t>
      </w:r>
      <w:r w:rsidRPr="00D73FF0">
        <w:rPr>
          <w:rFonts w:ascii="Times New Roman" w:hAnsi="Times New Roman" w:cs="Times New Roman"/>
          <w:noProof/>
          <w:sz w:val="20"/>
          <w:szCs w:val="20"/>
          <w:lang w:val="nb-NO"/>
        </w:rPr>
        <w:t>,</w:t>
      </w:r>
      <w:r w:rsidRPr="00D73FF0">
        <w:rPr>
          <w:rFonts w:ascii="Times New Roman" w:hAnsi="Times New Roman" w:cs="Times New Roman"/>
          <w:noProof/>
          <w:sz w:val="20"/>
          <w:szCs w:val="20"/>
        </w:rPr>
        <w:t xml:space="preserve"> 2015</w:t>
      </w:r>
      <w:r w:rsidRPr="00D73FF0">
        <w:rPr>
          <w:rFonts w:ascii="Times New Roman" w:hAnsi="Times New Roman" w:cs="Times New Roman"/>
          <w:noProof/>
          <w:sz w:val="20"/>
          <w:szCs w:val="20"/>
          <w:lang w:val="nb-NO"/>
        </w:rPr>
        <w:t>; Thomsen and Willerslev,</w:t>
      </w:r>
      <w:r w:rsidRPr="00D73FF0">
        <w:rPr>
          <w:rFonts w:ascii="Times New Roman" w:hAnsi="Times New Roman" w:cs="Times New Roman"/>
          <w:noProof/>
          <w:sz w:val="20"/>
          <w:szCs w:val="20"/>
        </w:rPr>
        <w:t xml:space="preserve">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Most definitions regard eDNA as detectable short DNA fragments from a living organism derived from cellular components or fluids secreted into the abiotic components of surrounding environment (i.e. water, air, sediments).</w:t>
      </w:r>
    </w:p>
    <w:p w14:paraId="3FA1015A" w14:textId="77777777" w:rsidR="00BC7F24" w:rsidRPr="00D73FF0" w:rsidRDefault="00BC7F24" w:rsidP="00BC7F24">
      <w:pPr>
        <w:spacing w:after="240" w:line="240" w:lineRule="auto"/>
        <w:ind w:left="425"/>
        <w:jc w:val="both"/>
        <w:rPr>
          <w:rFonts w:ascii="Times New Roman" w:hAnsi="Times New Roman" w:cs="Times New Roman"/>
          <w:sz w:val="20"/>
          <w:szCs w:val="20"/>
        </w:rPr>
      </w:pPr>
      <w:r w:rsidRPr="00D73FF0">
        <w:rPr>
          <w:rFonts w:ascii="Times New Roman" w:hAnsi="Times New Roman" w:cs="Times New Roman"/>
          <w:sz w:val="20"/>
          <w:szCs w:val="20"/>
        </w:rPr>
        <w:t xml:space="preserve">For the purposes of this document we define eDNA as: “nucleic acids extracted from ‘true’ environmental samples (such as water, soil, sediment, biofilm)”. Directly host-derived material such as faeces, sloughed cells, and mucous, are excluded from this definition. Once extracted from the environmental sample, target eDNA fragments can be detected using a variety of molecular methods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{"citationItems":[{"id":"ITEM-1","itemData":{"DOI":"10.15517/rbt.v62i4.13231","ISSN":"0034-7744","PMID":"25720166","abstract":"Genetic material (short DNA fragments) left behind by species in nonliving components of the environment (e.g. soil, sediment, or water) is defined as environmental DNA (eDNA). This DNA has been previously described as particulate DNA and has been used to detect and describe microbial communities in marine sediments since the mid-1980’s and phytoplankton communities in the water column since the early-1990’s. More recently, eDNA has been used to monitor invasive or endangered vertebrate and invertebrate species. While there is a steady increase in the applicability of eDNA as a monitoring tool, a variety of eDNA applications are emerging in fields such as forensics, population and community ecology, and taxonomy. This review provides scientist an understanding of the methods underlying eDNA detection as well as applications, key methodological considerations, and emerging areas of interest for its use in ecology and conservation of freshwater and marine environments.","author":[{"dropping-particle":"","family":"Díaz-Ferguson","given":"Edgardo E.","non-dropping-particle":"","parse-names":false,"suffix":""},{"dropping-particle":"","family":"Moyer","given":"Gregory R.","non-dropping-particle":"","parse-names":false,"suffix":""}],"container-title":"Revista de Biología Tropical","id":"ITEM-1","issue":"4","issued":{"date-parts":[["2014"]]},"page":"1273","title":"History, applications, methodological issues and perspectives for the use environmental DNA (eDNA) in marine and freshwater environments","type":"article-journal","volume":"62"},"uris":["http://www.mendeley.com/documents/?uuid=8b0a88c9-0c1a-465f-8697-1b0a3411430a"]}],"mendeley":{"formattedCitation":"(Díaz-Ferguson &amp; Moyer 2014)","plainTextFormattedCitation":"(Díaz-Ferguson &amp; Moyer 2014)","previouslyFormattedCitation":"(Díaz-Ferguson &amp; Moyer 2014)"},"properties":{"noteIndex":0},"schema":"https://github.com/citation-style-language/schema/raw/master/csl-citation.json"}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(Díaz-Ferguson and Moyer, 2014)</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Pr>
          <w:rFonts w:ascii="Times New Roman" w:hAnsi="Times New Roman" w:cs="Times New Roman"/>
          <w:sz w:val="20"/>
          <w:szCs w:val="20"/>
        </w:rPr>
        <w:t xml:space="preserve"> </w:t>
      </w:r>
      <w:r w:rsidRPr="00D73FF0">
        <w:rPr>
          <w:rFonts w:ascii="Times New Roman" w:hAnsi="Times New Roman" w:cs="Times New Roman"/>
          <w:sz w:val="20"/>
          <w:szCs w:val="20"/>
        </w:rPr>
        <w:t xml:space="preserve">Furthermore, eDNA can be sequenced directly as metagenetic libraries or after PCR amplification of specific target gene regions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{"citationItems":[{"id":"ITEM-1","itemData":{"DOI":"10.1016/j.pt.2015.06.013","ISBN":"doi:10.1016/j.pt.2015.06.013","ISSN":"14715007","PMID":"26433253","abstract":"Nucleic acid extraction and sequencing of genes from organisms within environmental samples encompasses a variety of techniques collectively referred to as environmental DNA or 'eDNA'. The key advantages of eDNA analysis include the detection of cryptic or otherwise elusive organisms, large-scale sampling with fewer biases than specimen-based methods, and generation of data for molecular systematics. These are particularly relevant for parasitology because parasites can be difficult to locate and are morphologically intractable and genetically divergent. However, parasites have rarely been the focus of eDNA studies. Focusing on eukaryote parasites, we review the increasing diversity of the 'eDNA toolbox'. Combining eDNA methods with complementary tools offers much potential to understand parasite communities, disease risk, and parasite roles in broader ecosystem processes such as food web structuring and community assembly.","author":[{"dropping-particle":"","family":"Bass","given":"David","non-dropping-particle":"","parse-names":false,"suffix":""},{"dropping-particle":"","family":"Stentiford","given":"Grant D.","non-dropping-particle":"","parse-names":false,"suffix":""},{"dropping-particle":"","family":"Littlewood","given":"D. T.J.","non-dropping-particle":"","parse-names":false,"suffix":""},{"dropping-particle":"","family":"Hartikainen","given":"Hanna","non-dropping-particle":"","parse-names":false,"suffix":""}],"container-title":"Trends in Parasitology","id":"ITEM-1","issue":"10","issued":{"date-parts":[["2015"]]},"page":"499-513","publisher":"Elsevier Ltd","title":"Diverse Applications of Environmental DNA Methods in Parasitology","type":"article-journal","volume":"31"},"uris":["http://www.mendeley.com/documents/?uuid=3265983f-d1c0-4de0-aa39-0ec624e7c65b"]}],"mendeley":{"formattedCitation":"(Bass et al. 2015)","plainTextFormattedCitation":"(Bass et al. 2015)","previouslyFormattedCitation":"(Bass et al. 2015)"},"properties":{"noteIndex":0},"schema":"https://github.com/citation-style-language/schema/raw/master/csl-citation.json"}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(Bass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2015)</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EBDB662" w14:textId="77777777" w:rsidR="00BC7F24" w:rsidRDefault="00BC7F24" w:rsidP="00BC7F24">
      <w:pPr>
        <w:spacing w:after="240" w:line="276" w:lineRule="auto"/>
        <w:ind w:left="426"/>
        <w:jc w:val="both"/>
        <w:rPr>
          <w:rFonts w:ascii="Times New Roman" w:hAnsi="Times New Roman" w:cs="Times New Roman"/>
          <w:sz w:val="20"/>
          <w:szCs w:val="20"/>
        </w:rPr>
      </w:pPr>
      <w:r>
        <w:rPr>
          <w:rFonts w:ascii="Times New Roman" w:hAnsi="Times New Roman" w:cs="Times New Roman"/>
          <w:sz w:val="20"/>
          <w:szCs w:val="20"/>
        </w:rPr>
        <w:br w:type="page"/>
      </w:r>
    </w:p>
    <w:p w14:paraId="6F0A9B86"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lastRenderedPageBreak/>
        <w:t xml:space="preserve">The actual performance of eDNA based detection depends on the sample collection and processing methodology (e.g. volume filtered, presence and removal of PCR inhibitors), biological processes (e.g. rates of shedding, temporal variation) and abiotic factors (analyte degradation, hydrodynamic factors). It is important to evaluate these factors empirically so that the results can be properly interpreted. It is only with a clear understanding of how these factors influence the probability of pathogenic agent detection that eDNA-based detection can be used reliably in a variety of settings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04FD604A" w14:textId="77777777" w:rsidR="00BC7F24" w:rsidRPr="00D73FF0" w:rsidRDefault="00BC7F24" w:rsidP="00BC7F24">
      <w:pPr>
        <w:pStyle w:val="ListParagraph"/>
        <w:numPr>
          <w:ilvl w:val="0"/>
          <w:numId w:val="1"/>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Objectives </w:t>
      </w:r>
    </w:p>
    <w:p w14:paraId="0763AD0F"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This paper considers i) the benefits and ii) limitations of eDNA pathogenic agent detection methods, iii) validation of eDNA methods, iv) the conditions for inclusion of an eDNA method in a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 v) use of eDNA evidence as diagnostic criteria. </w:t>
      </w:r>
    </w:p>
    <w:p w14:paraId="15F2D871" w14:textId="77777777" w:rsidR="00BC7F24" w:rsidRPr="00D73FF0" w:rsidRDefault="00BC7F24" w:rsidP="00BC7F24">
      <w:pPr>
        <w:pStyle w:val="ListParagraph"/>
        <w:numPr>
          <w:ilvl w:val="0"/>
          <w:numId w:val="1"/>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Review of published eDNA methods for the detection of aquatic animal pathogenic agents</w:t>
      </w:r>
    </w:p>
    <w:p w14:paraId="20661F2D"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literature review was undertaken to assess the application of eDNA methods for the detection and study of pathogens and parasites of aquatic animals. Thirty-three publications reporting the use of eDNA to detect thirteen OIE listed pathogenic agents were identified (see Appendix 1, Table 1 for details). Methods have been developed for the detection of the causative agents of OIE listed pathogenic agents of amphibians, crustaceans, </w:t>
      </w:r>
      <w:proofErr w:type="gramStart"/>
      <w:r w:rsidRPr="00D73FF0">
        <w:rPr>
          <w:rFonts w:ascii="Times New Roman" w:hAnsi="Times New Roman" w:cs="Times New Roman"/>
          <w:sz w:val="20"/>
          <w:szCs w:val="20"/>
        </w:rPr>
        <w:t>fish</w:t>
      </w:r>
      <w:proofErr w:type="gramEnd"/>
      <w:r w:rsidRPr="00D73FF0">
        <w:rPr>
          <w:rFonts w:ascii="Times New Roman" w:hAnsi="Times New Roman" w:cs="Times New Roman"/>
          <w:sz w:val="20"/>
          <w:szCs w:val="20"/>
        </w:rPr>
        <w:t xml:space="preserve"> and molluscs. </w:t>
      </w:r>
      <w:proofErr w:type="gramStart"/>
      <w:r w:rsidRPr="00D73FF0">
        <w:rPr>
          <w:rFonts w:ascii="Times New Roman" w:hAnsi="Times New Roman" w:cs="Times New Roman"/>
          <w:sz w:val="20"/>
          <w:szCs w:val="20"/>
        </w:rPr>
        <w:t>The majority of</w:t>
      </w:r>
      <w:proofErr w:type="gramEnd"/>
      <w:r w:rsidRPr="00D73FF0">
        <w:rPr>
          <w:rFonts w:ascii="Times New Roman" w:hAnsi="Times New Roman" w:cs="Times New Roman"/>
          <w:sz w:val="20"/>
          <w:szCs w:val="20"/>
        </w:rPr>
        <w:t xml:space="preserve"> publications concern the detection of the listed pathogenic agents in wild aquatic animal populations, notably infection with </w:t>
      </w:r>
      <w:r w:rsidRPr="00D73FF0">
        <w:rPr>
          <w:rFonts w:ascii="Times New Roman" w:hAnsi="Times New Roman" w:cs="Times New Roman"/>
          <w:i/>
          <w:iCs/>
          <w:sz w:val="20"/>
          <w:szCs w:val="20"/>
        </w:rPr>
        <w:t xml:space="preserve">Aphanomyces </w:t>
      </w:r>
      <w:proofErr w:type="spellStart"/>
      <w:r w:rsidRPr="00D73FF0">
        <w:rPr>
          <w:rFonts w:ascii="Times New Roman" w:hAnsi="Times New Roman" w:cs="Times New Roman"/>
          <w:i/>
          <w:iCs/>
          <w:sz w:val="20"/>
          <w:szCs w:val="20"/>
        </w:rPr>
        <w:t>astaci</w:t>
      </w:r>
      <w:proofErr w:type="spellEnd"/>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 xml:space="preserve">Batrachochytrium </w:t>
      </w:r>
      <w:proofErr w:type="spellStart"/>
      <w:r w:rsidRPr="00D73FF0">
        <w:rPr>
          <w:rFonts w:ascii="Times New Roman" w:hAnsi="Times New Roman" w:cs="Times New Roman"/>
          <w:i/>
          <w:iCs/>
          <w:sz w:val="20"/>
          <w:szCs w:val="20"/>
        </w:rPr>
        <w:t>dendrobatidis</w:t>
      </w:r>
      <w:proofErr w:type="spellEnd"/>
      <w:r w:rsidRPr="00D73FF0">
        <w:rPr>
          <w:rFonts w:ascii="Times New Roman" w:hAnsi="Times New Roman" w:cs="Times New Roman"/>
          <w:sz w:val="20"/>
          <w:szCs w:val="20"/>
        </w:rPr>
        <w:t xml:space="preserve">, infection with </w:t>
      </w:r>
      <w:r w:rsidRPr="00D73FF0">
        <w:rPr>
          <w:rFonts w:ascii="Times New Roman" w:hAnsi="Times New Roman" w:cs="Times New Roman"/>
          <w:i/>
          <w:iCs/>
          <w:sz w:val="20"/>
          <w:szCs w:val="20"/>
        </w:rPr>
        <w:t xml:space="preserve">B. </w:t>
      </w:r>
      <w:proofErr w:type="spellStart"/>
      <w:r w:rsidRPr="00D73FF0">
        <w:rPr>
          <w:rFonts w:ascii="Times New Roman" w:hAnsi="Times New Roman" w:cs="Times New Roman"/>
          <w:i/>
          <w:iCs/>
          <w:sz w:val="20"/>
          <w:szCs w:val="20"/>
        </w:rPr>
        <w:t>salamandrivorans</w:t>
      </w:r>
      <w:proofErr w:type="spellEnd"/>
      <w:r w:rsidRPr="00D73FF0">
        <w:rPr>
          <w:rFonts w:ascii="Times New Roman" w:hAnsi="Times New Roman" w:cs="Times New Roman"/>
          <w:sz w:val="20"/>
          <w:szCs w:val="20"/>
        </w:rPr>
        <w:t xml:space="preserve">, infection with </w:t>
      </w:r>
      <w:proofErr w:type="spellStart"/>
      <w:r w:rsidRPr="00D73FF0">
        <w:rPr>
          <w:rFonts w:ascii="Times New Roman" w:hAnsi="Times New Roman" w:cs="Times New Roman"/>
          <w:i/>
          <w:iCs/>
          <w:sz w:val="20"/>
          <w:szCs w:val="20"/>
        </w:rPr>
        <w:t>Ranavirus</w:t>
      </w:r>
      <w:proofErr w:type="spellEnd"/>
      <w:r w:rsidRPr="00D73FF0">
        <w:rPr>
          <w:rFonts w:ascii="Times New Roman" w:hAnsi="Times New Roman" w:cs="Times New Roman"/>
          <w:sz w:val="20"/>
          <w:szCs w:val="20"/>
        </w:rPr>
        <w:t xml:space="preserve"> species, infection with </w:t>
      </w:r>
      <w:r w:rsidRPr="00D73FF0">
        <w:rPr>
          <w:rFonts w:ascii="Times New Roman" w:hAnsi="Times New Roman" w:cs="Times New Roman"/>
          <w:i/>
          <w:iCs/>
          <w:sz w:val="20"/>
          <w:szCs w:val="20"/>
        </w:rPr>
        <w:t xml:space="preserve">G. </w:t>
      </w:r>
      <w:proofErr w:type="spellStart"/>
      <w:r w:rsidRPr="00D73FF0">
        <w:rPr>
          <w:rFonts w:ascii="Times New Roman" w:hAnsi="Times New Roman" w:cs="Times New Roman"/>
          <w:i/>
          <w:iCs/>
          <w:sz w:val="20"/>
          <w:szCs w:val="20"/>
        </w:rPr>
        <w:t>salaris</w:t>
      </w:r>
      <w:proofErr w:type="spellEnd"/>
      <w:r w:rsidRPr="00D73FF0">
        <w:rPr>
          <w:rFonts w:ascii="Times New Roman" w:hAnsi="Times New Roman" w:cs="Times New Roman"/>
          <w:sz w:val="20"/>
          <w:szCs w:val="20"/>
        </w:rPr>
        <w:t xml:space="preserve">. </w:t>
      </w:r>
    </w:p>
    <w:p w14:paraId="08C6B6B3"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further thirteen publications were found that targeted other specific pathogenic agents (e.g. </w:t>
      </w:r>
      <w:proofErr w:type="spellStart"/>
      <w:r w:rsidRPr="00D73FF0">
        <w:rPr>
          <w:rFonts w:ascii="Times New Roman" w:hAnsi="Times New Roman" w:cs="Times New Roman"/>
          <w:i/>
          <w:iCs/>
          <w:sz w:val="20"/>
          <w:szCs w:val="20"/>
        </w:rPr>
        <w:t>Microcytos</w:t>
      </w:r>
      <w:proofErr w:type="spellEnd"/>
      <w:r w:rsidRPr="00D73FF0">
        <w:rPr>
          <w:rFonts w:ascii="Times New Roman" w:hAnsi="Times New Roman" w:cs="Times New Roman"/>
          <w:i/>
          <w:iCs/>
          <w:sz w:val="20"/>
          <w:szCs w:val="20"/>
        </w:rPr>
        <w:t xml:space="preserve"> </w:t>
      </w:r>
      <w:proofErr w:type="spellStart"/>
      <w:r w:rsidRPr="00D73FF0">
        <w:rPr>
          <w:rFonts w:ascii="Times New Roman" w:hAnsi="Times New Roman" w:cs="Times New Roman"/>
          <w:i/>
          <w:iCs/>
          <w:sz w:val="20"/>
          <w:szCs w:val="20"/>
        </w:rPr>
        <w:t>mackini</w:t>
      </w:r>
      <w:proofErr w:type="spellEnd"/>
      <w:r w:rsidRPr="00D73FF0">
        <w:rPr>
          <w:rFonts w:ascii="Times New Roman" w:hAnsi="Times New Roman" w:cs="Times New Roman"/>
          <w:sz w:val="20"/>
          <w:szCs w:val="20"/>
        </w:rPr>
        <w:t>), groups of pathogenic agents (e.g. of ornamental fish) or applied eDNA methods to broader areas of study (e.g. water-borne transmission of viruses) (see Appendix 1, Table 2 for details).</w:t>
      </w:r>
    </w:p>
    <w:p w14:paraId="4A5BB117" w14:textId="77777777" w:rsidR="00BC7F24" w:rsidRPr="00D73FF0" w:rsidRDefault="00BC7F24" w:rsidP="00BC7F24">
      <w:pPr>
        <w:pStyle w:val="ListParagraph"/>
        <w:numPr>
          <w:ilvl w:val="0"/>
          <w:numId w:val="1"/>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Benefits eDNA methods for the detection of aquatic animal pathogenic agents</w:t>
      </w:r>
    </w:p>
    <w:p w14:paraId="3AA5A4CF"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eDNA detection is a promising tool that can be used to complement direct sampling of aquatic animals for surveillance.</w:t>
      </w:r>
      <w:r>
        <w:rPr>
          <w:rFonts w:ascii="Times New Roman" w:hAnsi="Times New Roman" w:cs="Times New Roman"/>
          <w:sz w:val="20"/>
          <w:szCs w:val="20"/>
        </w:rPr>
        <w:t xml:space="preserve"> </w:t>
      </w:r>
      <w:r w:rsidRPr="00D73FF0">
        <w:rPr>
          <w:rFonts w:ascii="Times New Roman" w:hAnsi="Times New Roman" w:cs="Times New Roman"/>
          <w:sz w:val="20"/>
          <w:szCs w:val="20"/>
        </w:rPr>
        <w:t>eDNA methods offer some benefits compared to direct sampling and testing of aquatic animals, including, but not limited, to the following:</w:t>
      </w:r>
    </w:p>
    <w:p w14:paraId="7FB070C9" w14:textId="77777777" w:rsidR="00BC7F24" w:rsidRPr="00D73FF0" w:rsidRDefault="00BC7F24" w:rsidP="00BC7F24">
      <w:pPr>
        <w:pStyle w:val="ListParagraph"/>
        <w:numPr>
          <w:ilvl w:val="0"/>
          <w:numId w:val="3"/>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destructive sampling of aquatic animal hosts. They may be particularly useful for rare or valuable aquatic animals, or difficult to collect wild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(e.g. 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2EE3DC30" w14:textId="77777777" w:rsidR="00BC7F24" w:rsidRPr="00D73FF0" w:rsidRDefault="00BC7F24" w:rsidP="00BC7F24">
      <w:pPr>
        <w:pStyle w:val="ListParagraph"/>
        <w:numPr>
          <w:ilvl w:val="0"/>
          <w:numId w:val="3"/>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do not require handling of animals, avoiding the stress that associated with obtaining non-destructive tissue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7682D901" w14:textId="77777777" w:rsidR="00BC7F24" w:rsidRPr="00D73FF0" w:rsidRDefault="00BC7F24" w:rsidP="00BC7F24">
      <w:pPr>
        <w:pStyle w:val="ListParagraph"/>
        <w:numPr>
          <w:ilvl w:val="0"/>
          <w:numId w:val="3"/>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Sample collection and sample processing time and associated costs may be reduced substantially compared to collection and processing of individual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{"citationItems":[{"id":"ITEM-1","itemData":{"DOI":"10.1186/s13071-018-2916-3","ISSN":"1756-3305","abstract":"Environmental DNA (eDNA) monitoring is growing increasingly popular in aquatic systems as a valuable complementary method to conventional monitoring. However, such tools have not yet been extensively applied for metazoan fish parasite monitoring. The fish ectoparasite Gyrodactylus salaris, introduced into Norway in 1975, has caused severe damage to Atlantic salmon populations and fisheries. Successful eradication of the parasite has been carried out in several river systems in Norway, and Atlantic salmon remain infected in only seven rivers, including three in the Drammen region. In this particular infection region, a prerequisite for treatment is to establish whether G. salaris is also present on rainbow trout upstream of the salmon migration barrier. Here, we developed and tested eDNA approaches to complement conventional surveillance methods. Water samples (2 × 5 l) were filtered on-site through glass fibre filters from nine locations in the Drammen watercourse, and DNA was extracted with a CTAB protocol. We developed a qPCR assay for G. salaris targeting the nuclear ribosomal ITS1 region, and we implemented published assays targeting the mitochondrial cytochrome-b and NADH-regions for Atlantic salmon and rainbow trout, respectively. All assays were transferred successfully to droplet digital PCR (ddPCR). All qPCR/ddPCR assays performed well both on tissue samples and on field samples, demonstrating the applicability of eDNA detection for G. salaris, rainbow trout and Atlantic salmon in natural water systems. With ddPCR we eliminated a low cross-amplification of Gyrodactylus derjavinoides observed using qPCR, thus increasing specificity and sensitivity substantially. Duplex ddPCR for G. salaris and Atlantic salmon was successfully implemented and can be used as a method in future surveillance programs. The presence of G. salaris eDNA in the infected River Lierelva was documented, while not elsewhere. Rainbow trout eDNA was only detected at localities where the positives could be attributed to eDNA release from upstream land-based rainbow trout farms. Electrofishing supported the absence of rainbow trout in all of the localities. We provide a reliable field and laboratory protocol for eDNA detection of G. salaris, Atlantic salmon and rainbow trout, that can complement conventional surveillance programs and substantially reduce the sacrifice of live fish. We also show that ddPCR outperforms qPCR with respect to the specific detection of G. salaris.","author":[{"dropping-particle":"","family":"Rusch","given":"Johannes C.","non-dropping-particle":"","parse-names":false,"suffix":""},{"dropping-particle":"","family":"Hansen","given":"Haakon","non-dropping-particle":"","parse-names":false,"suffix":""},{"dropping-particle":"","family":"Strand","given":"David A.","non-dropping-particle":"","parse-names":false,"suffix":""},{"dropping-particle":"","family":"Markussen","given":"Turhan","non-dropping-particle":"","parse-names":false,"suffix":""},{"dropping-particle":"","family":"Hytterød","given":"Sigurd","non-dropping-particle":"","parse-names":false,"suffix":""},{"dropping-particle":"","family":"Vrålstad","given":"Trude","non-dropping-particle":"","parse-names":false,"suffix":""}],"container-title":"Parasites &amp; Vectors","id":"ITEM-1","issue":"1","issued":{"date-parts":[["2018","12","4"]]},"page":"333","publisher":"Parasites &amp; Vectors","title":"Catching the fish with the worm: a case study on eDNA detection of the monogenean parasite Gyrodactylus salaris and two of its hosts, Atlantic salmon (Salmo salar) and rainbow trout (Oncorhynchus mykiss)","type":"article-journal","volume":"11"},"uris":["http://www.mendeley.com/documents/?uuid=b3f963ee-0e74-47a2-8bbd-530ce102d167"]}],"mendeley":{"formattedCitation":"(Rusch et al. 2018)","plainTextFormattedCitation":"(Rusch et al. 2018)","previouslyFormattedCitation":"(Rusch et al. 2018)"},"properties":{"noteIndex":0},"schema":"https://github.com/citation-style-language/schema/raw/master/csl-citation.json"}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(Rusch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2018)</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14CBE4B7" w14:textId="77777777" w:rsidR="00BC7F24" w:rsidRDefault="00BC7F24" w:rsidP="00BC7F24">
      <w:pPr>
        <w:pStyle w:val="ListParagraph"/>
        <w:numPr>
          <w:ilvl w:val="0"/>
          <w:numId w:val="3"/>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As environmental samples may contain analyte from the entire, or a large percentage of a target captive population, many fewer samples may be required to detect a pathogenic agent (compared to individual animal samples), even when diagnostic sensitivity of the eDNA method is low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6D1202F0" w14:textId="77777777" w:rsidR="00BC7F24" w:rsidRPr="00D73FF0" w:rsidRDefault="00BC7F24" w:rsidP="00BC7F24">
      <w:pPr>
        <w:pStyle w:val="ListParagraph"/>
        <w:numPr>
          <w:ilvl w:val="0"/>
          <w:numId w:val="3"/>
        </w:numPr>
        <w:spacing w:after="240" w:line="240" w:lineRule="auto"/>
        <w:ind w:left="850"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 same environmental sample can be analysed for the presence of hosts (e.g. see </w:t>
      </w:r>
      <w:proofErr w:type="spellStart"/>
      <w:r w:rsidRPr="00D73FF0">
        <w:rPr>
          <w:rFonts w:ascii="Times New Roman" w:hAnsi="Times New Roman" w:cs="Times New Roman"/>
          <w:sz w:val="20"/>
          <w:szCs w:val="20"/>
        </w:rPr>
        <w:t>Rusch</w:t>
      </w:r>
      <w:proofErr w:type="spellEnd"/>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2018) and multiple pathogens.</w:t>
      </w:r>
    </w:p>
    <w:p w14:paraId="6707B5CF" w14:textId="77777777" w:rsidR="00BC7F24" w:rsidRPr="00D73FF0" w:rsidRDefault="00BC7F24" w:rsidP="00BC7F24">
      <w:pPr>
        <w:pStyle w:val="ListParagraph"/>
        <w:numPr>
          <w:ilvl w:val="0"/>
          <w:numId w:val="3"/>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Limitations of eDNA methods</w:t>
      </w:r>
    </w:p>
    <w:p w14:paraId="2DD6B385" w14:textId="77777777" w:rsidR="00BC7F24"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Limitations to the application of eDNA based pathogenic agent detection include, but are not limited to, the following: </w:t>
      </w:r>
      <w:r>
        <w:rPr>
          <w:rFonts w:ascii="Times New Roman" w:hAnsi="Times New Roman" w:cs="Times New Roman"/>
          <w:sz w:val="20"/>
          <w:szCs w:val="20"/>
        </w:rPr>
        <w:br w:type="page"/>
      </w:r>
    </w:p>
    <w:p w14:paraId="20B1CFAF" w14:textId="77777777" w:rsidR="00BC7F24" w:rsidRPr="00D73FF0" w:rsidRDefault="00BC7F24" w:rsidP="00BC7F24">
      <w:pPr>
        <w:pStyle w:val="ListParagraph"/>
        <w:numPr>
          <w:ilvl w:val="0"/>
          <w:numId w:val="4"/>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Very little target DNA may be available in the environmental sample due to dilution in the environment and degradation of nucleic acids. This may negatively impact the sensitivity of the method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6079224C" w14:textId="77777777" w:rsidR="00BC7F24" w:rsidRPr="00D73FF0" w:rsidRDefault="00BC7F24" w:rsidP="00BC7F24">
      <w:pPr>
        <w:pStyle w:val="ListParagraph"/>
        <w:numPr>
          <w:ilvl w:val="0"/>
          <w:numId w:val="4"/>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 concentration of target DNA in an environmental sample will vary due a range of factors such as host density, prevalence and intensity of infection, sampling method (e.g. for water—volume sampled, filter pore size, storage conditions) and environmental conditions (e.g. amount of organic matter). Sensitivity of eDNA methods may, therefore, vary more between localities, surveys undertaken at different time points and target taxa than direct sampling and testing of animal tissues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2225A084" w14:textId="77777777" w:rsidR="00BC7F24" w:rsidRPr="00D73FF0" w:rsidRDefault="00BC7F24" w:rsidP="00BC7F24">
      <w:pPr>
        <w:pStyle w:val="ListParagraph"/>
        <w:numPr>
          <w:ilvl w:val="0"/>
          <w:numId w:val="4"/>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There are formal frameworks to assess diagnostic performance of tests using animal-derived samples, but these have not been developed for eDNA methods. This means that the design of surveys to demonstrate freedom from infection using eDNA methods is problematic. </w:t>
      </w:r>
    </w:p>
    <w:p w14:paraId="188BB8CE" w14:textId="77777777" w:rsidR="00BC7F24" w:rsidRPr="00D73FF0" w:rsidRDefault="00BC7F24" w:rsidP="00BC7F24">
      <w:pPr>
        <w:pStyle w:val="ListParagraph"/>
        <w:numPr>
          <w:ilvl w:val="0"/>
          <w:numId w:val="4"/>
        </w:numPr>
        <w:spacing w:after="240" w:line="240" w:lineRule="auto"/>
        <w:ind w:left="851" w:hanging="425"/>
        <w:contextualSpacing w:val="0"/>
        <w:jc w:val="both"/>
        <w:rPr>
          <w:rFonts w:ascii="Times New Roman" w:hAnsi="Times New Roman" w:cs="Times New Roman"/>
          <w:sz w:val="20"/>
          <w:szCs w:val="20"/>
        </w:rPr>
      </w:pPr>
      <w:r w:rsidRPr="00D73FF0">
        <w:rPr>
          <w:rFonts w:ascii="Times New Roman" w:hAnsi="Times New Roman" w:cs="Times New Roman"/>
          <w:sz w:val="20"/>
          <w:szCs w:val="20"/>
        </w:rPr>
        <w:t>A positive detection of target pathogen DNA in an environmental sample may be more likely to result from a source of contamination compared to animal-derived samples. Similarly, it may not indicate infection of a host animal with the target pathogenic agent.</w:t>
      </w:r>
    </w:p>
    <w:p w14:paraId="433D69F0" w14:textId="77777777" w:rsidR="00BC7F24" w:rsidRPr="00D73FF0" w:rsidRDefault="00BC7F24" w:rsidP="00BC7F24">
      <w:pPr>
        <w:pStyle w:val="ListParagraph"/>
        <w:numPr>
          <w:ilvl w:val="0"/>
          <w:numId w:val="3"/>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Validation of eDNA methods</w:t>
      </w:r>
      <w:r w:rsidRPr="00D73FF0" w:rsidDel="00664F8E">
        <w:rPr>
          <w:rFonts w:ascii="Times New Roman" w:hAnsi="Times New Roman" w:cs="Times New Roman"/>
          <w:b/>
          <w:bCs/>
          <w:sz w:val="20"/>
          <w:szCs w:val="20"/>
        </w:rPr>
        <w:t xml:space="preserve"> </w:t>
      </w:r>
    </w:p>
    <w:p w14:paraId="2615F162"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There is an increasing likelihood that disease management decisions will be made based on results from eDNA studies. It is thus imperative that data generated by eDNA studies is reliable, defendable and executed with high quality assurance standards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{"citationItems":[{"id":"ITEM-1","itemData":{"DOI":"10.1002/edn3.29","ISSN":"2637-4943","abstract":"Background Environmental DNA (eDNA) analysis is increasingly being used to detect the presence and relative abundance of rare species, especially invasive or imperiled aquatic species. The rapid progress in the eDNA field has resulted in numerous studies impacting conservation and management actions. However, standardization of eDNA methods and reporting across the field is yet to be fully established, with one area being the calculation and interpretation of assay limit of detection (LOD) and limit of quantification (LOQ). Aims Here, we propose establishing consistent methods for determining and reporting of LOD and LOQ for single‐species quantitative PCR (qPCR) eDNA studies. Materials &amp; Methods/ Results We utilize datasets from multiple cooperating laboratories to demonstrate both a discrete threshold approach and a curve‐fitting modeling approach for determining LODs and LOQs for eDNA qPCR assays. We also provide details of an R script developed and applied for the modeling method. Discussion/Conclusions Ultimately, standardization of how LOD and LOQ are determined, interpreted, and reported for eDNA assays will allow for more informed interpretation of assay results, more meaningful interlaboratory comparisons of experiments, and enhanced capacity for assessing the relative technical quality and performance of different eDNA qPCR assays.","author":[{"dropping-particle":"","family":"Klymus","given":"Katy E.","non-dropping-particle":"","parse-names":false,"suffix":""},{"dropping-particle":"","family":"Merkes","given":"Christopher M.","non-dropping-particle":"","parse-names":false,"suffix":""},{"dropping-particle":"","family":"Allison","given":"Michael J.","non-dropping-particle":"","parse-names":false,"suffix":""},{"dropping-particle":"","family":"Goldberg","given":"Caren S.","non-dropping-particle":"","parse-names":false,"suffix":""},{"dropping-particle":"","family":"Helbing","given":"Caren C.","non-dropping-particle":"","parse-names":false,"suffix":""},{"dropping-particle":"","family":"Hunter","given":"Margaret E.","non-dropping-particle":"","parse-names":false,"suffix":""},{"dropping-particle":"","family":"Jackson","given":"Craig A.","non-dropping-particle":"","parse-names":false,"suffix":""},{"dropping-particle":"","family":"Lance","given":"Richard F.","non-dropping-particle":"","parse-names":false,"suffix":""},{"dropping-particle":"","family":"Mangan","given":"Anna M.","non-dropping-particle":"","parse-names":false,"suffix":""},{"dropping-particle":"","family":"Monroe","given":"Emy M.","non-dropping-particle":"","parse-names":false,"suffix":""},{"dropping-particle":"","family":"Piaggio","given":"Antoinette J.","non-dropping-particle":"","parse-names":false,"suffix":""},{"dropping-particle":"","family":"Stokdyk","given":"Joel P.","non-dropping-particle":"","parse-names":false,"suffix":""},{"dropping-particle":"","family":"Wilson","given":"Chris C.","non-dropping-particle":"","parse-names":false,"suffix":""},{"dropping-particle":"","family":"Richter","given":"Catherine A.","non-dropping-particle":"","parse-names":false,"suffix":""}],"container-title":"Environmental DNA","id":"ITEM-1","issue":"May","issued":{"date-parts":[["2019"]]},"page":"1-12","title":"Reporting the limits of detection and quantification for environmental DNA assays","type":"article-journal"},"uris":["http://www.mendeley.com/documents/?uuid=70aacdb4-c7a9-4e2f-91c1-e153b920ef53"]}],"mendeley":{"formattedCitation":"(Klymus et al. 2019)","plainTextFormattedCitation":"(Klymus et al. 2019)","previouslyFormattedCitation":"(Klymus et al. 2019)"},"properties":{"noteIndex":0},"schema":"https://github.com/citation-style-language/schema/raw/master/csl-citation.json"}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(Klymus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Empirical validation of eDNA based pathogen detection should focus on understanding the causes and consequences of variation in test characteristics across sampling conditions. </w:t>
      </w:r>
    </w:p>
    <w:p w14:paraId="32DA043C"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Chapter 1.1.2.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describes the principles and methods of validation of diagnostic assays for infectious diseases. The recommendations of this chapter are intended for diagnostic testing of animal-derived samples; however, the principles and many of the methods are applicable to eDNA methods. It is recommended that the principles and methods of Chapter 1.1.2. be applied to the validation of eDNA detection methods for OIE listed diseases in all cases where they are applicable.</w:t>
      </w:r>
    </w:p>
    <w:p w14:paraId="70E13E25"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Design and reporting standards are available for diagnostic accuracy studies for methods utilising aquatic animal-derived samples (e.g. Laurin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2018). Many of the design and reporting considerations are also applicable to eDNA methods and it is recommended that these standards be applied for eDNA diagnostic accuracy studies. </w:t>
      </w:r>
    </w:p>
    <w:p w14:paraId="0C1A152B" w14:textId="77777777" w:rsidR="00BC7F24"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Additional to the guidance described above, design and reporting considerations have been published specifically for eDNA methods (e.g. </w:t>
      </w:r>
      <w:r w:rsidRPr="00D73FF0">
        <w:rPr>
          <w:rFonts w:ascii="Times New Roman" w:hAnsi="Times New Roman" w:cs="Times New Roman"/>
          <w:noProof/>
          <w:sz w:val="20"/>
          <w:szCs w:val="20"/>
        </w:rPr>
        <w:t xml:space="preserve">Doyle and Uthicke, 2020; </w:t>
      </w:r>
      <w:r w:rsidRPr="00D73FF0">
        <w:rPr>
          <w:rFonts w:ascii="Times New Roman" w:hAnsi="Times New Roman" w:cs="Times New Roman"/>
          <w:sz w:val="20"/>
          <w:szCs w:val="20"/>
        </w:rPr>
        <w:t xml:space="preserve">Goldberg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2016; </w:t>
      </w:r>
      <w:proofErr w:type="spellStart"/>
      <w:r w:rsidRPr="00D73FF0">
        <w:rPr>
          <w:rFonts w:ascii="Times New Roman" w:hAnsi="Times New Roman" w:cs="Times New Roman"/>
          <w:sz w:val="20"/>
          <w:szCs w:val="20"/>
        </w:rPr>
        <w:t>Klymus</w:t>
      </w:r>
      <w:proofErr w:type="spellEnd"/>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2019). Many of these studies report on considerations for detection of macro-organisms rather than pathogenic agents; however, the considerations are generally relevant for eDNA detection methods for pathogenic agents. This guidance will be of particular use for the field collection, </w:t>
      </w:r>
      <w:proofErr w:type="gramStart"/>
      <w:r w:rsidRPr="00D73FF0">
        <w:rPr>
          <w:rFonts w:ascii="Times New Roman" w:hAnsi="Times New Roman" w:cs="Times New Roman"/>
          <w:sz w:val="20"/>
          <w:szCs w:val="20"/>
        </w:rPr>
        <w:t>processing</w:t>
      </w:r>
      <w:proofErr w:type="gramEnd"/>
      <w:r w:rsidRPr="00D73FF0">
        <w:rPr>
          <w:rFonts w:ascii="Times New Roman" w:hAnsi="Times New Roman" w:cs="Times New Roman"/>
          <w:sz w:val="20"/>
          <w:szCs w:val="20"/>
        </w:rPr>
        <w:t xml:space="preserve"> and preservation of eDNA samples.</w:t>
      </w:r>
    </w:p>
    <w:p w14:paraId="5FAAD2AF" w14:textId="77777777" w:rsidR="00BC7F24" w:rsidRPr="00D73FF0" w:rsidRDefault="00BC7F24" w:rsidP="00BC7F24">
      <w:pPr>
        <w:pStyle w:val="ListParagraph"/>
        <w:numPr>
          <w:ilvl w:val="0"/>
          <w:numId w:val="3"/>
        </w:numPr>
        <w:spacing w:after="240" w:line="240" w:lineRule="auto"/>
        <w:ind w:left="426" w:hanging="426"/>
        <w:contextualSpacing w:val="0"/>
        <w:jc w:val="both"/>
        <w:rPr>
          <w:rFonts w:ascii="Times New Roman" w:hAnsi="Times New Roman" w:cs="Times New Roman"/>
          <w:b/>
          <w:bCs/>
          <w:sz w:val="20"/>
          <w:szCs w:val="20"/>
        </w:rPr>
      </w:pPr>
      <w:r w:rsidRPr="00D73FF0">
        <w:rPr>
          <w:rFonts w:ascii="Times New Roman" w:hAnsi="Times New Roman" w:cs="Times New Roman"/>
          <w:b/>
          <w:bCs/>
          <w:sz w:val="20"/>
          <w:szCs w:val="20"/>
        </w:rPr>
        <w:t xml:space="preserve">Minimum requirements for inclusion of an eDNA method in the </w:t>
      </w:r>
      <w:r w:rsidRPr="00C63176">
        <w:rPr>
          <w:rFonts w:ascii="Times New Roman" w:hAnsi="Times New Roman" w:cs="Times New Roman"/>
          <w:b/>
          <w:bCs/>
          <w:i/>
          <w:iCs/>
          <w:sz w:val="20"/>
          <w:szCs w:val="20"/>
        </w:rPr>
        <w:t>Aquatic Manual</w:t>
      </w:r>
    </w:p>
    <w:p w14:paraId="37616907"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It is recognised that the validation pathway described in Chapter 1.1.2.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and the design and reporting standards described by Laurin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xml:space="preserve">., 2018 (see above) are not met by many diagnostic methods currently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Indeed, many assays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may be validated only to level 1 or 2 of the validation pathway described in Chapter 1.1.2.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For this reason, the Commission proposes that the following minimum reporting requirements be met for an eDNA method to be</w:t>
      </w:r>
      <w:r>
        <w:rPr>
          <w:rFonts w:ascii="Times New Roman" w:hAnsi="Times New Roman" w:cs="Times New Roman"/>
          <w:sz w:val="20"/>
          <w:szCs w:val="20"/>
        </w:rPr>
        <w:t xml:space="preserve"> </w:t>
      </w:r>
      <w:r w:rsidRPr="00D73FF0">
        <w:rPr>
          <w:rFonts w:ascii="Times New Roman" w:hAnsi="Times New Roman" w:cs="Times New Roman"/>
          <w:sz w:val="20"/>
          <w:szCs w:val="20"/>
        </w:rPr>
        <w:t xml:space="preserve">considered for inclusion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[Adapted from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{"citationItems":[{"id":"ITEM-1","itemData":{"DOI":"10.1111/2041-210X.12595","ISBN":"2041-210X","ISSN":"2041210X","abstract":".Species detection using environmental DNA (eDNA) has tremendous potential for contributing to the understanding of the ecology and conservation of aquatic species. Detecting species using eDNA methods, rather than directly sampling the organisms, can reduce impacts on sensitive species and increase the power of field surveys for rare and elusive species. The sensitivity of eDNA methods, however, requires a heightened awareness and attention to quality assurance and quality control protocols. Additionally, the interpretation of eDNA data demands careful considerations of multiple factors. As eDNA methods have grown in application, diverse approaches have been implemented to address these issues. With interest in eDNA continuing to expand, supportive guidelines for undertaking eDNA studies are greatly needed.\\r\\n\\r\\n2.Environmental DNA researchers from around the world have collaborated to produce this set of guidelines and considerations for implementing eDNA methods to detect aquatic macroorganisms.\\r\\n\\r\\n3.Critical considerations for study design include preventing contamination in the field and the laboratory, choosing appropriate sample analysis methods, validating assays, testing for sample inhibition, and following minimum reporting guidelines. Critical considerations for inference include temporal and spatial processes, limits on correlation of eDNA with abundance, uncertainty of positive and negative results, and potential sources of allochthonous DNA.\\r\\n\\r\\n4.We present a synthesis of knowledge at this stage for application of this new and powerful detection method.","author":[{"dropping-particle":"","family":"Goldberg","given":"Caren S.","non-dropping-particle":"","parse-names":false,"suffix":""},{"dropping-particle":"","family":"Turner","given":"Cameron R.","non-dropping-particle":"","parse-names":false,"suffix":""},{"dropping-particle":"","family":"Deiner","given":"Kristy","non-dropping-particle":"","parse-names":false,"suffix":""},{"dropping-particle":"","family":"Klymus","given":"Katy E.","non-dropping-particle":"","parse-names":false,"suffix":""},{"dropping-particle":"","family":"Thomsen","given":"Philip Francis","non-dropping-particle":"","parse-names":false,"suffix":""},{"dropping-particle":"","family":"Murphy","given":"Melanie A.","non-dropping-particle":"","parse-names":false,"suffix":""},{"dropping-particle":"","family":"Spear","given":"Stephen F.","non-dropping-particle":"","parse-names":false,"suffix":""},{"dropping-particle":"","family":"McKee","given":"Anna","non-dropping-particle":"","parse-names":false,"suffix":""},{"dropping-particle":"","family":"Oyler-McCance","given":"Sara J.","non-dropping-particle":"","parse-names":false,"suffix":""},{"dropping-particle":"","family":"Cornman","given":"Robert Scott","non-dropping-particle":"","parse-names":false,"suffix":""},{"dropping-particle":"","family":"Laramie","given":"Matthew B.","non-dropping-particle":"","parse-names":false,"suffix":""},{"dropping-particle":"","family":"Mahon","given":"Andrew R.","non-dropping-particle":"","parse-names":false,"suffix":""},{"dropping-particle":"","family":"Lance","given":"Richard F.","non-dropping-particle":"","parse-names":false,"suffix":""},{"dropping-particle":"","family":"Pilliod","given":"David S.","non-dropping-particle":"","parse-names":false,"suffix":""},{"dropping-particle":"","family":"Strickler","given":"Katherine M.","non-dropping-particle":"","parse-names":false,"suffix":""},{"dropping-particle":"","family":"Waits","given":"Lisette P.","non-dropping-particle":"","parse-names":false,"suffix":""},{"dropping-particle":"","family":"Fremier","given":"Alexander K.","non-dropping-particle":"","parse-names":false,"suffix":""},{"dropping-particle":"","family":"Takahara","given":"Teruhiko","non-dropping-particle":"","parse-names":false,"suffix":""},{"dropping-particle":"","family":"Herder","given":"Jelger E.","non-dropping-particle":"","parse-names":false,"suffix":""},{"dropping-particle":"","family":"Taberlet","given":"Pierre","non-dropping-particle":"","parse-names":false,"suffix":""}],"container-title":"Methods in Ecology and Evolution","id":"ITEM-1","issue":"11","issued":{"date-parts":[["2016"]]},"page":"1299-1307","title":"Critical considerations for the application of environmental DNA methods to detect aquatic species","type":"article-journal","volume":"7"},"uris":["http://www.mendeley.com/documents/?uuid=dbc6fa27-0896-4872-afb7-802a761df856"]}],"mendeley":{"formattedCitation":"(Goldberg et al. 2016)","manualFormatting":"Goldberg et al. (2016)","plainTextFormattedCitation":"(Goldberg et al. 2016)","previouslyFormattedCitation":"(Goldberg et al. 2016)"},"properties":{"noteIndex":0},"schema":"https://github.com/citation-style-language/schema/raw/master/csl-citation.json"}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Goldberg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(2016)</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w:t>
      </w:r>
    </w:p>
    <w:p w14:paraId="2F070923" w14:textId="77777777" w:rsidR="00BC7F24"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The intended purpose or application of the assay or protocol need to be clearly defined (note that appropriate purposes of use for eDNA methods in the context of OIE standards are discussed further in section 9).</w:t>
      </w:r>
      <w:r>
        <w:rPr>
          <w:rFonts w:ascii="Times New Roman" w:hAnsi="Times New Roman" w:cs="Times New Roman"/>
          <w:sz w:val="20"/>
          <w:szCs w:val="20"/>
        </w:rPr>
        <w:br w:type="page"/>
      </w:r>
    </w:p>
    <w:p w14:paraId="3BF64427" w14:textId="77777777" w:rsidR="00BC7F24" w:rsidRPr="00D73FF0"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sample collection methods and precautions taken to eliminate contamination, including collection volume, container material, negative controls, number of replicates and sampling locations/depth. </w:t>
      </w:r>
    </w:p>
    <w:p w14:paraId="71A16E19" w14:textId="77777777" w:rsidR="00BC7F24" w:rsidRPr="00D73FF0"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methods used to concentrate the target DNA (precipitation / filtration), filter type (if applicable) and filtering location (e.g. in the field).</w:t>
      </w:r>
    </w:p>
    <w:p w14:paraId="59099E6E" w14:textId="77777777" w:rsidR="00BC7F24" w:rsidRPr="00D73FF0"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sample preservation and storage (method, temperature, duration).</w:t>
      </w:r>
    </w:p>
    <w:p w14:paraId="610FCAC9" w14:textId="77777777" w:rsidR="00BC7F24" w:rsidRPr="00D73FF0"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Description of the DNA extraction process including protocol adjustments, contamination precautions, negative controls, and internal positive controls.</w:t>
      </w:r>
    </w:p>
    <w:p w14:paraId="35E35F48" w14:textId="77777777" w:rsidR="00BC7F24" w:rsidRPr="00D73FF0" w:rsidRDefault="00BC7F24" w:rsidP="00BC7F24">
      <w:pPr>
        <w:pStyle w:val="ListParagraph"/>
        <w:numPr>
          <w:ilvl w:val="0"/>
          <w:numId w:val="2"/>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Description of the qPCR design and optimisation according to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{"citationItems":[{"id":"ITEM-1","itemData":{"DOI":"10.1373/clinchem.2008.112797","ISBN":"0099-2240","ISSN":"0009-9147","PMID":"10427056","author":[{"dropping-particle":"","family":"Bustin","given":"Stephen A","non-dropping-particle":"","parse-names":false,"suffix":""},{"dropping-particle":"","family":"Benes","given":"Vladimir","non-dropping-particle":"","parse-names":false,"suffix":""},{"dropping-particle":"","family":"Garson","given":"Jeremy A","non-dropping-particle":"","parse-names":false,"suffix":""},{"dropping-particle":"","family":"Hellemans","given":"Jan","non-dropping-particle":"","parse-names":false,"suffix":""},{"dropping-particle":"","family":"Huggett","given":"Jim","non-dropping-particle":"","parse-names":false,"suffix":""},{"dropping-particle":"","family":"Kubista","given":"Mikael","non-dropping-particle":"","parse-names":false,"suffix":""},{"dropping-particle":"","family":"Mueller","given":"Reinhold","non-dropping-particle":"","parse-names":false,"suffix":""},{"dropping-particle":"","family":"Nolan","given":"Tania","non-dropping-particle":"","parse-names":false,"suffix":""},{"dropping-particle":"","family":"Pfaffl","given":"Michael W","non-dropping-particle":"","parse-names":false,"suffix":""},{"dropping-particle":"","family":"Shipley","given":"Gregory L","non-dropping-particle":"","parse-names":false,"suffix":""},{"dropping-particle":"","family":"Vandesompele","given":"Jo","non-dropping-particle":"","parse-names":false,"suffix":""},{"dropping-particle":"","family":"Wittwer","given":"Carl T","non-dropping-particle":"","parse-names":false,"suffix":""}],"container-title":"Clinical Chemistry","id":"ITEM-1","issue":"4","issued":{"date-parts":[["2009","4","1"]]},"page":"611-622","title":"The MIQE Guidelines: Minimum Information for Publication of Quantitative Real-Time PCR Experiments","type":"article-journal","volume":"55"},"uris":["http://www.mendeley.com/documents/?uuid=3efe7862-35d4-49ea-aea3-b1d831caaf89"]}],"mendeley":{"formattedCitation":"(Bustin et al. 2009)","plainTextFormattedCitation":"(Bustin et al. 2009)","previouslyFormattedCitation":"(Bustin et al. 2009)"},"properties":{"noteIndex":0},"schema":"https://github.com/citation-style-language/schema/raw/master/csl-citation.json"}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(Bustin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2009)</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r>
        <w:rPr>
          <w:rFonts w:ascii="Times New Roman" w:hAnsi="Times New Roman" w:cs="Times New Roman"/>
          <w:sz w:val="20"/>
          <w:szCs w:val="20"/>
        </w:rPr>
        <w:t xml:space="preserve"> </w:t>
      </w:r>
      <w:r w:rsidRPr="00D73FF0">
        <w:rPr>
          <w:rFonts w:ascii="Times New Roman" w:hAnsi="Times New Roman" w:cs="Times New Roman"/>
          <w:sz w:val="20"/>
          <w:szCs w:val="20"/>
        </w:rPr>
        <w:t>Furthermore, real time PCR assays should be validated (Level 1) in an environmental matrix according to its purpose of use.</w:t>
      </w:r>
    </w:p>
    <w:p w14:paraId="6ECB13F6" w14:textId="77777777" w:rsidR="00BC7F24" w:rsidRPr="00D73FF0" w:rsidRDefault="00BC7F24" w:rsidP="00BC7F24">
      <w:pPr>
        <w:pStyle w:val="ListParagraph"/>
        <w:numPr>
          <w:ilvl w:val="0"/>
          <w:numId w:val="3"/>
        </w:numPr>
        <w:spacing w:after="240" w:line="240" w:lineRule="auto"/>
        <w:ind w:left="426" w:hanging="426"/>
        <w:contextualSpacing w:val="0"/>
        <w:jc w:val="both"/>
        <w:rPr>
          <w:rFonts w:ascii="Times New Roman" w:hAnsi="Times New Roman" w:cs="Times New Roman"/>
          <w:b/>
          <w:bCs/>
          <w:sz w:val="20"/>
          <w:szCs w:val="20"/>
        </w:rPr>
      </w:pPr>
      <w:r>
        <w:rPr>
          <w:rFonts w:ascii="Times New Roman" w:hAnsi="Times New Roman" w:cs="Times New Roman"/>
          <w:b/>
          <w:bCs/>
          <w:sz w:val="20"/>
          <w:szCs w:val="20"/>
        </w:rPr>
        <w:t>P</w:t>
      </w:r>
      <w:r w:rsidRPr="00D73FF0">
        <w:rPr>
          <w:rFonts w:ascii="Times New Roman" w:hAnsi="Times New Roman" w:cs="Times New Roman"/>
          <w:b/>
          <w:bCs/>
          <w:sz w:val="20"/>
          <w:szCs w:val="20"/>
        </w:rPr>
        <w:t xml:space="preserve">otential application of eDNA detection methods in the </w:t>
      </w:r>
      <w:bookmarkStart w:id="1" w:name="_Hlk71118799"/>
      <w:r w:rsidRPr="00D73FF0">
        <w:rPr>
          <w:rFonts w:ascii="Times New Roman" w:hAnsi="Times New Roman" w:cs="Times New Roman"/>
          <w:b/>
          <w:bCs/>
          <w:sz w:val="20"/>
          <w:szCs w:val="20"/>
        </w:rPr>
        <w:t>disease</w:t>
      </w:r>
      <w:r>
        <w:rPr>
          <w:rFonts w:ascii="Times New Roman" w:hAnsi="Times New Roman" w:cs="Times New Roman"/>
          <w:b/>
          <w:bCs/>
          <w:sz w:val="20"/>
          <w:szCs w:val="20"/>
        </w:rPr>
        <w:t>-</w:t>
      </w:r>
      <w:r w:rsidRPr="00D73FF0">
        <w:rPr>
          <w:rFonts w:ascii="Times New Roman" w:hAnsi="Times New Roman" w:cs="Times New Roman"/>
          <w:b/>
          <w:bCs/>
          <w:sz w:val="20"/>
          <w:szCs w:val="20"/>
        </w:rPr>
        <w:t xml:space="preserve">specific chapters of the </w:t>
      </w:r>
      <w:r w:rsidRPr="00D73FF0">
        <w:rPr>
          <w:rFonts w:ascii="Times New Roman" w:hAnsi="Times New Roman" w:cs="Times New Roman"/>
          <w:b/>
          <w:bCs/>
          <w:i/>
          <w:iCs/>
          <w:sz w:val="20"/>
          <w:szCs w:val="20"/>
        </w:rPr>
        <w:t>Aquatic Manual</w:t>
      </w:r>
      <w:r w:rsidRPr="00D73FF0">
        <w:rPr>
          <w:rFonts w:ascii="Times New Roman" w:hAnsi="Times New Roman" w:cs="Times New Roman"/>
          <w:b/>
          <w:bCs/>
          <w:sz w:val="20"/>
          <w:szCs w:val="20"/>
        </w:rPr>
        <w:t xml:space="preserve"> </w:t>
      </w:r>
      <w:bookmarkEnd w:id="1"/>
    </w:p>
    <w:p w14:paraId="7FC9B727"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The disease-specific chapters</w:t>
      </w:r>
      <w:r w:rsidRPr="00D73FF0">
        <w:rPr>
          <w:rFonts w:ascii="Times New Roman" w:hAnsi="Times New Roman" w:cs="Times New Roman"/>
          <w:i/>
          <w:iCs/>
          <w:sz w:val="20"/>
          <w:szCs w:val="20"/>
        </w:rPr>
        <w:t xml:space="preserve"> </w:t>
      </w:r>
      <w:r w:rsidRPr="00D73FF0">
        <w:rPr>
          <w:rFonts w:ascii="Times New Roman" w:hAnsi="Times New Roman" w:cs="Times New Roman"/>
          <w:sz w:val="20"/>
          <w:szCs w:val="20"/>
        </w:rPr>
        <w:t>of the</w:t>
      </w:r>
      <w:r w:rsidRPr="00D73FF0">
        <w:rPr>
          <w:rFonts w:ascii="Times New Roman" w:hAnsi="Times New Roman" w:cs="Times New Roman"/>
          <w:i/>
          <w:iCs/>
          <w:sz w:val="20"/>
          <w:szCs w:val="20"/>
        </w:rPr>
        <w:t xml:space="preserve"> Aquatic Manual</w:t>
      </w:r>
      <w:r w:rsidRPr="00D73FF0">
        <w:rPr>
          <w:rFonts w:ascii="Times New Roman" w:hAnsi="Times New Roman" w:cs="Times New Roman"/>
          <w:sz w:val="20"/>
          <w:szCs w:val="20"/>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w:t>
      </w:r>
      <w:r>
        <w:rPr>
          <w:rFonts w:ascii="Times New Roman" w:hAnsi="Times New Roman" w:cs="Times New Roman"/>
          <w:sz w:val="20"/>
          <w:szCs w:val="20"/>
        </w:rPr>
        <w:t xml:space="preserve"> </w:t>
      </w:r>
      <w:r w:rsidRPr="00D73FF0">
        <w:rPr>
          <w:rFonts w:ascii="Times New Roman" w:hAnsi="Times New Roman" w:cs="Times New Roman"/>
          <w:sz w:val="20"/>
          <w:szCs w:val="20"/>
        </w:rPr>
        <w:t xml:space="preserve">Geographic proximity to, or movement of aquatic animals or aquatic animal products or equipment, etc., from a known infected population equate to an epidemiological link. Alternatively, healthy populations are sampled in surveys to demonstrate freedom. </w:t>
      </w:r>
    </w:p>
    <w:p w14:paraId="78845DDB" w14:textId="77777777" w:rsidR="00BC7F24" w:rsidRPr="00D73FF0" w:rsidRDefault="00BC7F24" w:rsidP="00BC7F24">
      <w:pPr>
        <w:spacing w:after="240" w:line="240" w:lineRule="auto"/>
        <w:ind w:left="426"/>
        <w:jc w:val="both"/>
        <w:rPr>
          <w:rFonts w:ascii="Times New Roman" w:hAnsi="Times New Roman" w:cs="Times New Roman"/>
          <w:i/>
          <w:iCs/>
          <w:sz w:val="20"/>
          <w:szCs w:val="20"/>
        </w:rPr>
      </w:pPr>
      <w:r w:rsidRPr="00D73FF0">
        <w:rPr>
          <w:rFonts w:ascii="Times New Roman" w:hAnsi="Times New Roman" w:cs="Times New Roman"/>
          <w:sz w:val="20"/>
          <w:szCs w:val="20"/>
        </w:rPr>
        <w:t xml:space="preserve">The following points describe the suitability of evidence from eDNA detection methods for inclusion as case definition criteria in section 6 of the disease-specific chapters of the </w:t>
      </w:r>
      <w:r w:rsidRPr="00D73FF0">
        <w:rPr>
          <w:rFonts w:ascii="Times New Roman" w:hAnsi="Times New Roman" w:cs="Times New Roman"/>
          <w:i/>
          <w:iCs/>
          <w:sz w:val="20"/>
          <w:szCs w:val="20"/>
        </w:rPr>
        <w:t>Aquatic Manual.</w:t>
      </w:r>
    </w:p>
    <w:p w14:paraId="0911A328" w14:textId="77777777" w:rsidR="00BC7F24" w:rsidRPr="00D73FF0" w:rsidRDefault="00BC7F24" w:rsidP="00BC7F24">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a</w:t>
      </w:r>
      <w:r>
        <w:rPr>
          <w:rFonts w:ascii="Times New Roman" w:hAnsi="Times New Roman" w:cs="Times New Roman"/>
          <w:b/>
          <w:bCs/>
          <w:sz w:val="20"/>
          <w:szCs w:val="20"/>
        </w:rPr>
        <w:t>)</w:t>
      </w:r>
      <w:r>
        <w:rPr>
          <w:rFonts w:ascii="Times New Roman" w:hAnsi="Times New Roman" w:cs="Times New Roman"/>
          <w:b/>
          <w:bCs/>
          <w:sz w:val="20"/>
          <w:szCs w:val="20"/>
        </w:rPr>
        <w:tab/>
      </w:r>
      <w:r w:rsidRPr="00D73FF0">
        <w:rPr>
          <w:rFonts w:ascii="Times New Roman" w:hAnsi="Times New Roman" w:cs="Times New Roman"/>
          <w:b/>
          <w:bCs/>
          <w:sz w:val="20"/>
          <w:szCs w:val="20"/>
        </w:rPr>
        <w:t>Apparently healthy animals</w:t>
      </w:r>
    </w:p>
    <w:p w14:paraId="04ACEE1B" w14:textId="77777777" w:rsidR="00BC7F24" w:rsidRPr="00D73FF0" w:rsidRDefault="00BC7F24" w:rsidP="00BC7F24">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Pr>
          <w:rFonts w:ascii="Times New Roman" w:hAnsi="Times New Roman" w:cs="Times New Roman"/>
          <w:b/>
          <w:bCs/>
          <w:sz w:val="20"/>
          <w:szCs w:val="20"/>
        </w:rPr>
        <w:t>)</w:t>
      </w:r>
      <w:r w:rsidRPr="00D73FF0">
        <w:rPr>
          <w:rFonts w:ascii="Times New Roman" w:hAnsi="Times New Roman" w:cs="Times New Roman"/>
          <w:b/>
          <w:bCs/>
          <w:sz w:val="20"/>
          <w:szCs w:val="20"/>
        </w:rPr>
        <w:tab/>
        <w:t xml:space="preserve">Definition of suspect case in a population of apparently healthy animals </w:t>
      </w:r>
    </w:p>
    <w:p w14:paraId="79373A9A" w14:textId="77777777" w:rsidR="00BC7F24" w:rsidRPr="00D73FF0" w:rsidRDefault="00BC7F24" w:rsidP="00BC7F24">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considered to provide adequate evidence to be included as a criterion for a suspect case. </w:t>
      </w:r>
    </w:p>
    <w:p w14:paraId="56D01A02" w14:textId="77777777" w:rsidR="00BC7F24" w:rsidRPr="00D73FF0" w:rsidRDefault="00BC7F24" w:rsidP="00BC7F24">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Pr>
          <w:rFonts w:ascii="Times New Roman" w:hAnsi="Times New Roman" w:cs="Times New Roman"/>
          <w:b/>
          <w:bCs/>
          <w:sz w:val="20"/>
          <w:szCs w:val="20"/>
        </w:rPr>
        <w:t>)</w:t>
      </w:r>
      <w:r w:rsidRPr="00D73FF0">
        <w:rPr>
          <w:rFonts w:ascii="Times New Roman" w:hAnsi="Times New Roman" w:cs="Times New Roman"/>
          <w:b/>
          <w:bCs/>
          <w:sz w:val="20"/>
          <w:szCs w:val="20"/>
        </w:rPr>
        <w:tab/>
        <w:t>Definition of confirmed case in apparently healthy animals</w:t>
      </w:r>
    </w:p>
    <w:p w14:paraId="0882A682" w14:textId="77777777" w:rsidR="00BC7F24" w:rsidRPr="00D73FF0" w:rsidRDefault="00BC7F24" w:rsidP="00BC7F24">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obtained from an eDNA method recommended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is not considered to provide appropriate evidence to confirm a case in apparently healthy animals. Methods utilising animal derived samples are considered more appropriate for criteria to confirm a case. Evidence to confirm a case in apparently healthy animals must meet the requirements of Section 6.1.2.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173A6C4C" w14:textId="77777777" w:rsidR="00BC7F24" w:rsidRPr="00D73FF0" w:rsidRDefault="00BC7F24" w:rsidP="00BC7F24">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b</w:t>
      </w:r>
      <w:r>
        <w:rPr>
          <w:rFonts w:ascii="Times New Roman" w:hAnsi="Times New Roman" w:cs="Times New Roman"/>
          <w:b/>
          <w:bCs/>
          <w:sz w:val="20"/>
          <w:szCs w:val="20"/>
        </w:rPr>
        <w:t>)</w:t>
      </w:r>
      <w:r>
        <w:rPr>
          <w:rFonts w:ascii="Times New Roman" w:hAnsi="Times New Roman" w:cs="Times New Roman"/>
          <w:b/>
          <w:bCs/>
          <w:sz w:val="20"/>
          <w:szCs w:val="20"/>
        </w:rPr>
        <w:tab/>
      </w:r>
      <w:r w:rsidRPr="00D73FF0">
        <w:rPr>
          <w:rFonts w:ascii="Times New Roman" w:hAnsi="Times New Roman" w:cs="Times New Roman"/>
          <w:b/>
          <w:bCs/>
          <w:sz w:val="20"/>
          <w:szCs w:val="20"/>
        </w:rPr>
        <w:t>Clinically affected animals</w:t>
      </w:r>
    </w:p>
    <w:p w14:paraId="37595363" w14:textId="77777777" w:rsidR="00BC7F24" w:rsidRPr="00D73FF0" w:rsidRDefault="00BC7F24" w:rsidP="00BC7F24">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Pr>
          <w:rFonts w:ascii="Times New Roman" w:hAnsi="Times New Roman" w:cs="Times New Roman"/>
          <w:b/>
          <w:bCs/>
          <w:sz w:val="20"/>
          <w:szCs w:val="20"/>
        </w:rPr>
        <w:t>)</w:t>
      </w:r>
      <w:r w:rsidRPr="00D73FF0">
        <w:rPr>
          <w:rFonts w:ascii="Times New Roman" w:hAnsi="Times New Roman" w:cs="Times New Roman"/>
          <w:b/>
          <w:bCs/>
          <w:sz w:val="20"/>
          <w:szCs w:val="20"/>
        </w:rPr>
        <w:tab/>
        <w:t>Definition of a suspect case in clinically affected animals</w:t>
      </w:r>
    </w:p>
    <w:p w14:paraId="78E0C425" w14:textId="77777777" w:rsidR="00BC7F24" w:rsidRPr="00D73FF0" w:rsidRDefault="00BC7F24" w:rsidP="00BC7F24">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Suitable as a criterion.</w:t>
      </w:r>
      <w:r w:rsidRPr="00D73FF0">
        <w:rPr>
          <w:rFonts w:ascii="Times New Roman" w:hAnsi="Times New Roman" w:cs="Times New Roman"/>
          <w:sz w:val="20"/>
          <w:szCs w:val="20"/>
        </w:rPr>
        <w:t xml:space="preserve"> Taking an environmental sample to investigate the cause of disease in a population of clinically affected animals is not generally recommended as samples from clinically affected animals are more likely to lead to pathogenic agent detection and are more suitable for disease investigation. However, under some circumstances, an eDNA method may detect a pathogenic agent and lead to the recognition of previously unobserved clinical signs of disease. In these circumstances, a positive result obtained from an eDNA method recommended in the </w:t>
      </w:r>
      <w:r w:rsidRPr="00D73FF0">
        <w:rPr>
          <w:rFonts w:ascii="Times New Roman" w:hAnsi="Times New Roman" w:cs="Times New Roman"/>
          <w:i/>
          <w:iCs/>
          <w:sz w:val="20"/>
          <w:szCs w:val="20"/>
        </w:rPr>
        <w:t>Aquatic</w:t>
      </w:r>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Manual</w:t>
      </w:r>
      <w:r w:rsidRPr="00D73FF0">
        <w:rPr>
          <w:rFonts w:ascii="Times New Roman" w:hAnsi="Times New Roman" w:cs="Times New Roman"/>
          <w:sz w:val="20"/>
          <w:szCs w:val="20"/>
        </w:rPr>
        <w:t xml:space="preserve"> is considered to provide adequate evidence to be included as a criterion for a suspect case.</w:t>
      </w:r>
    </w:p>
    <w:p w14:paraId="61D1AEB5" w14:textId="77777777" w:rsidR="00BC7F24" w:rsidRDefault="00BC7F24" w:rsidP="00BC7F24">
      <w:pPr>
        <w:spacing w:after="240" w:line="240" w:lineRule="auto"/>
        <w:ind w:left="1276" w:hanging="425"/>
        <w:jc w:val="both"/>
        <w:rPr>
          <w:rFonts w:ascii="Times New Roman" w:hAnsi="Times New Roman" w:cs="Times New Roman"/>
          <w:b/>
          <w:bCs/>
          <w:sz w:val="20"/>
          <w:szCs w:val="20"/>
        </w:rPr>
      </w:pPr>
      <w:r>
        <w:rPr>
          <w:rFonts w:ascii="Times New Roman" w:hAnsi="Times New Roman" w:cs="Times New Roman"/>
          <w:b/>
          <w:bCs/>
          <w:sz w:val="20"/>
          <w:szCs w:val="20"/>
        </w:rPr>
        <w:br w:type="page"/>
      </w:r>
    </w:p>
    <w:p w14:paraId="44284BEA" w14:textId="77777777" w:rsidR="00BC7F24" w:rsidRPr="00D73FF0" w:rsidRDefault="00BC7F24" w:rsidP="00BC7F24">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ii</w:t>
      </w:r>
      <w:r>
        <w:rPr>
          <w:rFonts w:ascii="Times New Roman" w:hAnsi="Times New Roman" w:cs="Times New Roman"/>
          <w:b/>
          <w:bCs/>
          <w:sz w:val="20"/>
          <w:szCs w:val="20"/>
        </w:rPr>
        <w:t>)</w:t>
      </w:r>
      <w:r w:rsidRPr="00D73FF0">
        <w:rPr>
          <w:rFonts w:ascii="Times New Roman" w:hAnsi="Times New Roman" w:cs="Times New Roman"/>
          <w:b/>
          <w:bCs/>
          <w:sz w:val="20"/>
          <w:szCs w:val="20"/>
        </w:rPr>
        <w:tab/>
        <w:t xml:space="preserve">Definition of confirmed case </w:t>
      </w:r>
    </w:p>
    <w:p w14:paraId="58F53B01" w14:textId="77777777" w:rsidR="00BC7F24" w:rsidRPr="00D73FF0" w:rsidRDefault="00BC7F24" w:rsidP="00BC7F24">
      <w:pPr>
        <w:spacing w:after="240" w:line="240" w:lineRule="auto"/>
        <w:ind w:left="1276"/>
        <w:jc w:val="both"/>
        <w:rPr>
          <w:rFonts w:ascii="Times New Roman" w:hAnsi="Times New Roman" w:cs="Times New Roman"/>
          <w:sz w:val="20"/>
          <w:szCs w:val="20"/>
        </w:rPr>
      </w:pPr>
      <w:r w:rsidRPr="00D73FF0">
        <w:rPr>
          <w:rFonts w:ascii="Times New Roman" w:hAnsi="Times New Roman" w:cs="Times New Roman"/>
          <w:i/>
          <w:iCs/>
          <w:sz w:val="20"/>
          <w:szCs w:val="20"/>
        </w:rPr>
        <w:t>Not suitable as a criterion.</w:t>
      </w:r>
      <w:r w:rsidRPr="00D73FF0">
        <w:rPr>
          <w:rFonts w:ascii="Times New Roman" w:hAnsi="Times New Roman" w:cs="Times New Roman"/>
          <w:sz w:val="20"/>
          <w:szCs w:val="20"/>
        </w:rPr>
        <w:t xml:space="preserve"> A positive result from an eDNA method recommended in the </w:t>
      </w:r>
      <w:r w:rsidRPr="00D73FF0">
        <w:rPr>
          <w:rFonts w:ascii="Times New Roman" w:hAnsi="Times New Roman" w:cs="Times New Roman"/>
          <w:i/>
          <w:iCs/>
          <w:sz w:val="20"/>
          <w:szCs w:val="20"/>
        </w:rPr>
        <w:t>Aquatic Manual</w:t>
      </w:r>
      <w:r w:rsidRPr="00D73FF0" w:rsidDel="005531B6">
        <w:rPr>
          <w:rFonts w:ascii="Times New Roman" w:hAnsi="Times New Roman" w:cs="Times New Roman"/>
          <w:sz w:val="20"/>
          <w:szCs w:val="20"/>
        </w:rPr>
        <w:t xml:space="preserve"> </w:t>
      </w:r>
      <w:r w:rsidRPr="00D73FF0">
        <w:rPr>
          <w:rFonts w:ascii="Times New Roman" w:hAnsi="Times New Roman" w:cs="Times New Roman"/>
          <w:sz w:val="20"/>
          <w:szCs w:val="20"/>
        </w:rPr>
        <w:t xml:space="preserve">would not be included as a criterion for the confirmation of a pathogenic agent in clinically affected animals (or apparently healthy animals, see point </w:t>
      </w:r>
      <w:r>
        <w:rPr>
          <w:rFonts w:ascii="Times New Roman" w:hAnsi="Times New Roman" w:cs="Times New Roman"/>
          <w:sz w:val="20"/>
          <w:szCs w:val="20"/>
        </w:rPr>
        <w:t>(</w:t>
      </w:r>
      <w:r w:rsidRPr="00D73FF0">
        <w:rPr>
          <w:rFonts w:ascii="Times New Roman" w:hAnsi="Times New Roman" w:cs="Times New Roman"/>
          <w:sz w:val="20"/>
          <w:szCs w:val="20"/>
        </w:rPr>
        <w:t>a</w:t>
      </w:r>
      <w:r>
        <w:rPr>
          <w:rFonts w:ascii="Times New Roman" w:hAnsi="Times New Roman" w:cs="Times New Roman"/>
          <w:sz w:val="20"/>
          <w:szCs w:val="20"/>
        </w:rPr>
        <w:t>)(</w:t>
      </w:r>
      <w:r w:rsidRPr="00D73FF0">
        <w:rPr>
          <w:rFonts w:ascii="Times New Roman" w:hAnsi="Times New Roman" w:cs="Times New Roman"/>
          <w:sz w:val="20"/>
          <w:szCs w:val="20"/>
        </w:rPr>
        <w:t>ii</w:t>
      </w:r>
      <w:r>
        <w:rPr>
          <w:rFonts w:ascii="Times New Roman" w:hAnsi="Times New Roman" w:cs="Times New Roman"/>
          <w:sz w:val="20"/>
          <w:szCs w:val="20"/>
        </w:rPr>
        <w:t>)</w:t>
      </w:r>
      <w:r w:rsidRPr="00D73FF0">
        <w:rPr>
          <w:rFonts w:ascii="Times New Roman" w:hAnsi="Times New Roman" w:cs="Times New Roman"/>
          <w:sz w:val="20"/>
          <w:szCs w:val="20"/>
        </w:rPr>
        <w:t xml:space="preserve"> above). Any positive eDNA test would require further investigation involving the collection and testing of animal tissues as stipulated in the relevant disease</w:t>
      </w:r>
      <w:r>
        <w:rPr>
          <w:rFonts w:ascii="Times New Roman" w:hAnsi="Times New Roman" w:cs="Times New Roman"/>
          <w:sz w:val="20"/>
          <w:szCs w:val="20"/>
        </w:rPr>
        <w:t>-</w:t>
      </w:r>
      <w:r w:rsidRPr="00D73FF0">
        <w:rPr>
          <w:rFonts w:ascii="Times New Roman" w:hAnsi="Times New Roman" w:cs="Times New Roman"/>
          <w:sz w:val="20"/>
          <w:szCs w:val="20"/>
        </w:rPr>
        <w:t xml:space="preserv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Evidence to confirm a case in clinically affected animals must meet the requirements of Section 6.2.2. of the relevant disease-specific chapter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eDNA evidence will not be included as a criterion within this section.</w:t>
      </w:r>
    </w:p>
    <w:p w14:paraId="52E57DE3" w14:textId="77777777" w:rsidR="00BC7F24" w:rsidRPr="00D73FF0" w:rsidRDefault="00BC7F24" w:rsidP="00BC7F24">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10.</w:t>
      </w:r>
      <w:r>
        <w:rPr>
          <w:rFonts w:ascii="Times New Roman" w:hAnsi="Times New Roman" w:cs="Times New Roman"/>
          <w:b/>
          <w:bCs/>
          <w:sz w:val="20"/>
          <w:szCs w:val="20"/>
        </w:rPr>
        <w:tab/>
      </w:r>
      <w:r w:rsidRPr="00D73FF0">
        <w:rPr>
          <w:rFonts w:ascii="Times New Roman" w:hAnsi="Times New Roman" w:cs="Times New Roman"/>
          <w:b/>
          <w:bCs/>
          <w:sz w:val="20"/>
          <w:szCs w:val="20"/>
        </w:rPr>
        <w:t>Discussion</w:t>
      </w:r>
    </w:p>
    <w:p w14:paraId="491B5637"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A country or zone claiming freedom from a specified pathogenic agent(s) are required to have in place an early detection system for disease incursion. Farmer reporting of morbidity and mortality is a key component of an early detection system. Farmed populations can act as sentinels for wild populations only if they are epidemiologically connected (i.e. through shared water). Otherwise active surveillance in wild populations is required as morbidity or mortality is unlikely to be reported (especially as dead or dying animals are likely to be quickly scavenged or predated). Animal sampling of wild populations can present considerable logistical challenges, especially if populations are remote, sparse or if low numbers make destructive sampling undesirable. eDNA based pathogenic agent detection methods overcome many of the challenges of sampling wild aquatic animals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{"citationItems":[{"id":"ITEM-1","itemData":{"DOI":"10.3354/dao03183","ISSN":"16161580","PMID":"29256431","abstract":"Amphibian chytridiomycosis caused by the fungus Batrachochytrium dendrobatidis (Bd) is an emerging infectious disease that has been associated with mass mortality and extinctions of amphibians worldwide. Environmental DNA (eDNA) techniques have been used to detect the presence of Bd in the environment, but not to detect Bd prior to an amphibian die-off. We collected eDNA using filtered water samples from 13 lakes across Sequoia Kings Canyon National Park. Seven of those sites had populations of mountain yellow-legged frogs, an amphibian highly susceptible to chytridiomycosis, and 3 of those populations experienced a Bd related die-off 1 mo post-eDNA sampling. We detected Bd in eDNA samples that were collected 1 mo prior to the observed Bd-caused die-off at all 3 sites affected by Bd, and we did not detect Bd at the other sites where no die-off was observed. Our study indicates the potential to use eDNA techniques for early detection of Bd in the environment.","author":[{"dropping-particle":"","family":"Kamoroff","given":"Colleen","non-dropping-particle":"","parse-names":false,"suffix":""},{"dropping-particle":"","family":"Goldberg","given":"Caren S.","non-dropping-particle":"","parse-names":false,"suffix":""}],"container-title":"Diseases of Aquatic Organisms","id":"ITEM-1","issue":"1","issued":{"date-parts":[["2017"]]},"page":"75-79","title":"Using environmental DNA for early detection of amphibian chytrid fungus Batrachochytrium dendrobatidis prior to a ranid die-off","type":"article-journal","volume":"127"},"uris":["http://www.mendeley.com/documents/?uuid=33f83a93-92ca-462e-8516-cb37d5f13966"]}],"mendeley":{"formattedCitation":"(Kamoroff &amp; Goldberg 2017)","plainTextFormattedCitation":"(Kamoroff &amp; Goldberg 2017)","previouslyFormattedCitation":"(Kamoroff &amp; Goldberg 2017)"},"properties":{"noteIndex":0},"schema":"https://github.com/citation-style-language/schema/raw/master/csl-citation.json"}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w:t>
      </w:r>
      <w:proofErr w:type="spellStart"/>
      <w:r w:rsidRPr="00D73FF0">
        <w:rPr>
          <w:rFonts w:ascii="Times New Roman" w:hAnsi="Times New Roman" w:cs="Times New Roman"/>
          <w:sz w:val="20"/>
          <w:szCs w:val="20"/>
        </w:rPr>
        <w:t>Kamoroff</w:t>
      </w:r>
      <w:proofErr w:type="spellEnd"/>
      <w:r w:rsidRPr="00D73FF0">
        <w:rPr>
          <w:rFonts w:ascii="Times New Roman" w:hAnsi="Times New Roman" w:cs="Times New Roman"/>
          <w:sz w:val="20"/>
          <w:szCs w:val="20"/>
        </w:rPr>
        <w:t xml:space="preserve"> and Goldberg, 2017; </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{"citationItems":[{"id":"ITEM-1","itemData":{"DOI":"10.1016/j.jenvman.2017.07.045","ISSN":"10958630","PMID":"28738203","abstract":"Following decades of ecologic and economic impacts from a growing list of nonindigenous and invasive species, government and management entities are committing to systematic early- detection monitoring (EDM). This has reinvigorated investment in the science underpinning such monitoring, as well as the need to convey that science in practical terms to those tasked with EDM implementation. Using the context of nonindigenous species in the North American Great Lakes, this article summarizes the current scientific tools and knowledge – including limitations, research needs, and likely future developments – relevant to various aspects of planning and conducting comprehensive EDM. We begin with the scope of the effort, contrasting target-species with broad-spectrum monitoring, reviewing information to support prioritization based on species and locations, and exploring the challenge of moving beyond individual surveys towards a coordinated monitoring network. Next, we discuss survey design, including effort to expend and its allocation over space and time. A section on sample collection and analysis overviews the merits of collecting actual organisms versus shed DNA, reviews the capabilities and limitations of identification by morphology, DNA target markers, or DNA barcoding, and examines best practices for sample handling and data verification. We end with a section addressing the analysis of monitoring data, including methods to evaluate survey performance and characterize and communicate uncertainty. Although the body of science supporting EDM implementation is already substantial, research and information needs (many already actively being addressed) include: better data to support risk assessments that guide choice of taxa and locations to monitor; improved understanding of spatiotemporal scales for sample collection; further development of DNA target markers, reference barcodes, genomic workflows, and synergies between DNA-based and morphology-based taxonomy; and tools and information management systems for better evaluating and communicating survey outcomes and uncertainty.","author":[{"dropping-particle":"","family":"Trebitz","given":"Anett S.","non-dropping-particle":"","parse-names":false,"suffix":""},{"dropping-particle":"","family":"Hoffman","given":"Joel C.","non-dropping-particle":"","parse-names":false,"suffix":""},{"dropping-particle":"","family":"Darling","given":"John A.","non-dropping-particle":"","parse-names":false,"suffix":""},{"dropping-particle":"","family":"Pilgrim","given":"Erik M.","non-dropping-particle":"","parse-names":false,"suffix":""},{"dropping-particle":"","family":"Kelly","given":"John R.","non-dropping-particle":"","parse-names":false,"suffix":""},{"dropping-particle":"","family":"Brown","given":"Emily A.","non-dropping-particle":"","parse-names":false,"suffix":""},{"dropping-particle":"","family":"Chadderton","given":"W. Lindsay","non-dropping-particle":"","parse-names":false,"suffix":""},{"dropping-particle":"","family":"Egan","given":"Scott P.","non-dropping-particle":"","parse-names":false,"suffix":""},{"dropping-particle":"","family":"Grey","given":"Erin K.","non-dropping-particle":"","parse-names":false,"suffix":""},{"dropping-particle":"","family":"Hashsham","given":"Syed A.","non-dropping-particle":"","parse-names":false,"suffix":""},{"dropping-particle":"","family":"Klymus","given":"Katy E.","non-dropping-particle":"","parse-names":false,"suffix":""},{"dropping-particle":"","family":"Mahon","given":"Andrew R.","non-dropping-particle":"","parse-names":false,"suffix":""},{"dropping-particle":"","family":"Ram","given":"Jeffrey L.","non-dropping-particle":"","parse-names":false,"suffix":""},{"dropping-particle":"","family":"Schultz","given":"Martin T.","non-dropping-particle":"","parse-names":false,"suffix":""},{"dropping-particle":"","family":"Stepien","given":"Carol A.","non-dropping-particle":"","parse-names":false,"suffix":""},{"dropping-particle":"","family":"Schardt","given":"James C.","non-dropping-particle":"","parse-names":false,"suffix":""}],"container-title":"Journal of Environmental Management","id":"ITEM-1","issue":"July","issued":{"date-parts":[["2017"]]},"page":"299-310","publisher":"Elsevier Ltd","title":"Early detection monitoring for aquatic non-indigenous species: Optimizing surveillance, incorporating advanced technologies, and identifying research needs","type":"article-journal","volume":"202"},"uris":["http://www.mendeley.com/documents/?uuid=0911f23f-0c13-4fa5-a238-50eef1acc0d7"]}],"mendeley":{"formattedCitation":"(Trebitz et al. 2017)","plainTextFormattedCitation":"(Trebitz et al. 2017)","previouslyFormattedCitation":"(Trebitz et al. 2017)"},"properties":{"noteIndex":0},"schema":"https://github.com/citation-style-language/schema/raw/master/csl-citation.json"}</w:instrText>
      </w:r>
      <w:r w:rsidRPr="00D73FF0">
        <w:rPr>
          <w:rFonts w:ascii="Times New Roman" w:hAnsi="Times New Roman" w:cs="Times New Roman"/>
          <w:sz w:val="20"/>
          <w:szCs w:val="20"/>
        </w:rPr>
        <w:fldChar w:fldCharType="separate"/>
      </w:r>
      <w:proofErr w:type="spellStart"/>
      <w:r w:rsidRPr="00D73FF0">
        <w:rPr>
          <w:rFonts w:ascii="Times New Roman" w:hAnsi="Times New Roman" w:cs="Times New Roman"/>
          <w:sz w:val="20"/>
          <w:szCs w:val="20"/>
        </w:rPr>
        <w:t>Trebitz</w:t>
      </w:r>
      <w:proofErr w:type="spellEnd"/>
      <w:r w:rsidRPr="00D73FF0">
        <w:rPr>
          <w:rFonts w:ascii="Times New Roman" w:hAnsi="Times New Roman" w:cs="Times New Roman"/>
          <w:sz w:val="20"/>
          <w:szCs w:val="20"/>
        </w:rPr>
        <w:t xml:space="preserve"> </w:t>
      </w:r>
      <w:r w:rsidRPr="00D73FF0">
        <w:rPr>
          <w:rFonts w:ascii="Times New Roman" w:hAnsi="Times New Roman" w:cs="Times New Roman"/>
          <w:i/>
          <w:iCs/>
          <w:sz w:val="20"/>
          <w:szCs w:val="20"/>
        </w:rPr>
        <w:t>et al</w:t>
      </w:r>
      <w:r w:rsidRPr="00D73FF0">
        <w:rPr>
          <w:rFonts w:ascii="Times New Roman" w:hAnsi="Times New Roman" w:cs="Times New Roman"/>
          <w:sz w:val="20"/>
          <w:szCs w:val="20"/>
        </w:rPr>
        <w:t>., 2017)</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w:t>
      </w:r>
    </w:p>
    <w:p w14:paraId="38C75346"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Infection with some listed pathogenic agents, under certain conditions or in some host species, will not invariably cause detectable clinical signs. Early detection systems that rely on observations by farmers (or others) of mortality or morbidity are ineffective in these circumstances and active surveillance would be required. Sampling farmed animals on a frequent basis, and at a level to detect a low prevalence, presents considerable logistical challenges and the cost is likely to be unacceptable. eDNA methods can offer a viable alternative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{"citationItems":[{"id":"ITEM-1","itemData":{"DOI":"10.1007/s10530-019-02152-0","ISBN":"0123456789","ISSN":"1387-3547","abstract":"The global ornamental fish trade enables translocation of exotic aquatic pathogens. In many countries, health certification and visual inspection of imported fish are key components of biosecurity to prevent the introduction of aquatic diseases. However, infected fish do not always exhibit clinical or behavioural signs of disease, and alternatives to visual inspection must be validated. This study examined the use of environmental DNA (eDNA) to detect sub-clinical parasite infections at border control. We simulated the export process of live ornamental fish in which non-infected fish, infected fish, treated fish, and non-infected fish held in contaminated water were packaged and delivered in 48 h. Quantitative PCR (qPCR) was used to detect eDNA of an ectoparasitic monogenean, Neobenedenia girellae, infecting barramundi, Lates calcarifer. The qPCR assay did not reliably detect parasite eDNA under 2 copies/µL from fish with sub-clinical infections (mean parasite intensity = 6.80 ± 4.78 S.D.), suggesting parasite infection loads tested in this study may be too low for reliable detection within the timeframe used to export live ornamental fish. Quantitative PCR tests detected parasite eDNA in 50% of infected fish and 70% of non-infected fish in contaminated transport water. This indicated a high plausibility of false negative detections because of low eDNA concentrations in transport water and false positive detections of DNA from dead parasites in the water. Environmental DNA screening methods for border control biosecurity must overcome limitations posed by low eDNA concentrations in the water, limited timeframes for sample processing, and the essential differentiation between live parasite infections and dead, non-viable parasites.","author":[{"dropping-particle":"","family":"Trujillo-González","given":"A.","non-dropping-particle":"","parse-names":false,"suffix":""},{"dropping-particle":"","family":"Becker","given":"J. A.","non-dropping-particle":"","parse-names":false,"suffix":""},{"dropping-particle":"","family":"Huerlimann","given":"R.","non-dropping-particle":"","parse-names":false,"suffix":""},{"dropping-particle":"","family":"Saunders","given":"R. J.","non-dropping-particle":"","parse-names":false,"suffix":""},{"dropping-particle":"","family":"Hutson","given":"K. S.","non-dropping-particle":"","parse-names":false,"suffix":""}],"container-title":"Biological Invasions","id":"ITEM-1","issue":"3","issued":{"date-parts":[["2019","11","27"]]},"page":"1011-1025","title":"Can environmental DNA be used for aquatic biosecurity in the aquarium fish trade?","type":"article-journal","volume":"0"},"uris":["http://www.mendeley.com/documents/?uuid=fa8c3048-e16d-4643-88bf-d4a5a668e5da"]}],"mendeley":{"formattedCitation":"(Trujillo-González et al. 2019a)","plainTextFormattedCitation":"(Trujillo-González et al. 2019a)","previouslyFormattedCitation":"(Trujillo-González et al. 2019a)"},"properties":{"noteIndex":0},"schema":"https://github.com/citation-style-language/schema/raw/master/csl-citation.json"}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noProof/>
          <w:sz w:val="20"/>
          <w:szCs w:val="20"/>
        </w:rPr>
        <w:t xml:space="preserve">(Trujillo-González </w:t>
      </w:r>
      <w:r w:rsidRPr="00D73FF0">
        <w:rPr>
          <w:rFonts w:ascii="Times New Roman" w:hAnsi="Times New Roman" w:cs="Times New Roman"/>
          <w:i/>
          <w:iCs/>
          <w:noProof/>
          <w:sz w:val="20"/>
          <w:szCs w:val="20"/>
        </w:rPr>
        <w:t>et al</w:t>
      </w:r>
      <w:r w:rsidRPr="00D73FF0">
        <w:rPr>
          <w:rFonts w:ascii="Times New Roman" w:hAnsi="Times New Roman" w:cs="Times New Roman"/>
          <w:noProof/>
          <w:sz w:val="20"/>
          <w:szCs w:val="20"/>
        </w:rPr>
        <w:t>., 2019a)</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for active surveillance for pathogens which may not reliably cause observable clinical signs. They have the additional advantage that the sample will contain analyte from a large percentage, if not the entire, captive population. </w:t>
      </w:r>
      <w:proofErr w:type="gramStart"/>
      <w:r w:rsidRPr="00D73FF0">
        <w:rPr>
          <w:rFonts w:ascii="Times New Roman" w:hAnsi="Times New Roman" w:cs="Times New Roman"/>
          <w:sz w:val="20"/>
          <w:szCs w:val="20"/>
        </w:rPr>
        <w:t>Thus</w:t>
      </w:r>
      <w:proofErr w:type="gramEnd"/>
      <w:r w:rsidRPr="00D73FF0">
        <w:rPr>
          <w:rFonts w:ascii="Times New Roman" w:hAnsi="Times New Roman" w:cs="Times New Roman"/>
          <w:sz w:val="20"/>
          <w:szCs w:val="20"/>
        </w:rPr>
        <w:t xml:space="preserve"> relatively few environmental, compared with animal samples, are needed (provided sufficient DNA can be extracted).</w:t>
      </w:r>
    </w:p>
    <w:p w14:paraId="51D26F5B"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Farms may be routinely left fallow at the end of a production </w:t>
      </w:r>
      <w:proofErr w:type="gramStart"/>
      <w:r w:rsidRPr="00D73FF0">
        <w:rPr>
          <w:rFonts w:ascii="Times New Roman" w:hAnsi="Times New Roman" w:cs="Times New Roman"/>
          <w:sz w:val="20"/>
          <w:szCs w:val="20"/>
        </w:rPr>
        <w:t>cycle, or</w:t>
      </w:r>
      <w:proofErr w:type="gramEnd"/>
      <w:r w:rsidRPr="00D73FF0">
        <w:rPr>
          <w:rFonts w:ascii="Times New Roman" w:hAnsi="Times New Roman" w:cs="Times New Roman"/>
          <w:sz w:val="20"/>
          <w:szCs w:val="20"/>
        </w:rPr>
        <w:t xml:space="preserve"> following destocking as part of a disease control programme. The results from testing eDNA taken during the fallow period can support decisions about when to restock. eDNA, therefore, provides a more economical and practical alternative to the stocking of sentinel animals to demonstrate elimination of the pathogenic agent.</w:t>
      </w:r>
    </w:p>
    <w:p w14:paraId="1106E87A"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 xml:space="preserve">The key limitations of eDNA is the lack of validation and diagnostic performance data, meaning that negative results cannot be used to demonstrate disease freedom and positive results always require confirmation using animal samples </w:t>
      </w:r>
      <w:r w:rsidRPr="00D73FF0">
        <w:rPr>
          <w:rFonts w:ascii="Times New Roman" w:hAnsi="Times New Roman" w:cs="Times New Roman"/>
          <w:sz w:val="20"/>
          <w:szCs w:val="20"/>
        </w:rPr>
        <w:fldChar w:fldCharType="begin" w:fldLock="1"/>
      </w:r>
      <w:r w:rsidRPr="00D73FF0">
        <w:rPr>
          <w:rFonts w:ascii="Times New Roman" w:hAnsi="Times New Roman" w:cs="Times New Roman"/>
          <w:sz w:val="20"/>
          <w:szCs w:val="20"/>
        </w:rPr>
        <w:instrText>ADDIN CSL_CITATION {"citationItems":[{"id":"ITEM-1","itemData":{"DOI":"10.1038/s41598-020-66280-7","ISSN":"2045-2322","author":[{"dropping-particle":"","family":"Brunner","given":"Jesse L","non-dropping-particle":"","parse-names":false,"suffix":""}],"container-title":"Scientific Reports","id":"ITEM-1","issue":"1","issued":{"date-parts":[["2020","12","24"]]},"page":"10280","publisher":"Springer US","title":"Pooled samples and eDNA-based detection can facilitate the “clean trade” of aquatic animals","type":"article-journal","volume":"10"},"uris":["http://www.mendeley.com/documents/?uuid=b94c27ca-b5e8-4e3a-91d6-fe2bddc6feb1"]}],"mendeley":{"formattedCitation":"(Brunner 2020)","plainTextFormattedCitation":"(Brunner 2020)","previouslyFormattedCitation":"(Brunner 2020)"},"properties":{"noteIndex":0},"schema":"https://github.com/citation-style-language/schema/raw/master/csl-citation.json"}</w:instrText>
      </w:r>
      <w:r w:rsidRPr="00D73FF0">
        <w:rPr>
          <w:rFonts w:ascii="Times New Roman" w:hAnsi="Times New Roman" w:cs="Times New Roman"/>
          <w:sz w:val="20"/>
          <w:szCs w:val="20"/>
        </w:rPr>
        <w:fldChar w:fldCharType="separate"/>
      </w:r>
      <w:r w:rsidRPr="00D73FF0">
        <w:rPr>
          <w:rFonts w:ascii="Times New Roman" w:hAnsi="Times New Roman" w:cs="Times New Roman"/>
          <w:sz w:val="20"/>
          <w:szCs w:val="20"/>
        </w:rPr>
        <w:t>(Brunner, 2020)</w:t>
      </w:r>
      <w:r w:rsidRPr="00D73FF0">
        <w:rPr>
          <w:rFonts w:ascii="Times New Roman" w:hAnsi="Times New Roman" w:cs="Times New Roman"/>
          <w:sz w:val="20"/>
          <w:szCs w:val="20"/>
        </w:rPr>
        <w:fldChar w:fldCharType="end"/>
      </w:r>
      <w:r w:rsidRPr="00D73FF0">
        <w:rPr>
          <w:rFonts w:ascii="Times New Roman" w:hAnsi="Times New Roman" w:cs="Times New Roman"/>
          <w:sz w:val="20"/>
          <w:szCs w:val="20"/>
        </w:rPr>
        <w:t xml:space="preserve">. Nevertheless, there are circumstances where the advantages of environmental, over animal, sampling means that eDNA approaches can be usefully integrated into a surveillance programme. </w:t>
      </w:r>
    </w:p>
    <w:p w14:paraId="511151CF" w14:textId="77777777" w:rsidR="00BC7F24" w:rsidRPr="00D73FF0" w:rsidRDefault="00BC7F24" w:rsidP="00BC7F24">
      <w:pPr>
        <w:spacing w:after="240" w:line="240" w:lineRule="auto"/>
        <w:ind w:left="426" w:hanging="426"/>
        <w:jc w:val="both"/>
        <w:rPr>
          <w:rFonts w:ascii="Times New Roman" w:hAnsi="Times New Roman" w:cs="Times New Roman"/>
          <w:b/>
          <w:bCs/>
          <w:sz w:val="20"/>
          <w:szCs w:val="20"/>
        </w:rPr>
      </w:pPr>
      <w:r w:rsidRPr="00D73FF0">
        <w:rPr>
          <w:rFonts w:ascii="Times New Roman" w:hAnsi="Times New Roman" w:cs="Times New Roman"/>
          <w:b/>
          <w:bCs/>
          <w:sz w:val="20"/>
          <w:szCs w:val="20"/>
        </w:rPr>
        <w:t>11.</w:t>
      </w:r>
      <w:r>
        <w:rPr>
          <w:rFonts w:ascii="Times New Roman" w:hAnsi="Times New Roman" w:cs="Times New Roman"/>
          <w:b/>
          <w:bCs/>
          <w:sz w:val="20"/>
          <w:szCs w:val="20"/>
        </w:rPr>
        <w:tab/>
      </w:r>
      <w:r w:rsidRPr="00D73FF0">
        <w:rPr>
          <w:rFonts w:ascii="Times New Roman" w:hAnsi="Times New Roman" w:cs="Times New Roman"/>
          <w:b/>
          <w:bCs/>
          <w:sz w:val="20"/>
          <w:szCs w:val="20"/>
        </w:rPr>
        <w:t>Conclusions</w:t>
      </w:r>
    </w:p>
    <w:p w14:paraId="207C4299" w14:textId="77777777" w:rsidR="00BC7F24" w:rsidRPr="00D73FF0"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eDNA methods may have utility for enhancing passive surveillance systems for early detection; particularly in cases where conditions are not conducive to clinical expression of disease, or populations are not under sufficient observation to detect clinical disease should it occur.</w:t>
      </w:r>
    </w:p>
    <w:p w14:paraId="5A13BD99" w14:textId="77777777" w:rsidR="00BC7F24" w:rsidRPr="00D73FF0"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may have utility for rare, </w:t>
      </w:r>
      <w:proofErr w:type="gramStart"/>
      <w:r w:rsidRPr="00D73FF0">
        <w:rPr>
          <w:rFonts w:ascii="Times New Roman" w:hAnsi="Times New Roman" w:cs="Times New Roman"/>
          <w:sz w:val="20"/>
          <w:szCs w:val="20"/>
        </w:rPr>
        <w:t>valuable</w:t>
      </w:r>
      <w:proofErr w:type="gramEnd"/>
      <w:r w:rsidRPr="00D73FF0">
        <w:rPr>
          <w:rFonts w:ascii="Times New Roman" w:hAnsi="Times New Roman" w:cs="Times New Roman"/>
          <w:sz w:val="20"/>
          <w:szCs w:val="20"/>
        </w:rPr>
        <w:t xml:space="preserve"> or difficult to collect wild aquatic animals, where direct sampling of animals is undesirable or cost prohibitive. They may also provide cost advantages for disease monitoring programs in production environments.</w:t>
      </w:r>
    </w:p>
    <w:p w14:paraId="425D8481" w14:textId="77777777" w:rsidR="00BC7F24"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There are currently no frameworks to allow evaluation of diagnostic performance of eDNA methods in a manner </w:t>
      </w:r>
      <w:proofErr w:type="gramStart"/>
      <w:r w:rsidRPr="00D73FF0">
        <w:rPr>
          <w:rFonts w:ascii="Times New Roman" w:hAnsi="Times New Roman" w:cs="Times New Roman"/>
          <w:sz w:val="20"/>
          <w:szCs w:val="20"/>
        </w:rPr>
        <w:t>similar to</w:t>
      </w:r>
      <w:proofErr w:type="gramEnd"/>
      <w:r w:rsidRPr="00D73FF0">
        <w:rPr>
          <w:rFonts w:ascii="Times New Roman" w:hAnsi="Times New Roman" w:cs="Times New Roman"/>
          <w:sz w:val="20"/>
          <w:szCs w:val="20"/>
        </w:rPr>
        <w:t xml:space="preserve"> animal-derived samples. For this reason, evidence from eDNA detection methods cannot be utilised as evidence for self-declaration of freedom from disease.</w:t>
      </w:r>
      <w:r>
        <w:rPr>
          <w:rFonts w:ascii="Times New Roman" w:hAnsi="Times New Roman" w:cs="Times New Roman"/>
          <w:sz w:val="20"/>
          <w:szCs w:val="20"/>
        </w:rPr>
        <w:br w:type="page"/>
      </w:r>
    </w:p>
    <w:p w14:paraId="18B10E40" w14:textId="77777777" w:rsidR="00BC7F24" w:rsidRPr="00D73FF0"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eDNA methods will be considered for inclusion in disease-specific chapters of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if minimum disease and reporting standards as described in this paper are met.</w:t>
      </w:r>
    </w:p>
    <w:p w14:paraId="5B7C685E" w14:textId="77777777" w:rsidR="00BC7F24" w:rsidRPr="00D73FF0"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be considered as an appropriate criterion for a suspect case of a disease. </w:t>
      </w:r>
    </w:p>
    <w:p w14:paraId="4EBCC40D" w14:textId="77777777" w:rsidR="00BC7F24" w:rsidRPr="00D73FF0" w:rsidRDefault="00BC7F24" w:rsidP="00BC7F24">
      <w:pPr>
        <w:pStyle w:val="ListParagraph"/>
        <w:numPr>
          <w:ilvl w:val="0"/>
          <w:numId w:val="5"/>
        </w:numPr>
        <w:spacing w:after="240" w:line="240" w:lineRule="auto"/>
        <w:contextualSpacing w:val="0"/>
        <w:jc w:val="both"/>
        <w:rPr>
          <w:rFonts w:ascii="Times New Roman" w:hAnsi="Times New Roman" w:cs="Times New Roman"/>
          <w:sz w:val="20"/>
          <w:szCs w:val="20"/>
        </w:rPr>
      </w:pPr>
      <w:r w:rsidRPr="00D73FF0">
        <w:rPr>
          <w:rFonts w:ascii="Times New Roman" w:hAnsi="Times New Roman" w:cs="Times New Roman"/>
          <w:sz w:val="20"/>
          <w:szCs w:val="20"/>
        </w:rPr>
        <w:t xml:space="preserve">Positive results from an eDNA methods that has been included in the </w:t>
      </w:r>
      <w:r w:rsidRPr="00D73FF0">
        <w:rPr>
          <w:rFonts w:ascii="Times New Roman" w:hAnsi="Times New Roman" w:cs="Times New Roman"/>
          <w:i/>
          <w:iCs/>
          <w:sz w:val="20"/>
          <w:szCs w:val="20"/>
        </w:rPr>
        <w:t>Aquatic Manual</w:t>
      </w:r>
      <w:r w:rsidRPr="00D73FF0">
        <w:rPr>
          <w:rFonts w:ascii="Times New Roman" w:hAnsi="Times New Roman" w:cs="Times New Roman"/>
          <w:sz w:val="20"/>
          <w:szCs w:val="20"/>
        </w:rPr>
        <w:t xml:space="preserve"> will </w:t>
      </w:r>
      <w:r w:rsidRPr="00D73FF0">
        <w:rPr>
          <w:rFonts w:ascii="Times New Roman" w:hAnsi="Times New Roman" w:cs="Times New Roman"/>
          <w:sz w:val="20"/>
          <w:szCs w:val="20"/>
          <w:u w:val="single"/>
        </w:rPr>
        <w:t>not</w:t>
      </w:r>
      <w:r w:rsidRPr="00D73FF0">
        <w:rPr>
          <w:rFonts w:ascii="Times New Roman" w:hAnsi="Times New Roman" w:cs="Times New Roman"/>
          <w:sz w:val="20"/>
          <w:szCs w:val="20"/>
        </w:rPr>
        <w:t xml:space="preserve"> be considered as an appropriate criterion for a confirmed case of a disease in either apparently healthy or clinically affected animals. </w:t>
      </w:r>
    </w:p>
    <w:p w14:paraId="3ABA01C3" w14:textId="77777777" w:rsidR="00BC7F24" w:rsidRPr="00D73FF0" w:rsidRDefault="00BC7F24" w:rsidP="00BC7F24">
      <w:pPr>
        <w:spacing w:after="120" w:line="276" w:lineRule="auto"/>
        <w:jc w:val="both"/>
        <w:rPr>
          <w:rFonts w:ascii="Times New Roman" w:hAnsi="Times New Roman" w:cs="Times New Roman"/>
          <w:b/>
          <w:bCs/>
          <w:sz w:val="20"/>
          <w:szCs w:val="20"/>
        </w:rPr>
      </w:pPr>
      <w:r w:rsidRPr="00D73FF0">
        <w:rPr>
          <w:rFonts w:ascii="Times New Roman" w:hAnsi="Times New Roman" w:cs="Times New Roman"/>
          <w:b/>
          <w:bCs/>
          <w:sz w:val="20"/>
          <w:szCs w:val="20"/>
        </w:rPr>
        <w:t>References</w:t>
      </w:r>
    </w:p>
    <w:p w14:paraId="0CE263EB"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Alzaylaee H., Collins R.A., Rinaldi G., Shechonge A., Ngatunga B., Morgan E.R. &amp; Genner M.J.</w:t>
      </w:r>
      <w:r w:rsidRPr="00D73FF0">
        <w:rPr>
          <w:rFonts w:ascii="Times New Roman" w:hAnsi="Times New Roman" w:cs="Times New Roman"/>
          <w:noProof/>
          <w:sz w:val="20"/>
          <w:szCs w:val="20"/>
          <w:lang w:val="en-IE"/>
        </w:rPr>
        <w:t xml:space="preserve"> (2020). Schistosoma species detection by environmental DNA assays in African freshwaters. </w:t>
      </w:r>
      <w:r w:rsidRPr="00D73FF0">
        <w:rPr>
          <w:rFonts w:ascii="Times New Roman" w:hAnsi="Times New Roman" w:cs="Times New Roman"/>
          <w:i/>
          <w:iCs/>
          <w:noProof/>
          <w:sz w:val="20"/>
          <w:szCs w:val="20"/>
          <w:lang w:val="en-IE"/>
        </w:rPr>
        <w:t>PLOS Neglected Tropical Diseases,</w:t>
      </w:r>
      <w:r w:rsidRPr="00D73FF0">
        <w:rPr>
          <w:rFonts w:ascii="Times New Roman" w:hAnsi="Times New Roman" w:cs="Times New Roman"/>
          <w:noProof/>
          <w:sz w:val="20"/>
          <w:szCs w:val="20"/>
          <w:lang w:val="en-IE"/>
        </w:rPr>
        <w:t xml:space="preserve"> 14:e0008129.</w:t>
      </w:r>
    </w:p>
    <w:p w14:paraId="641FEC2F"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Audemard C., Reece K.S. &amp; Burreson E.M.</w:t>
      </w:r>
      <w:r w:rsidRPr="00D73FF0">
        <w:rPr>
          <w:rFonts w:ascii="Times New Roman" w:hAnsi="Times New Roman" w:cs="Times New Roman"/>
          <w:noProof/>
          <w:sz w:val="20"/>
          <w:szCs w:val="20"/>
          <w:lang w:val="en-IE"/>
        </w:rPr>
        <w:t xml:space="preserve"> (2004). Real-Time PCR for Detection and Quantification of the Protistan Parasite </w:t>
      </w:r>
      <w:r w:rsidRPr="00D73FF0">
        <w:rPr>
          <w:rFonts w:ascii="Times New Roman" w:hAnsi="Times New Roman" w:cs="Times New Roman"/>
          <w:i/>
          <w:iCs/>
          <w:noProof/>
          <w:sz w:val="20"/>
          <w:szCs w:val="20"/>
          <w:lang w:val="en-IE"/>
        </w:rPr>
        <w:t>Perkinsus marinus</w:t>
      </w:r>
      <w:r w:rsidRPr="00D73FF0">
        <w:rPr>
          <w:rFonts w:ascii="Times New Roman" w:hAnsi="Times New Roman" w:cs="Times New Roman"/>
          <w:noProof/>
          <w:sz w:val="20"/>
          <w:szCs w:val="20"/>
          <w:lang w:val="en-IE"/>
        </w:rPr>
        <w:t xml:space="preserve"> in Environmental Waters. </w:t>
      </w:r>
      <w:r w:rsidRPr="00D73FF0">
        <w:rPr>
          <w:rFonts w:ascii="Times New Roman" w:hAnsi="Times New Roman" w:cs="Times New Roman"/>
          <w:i/>
          <w:iCs/>
          <w:noProof/>
          <w:sz w:val="20"/>
          <w:szCs w:val="20"/>
          <w:lang w:val="en-IE"/>
        </w:rPr>
        <w:t>Applied Environmental Microbiology,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6611–6618.</w:t>
      </w:r>
    </w:p>
    <w:p w14:paraId="37B4C1A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Bass D., Stentiford G.D., Littlewood D.T.J. &amp; Hartikainen H. </w:t>
      </w:r>
      <w:r w:rsidRPr="00D73FF0">
        <w:rPr>
          <w:rFonts w:ascii="Times New Roman" w:hAnsi="Times New Roman" w:cs="Times New Roman"/>
          <w:noProof/>
          <w:sz w:val="20"/>
          <w:szCs w:val="20"/>
          <w:lang w:val="en-IE"/>
        </w:rPr>
        <w:t xml:space="preserve">(2015). Diverse Applications of Environmental DNA Methods in Parasitology. </w:t>
      </w:r>
      <w:r w:rsidRPr="00D73FF0">
        <w:rPr>
          <w:rFonts w:ascii="Times New Roman" w:hAnsi="Times New Roman" w:cs="Times New Roman"/>
          <w:i/>
          <w:iCs/>
          <w:noProof/>
          <w:sz w:val="20"/>
          <w:szCs w:val="20"/>
          <w:lang w:val="en-IE"/>
        </w:rPr>
        <w:t>Trends in Parasitology,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31</w:t>
      </w:r>
      <w:r w:rsidRPr="00D73FF0">
        <w:rPr>
          <w:rFonts w:ascii="Times New Roman" w:hAnsi="Times New Roman" w:cs="Times New Roman"/>
          <w:noProof/>
          <w:sz w:val="20"/>
          <w:szCs w:val="20"/>
          <w:lang w:val="en-IE"/>
        </w:rPr>
        <w:t>, 499–513.</w:t>
      </w:r>
    </w:p>
    <w:p w14:paraId="2C762A2A"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s-ES_tradnl"/>
        </w:rPr>
      </w:pPr>
      <w:r w:rsidRPr="00D73FF0">
        <w:rPr>
          <w:rFonts w:ascii="Times New Roman" w:hAnsi="Times New Roman" w:cs="Times New Roman"/>
          <w:smallCaps/>
          <w:noProof/>
          <w:sz w:val="20"/>
          <w:szCs w:val="20"/>
          <w:lang w:val="en-IE"/>
        </w:rPr>
        <w:t>Bastos Gomes G., Hutson K.S., Domingos J.A., Chung C., Hayward S., Miller T.L. &amp; Jerry D.R.</w:t>
      </w:r>
      <w:r w:rsidRPr="00D73FF0">
        <w:rPr>
          <w:rFonts w:ascii="Times New Roman" w:hAnsi="Times New Roman" w:cs="Times New Roman"/>
          <w:noProof/>
          <w:sz w:val="20"/>
          <w:szCs w:val="20"/>
          <w:lang w:val="en-IE"/>
        </w:rPr>
        <w:t xml:space="preserve"> (2017). Use of environmental DNA (eDNA) and water quality data to predict protozoan parasites outbreaks in fish farms. </w:t>
      </w:r>
      <w:r w:rsidRPr="00D73FF0">
        <w:rPr>
          <w:rFonts w:ascii="Times New Roman" w:hAnsi="Times New Roman" w:cs="Times New Roman"/>
          <w:i/>
          <w:iCs/>
          <w:noProof/>
          <w:sz w:val="20"/>
          <w:szCs w:val="20"/>
          <w:lang w:val="es-ES_tradnl"/>
        </w:rPr>
        <w:t>Aquaculture,</w:t>
      </w:r>
      <w:r w:rsidRPr="00D73FF0">
        <w:rPr>
          <w:rFonts w:ascii="Times New Roman" w:hAnsi="Times New Roman" w:cs="Times New Roman"/>
          <w:noProof/>
          <w:sz w:val="20"/>
          <w:szCs w:val="20"/>
          <w:lang w:val="es-ES_tradnl"/>
        </w:rPr>
        <w:t xml:space="preserve"> </w:t>
      </w:r>
      <w:r w:rsidRPr="00D73FF0">
        <w:rPr>
          <w:rFonts w:ascii="Times New Roman" w:hAnsi="Times New Roman" w:cs="Times New Roman"/>
          <w:b/>
          <w:bCs/>
          <w:noProof/>
          <w:sz w:val="20"/>
          <w:szCs w:val="20"/>
          <w:lang w:val="es-ES_tradnl"/>
        </w:rPr>
        <w:t>479</w:t>
      </w:r>
      <w:r w:rsidRPr="00D73FF0">
        <w:rPr>
          <w:rFonts w:ascii="Times New Roman" w:hAnsi="Times New Roman" w:cs="Times New Roman"/>
          <w:noProof/>
          <w:sz w:val="20"/>
          <w:szCs w:val="20"/>
          <w:lang w:val="es-ES_tradnl"/>
        </w:rPr>
        <w:t>, 467–473.</w:t>
      </w:r>
    </w:p>
    <w:p w14:paraId="4C3C68D2"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nl-NL"/>
        </w:rPr>
      </w:pPr>
      <w:r w:rsidRPr="00D73FF0">
        <w:rPr>
          <w:rFonts w:ascii="Times New Roman" w:hAnsi="Times New Roman" w:cs="Times New Roman"/>
          <w:smallCaps/>
          <w:noProof/>
          <w:sz w:val="20"/>
          <w:szCs w:val="20"/>
          <w:lang w:val="es-ES_tradnl"/>
        </w:rPr>
        <w:t>Bastos Gomes G., Hutson K.S., Domingos J.A., Infante Villamil S., Huerlimann R., Miller T.L. &amp; Jerry D.R.</w:t>
      </w:r>
      <w:r w:rsidRPr="00D73FF0">
        <w:rPr>
          <w:rFonts w:ascii="Times New Roman" w:hAnsi="Times New Roman" w:cs="Times New Roman"/>
          <w:noProof/>
          <w:sz w:val="20"/>
          <w:szCs w:val="20"/>
          <w:lang w:val="es-ES_tradnl"/>
        </w:rPr>
        <w:t xml:space="preserve"> (2019). </w:t>
      </w:r>
      <w:r w:rsidRPr="00D73FF0">
        <w:rPr>
          <w:rFonts w:ascii="Times New Roman" w:hAnsi="Times New Roman" w:cs="Times New Roman"/>
          <w:noProof/>
          <w:sz w:val="20"/>
          <w:szCs w:val="20"/>
          <w:lang w:val="en-IE"/>
        </w:rPr>
        <w:t xml:space="preserve">Parasitic protozoan interactions with bacterial microbiome in a tropical fish farm. </w:t>
      </w:r>
      <w:r w:rsidRPr="00D73FF0">
        <w:rPr>
          <w:rFonts w:ascii="Times New Roman" w:hAnsi="Times New Roman" w:cs="Times New Roman"/>
          <w:i/>
          <w:iCs/>
          <w:noProof/>
          <w:sz w:val="20"/>
          <w:szCs w:val="20"/>
          <w:lang w:val="nl-NL"/>
        </w:rPr>
        <w:t>Aquaculture,</w:t>
      </w:r>
      <w:r w:rsidRPr="00D73FF0">
        <w:rPr>
          <w:rFonts w:ascii="Times New Roman" w:hAnsi="Times New Roman" w:cs="Times New Roman"/>
          <w:noProof/>
          <w:sz w:val="20"/>
          <w:szCs w:val="20"/>
          <w:lang w:val="nl-NL"/>
        </w:rPr>
        <w:t xml:space="preserve"> </w:t>
      </w:r>
      <w:r w:rsidRPr="00D73FF0">
        <w:rPr>
          <w:rFonts w:ascii="Times New Roman" w:hAnsi="Times New Roman" w:cs="Times New Roman"/>
          <w:b/>
          <w:bCs/>
          <w:noProof/>
          <w:sz w:val="20"/>
          <w:szCs w:val="20"/>
          <w:lang w:val="nl-NL"/>
        </w:rPr>
        <w:t>502</w:t>
      </w:r>
      <w:r w:rsidRPr="00D73FF0">
        <w:rPr>
          <w:rFonts w:ascii="Times New Roman" w:hAnsi="Times New Roman" w:cs="Times New Roman"/>
          <w:noProof/>
          <w:sz w:val="20"/>
          <w:szCs w:val="20"/>
          <w:lang w:val="nl-NL"/>
        </w:rPr>
        <w:t>, 196–201.</w:t>
      </w:r>
    </w:p>
    <w:p w14:paraId="448E18C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nl-NL"/>
        </w:rPr>
        <w:t>Bernhardt L., Myrmel M., Lillehaug A., Qviller L. &amp; Weli S.</w:t>
      </w:r>
      <w:r w:rsidRPr="00D73FF0">
        <w:rPr>
          <w:rFonts w:ascii="Times New Roman" w:hAnsi="Times New Roman" w:cs="Times New Roman"/>
          <w:noProof/>
          <w:sz w:val="20"/>
          <w:szCs w:val="20"/>
          <w:lang w:val="nl-NL"/>
        </w:rPr>
        <w:t xml:space="preserve"> (2020). </w:t>
      </w:r>
      <w:r w:rsidRPr="00D73FF0">
        <w:rPr>
          <w:rFonts w:ascii="Times New Roman" w:hAnsi="Times New Roman" w:cs="Times New Roman"/>
          <w:noProof/>
          <w:sz w:val="20"/>
          <w:szCs w:val="20"/>
          <w:lang w:val="en-IE"/>
        </w:rPr>
        <w:t>Filtration, concentration and detection of salmonid alphavirus in seawater during a post-smolt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cohabitant challenge. </w:t>
      </w:r>
      <w:r w:rsidRPr="00D73FF0">
        <w:rPr>
          <w:rFonts w:ascii="Times New Roman" w:hAnsi="Times New Roman" w:cs="Times New Roman"/>
          <w:i/>
          <w:iCs/>
          <w:noProof/>
          <w:sz w:val="20"/>
          <w:szCs w:val="20"/>
          <w:lang w:val="en-IE"/>
        </w:rPr>
        <w:t>Diseases of Aquatic. Organisms,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144</w:t>
      </w:r>
      <w:r w:rsidRPr="00D73FF0">
        <w:rPr>
          <w:rFonts w:ascii="Times New Roman" w:hAnsi="Times New Roman" w:cs="Times New Roman"/>
          <w:noProof/>
          <w:sz w:val="20"/>
          <w:szCs w:val="20"/>
          <w:lang w:val="en-IE"/>
        </w:rPr>
        <w:t xml:space="preserve">, 61–73. </w:t>
      </w:r>
    </w:p>
    <w:p w14:paraId="1A5977FE"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Brannelly L.A., Wetzel D.P., Ohmer M.E.B., Zimmerman L., Saenz V. &amp; Richards-Zawacki C.L.</w:t>
      </w:r>
      <w:r w:rsidRPr="00D73FF0">
        <w:rPr>
          <w:rFonts w:ascii="Times New Roman" w:hAnsi="Times New Roman" w:cs="Times New Roman"/>
          <w:noProof/>
          <w:sz w:val="20"/>
          <w:szCs w:val="20"/>
          <w:lang w:val="en-IE"/>
        </w:rPr>
        <w:t xml:space="preserve"> (2020). Evaluating environmental DNA as a tool for detecting an amphibian pathogen using an optimized extraction method. </w:t>
      </w:r>
      <w:r w:rsidRPr="00D73FF0">
        <w:rPr>
          <w:rFonts w:ascii="Times New Roman" w:hAnsi="Times New Roman" w:cs="Times New Roman"/>
          <w:i/>
          <w:iCs/>
          <w:noProof/>
          <w:sz w:val="20"/>
          <w:szCs w:val="20"/>
          <w:lang w:val="en-IE"/>
        </w:rPr>
        <w:t>Oecologia,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194</w:t>
      </w:r>
      <w:r w:rsidRPr="00D73FF0">
        <w:rPr>
          <w:rFonts w:ascii="Times New Roman" w:hAnsi="Times New Roman" w:cs="Times New Roman"/>
          <w:noProof/>
          <w:sz w:val="20"/>
          <w:szCs w:val="20"/>
          <w:lang w:val="en-IE"/>
        </w:rPr>
        <w:t xml:space="preserve">, 267–281. </w:t>
      </w:r>
    </w:p>
    <w:p w14:paraId="755CFBC0"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Brunner</w:t>
      </w:r>
      <w:r w:rsidRPr="00D73FF0">
        <w:rPr>
          <w:rFonts w:ascii="Times New Roman" w:hAnsi="Times New Roman" w:cs="Times New Roman"/>
          <w:noProof/>
          <w:sz w:val="20"/>
          <w:szCs w:val="20"/>
          <w:lang w:val="en-IE"/>
        </w:rPr>
        <w:t xml:space="preserve"> J.L. (2020). Pooled samples and eDNA-based detection can facilitate the “clean trade” of aquatic animals. </w:t>
      </w:r>
      <w:r w:rsidRPr="00D73FF0">
        <w:rPr>
          <w:rFonts w:ascii="Times New Roman" w:hAnsi="Times New Roman" w:cs="Times New Roman"/>
          <w:i/>
          <w:iCs/>
          <w:noProof/>
          <w:sz w:val="20"/>
          <w:szCs w:val="20"/>
          <w:lang w:val="en-IE"/>
        </w:rPr>
        <w:t>Scientific Reports,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10280.</w:t>
      </w:r>
    </w:p>
    <w:p w14:paraId="0B32E299" w14:textId="77777777" w:rsidR="00BC7F24" w:rsidRPr="00D73FF0" w:rsidRDefault="00BC7F24" w:rsidP="00BC7F24">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Bustin S.A., Benes V., Garson J.A., Hellemans J., Huggett J., Kubista M., Mueller R., Nolan T., Pfaffl M.W., Shipley G.L., Vandesompele J. &amp; Wittwer C.T. (</w:t>
      </w:r>
      <w:r w:rsidRPr="00D73FF0">
        <w:rPr>
          <w:rFonts w:ascii="Times New Roman" w:hAnsi="Times New Roman" w:cs="Times New Roman"/>
          <w:noProof/>
          <w:sz w:val="20"/>
          <w:szCs w:val="20"/>
          <w:lang w:val="en-IE"/>
        </w:rPr>
        <w:t xml:space="preserve">2009). The MIQE Guidelines: Minimum Information for Publication of Quantitative Real-Time PCR Experiments. </w:t>
      </w:r>
      <w:r w:rsidRPr="00D73FF0">
        <w:rPr>
          <w:rFonts w:ascii="Times New Roman" w:hAnsi="Times New Roman" w:cs="Times New Roman"/>
          <w:i/>
          <w:iCs/>
          <w:noProof/>
          <w:sz w:val="20"/>
          <w:szCs w:val="20"/>
          <w:lang w:val="en-IE"/>
        </w:rPr>
        <w:t>Clinical Chemistry,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55</w:t>
      </w:r>
      <w:r w:rsidRPr="00D73FF0">
        <w:rPr>
          <w:rFonts w:ascii="Times New Roman" w:hAnsi="Times New Roman" w:cs="Times New Roman"/>
          <w:noProof/>
          <w:sz w:val="20"/>
          <w:szCs w:val="20"/>
          <w:lang w:val="en-IE"/>
        </w:rPr>
        <w:t>, 611–622.</w:t>
      </w:r>
    </w:p>
    <w:p w14:paraId="3A2BC626"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Díaz-Ferguson E.E. &amp; Moyer G.R. </w:t>
      </w:r>
      <w:r w:rsidRPr="00D73FF0">
        <w:rPr>
          <w:rFonts w:ascii="Times New Roman" w:hAnsi="Times New Roman" w:cs="Times New Roman"/>
          <w:noProof/>
          <w:sz w:val="20"/>
          <w:szCs w:val="20"/>
          <w:lang w:val="en-IE"/>
        </w:rPr>
        <w:t xml:space="preserve">(2014). History, applications, methodological issues and perspectives for the use environmental DNA (eDNA) in marine and freshwater environments. </w:t>
      </w:r>
      <w:r w:rsidRPr="00D73FF0">
        <w:rPr>
          <w:rFonts w:ascii="Times New Roman" w:hAnsi="Times New Roman" w:cs="Times New Roman"/>
          <w:i/>
          <w:iCs/>
          <w:noProof/>
          <w:sz w:val="20"/>
          <w:szCs w:val="20"/>
          <w:lang w:val="en-IE"/>
        </w:rPr>
        <w:t>Revista de Biologia Tropical,</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62</w:t>
      </w:r>
      <w:r w:rsidRPr="00D73FF0">
        <w:rPr>
          <w:rFonts w:ascii="Times New Roman" w:hAnsi="Times New Roman" w:cs="Times New Roman"/>
          <w:noProof/>
          <w:sz w:val="20"/>
          <w:szCs w:val="20"/>
          <w:lang w:val="en-IE"/>
        </w:rPr>
        <w:t>, 1273–1284.</w:t>
      </w:r>
    </w:p>
    <w:p w14:paraId="3C5D6CFB"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Doyle J. &amp; Uthicke S</w:t>
      </w:r>
      <w:r w:rsidRPr="00D73FF0">
        <w:rPr>
          <w:rFonts w:ascii="Times New Roman" w:hAnsi="Times New Roman" w:cs="Times New Roman"/>
          <w:noProof/>
          <w:sz w:val="20"/>
          <w:szCs w:val="20"/>
          <w:lang w:val="en-IE"/>
        </w:rPr>
        <w:t>. (2020). Sensitive environmental DNA detection via lateral flow assay (dipstick) – A case study on corallivorous crown-of-thorns sea star (</w:t>
      </w:r>
      <w:r w:rsidRPr="00D73FF0">
        <w:rPr>
          <w:rFonts w:ascii="Times New Roman" w:hAnsi="Times New Roman" w:cs="Times New Roman"/>
          <w:i/>
          <w:iCs/>
          <w:noProof/>
          <w:sz w:val="20"/>
          <w:szCs w:val="20"/>
          <w:lang w:val="en-IE"/>
        </w:rPr>
        <w:t>Acanthaster cf . solaris</w:t>
      </w:r>
      <w:r w:rsidRPr="00D73FF0">
        <w:rPr>
          <w:rFonts w:ascii="Times New Roman" w:hAnsi="Times New Roman" w:cs="Times New Roman"/>
          <w:noProof/>
          <w:sz w:val="20"/>
          <w:szCs w:val="20"/>
          <w:lang w:val="en-IE"/>
        </w:rPr>
        <w:t xml:space="preserve">) detection.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1–20.</w:t>
      </w:r>
    </w:p>
    <w:p w14:paraId="672AB678" w14:textId="77777777" w:rsidR="00BC7F24"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Fossøy F., Brandsegg H., Sivertsgård R., Pettersen O., Sandercock B.K., Solem Ø., Hindar K. &amp; Mo T.A. (</w:t>
      </w:r>
      <w:r w:rsidRPr="00D73FF0">
        <w:rPr>
          <w:rFonts w:ascii="Times New Roman" w:hAnsi="Times New Roman" w:cs="Times New Roman"/>
          <w:noProof/>
          <w:sz w:val="20"/>
          <w:szCs w:val="20"/>
          <w:lang w:val="en-IE"/>
        </w:rPr>
        <w:t xml:space="preserve">2020). Monitoring presence and abundance of two gyrodactylid ectoparasites and their salmonid hosts using environmental 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53–62.</w:t>
      </w:r>
      <w:r>
        <w:rPr>
          <w:rFonts w:ascii="Times New Roman" w:hAnsi="Times New Roman" w:cs="Times New Roman"/>
          <w:noProof/>
          <w:sz w:val="20"/>
          <w:szCs w:val="20"/>
          <w:lang w:val="en-IE"/>
        </w:rPr>
        <w:br w:type="page"/>
      </w:r>
    </w:p>
    <w:p w14:paraId="6CA6F8E6"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Goldberg C.S., Turner C.R., Deiner K., Klymus K.E., Thomsen P.F., Murphy M.A., Spear S.F., McKee A., Oyler-McCance S.J., Cornman R.S., Laramie M.B., Mahon A.R., Lance R.F., Pilliod D.S., Strickler K.M., Waits L.P., Fremier A.K., Takahara T., Herder J.E. &amp; Taberlet P.</w:t>
      </w:r>
      <w:r w:rsidRPr="00D73FF0">
        <w:rPr>
          <w:rFonts w:ascii="Times New Roman" w:hAnsi="Times New Roman" w:cs="Times New Roman"/>
          <w:noProof/>
          <w:sz w:val="20"/>
          <w:szCs w:val="20"/>
          <w:lang w:val="en-IE"/>
        </w:rPr>
        <w:t xml:space="preserve"> (2016). Critical considerations for the application of environmental DNA methods to detect aquatic species. </w:t>
      </w:r>
      <w:r w:rsidRPr="00D73FF0">
        <w:rPr>
          <w:rFonts w:ascii="Times New Roman" w:hAnsi="Times New Roman" w:cs="Times New Roman"/>
          <w:i/>
          <w:iCs/>
          <w:noProof/>
          <w:sz w:val="20"/>
          <w:szCs w:val="20"/>
          <w:lang w:val="en-IE"/>
        </w:rPr>
        <w:t>Methods in Ecology and Evolution,</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w:t>
      </w:r>
      <w:r w:rsidRPr="00D73FF0">
        <w:rPr>
          <w:rFonts w:ascii="Times New Roman" w:hAnsi="Times New Roman" w:cs="Times New Roman"/>
          <w:noProof/>
          <w:sz w:val="20"/>
          <w:szCs w:val="20"/>
          <w:lang w:val="en-IE"/>
        </w:rPr>
        <w:t>, 1299–1307.</w:t>
      </w:r>
    </w:p>
    <w:p w14:paraId="5CA7918E"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Gregory A., Munro L.A., Snow M., Urquhart K.L., Murray A.G. &amp; Raynard R.S.</w:t>
      </w:r>
      <w:r w:rsidRPr="00D73FF0">
        <w:rPr>
          <w:rFonts w:ascii="Times New Roman" w:hAnsi="Times New Roman" w:cs="Times New Roman"/>
          <w:noProof/>
          <w:sz w:val="20"/>
          <w:szCs w:val="20"/>
          <w:lang w:val="en-IE"/>
        </w:rPr>
        <w:t xml:space="preserve"> (2009). An experimental investigation on aspects of infectious salmon anaemia virus (ISAV) infection dynamics in seawater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xml:space="preserve"> L. </w:t>
      </w:r>
      <w:r w:rsidRPr="00D73FF0">
        <w:rPr>
          <w:rFonts w:ascii="Times New Roman" w:hAnsi="Times New Roman" w:cs="Times New Roman"/>
          <w:i/>
          <w:iCs/>
          <w:noProof/>
          <w:sz w:val="20"/>
          <w:szCs w:val="20"/>
          <w:lang w:val="en-IE"/>
        </w:rPr>
        <w:t>Journal of Fish Diseases,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32</w:t>
      </w:r>
      <w:r w:rsidRPr="00D73FF0">
        <w:rPr>
          <w:rFonts w:ascii="Times New Roman" w:hAnsi="Times New Roman" w:cs="Times New Roman"/>
          <w:noProof/>
          <w:sz w:val="20"/>
          <w:szCs w:val="20"/>
          <w:lang w:val="en-IE"/>
        </w:rPr>
        <w:t>, 481–489.</w:t>
      </w:r>
    </w:p>
    <w:p w14:paraId="2387D41F"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Hall E.M., Crespi E.J., Goldberg C.S. &amp; Brunner J.L. </w:t>
      </w:r>
      <w:r w:rsidRPr="00D73FF0">
        <w:rPr>
          <w:rFonts w:ascii="Times New Roman" w:hAnsi="Times New Roman" w:cs="Times New Roman"/>
          <w:noProof/>
          <w:sz w:val="20"/>
          <w:szCs w:val="20"/>
          <w:lang w:val="en-IE"/>
        </w:rPr>
        <w:t xml:space="preserve">(2016). Evaluating environmental DNA-based quantification of ranavirus infection in wood frog populations. </w:t>
      </w:r>
      <w:r w:rsidRPr="00D73FF0">
        <w:rPr>
          <w:rFonts w:ascii="Times New Roman" w:hAnsi="Times New Roman" w:cs="Times New Roman"/>
          <w:i/>
          <w:iCs/>
          <w:noProof/>
          <w:sz w:val="20"/>
          <w:szCs w:val="20"/>
          <w:lang w:val="en-IE"/>
        </w:rPr>
        <w:t>Molecular Ecology Resources,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16</w:t>
      </w:r>
      <w:r w:rsidRPr="00D73FF0">
        <w:rPr>
          <w:rFonts w:ascii="Times New Roman" w:hAnsi="Times New Roman" w:cs="Times New Roman"/>
          <w:noProof/>
          <w:sz w:val="20"/>
          <w:szCs w:val="20"/>
          <w:lang w:val="en-IE"/>
        </w:rPr>
        <w:t>, :423–433.</w:t>
      </w:r>
    </w:p>
    <w:p w14:paraId="2CE17371"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IE"/>
        </w:rPr>
        <w:t>Haramoto E., Kitajima M., Katayama H. &amp; Ohgaki S.</w:t>
      </w:r>
      <w:r w:rsidRPr="00D73FF0">
        <w:rPr>
          <w:rFonts w:ascii="Times New Roman" w:hAnsi="Times New Roman" w:cs="Times New Roman"/>
          <w:noProof/>
          <w:sz w:val="20"/>
          <w:szCs w:val="20"/>
          <w:lang w:val="en-IE"/>
        </w:rPr>
        <w:t xml:space="preserve"> (2007). Detection of koi herpesvirus DNA in river water in Japan. </w:t>
      </w:r>
      <w:r w:rsidRPr="00D73FF0">
        <w:rPr>
          <w:rFonts w:ascii="Times New Roman" w:hAnsi="Times New Roman" w:cs="Times New Roman"/>
          <w:i/>
          <w:iCs/>
          <w:noProof/>
          <w:sz w:val="20"/>
          <w:szCs w:val="20"/>
          <w:lang w:val="en-CA"/>
        </w:rPr>
        <w:t>Journal of Fish Diseases,</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30</w:t>
      </w:r>
      <w:r w:rsidRPr="00D73FF0">
        <w:rPr>
          <w:rFonts w:ascii="Times New Roman" w:hAnsi="Times New Roman" w:cs="Times New Roman"/>
          <w:noProof/>
          <w:sz w:val="20"/>
          <w:szCs w:val="20"/>
          <w:lang w:val="en-CA"/>
        </w:rPr>
        <w:t>, 59–61.</w:t>
      </w:r>
    </w:p>
    <w:p w14:paraId="60168925"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CA"/>
        </w:rPr>
      </w:pPr>
      <w:r w:rsidRPr="00D73FF0">
        <w:rPr>
          <w:rFonts w:ascii="Times New Roman" w:hAnsi="Times New Roman" w:cs="Times New Roman"/>
          <w:smallCaps/>
          <w:noProof/>
          <w:sz w:val="20"/>
          <w:szCs w:val="20"/>
          <w:lang w:val="en-CA"/>
        </w:rPr>
        <w:t>Holt C., Foster R., Daniels C.L., Van Der Giezen M., Feist S.W., Stentiford G.D. &amp; Bass D.</w:t>
      </w:r>
      <w:r w:rsidRPr="00D73FF0">
        <w:rPr>
          <w:rFonts w:ascii="Times New Roman" w:hAnsi="Times New Roman" w:cs="Times New Roman"/>
          <w:noProof/>
          <w:sz w:val="20"/>
          <w:szCs w:val="20"/>
          <w:lang w:val="en-CA"/>
        </w:rPr>
        <w:t xml:space="preserve"> (2018). </w:t>
      </w:r>
      <w:r w:rsidRPr="00D73FF0">
        <w:rPr>
          <w:rFonts w:ascii="Times New Roman" w:hAnsi="Times New Roman" w:cs="Times New Roman"/>
          <w:i/>
          <w:iCs/>
          <w:noProof/>
          <w:sz w:val="20"/>
          <w:szCs w:val="20"/>
          <w:lang w:val="en-CA"/>
        </w:rPr>
        <w:t>Halioticida noduliformans</w:t>
      </w:r>
      <w:r w:rsidRPr="00D73FF0">
        <w:rPr>
          <w:rFonts w:ascii="Times New Roman" w:hAnsi="Times New Roman" w:cs="Times New Roman"/>
          <w:noProof/>
          <w:sz w:val="20"/>
          <w:szCs w:val="20"/>
          <w:lang w:val="en-CA"/>
        </w:rPr>
        <w:t xml:space="preserve"> infection in eggs of lobster (</w:t>
      </w:r>
      <w:r w:rsidRPr="00D73FF0">
        <w:rPr>
          <w:rFonts w:ascii="Times New Roman" w:hAnsi="Times New Roman" w:cs="Times New Roman"/>
          <w:i/>
          <w:iCs/>
          <w:noProof/>
          <w:sz w:val="20"/>
          <w:szCs w:val="20"/>
          <w:lang w:val="en-CA"/>
        </w:rPr>
        <w:t>Homarus gammarus</w:t>
      </w:r>
      <w:r w:rsidRPr="00D73FF0">
        <w:rPr>
          <w:rFonts w:ascii="Times New Roman" w:hAnsi="Times New Roman" w:cs="Times New Roman"/>
          <w:noProof/>
          <w:sz w:val="20"/>
          <w:szCs w:val="20"/>
          <w:lang w:val="en-CA"/>
        </w:rPr>
        <w:t xml:space="preserve">) reveals its generalist parasitic strategy in marine invertebrates. </w:t>
      </w:r>
      <w:r w:rsidRPr="00D73FF0">
        <w:rPr>
          <w:rFonts w:ascii="Times New Roman" w:hAnsi="Times New Roman" w:cs="Times New Roman"/>
          <w:i/>
          <w:iCs/>
          <w:noProof/>
          <w:sz w:val="20"/>
          <w:szCs w:val="20"/>
          <w:lang w:val="en-CA"/>
        </w:rPr>
        <w:t>Journal of Invertebrate Pathology</w:t>
      </w:r>
      <w:r w:rsidRPr="00D73FF0">
        <w:rPr>
          <w:rFonts w:ascii="Times New Roman" w:hAnsi="Times New Roman" w:cs="Times New Roman"/>
          <w:noProof/>
          <w:sz w:val="20"/>
          <w:szCs w:val="20"/>
          <w:lang w:val="en-CA"/>
        </w:rPr>
        <w:t xml:space="preserve">, </w:t>
      </w:r>
      <w:r w:rsidRPr="00D73FF0">
        <w:rPr>
          <w:rFonts w:ascii="Times New Roman" w:hAnsi="Times New Roman" w:cs="Times New Roman"/>
          <w:b/>
          <w:bCs/>
          <w:noProof/>
          <w:sz w:val="20"/>
          <w:szCs w:val="20"/>
          <w:lang w:val="en-CA"/>
        </w:rPr>
        <w:t>154</w:t>
      </w:r>
      <w:r w:rsidRPr="00D73FF0">
        <w:rPr>
          <w:rFonts w:ascii="Times New Roman" w:hAnsi="Times New Roman" w:cs="Times New Roman"/>
          <w:noProof/>
          <w:sz w:val="20"/>
          <w:szCs w:val="20"/>
          <w:lang w:val="en-CA"/>
        </w:rPr>
        <w:t>, 109–116.</w:t>
      </w:r>
    </w:p>
    <w:p w14:paraId="5B983B23"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&amp; Kawabata Z.</w:t>
      </w:r>
      <w:r w:rsidRPr="00D73FF0">
        <w:rPr>
          <w:rFonts w:ascii="Times New Roman" w:hAnsi="Times New Roman" w:cs="Times New Roman"/>
          <w:noProof/>
          <w:sz w:val="20"/>
          <w:szCs w:val="20"/>
          <w:lang w:val="en-IE"/>
        </w:rPr>
        <w:t xml:space="preserve"> (2012). Reservoirs of Cyprinid herpesvirus 3 (CyHV-3) DNA in sediments of natural lakes and ponds. </w:t>
      </w:r>
      <w:r w:rsidRPr="00D73FF0">
        <w:rPr>
          <w:rFonts w:ascii="Times New Roman" w:hAnsi="Times New Roman" w:cs="Times New Roman"/>
          <w:i/>
          <w:iCs/>
          <w:noProof/>
          <w:sz w:val="20"/>
          <w:szCs w:val="20"/>
          <w:lang w:val="en-IE"/>
        </w:rPr>
        <w:t>Veterinary Microbiology,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155</w:t>
      </w:r>
      <w:r w:rsidRPr="00D73FF0">
        <w:rPr>
          <w:rFonts w:ascii="Times New Roman" w:hAnsi="Times New Roman" w:cs="Times New Roman"/>
          <w:noProof/>
          <w:sz w:val="20"/>
          <w:szCs w:val="20"/>
          <w:lang w:val="en-IE"/>
        </w:rPr>
        <w:t xml:space="preserve">, 183–190. </w:t>
      </w:r>
    </w:p>
    <w:p w14:paraId="7A21A0BA"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Honjo M.N., Minamoto T., Matsui K., Uchii K., Yamanaka H., Suzuki A.A., Kohmatsu Y., Iida T. &amp; Kawabata Z.</w:t>
      </w:r>
      <w:r w:rsidRPr="00D73FF0">
        <w:rPr>
          <w:rFonts w:ascii="Times New Roman" w:hAnsi="Times New Roman" w:cs="Times New Roman"/>
          <w:noProof/>
          <w:sz w:val="20"/>
          <w:szCs w:val="20"/>
          <w:lang w:val="en-IE"/>
        </w:rPr>
        <w:t xml:space="preserve"> (2010). Quantification of cyprinid herpesvirus 3 in environmental water by using an external standard virus. </w:t>
      </w:r>
      <w:r w:rsidRPr="00D73FF0">
        <w:rPr>
          <w:rFonts w:ascii="Times New Roman" w:hAnsi="Times New Roman" w:cs="Times New Roman"/>
          <w:i/>
          <w:iCs/>
          <w:noProof/>
          <w:sz w:val="20"/>
          <w:szCs w:val="20"/>
          <w:lang w:val="en-IE"/>
        </w:rPr>
        <w:t>Applied and Environmental Microbiology,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76</w:t>
      </w:r>
      <w:r w:rsidRPr="00D73FF0">
        <w:rPr>
          <w:rFonts w:ascii="Times New Roman" w:hAnsi="Times New Roman" w:cs="Times New Roman"/>
          <w:noProof/>
          <w:sz w:val="20"/>
          <w:szCs w:val="20"/>
          <w:lang w:val="en-IE"/>
        </w:rPr>
        <w:t>, 161–168.</w:t>
      </w:r>
    </w:p>
    <w:p w14:paraId="771FF8CD"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Huver J.R., Koprivnikar J., Johnson P.T.J. &amp; Whyard S.</w:t>
      </w:r>
      <w:r w:rsidRPr="00D73FF0">
        <w:rPr>
          <w:rFonts w:ascii="Times New Roman" w:hAnsi="Times New Roman" w:cs="Times New Roman"/>
          <w:noProof/>
          <w:sz w:val="20"/>
          <w:szCs w:val="20"/>
          <w:lang w:val="en-IE"/>
        </w:rPr>
        <w:t xml:space="preserve"> (2015). Development and application of an eDNA method to detect and quantify a pathogenic parasite in aquatic ecosystems. </w:t>
      </w:r>
      <w:r w:rsidRPr="00D73FF0">
        <w:rPr>
          <w:rFonts w:ascii="Times New Roman" w:hAnsi="Times New Roman" w:cs="Times New Roman"/>
          <w:i/>
          <w:iCs/>
          <w:noProof/>
          <w:sz w:val="20"/>
          <w:szCs w:val="20"/>
          <w:lang w:val="en-IE"/>
        </w:rPr>
        <w:t>Ecological Applications,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25</w:t>
      </w:r>
      <w:r w:rsidRPr="00D73FF0">
        <w:rPr>
          <w:rFonts w:ascii="Times New Roman" w:hAnsi="Times New Roman" w:cs="Times New Roman"/>
          <w:noProof/>
          <w:sz w:val="20"/>
          <w:szCs w:val="20"/>
          <w:lang w:val="en-IE"/>
        </w:rPr>
        <w:t>, 991–1002.</w:t>
      </w:r>
    </w:p>
    <w:p w14:paraId="2098CCC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Jørgensen L., Von G., Nielsen J.W., Villadsen M.K., Vismann B., Dalvin S., Mathiessen H., Madsen L., Kania P.W. &amp; Buchmann K.</w:t>
      </w:r>
      <w:r w:rsidRPr="00D73FF0">
        <w:rPr>
          <w:rFonts w:ascii="Times New Roman" w:hAnsi="Times New Roman" w:cs="Times New Roman"/>
          <w:noProof/>
          <w:sz w:val="20"/>
          <w:szCs w:val="20"/>
          <w:lang w:val="en-IE"/>
        </w:rPr>
        <w:t xml:space="preserve"> (2020). A non-lethal method for detection of </w:t>
      </w:r>
      <w:r w:rsidRPr="00D73FF0">
        <w:rPr>
          <w:rFonts w:ascii="Times New Roman" w:hAnsi="Times New Roman" w:cs="Times New Roman"/>
          <w:i/>
          <w:iCs/>
          <w:noProof/>
          <w:sz w:val="20"/>
          <w:szCs w:val="20"/>
          <w:lang w:val="en-IE"/>
        </w:rPr>
        <w:t>Bonamia ostreae</w:t>
      </w:r>
      <w:r w:rsidRPr="00D73FF0">
        <w:rPr>
          <w:rFonts w:ascii="Times New Roman" w:hAnsi="Times New Roman" w:cs="Times New Roman"/>
          <w:noProof/>
          <w:sz w:val="20"/>
          <w:szCs w:val="20"/>
          <w:lang w:val="en-IE"/>
        </w:rPr>
        <w:t xml:space="preserve"> in flat oyster (</w:t>
      </w:r>
      <w:r w:rsidRPr="00D73FF0">
        <w:rPr>
          <w:rFonts w:ascii="Times New Roman" w:hAnsi="Times New Roman" w:cs="Times New Roman"/>
          <w:i/>
          <w:iCs/>
          <w:noProof/>
          <w:sz w:val="20"/>
          <w:szCs w:val="20"/>
          <w:lang w:val="en-IE"/>
        </w:rPr>
        <w:t>Ostrea edulis</w:t>
      </w:r>
      <w:r w:rsidRPr="00D73FF0">
        <w:rPr>
          <w:rFonts w:ascii="Times New Roman" w:hAnsi="Times New Roman" w:cs="Times New Roman"/>
          <w:noProof/>
          <w:sz w:val="20"/>
          <w:szCs w:val="20"/>
          <w:lang w:val="en-IE"/>
        </w:rPr>
        <w:t xml:space="preserve">) using environmental DNA. </w:t>
      </w:r>
      <w:r w:rsidRPr="00D73FF0">
        <w:rPr>
          <w:rFonts w:ascii="Times New Roman" w:hAnsi="Times New Roman" w:cs="Times New Roman"/>
          <w:i/>
          <w:iCs/>
          <w:noProof/>
          <w:sz w:val="20"/>
          <w:szCs w:val="20"/>
          <w:lang w:val="en-IE"/>
        </w:rPr>
        <w:t>Scientific Reports,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1–9.</w:t>
      </w:r>
    </w:p>
    <w:p w14:paraId="20F4D552"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Julian J.T., Glenney G.W. &amp; Rees C.</w:t>
      </w:r>
      <w:r w:rsidRPr="00D73FF0">
        <w:rPr>
          <w:rFonts w:ascii="Times New Roman" w:hAnsi="Times New Roman" w:cs="Times New Roman"/>
          <w:noProof/>
          <w:sz w:val="20"/>
          <w:szCs w:val="20"/>
          <w:lang w:val="en-IE"/>
        </w:rPr>
        <w:t xml:space="preserve"> (2019). Evaluating observer bias and seasonal detection rates in amphibian pathogen eDNA collections by citizen scientists. </w:t>
      </w:r>
      <w:r w:rsidRPr="00D73FF0">
        <w:rPr>
          <w:rFonts w:ascii="Times New Roman" w:hAnsi="Times New Roman" w:cs="Times New Roman"/>
          <w:i/>
          <w:iCs/>
          <w:noProof/>
          <w:sz w:val="20"/>
          <w:szCs w:val="20"/>
          <w:lang w:val="en-IE"/>
        </w:rPr>
        <w:t xml:space="preserve">Diseases of Aquatic Organisms, </w:t>
      </w:r>
      <w:r w:rsidRPr="00D73FF0">
        <w:rPr>
          <w:rFonts w:ascii="Times New Roman" w:hAnsi="Times New Roman" w:cs="Times New Roman"/>
          <w:b/>
          <w:bCs/>
          <w:noProof/>
          <w:sz w:val="20"/>
          <w:szCs w:val="20"/>
          <w:lang w:val="en-IE"/>
        </w:rPr>
        <w:t>134</w:t>
      </w:r>
      <w:r w:rsidRPr="00D73FF0">
        <w:rPr>
          <w:rFonts w:ascii="Times New Roman" w:hAnsi="Times New Roman" w:cs="Times New Roman"/>
          <w:noProof/>
          <w:sz w:val="20"/>
          <w:szCs w:val="20"/>
          <w:lang w:val="en-IE"/>
        </w:rPr>
        <w:t>, 15–24.</w:t>
      </w:r>
    </w:p>
    <w:p w14:paraId="6BA87B42"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Kamoroff C. &amp; Goldberg C.S.</w:t>
      </w:r>
      <w:r w:rsidRPr="00D73FF0">
        <w:rPr>
          <w:rFonts w:ascii="Times New Roman" w:hAnsi="Times New Roman" w:cs="Times New Roman"/>
          <w:noProof/>
          <w:sz w:val="20"/>
          <w:szCs w:val="20"/>
          <w:lang w:val="en-IE"/>
        </w:rPr>
        <w:t xml:space="preserve"> (2017). Using environmental DNA for early detection of amphibian chytrid fungus Batrachochytrium dendrobatidis prior to a ranid die-off. </w:t>
      </w:r>
      <w:r w:rsidRPr="00D73FF0">
        <w:rPr>
          <w:rFonts w:ascii="Times New Roman" w:hAnsi="Times New Roman" w:cs="Times New Roman"/>
          <w:i/>
          <w:iCs/>
          <w:noProof/>
          <w:sz w:val="20"/>
          <w:szCs w:val="20"/>
          <w:lang w:val="en-IE"/>
        </w:rPr>
        <w:t>Diseases</w:t>
      </w:r>
      <w:r>
        <w:rPr>
          <w:rFonts w:ascii="Times New Roman" w:hAnsi="Times New Roman" w:cs="Times New Roman"/>
          <w:i/>
          <w:iCs/>
          <w:noProof/>
          <w:sz w:val="20"/>
          <w:szCs w:val="20"/>
          <w:lang w:val="en-IE"/>
        </w:rPr>
        <w:t xml:space="preserve"> </w:t>
      </w:r>
      <w:r w:rsidRPr="00D73FF0">
        <w:rPr>
          <w:rFonts w:ascii="Times New Roman" w:hAnsi="Times New Roman" w:cs="Times New Roman"/>
          <w:i/>
          <w:iCs/>
          <w:noProof/>
          <w:sz w:val="20"/>
          <w:szCs w:val="20"/>
          <w:lang w:val="en-IE"/>
        </w:rPr>
        <w:t>of Aquatic Organisms,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127</w:t>
      </w:r>
      <w:r w:rsidRPr="00D73FF0">
        <w:rPr>
          <w:rFonts w:ascii="Times New Roman" w:hAnsi="Times New Roman" w:cs="Times New Roman"/>
          <w:noProof/>
          <w:sz w:val="20"/>
          <w:szCs w:val="20"/>
          <w:lang w:val="en-IE"/>
        </w:rPr>
        <w:t>, 75–79.</w:t>
      </w:r>
    </w:p>
    <w:p w14:paraId="398D9654"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Klymus K.E., Merkes C.M., Allison M.J., Goldberg C.S., Helbing C.C., Hunter M.E., Jackson C.A., Lance R.F., Mangan A.M., Monroe E.M., Piaggio A.J., Stokdyk J.P., Wilson C.C. &amp; Richter C.A.</w:t>
      </w:r>
      <w:r w:rsidRPr="00D73FF0">
        <w:rPr>
          <w:rFonts w:ascii="Times New Roman" w:hAnsi="Times New Roman" w:cs="Times New Roman"/>
          <w:noProof/>
          <w:sz w:val="20"/>
          <w:szCs w:val="20"/>
          <w:lang w:val="en-IE"/>
        </w:rPr>
        <w:t xml:space="preserve"> (2019). Reporting the limits of detection and quantification for environmental DNA assays.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1–12.</w:t>
      </w:r>
    </w:p>
    <w:p w14:paraId="07CCD808" w14:textId="77777777" w:rsidR="00BC7F24" w:rsidRPr="00D73FF0" w:rsidRDefault="00BC7F24" w:rsidP="00BC7F24">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Kongrueng J., Yingkajorn M., Bunpa S., Sermwittayawong N., Singkhamanan K. &amp; Vuddhakul V.</w:t>
      </w:r>
      <w:r w:rsidRPr="00D73FF0">
        <w:rPr>
          <w:rFonts w:ascii="Times New Roman" w:hAnsi="Times New Roman" w:cs="Times New Roman"/>
          <w:noProof/>
          <w:sz w:val="20"/>
          <w:szCs w:val="20"/>
          <w:lang w:val="en-IE"/>
        </w:rPr>
        <w:t xml:space="preserve"> (2015). Characterization of </w:t>
      </w:r>
      <w:r w:rsidRPr="00D73FF0">
        <w:rPr>
          <w:rFonts w:ascii="Times New Roman" w:hAnsi="Times New Roman" w:cs="Times New Roman"/>
          <w:i/>
          <w:iCs/>
          <w:noProof/>
          <w:sz w:val="20"/>
          <w:szCs w:val="20"/>
          <w:lang w:val="en-IE"/>
        </w:rPr>
        <w:t>Vibrio parahaemolyticus</w:t>
      </w:r>
      <w:r w:rsidRPr="00D73FF0">
        <w:rPr>
          <w:rFonts w:ascii="Times New Roman" w:hAnsi="Times New Roman" w:cs="Times New Roman"/>
          <w:noProof/>
          <w:sz w:val="20"/>
          <w:szCs w:val="20"/>
          <w:lang w:val="en-IE"/>
        </w:rPr>
        <w:t xml:space="preserve"> causing acute hepatopancreatic necrosis disease in southern Thailand. </w:t>
      </w:r>
      <w:r w:rsidRPr="00D73FF0">
        <w:rPr>
          <w:rFonts w:ascii="Times New Roman" w:hAnsi="Times New Roman" w:cs="Times New Roman"/>
          <w:i/>
          <w:iCs/>
          <w:noProof/>
          <w:sz w:val="20"/>
          <w:szCs w:val="20"/>
          <w:lang w:val="en-IE"/>
        </w:rPr>
        <w:t>Journal of Fish Diseases,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38</w:t>
      </w:r>
      <w:r w:rsidRPr="00D73FF0">
        <w:rPr>
          <w:rFonts w:ascii="Times New Roman" w:hAnsi="Times New Roman" w:cs="Times New Roman"/>
          <w:noProof/>
          <w:sz w:val="20"/>
          <w:szCs w:val="20"/>
          <w:lang w:val="en-IE"/>
        </w:rPr>
        <w:t>, 957–966.</w:t>
      </w:r>
    </w:p>
    <w:p w14:paraId="58885145"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bookmarkStart w:id="2" w:name="_Hlk71280145"/>
      <w:r w:rsidRPr="00D73FF0">
        <w:rPr>
          <w:rFonts w:ascii="Times New Roman" w:hAnsi="Times New Roman" w:cs="Times New Roman"/>
          <w:smallCaps/>
          <w:noProof/>
          <w:sz w:val="20"/>
          <w:szCs w:val="20"/>
          <w:lang w:val="en-IE"/>
        </w:rPr>
        <w:t>Lafferty K.D. &amp; Ben-Horin T.</w:t>
      </w:r>
      <w:bookmarkEnd w:id="2"/>
      <w:r w:rsidRPr="00D73FF0">
        <w:rPr>
          <w:rFonts w:ascii="Times New Roman" w:hAnsi="Times New Roman" w:cs="Times New Roman"/>
          <w:smallCaps/>
          <w:noProof/>
          <w:sz w:val="20"/>
          <w:szCs w:val="20"/>
          <w:lang w:val="en-IE"/>
        </w:rPr>
        <w:t xml:space="preserve"> </w:t>
      </w:r>
      <w:r w:rsidRPr="00D73FF0">
        <w:rPr>
          <w:rFonts w:ascii="Times New Roman" w:hAnsi="Times New Roman" w:cs="Times New Roman"/>
          <w:noProof/>
          <w:sz w:val="20"/>
          <w:szCs w:val="20"/>
          <w:lang w:val="en-IE"/>
        </w:rPr>
        <w:t xml:space="preserve">(2013). Abalone farm discharges the withering syndrome pathogen into the wild. </w:t>
      </w:r>
      <w:r w:rsidRPr="00D73FF0">
        <w:rPr>
          <w:rFonts w:ascii="Times New Roman" w:hAnsi="Times New Roman" w:cs="Times New Roman"/>
          <w:i/>
          <w:iCs/>
          <w:noProof/>
          <w:sz w:val="20"/>
          <w:szCs w:val="20"/>
          <w:lang w:val="en-IE"/>
        </w:rPr>
        <w:t>Frontiers in Microbiology,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1–5.</w:t>
      </w:r>
    </w:p>
    <w:p w14:paraId="00A29DE9" w14:textId="77777777" w:rsidR="00BC7F24" w:rsidRDefault="00BC7F24" w:rsidP="00BC7F24">
      <w:pPr>
        <w:widowControl w:val="0"/>
        <w:autoSpaceDE w:val="0"/>
        <w:autoSpaceDN w:val="0"/>
        <w:adjustRightInd w:val="0"/>
        <w:spacing w:after="240" w:line="240" w:lineRule="auto"/>
        <w:jc w:val="both"/>
        <w:rPr>
          <w:rFonts w:ascii="Times New Roman" w:hAnsi="Times New Roman" w:cs="Times New Roman"/>
          <w:smallCaps/>
          <w:noProof/>
          <w:sz w:val="20"/>
          <w:szCs w:val="20"/>
          <w:lang w:val="en-IE"/>
        </w:rPr>
      </w:pPr>
      <w:r w:rsidRPr="00D73FF0">
        <w:rPr>
          <w:rFonts w:ascii="Times New Roman" w:hAnsi="Times New Roman" w:cs="Times New Roman"/>
          <w:smallCaps/>
          <w:noProof/>
          <w:sz w:val="20"/>
          <w:szCs w:val="20"/>
          <w:lang w:val="en-IE"/>
        </w:rPr>
        <w:t>Laurin, E., Thakur, K.K., Gardner, I.A., Hick, P., Moody, N.J., Crane, M. &amp; Ernst, I. (2018).</w:t>
      </w:r>
      <w:r w:rsidRPr="00D73FF0">
        <w:rPr>
          <w:rFonts w:ascii="Times New Roman" w:hAnsi="Times New Roman" w:cs="Times New Roman"/>
          <w:sz w:val="20"/>
          <w:szCs w:val="20"/>
        </w:rPr>
        <w:t xml:space="preserve"> </w:t>
      </w:r>
      <w:r w:rsidRPr="00D73FF0">
        <w:rPr>
          <w:rFonts w:ascii="Times New Roman" w:hAnsi="Times New Roman" w:cs="Times New Roman"/>
          <w:noProof/>
          <w:sz w:val="20"/>
          <w:szCs w:val="20"/>
          <w:lang w:val="en-IE"/>
        </w:rPr>
        <w:t xml:space="preserve">Design standards for experimental and field studies to evaluate diagnostic accuracy of tests for infectious diseases in aquatic animals. </w:t>
      </w:r>
      <w:r w:rsidRPr="00D73FF0">
        <w:rPr>
          <w:rFonts w:ascii="Times New Roman" w:hAnsi="Times New Roman" w:cs="Times New Roman"/>
          <w:i/>
          <w:iCs/>
          <w:noProof/>
          <w:sz w:val="20"/>
          <w:szCs w:val="20"/>
          <w:lang w:val="en-IE"/>
        </w:rPr>
        <w:t>Journal of Fish Diseases,</w:t>
      </w:r>
      <w:r w:rsidRPr="00D73FF0">
        <w:rPr>
          <w:rFonts w:ascii="Times New Roman" w:hAnsi="Times New Roman" w:cs="Times New Roman"/>
          <w:smallCaps/>
          <w:noProof/>
          <w:sz w:val="20"/>
          <w:szCs w:val="20"/>
          <w:lang w:val="en-IE"/>
        </w:rPr>
        <w:t xml:space="preserve"> </w:t>
      </w:r>
      <w:r w:rsidRPr="00D73FF0">
        <w:rPr>
          <w:rFonts w:ascii="Times New Roman" w:hAnsi="Times New Roman" w:cs="Times New Roman"/>
          <w:b/>
          <w:bCs/>
          <w:smallCaps/>
          <w:noProof/>
          <w:sz w:val="20"/>
          <w:szCs w:val="20"/>
          <w:lang w:val="en-IE"/>
        </w:rPr>
        <w:t>41</w:t>
      </w:r>
      <w:r w:rsidRPr="00D73FF0">
        <w:rPr>
          <w:rFonts w:ascii="Times New Roman" w:hAnsi="Times New Roman" w:cs="Times New Roman"/>
          <w:smallCaps/>
          <w:noProof/>
          <w:sz w:val="20"/>
          <w:szCs w:val="20"/>
          <w:lang w:val="en-IE"/>
        </w:rPr>
        <w:t>, 729–749.</w:t>
      </w:r>
      <w:r>
        <w:rPr>
          <w:rFonts w:ascii="Times New Roman" w:hAnsi="Times New Roman" w:cs="Times New Roman"/>
          <w:smallCaps/>
          <w:noProof/>
          <w:sz w:val="20"/>
          <w:szCs w:val="20"/>
          <w:lang w:val="en-IE"/>
        </w:rPr>
        <w:br w:type="page"/>
      </w:r>
    </w:p>
    <w:p w14:paraId="79909EF3"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Mahon A.R., Horton D.J., Learman D.R., Nathan L.R. &amp; Jerde C.L. </w:t>
      </w:r>
      <w:r w:rsidRPr="00D73FF0">
        <w:rPr>
          <w:rFonts w:ascii="Times New Roman" w:hAnsi="Times New Roman" w:cs="Times New Roman"/>
          <w:noProof/>
          <w:sz w:val="20"/>
          <w:szCs w:val="20"/>
          <w:lang w:val="en-IE"/>
        </w:rPr>
        <w:t xml:space="preserve">(2018). Investigating diversity of pathogenic microbes in commercial bait trade water. </w:t>
      </w:r>
      <w:r w:rsidRPr="00D73FF0">
        <w:rPr>
          <w:rFonts w:ascii="Times New Roman" w:hAnsi="Times New Roman" w:cs="Times New Roman"/>
          <w:i/>
          <w:iCs/>
          <w:noProof/>
          <w:sz w:val="20"/>
          <w:szCs w:val="20"/>
          <w:lang w:val="en-IE"/>
        </w:rPr>
        <w:t>PeerJ</w:t>
      </w:r>
      <w:r w:rsidRPr="00D73FF0">
        <w:rPr>
          <w:rFonts w:ascii="Times New Roman" w:hAnsi="Times New Roman" w:cs="Times New Roman"/>
          <w:noProof/>
          <w:sz w:val="20"/>
          <w:szCs w:val="20"/>
          <w:lang w:val="en-IE"/>
        </w:rPr>
        <w:t xml:space="preserve">., </w:t>
      </w:r>
      <w:proofErr w:type="gramStart"/>
      <w:r w:rsidRPr="00D73FF0">
        <w:rPr>
          <w:rFonts w:ascii="Times New Roman" w:eastAsia="Times New Roman" w:hAnsi="Times New Roman" w:cs="Times New Roman"/>
          <w:sz w:val="20"/>
          <w:szCs w:val="20"/>
          <w:lang w:val="en-CA" w:eastAsia="fr-FR"/>
        </w:rPr>
        <w:t>6:e</w:t>
      </w:r>
      <w:proofErr w:type="gramEnd"/>
      <w:r w:rsidRPr="00D73FF0">
        <w:rPr>
          <w:rFonts w:ascii="Times New Roman" w:eastAsia="Times New Roman" w:hAnsi="Times New Roman" w:cs="Times New Roman"/>
          <w:sz w:val="20"/>
          <w:szCs w:val="20"/>
          <w:lang w:val="en-CA" w:eastAsia="fr-FR"/>
        </w:rPr>
        <w:t xml:space="preserve">5468. </w:t>
      </w:r>
    </w:p>
    <w:p w14:paraId="3C2ED00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Miaud C., Arnal V., Poulain M., Valentini A. &amp; Dejean T.</w:t>
      </w:r>
      <w:r w:rsidRPr="00D73FF0">
        <w:rPr>
          <w:rFonts w:ascii="Times New Roman" w:hAnsi="Times New Roman" w:cs="Times New Roman"/>
          <w:noProof/>
          <w:sz w:val="20"/>
          <w:szCs w:val="20"/>
          <w:lang w:val="en-IE"/>
        </w:rPr>
        <w:t xml:space="preserve"> (2019). eDNA increases the detectability of ranavirus infection in an alpine amphibian population. </w:t>
      </w:r>
      <w:r w:rsidRPr="00D73FF0">
        <w:rPr>
          <w:rFonts w:ascii="Times New Roman" w:hAnsi="Times New Roman" w:cs="Times New Roman"/>
          <w:i/>
          <w:iCs/>
          <w:noProof/>
          <w:sz w:val="20"/>
          <w:szCs w:val="20"/>
          <w:lang w:val="en-IE"/>
        </w:rPr>
        <w:t>Viruses,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1–15.</w:t>
      </w:r>
    </w:p>
    <w:p w14:paraId="6AEF9CBE"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Mosher B.A., Huyvaert K.P., Chestnut T., Kerby J.L., Madison J.D. &amp; Bailey L.L.</w:t>
      </w:r>
      <w:r w:rsidRPr="00D73FF0">
        <w:rPr>
          <w:rFonts w:ascii="Times New Roman" w:hAnsi="Times New Roman" w:cs="Times New Roman"/>
          <w:noProof/>
          <w:sz w:val="20"/>
          <w:szCs w:val="20"/>
          <w:lang w:val="en-IE"/>
        </w:rPr>
        <w:t xml:space="preserve"> (2017). Design- and model-based recommendations for detecting and quantifying an amphibian pathogen in environmental samples. </w:t>
      </w:r>
      <w:r w:rsidRPr="00D73FF0">
        <w:rPr>
          <w:rFonts w:ascii="Times New Roman" w:hAnsi="Times New Roman" w:cs="Times New Roman"/>
          <w:i/>
          <w:iCs/>
          <w:noProof/>
          <w:sz w:val="20"/>
          <w:szCs w:val="20"/>
        </w:rPr>
        <w:t xml:space="preserve">Ecology and Evolution, </w:t>
      </w:r>
      <w:r w:rsidRPr="00D73FF0">
        <w:rPr>
          <w:rFonts w:ascii="Times New Roman" w:hAnsi="Times New Roman" w:cs="Times New Roman"/>
          <w:b/>
          <w:bCs/>
          <w:noProof/>
          <w:sz w:val="20"/>
          <w:szCs w:val="20"/>
        </w:rPr>
        <w:t>7</w:t>
      </w:r>
      <w:r w:rsidRPr="00D73FF0">
        <w:rPr>
          <w:rFonts w:ascii="Times New Roman" w:hAnsi="Times New Roman" w:cs="Times New Roman"/>
          <w:noProof/>
          <w:sz w:val="20"/>
          <w:szCs w:val="20"/>
        </w:rPr>
        <w:t>, 10952–10962.</w:t>
      </w:r>
    </w:p>
    <w:p w14:paraId="055D1D10"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Natividad K.D.T., Nomura N. &amp; Matsumura M</w:t>
      </w:r>
      <w:r w:rsidRPr="00D73FF0">
        <w:rPr>
          <w:rFonts w:ascii="Times New Roman" w:hAnsi="Times New Roman" w:cs="Times New Roman"/>
          <w:noProof/>
          <w:sz w:val="20"/>
          <w:szCs w:val="20"/>
        </w:rPr>
        <w:t xml:space="preserve">. (2008). </w:t>
      </w:r>
      <w:r w:rsidRPr="00D73FF0">
        <w:rPr>
          <w:rFonts w:ascii="Times New Roman" w:hAnsi="Times New Roman" w:cs="Times New Roman"/>
          <w:noProof/>
          <w:sz w:val="20"/>
          <w:szCs w:val="20"/>
          <w:lang w:val="en-IE"/>
        </w:rPr>
        <w:t xml:space="preserve">Detection of White spot syndrome virus DNA in pond soil using a 2-step nested PCR. </w:t>
      </w:r>
      <w:r w:rsidRPr="00D73FF0">
        <w:rPr>
          <w:rFonts w:ascii="Times New Roman" w:hAnsi="Times New Roman" w:cs="Times New Roman"/>
          <w:i/>
          <w:iCs/>
          <w:noProof/>
          <w:sz w:val="20"/>
          <w:szCs w:val="20"/>
          <w:lang w:val="en-IE"/>
        </w:rPr>
        <w:t>Journal of Virological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149</w:t>
      </w:r>
      <w:r w:rsidRPr="00D73FF0">
        <w:rPr>
          <w:rFonts w:ascii="Times New Roman" w:hAnsi="Times New Roman" w:cs="Times New Roman"/>
          <w:noProof/>
          <w:sz w:val="20"/>
          <w:szCs w:val="20"/>
          <w:lang w:val="en-IE"/>
        </w:rPr>
        <w:t>, 28–34.</w:t>
      </w:r>
    </w:p>
    <w:p w14:paraId="6030A1FD"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Oidtmann B., Dixon P., Way K., Joiner C. &amp; Bayley A.E</w:t>
      </w:r>
      <w:r w:rsidRPr="00D73FF0">
        <w:rPr>
          <w:rFonts w:ascii="Times New Roman" w:hAnsi="Times New Roman" w:cs="Times New Roman"/>
          <w:noProof/>
          <w:sz w:val="20"/>
          <w:szCs w:val="20"/>
          <w:lang w:val="en-IE"/>
        </w:rPr>
        <w:t xml:space="preserve">. (2018). Risk of waterborne virus spread – review of survival of relevant fish and crustacean viruses in the aquatic environment and implications for control measures. </w:t>
      </w:r>
      <w:r w:rsidRPr="00D73FF0">
        <w:rPr>
          <w:rFonts w:ascii="Times New Roman" w:hAnsi="Times New Roman" w:cs="Times New Roman"/>
          <w:i/>
          <w:iCs/>
          <w:noProof/>
          <w:sz w:val="20"/>
          <w:szCs w:val="20"/>
          <w:lang w:val="en-IE"/>
        </w:rPr>
        <w:t>Reviews in Aquaculture,</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10</w:t>
      </w:r>
      <w:r w:rsidRPr="00D73FF0">
        <w:rPr>
          <w:rFonts w:ascii="Times New Roman" w:hAnsi="Times New Roman" w:cs="Times New Roman"/>
          <w:noProof/>
          <w:sz w:val="20"/>
          <w:szCs w:val="20"/>
          <w:lang w:val="en-IE"/>
        </w:rPr>
        <w:t>, 641–669.</w:t>
      </w:r>
    </w:p>
    <w:p w14:paraId="44C34312"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Pierson T.W. &amp; Horner A.A.</w:t>
      </w:r>
      <w:r w:rsidRPr="00D73FF0">
        <w:rPr>
          <w:rFonts w:ascii="Times New Roman" w:hAnsi="Times New Roman" w:cs="Times New Roman"/>
          <w:noProof/>
          <w:sz w:val="20"/>
          <w:szCs w:val="20"/>
          <w:lang w:val="en-IE"/>
        </w:rPr>
        <w:t xml:space="preserve"> (2016). Environmental DNA (eDNA) sampling for amphibian pathogens. Southeastern Partners in Amphibian and Reptile Conservation (SEPARC), Disease, Pathogens and Parasites</w:t>
      </w:r>
      <w:r>
        <w:rPr>
          <w:rFonts w:ascii="Times New Roman" w:hAnsi="Times New Roman" w:cs="Times New Roman"/>
          <w:noProof/>
          <w:sz w:val="20"/>
          <w:szCs w:val="20"/>
          <w:lang w:val="en-IE"/>
        </w:rPr>
        <w:t xml:space="preserve"> </w:t>
      </w:r>
      <w:r w:rsidRPr="00D73FF0">
        <w:rPr>
          <w:rFonts w:ascii="Times New Roman" w:hAnsi="Times New Roman" w:cs="Times New Roman"/>
          <w:noProof/>
          <w:sz w:val="20"/>
          <w:szCs w:val="20"/>
          <w:lang w:val="en-IE"/>
        </w:rPr>
        <w:t>Task Team: Information Sheet #19.</w:t>
      </w:r>
    </w:p>
    <w:p w14:paraId="11F0F36A"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Polinski M.P., Meyer G.R., Lowe G.J. &amp; Abbott C.L.</w:t>
      </w:r>
      <w:r w:rsidRPr="00D73FF0">
        <w:rPr>
          <w:rFonts w:ascii="Times New Roman" w:hAnsi="Times New Roman" w:cs="Times New Roman"/>
          <w:noProof/>
          <w:sz w:val="20"/>
          <w:szCs w:val="20"/>
          <w:lang w:val="en-IE"/>
        </w:rPr>
        <w:t xml:space="preserve"> (2017). Seawater detection and biological assessments regarding transmission of the oyster parasite </w:t>
      </w:r>
      <w:r w:rsidRPr="00D73FF0">
        <w:rPr>
          <w:rFonts w:ascii="Times New Roman" w:hAnsi="Times New Roman" w:cs="Times New Roman"/>
          <w:i/>
          <w:iCs/>
          <w:noProof/>
          <w:sz w:val="20"/>
          <w:szCs w:val="20"/>
          <w:lang w:val="en-IE"/>
        </w:rPr>
        <w:t>Mikrocytos mackini</w:t>
      </w:r>
      <w:r w:rsidRPr="00D73FF0">
        <w:rPr>
          <w:rFonts w:ascii="Times New Roman" w:hAnsi="Times New Roman" w:cs="Times New Roman"/>
          <w:noProof/>
          <w:sz w:val="20"/>
          <w:szCs w:val="20"/>
          <w:lang w:val="en-IE"/>
        </w:rPr>
        <w:t xml:space="preserve"> using qPCR. </w:t>
      </w:r>
      <w:r w:rsidRPr="00D73FF0">
        <w:rPr>
          <w:rFonts w:ascii="Times New Roman" w:hAnsi="Times New Roman" w:cs="Times New Roman"/>
          <w:i/>
          <w:iCs/>
          <w:noProof/>
          <w:sz w:val="20"/>
          <w:szCs w:val="20"/>
          <w:lang w:val="en-IE"/>
        </w:rPr>
        <w:t>Diseases of Aquatic Organisms,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126</w:t>
      </w:r>
      <w:r w:rsidRPr="00D73FF0">
        <w:rPr>
          <w:rFonts w:ascii="Times New Roman" w:hAnsi="Times New Roman" w:cs="Times New Roman"/>
          <w:noProof/>
          <w:sz w:val="20"/>
          <w:szCs w:val="20"/>
          <w:lang w:val="en-IE"/>
        </w:rPr>
        <w:t>, 143–153.</w:t>
      </w:r>
    </w:p>
    <w:p w14:paraId="63B6F63C"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rPr>
      </w:pPr>
      <w:r w:rsidRPr="00D73FF0">
        <w:rPr>
          <w:rFonts w:ascii="Times New Roman" w:hAnsi="Times New Roman" w:cs="Times New Roman"/>
          <w:smallCaps/>
          <w:noProof/>
          <w:sz w:val="20"/>
          <w:szCs w:val="20"/>
          <w:lang w:val="en-IE"/>
        </w:rPr>
        <w:t>Quang N.D., Hoa P.T.P., Da T.T. &amp; Anh P.H</w:t>
      </w:r>
      <w:r w:rsidRPr="00D73FF0">
        <w:rPr>
          <w:rFonts w:ascii="Times New Roman" w:hAnsi="Times New Roman" w:cs="Times New Roman"/>
          <w:noProof/>
          <w:sz w:val="20"/>
          <w:szCs w:val="20"/>
          <w:lang w:val="en-IE"/>
        </w:rPr>
        <w:t xml:space="preserve">. (2009). Persistence of white spot syndrome virus in shrimp ponds and surrounding areas after an outbreak. </w:t>
      </w:r>
      <w:r w:rsidRPr="00D73FF0">
        <w:rPr>
          <w:rFonts w:ascii="Times New Roman" w:hAnsi="Times New Roman" w:cs="Times New Roman"/>
          <w:i/>
          <w:iCs/>
          <w:noProof/>
          <w:sz w:val="20"/>
          <w:szCs w:val="20"/>
        </w:rPr>
        <w:t>Environmental Monitoring and Assessments,</w:t>
      </w:r>
      <w:r w:rsidRPr="00D73FF0">
        <w:rPr>
          <w:rFonts w:ascii="Times New Roman" w:hAnsi="Times New Roman" w:cs="Times New Roman"/>
          <w:noProof/>
          <w:sz w:val="20"/>
          <w:szCs w:val="20"/>
        </w:rPr>
        <w:t xml:space="preserve"> </w:t>
      </w:r>
      <w:r w:rsidRPr="00D73FF0">
        <w:rPr>
          <w:rFonts w:ascii="Times New Roman" w:hAnsi="Times New Roman" w:cs="Times New Roman"/>
          <w:b/>
          <w:bCs/>
          <w:noProof/>
          <w:sz w:val="20"/>
          <w:szCs w:val="20"/>
        </w:rPr>
        <w:t>156</w:t>
      </w:r>
      <w:r w:rsidRPr="00D73FF0">
        <w:rPr>
          <w:rFonts w:ascii="Times New Roman" w:hAnsi="Times New Roman" w:cs="Times New Roman"/>
          <w:noProof/>
          <w:sz w:val="20"/>
          <w:szCs w:val="20"/>
        </w:rPr>
        <w:t>, 69–72.</w:t>
      </w:r>
    </w:p>
    <w:p w14:paraId="7D1135A2"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rPr>
        <w:t>Robinson C.V., Uren Webster T.M., Cable J., James J. &amp; Consuegra S</w:t>
      </w:r>
      <w:r w:rsidRPr="00D73FF0">
        <w:rPr>
          <w:rFonts w:ascii="Times New Roman" w:hAnsi="Times New Roman" w:cs="Times New Roman"/>
          <w:noProof/>
          <w:sz w:val="20"/>
          <w:szCs w:val="20"/>
        </w:rPr>
        <w:t xml:space="preserve">. (2018). </w:t>
      </w:r>
      <w:r w:rsidRPr="00D73FF0">
        <w:rPr>
          <w:rFonts w:ascii="Times New Roman" w:hAnsi="Times New Roman" w:cs="Times New Roman"/>
          <w:noProof/>
          <w:sz w:val="20"/>
          <w:szCs w:val="20"/>
          <w:lang w:val="en-IE"/>
        </w:rPr>
        <w:t xml:space="preserve">Simultaneous detection of invasive signal crayfish, endangered white-clawed crayfish and the crayfish plague pathogen using environmental DNA. </w:t>
      </w:r>
      <w:r w:rsidRPr="00D73FF0">
        <w:rPr>
          <w:rFonts w:ascii="Times New Roman" w:hAnsi="Times New Roman" w:cs="Times New Roman"/>
          <w:i/>
          <w:iCs/>
          <w:noProof/>
          <w:sz w:val="20"/>
          <w:szCs w:val="20"/>
          <w:lang w:val="en-IE"/>
        </w:rPr>
        <w:t>Biological Conservation,</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222</w:t>
      </w:r>
      <w:r w:rsidRPr="00D73FF0">
        <w:rPr>
          <w:rFonts w:ascii="Times New Roman" w:hAnsi="Times New Roman" w:cs="Times New Roman"/>
          <w:noProof/>
          <w:sz w:val="20"/>
          <w:szCs w:val="20"/>
          <w:lang w:val="en-IE"/>
        </w:rPr>
        <w:t>, 241–252.</w:t>
      </w:r>
    </w:p>
    <w:p w14:paraId="18437FE4"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J.C., Hansen H., Strand D.A., Markussen T., Hytterød S. &amp; Vrålstad T.</w:t>
      </w:r>
      <w:r w:rsidRPr="00D73FF0">
        <w:rPr>
          <w:rFonts w:ascii="Times New Roman" w:hAnsi="Times New Roman" w:cs="Times New Roman"/>
          <w:noProof/>
          <w:sz w:val="20"/>
          <w:szCs w:val="20"/>
          <w:lang w:val="en-IE"/>
        </w:rPr>
        <w:t xml:space="preserve"> (2018). Catching the fish with the worm: a case study on eDNA detection of the monogenean parasite </w:t>
      </w:r>
      <w:r w:rsidRPr="00D73FF0">
        <w:rPr>
          <w:rFonts w:ascii="Times New Roman" w:hAnsi="Times New Roman" w:cs="Times New Roman"/>
          <w:i/>
          <w:iCs/>
          <w:noProof/>
          <w:sz w:val="20"/>
          <w:szCs w:val="20"/>
          <w:lang w:val="en-IE"/>
        </w:rPr>
        <w:t>Gyrodactylus salaris</w:t>
      </w:r>
      <w:r w:rsidRPr="00D73FF0">
        <w:rPr>
          <w:rFonts w:ascii="Times New Roman" w:hAnsi="Times New Roman" w:cs="Times New Roman"/>
          <w:noProof/>
          <w:sz w:val="20"/>
          <w:szCs w:val="20"/>
          <w:lang w:val="en-IE"/>
        </w:rPr>
        <w:t xml:space="preserve"> and two of its hosts, Atlantic salmon (</w:t>
      </w:r>
      <w:r w:rsidRPr="00D73FF0">
        <w:rPr>
          <w:rFonts w:ascii="Times New Roman" w:hAnsi="Times New Roman" w:cs="Times New Roman"/>
          <w:i/>
          <w:iCs/>
          <w:noProof/>
          <w:sz w:val="20"/>
          <w:szCs w:val="20"/>
          <w:lang w:val="en-IE"/>
        </w:rPr>
        <w:t>Salmo salar</w:t>
      </w:r>
      <w:r w:rsidRPr="00D73FF0">
        <w:rPr>
          <w:rFonts w:ascii="Times New Roman" w:hAnsi="Times New Roman" w:cs="Times New Roman"/>
          <w:noProof/>
          <w:sz w:val="20"/>
          <w:szCs w:val="20"/>
          <w:lang w:val="en-IE"/>
        </w:rPr>
        <w:t>) and rainbow trout (</w:t>
      </w:r>
      <w:r w:rsidRPr="00D73FF0">
        <w:rPr>
          <w:rFonts w:ascii="Times New Roman" w:hAnsi="Times New Roman" w:cs="Times New Roman"/>
          <w:i/>
          <w:iCs/>
          <w:noProof/>
          <w:sz w:val="20"/>
          <w:szCs w:val="20"/>
          <w:lang w:val="en-IE"/>
        </w:rPr>
        <w:t>Oncorhynchus mykiss</w:t>
      </w:r>
      <w:r w:rsidRPr="00D73FF0">
        <w:rPr>
          <w:rFonts w:ascii="Times New Roman" w:hAnsi="Times New Roman" w:cs="Times New Roman"/>
          <w:noProof/>
          <w:sz w:val="20"/>
          <w:szCs w:val="20"/>
          <w:lang w:val="en-IE"/>
        </w:rPr>
        <w:t xml:space="preserve">). </w:t>
      </w:r>
      <w:r w:rsidRPr="00D73FF0">
        <w:rPr>
          <w:rFonts w:ascii="Times New Roman" w:hAnsi="Times New Roman" w:cs="Times New Roman"/>
          <w:i/>
          <w:iCs/>
          <w:noProof/>
          <w:sz w:val="20"/>
          <w:szCs w:val="20"/>
          <w:lang w:val="en-IE"/>
        </w:rPr>
        <w:t>Parasites &amp; Vectors,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11</w:t>
      </w:r>
      <w:r w:rsidRPr="00D73FF0">
        <w:rPr>
          <w:rFonts w:ascii="Times New Roman" w:hAnsi="Times New Roman" w:cs="Times New Roman"/>
          <w:noProof/>
          <w:sz w:val="20"/>
          <w:szCs w:val="20"/>
          <w:lang w:val="en-IE"/>
        </w:rPr>
        <w:t xml:space="preserve">, 333. </w:t>
      </w:r>
    </w:p>
    <w:p w14:paraId="708E0100"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Rusch J. C., Mojžišová M., Strand D.A., Svobodová J., Vrålstad T. &amp; Petrusek A.</w:t>
      </w:r>
      <w:r w:rsidRPr="00D73FF0">
        <w:rPr>
          <w:rFonts w:ascii="Times New Roman" w:hAnsi="Times New Roman" w:cs="Times New Roman"/>
          <w:noProof/>
          <w:sz w:val="20"/>
          <w:szCs w:val="20"/>
          <w:lang w:val="en-IE"/>
        </w:rPr>
        <w:t xml:space="preserve"> (2020). Simultaneous detection of native and invasive crayfish and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from environmental DNA samples in a wide range of habitats in Central Europe. </w:t>
      </w:r>
      <w:r w:rsidRPr="00D73FF0">
        <w:rPr>
          <w:rFonts w:ascii="Times New Roman" w:hAnsi="Times New Roman" w:cs="Times New Roman"/>
          <w:i/>
          <w:iCs/>
          <w:noProof/>
          <w:sz w:val="20"/>
          <w:szCs w:val="20"/>
          <w:lang w:val="en-IE"/>
        </w:rPr>
        <w:t>NeoBiota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58</w:t>
      </w:r>
      <w:r w:rsidRPr="00D73FF0">
        <w:rPr>
          <w:rFonts w:ascii="Times New Roman" w:hAnsi="Times New Roman" w:cs="Times New Roman"/>
          <w:noProof/>
          <w:sz w:val="20"/>
          <w:szCs w:val="20"/>
          <w:lang w:val="en-IE"/>
        </w:rPr>
        <w:t>, 1–32.</w:t>
      </w:r>
    </w:p>
    <w:p w14:paraId="12C95F87"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Salama N. &amp; Rabe B. </w:t>
      </w:r>
      <w:r w:rsidRPr="00D73FF0">
        <w:rPr>
          <w:rFonts w:ascii="Times New Roman" w:hAnsi="Times New Roman" w:cs="Times New Roman"/>
          <w:noProof/>
          <w:sz w:val="20"/>
          <w:szCs w:val="20"/>
          <w:lang w:val="en-IE"/>
        </w:rPr>
        <w:t xml:space="preserve">(2013). Developing models for investigating the environmental transmission of disease-causing agents within open-cage salmon aquaculture. </w:t>
      </w:r>
      <w:r w:rsidRPr="00D73FF0">
        <w:rPr>
          <w:rFonts w:ascii="Times New Roman" w:hAnsi="Times New Roman" w:cs="Times New Roman"/>
          <w:i/>
          <w:iCs/>
          <w:noProof/>
          <w:sz w:val="20"/>
          <w:szCs w:val="20"/>
          <w:lang w:val="en-IE"/>
        </w:rPr>
        <w:t>Aquaculture Environment Interactions,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w:t>
      </w:r>
      <w:r w:rsidRPr="00D73FF0">
        <w:rPr>
          <w:rFonts w:ascii="Times New Roman" w:hAnsi="Times New Roman" w:cs="Times New Roman"/>
          <w:noProof/>
          <w:sz w:val="20"/>
          <w:szCs w:val="20"/>
          <w:lang w:val="en-IE"/>
        </w:rPr>
        <w:t>, 91–115.</w:t>
      </w:r>
    </w:p>
    <w:p w14:paraId="526281B4"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Sana S., Williams C., Hardouin E.A., Blake A., Davison P., Pegg J., Paley R., Zhang T. &amp; Andreou D.</w:t>
      </w:r>
      <w:r w:rsidRPr="00D73FF0">
        <w:rPr>
          <w:rFonts w:ascii="Times New Roman" w:hAnsi="Times New Roman" w:cs="Times New Roman"/>
          <w:noProof/>
          <w:sz w:val="20"/>
          <w:szCs w:val="20"/>
          <w:lang w:val="en-IE"/>
        </w:rPr>
        <w:t xml:space="preserve"> (2018). Phylogenetic and environmental DNA insights into emerging aquatic parasites: implications for risk management. </w:t>
      </w:r>
      <w:r w:rsidRPr="00D73FF0">
        <w:rPr>
          <w:rFonts w:ascii="Times New Roman" w:hAnsi="Times New Roman" w:cs="Times New Roman"/>
          <w:i/>
          <w:iCs/>
          <w:noProof/>
          <w:sz w:val="20"/>
          <w:szCs w:val="20"/>
          <w:lang w:val="en-IE"/>
        </w:rPr>
        <w:t>International Journal of Parasitology,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48</w:t>
      </w:r>
      <w:r w:rsidRPr="00D73FF0">
        <w:rPr>
          <w:rFonts w:ascii="Times New Roman" w:hAnsi="Times New Roman" w:cs="Times New Roman"/>
          <w:noProof/>
          <w:sz w:val="20"/>
          <w:szCs w:val="20"/>
          <w:lang w:val="en-IE"/>
        </w:rPr>
        <w:t>, 473–481.</w:t>
      </w:r>
    </w:p>
    <w:p w14:paraId="2816B10E"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Spitzen-Van Der Sluijs A., Stark T., Dejean T., Verbrugghe E., Herder J., Gilbert M., Janse J., Martel A., Pasmans F. &amp; Valentini A.</w:t>
      </w:r>
      <w:r w:rsidRPr="00D73FF0">
        <w:rPr>
          <w:rFonts w:ascii="Times New Roman" w:hAnsi="Times New Roman" w:cs="Times New Roman"/>
          <w:noProof/>
          <w:sz w:val="20"/>
          <w:szCs w:val="20"/>
          <w:lang w:val="en-IE"/>
        </w:rPr>
        <w:t xml:space="preserve"> (2020). Using environmental DNA for detection of </w:t>
      </w:r>
      <w:r w:rsidRPr="00D73FF0">
        <w:rPr>
          <w:rFonts w:ascii="Times New Roman" w:hAnsi="Times New Roman" w:cs="Times New Roman"/>
          <w:i/>
          <w:iCs/>
          <w:noProof/>
          <w:sz w:val="20"/>
          <w:szCs w:val="20"/>
          <w:lang w:val="en-IE"/>
        </w:rPr>
        <w:t>Batrachochytrium salamandrivorans</w:t>
      </w:r>
      <w:r w:rsidRPr="00D73FF0">
        <w:rPr>
          <w:rFonts w:ascii="Times New Roman" w:hAnsi="Times New Roman" w:cs="Times New Roman"/>
          <w:noProof/>
          <w:sz w:val="20"/>
          <w:szCs w:val="20"/>
          <w:lang w:val="en-IE"/>
        </w:rPr>
        <w:t xml:space="preserve"> in natural water.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565–571.</w:t>
      </w:r>
    </w:p>
    <w:p w14:paraId="099337B0" w14:textId="77777777" w:rsidR="00BC7F24" w:rsidRDefault="00BC7F24" w:rsidP="00BC7F24">
      <w:pPr>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Strand D.A., Holst-Jensen A., Viljugrein H., Edvardsen B., Klaveness D., Jussila J. &amp; Vrålstad T. </w:t>
      </w:r>
      <w:r w:rsidRPr="00D73FF0">
        <w:rPr>
          <w:rFonts w:ascii="Times New Roman" w:hAnsi="Times New Roman" w:cs="Times New Roman"/>
          <w:noProof/>
          <w:sz w:val="20"/>
          <w:szCs w:val="20"/>
          <w:lang w:val="en-IE"/>
        </w:rPr>
        <w:t xml:space="preserve">(2011). Detection and quantification of the crayfish plague agent in natural waters: Direct monitoring approach for aquatic environments. </w:t>
      </w:r>
      <w:r w:rsidRPr="00D73FF0">
        <w:rPr>
          <w:rFonts w:ascii="Times New Roman" w:hAnsi="Times New Roman" w:cs="Times New Roman"/>
          <w:i/>
          <w:iCs/>
          <w:noProof/>
          <w:sz w:val="20"/>
          <w:szCs w:val="20"/>
          <w:lang w:val="en-IE"/>
        </w:rPr>
        <w:t>Diseases of Aquatic Organisms,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95</w:t>
      </w:r>
      <w:r w:rsidRPr="00D73FF0">
        <w:rPr>
          <w:rFonts w:ascii="Times New Roman" w:hAnsi="Times New Roman" w:cs="Times New Roman"/>
          <w:noProof/>
          <w:sz w:val="20"/>
          <w:szCs w:val="20"/>
          <w:lang w:val="en-IE"/>
        </w:rPr>
        <w:t>, 9–17.</w:t>
      </w:r>
      <w:r>
        <w:rPr>
          <w:rFonts w:ascii="Times New Roman" w:hAnsi="Times New Roman" w:cs="Times New Roman"/>
          <w:noProof/>
          <w:sz w:val="20"/>
          <w:szCs w:val="20"/>
          <w:lang w:val="en-IE"/>
        </w:rPr>
        <w:br w:type="page"/>
      </w:r>
    </w:p>
    <w:p w14:paraId="6FCC06FE"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Strand D.A., Jussila J., Johnsen S.I., Viljamaa-Dirks S., Edsman L., Wiik-Nielsen J., Viljugrein H., Engdahl F. &amp; Vrålstad T.</w:t>
      </w:r>
      <w:r w:rsidRPr="00D73FF0">
        <w:rPr>
          <w:rFonts w:ascii="Times New Roman" w:hAnsi="Times New Roman" w:cs="Times New Roman"/>
          <w:noProof/>
          <w:sz w:val="20"/>
          <w:szCs w:val="20"/>
          <w:lang w:val="en-IE"/>
        </w:rPr>
        <w:t xml:space="preserve"> (2014). Detection of crayfish plague spores in large freshwater systems. </w:t>
      </w:r>
      <w:r w:rsidRPr="00D73FF0">
        <w:rPr>
          <w:rFonts w:ascii="Times New Roman" w:hAnsi="Times New Roman" w:cs="Times New Roman"/>
          <w:i/>
          <w:iCs/>
          <w:noProof/>
          <w:sz w:val="20"/>
          <w:szCs w:val="20"/>
          <w:lang w:val="en-IE"/>
        </w:rPr>
        <w:t>Journal of Applied Ecology,</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51</w:t>
      </w:r>
      <w:r w:rsidRPr="00D73FF0">
        <w:rPr>
          <w:rFonts w:ascii="Times New Roman" w:hAnsi="Times New Roman" w:cs="Times New Roman"/>
          <w:noProof/>
          <w:sz w:val="20"/>
          <w:szCs w:val="20"/>
          <w:lang w:val="en-IE"/>
        </w:rPr>
        <w:t>, 544–553.</w:t>
      </w:r>
    </w:p>
    <w:p w14:paraId="013536FD"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 xml:space="preserve">Thomsen P.F. &amp; Willerslev E. </w:t>
      </w:r>
      <w:r w:rsidRPr="00D73FF0">
        <w:rPr>
          <w:rFonts w:ascii="Times New Roman" w:hAnsi="Times New Roman" w:cs="Times New Roman"/>
          <w:noProof/>
          <w:sz w:val="20"/>
          <w:szCs w:val="20"/>
          <w:lang w:val="en-IE"/>
        </w:rPr>
        <w:t xml:space="preserve">(2015). Environmental DNA – An emerging tool in conservation for monitoring past and present biodiversity. </w:t>
      </w:r>
      <w:r w:rsidRPr="00D73FF0">
        <w:rPr>
          <w:rFonts w:ascii="Times New Roman" w:hAnsi="Times New Roman" w:cs="Times New Roman"/>
          <w:i/>
          <w:iCs/>
          <w:noProof/>
          <w:sz w:val="20"/>
          <w:szCs w:val="20"/>
          <w:lang w:val="en-IE"/>
        </w:rPr>
        <w:t>Biological Conservation,</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183</w:t>
      </w:r>
      <w:r w:rsidRPr="00D73FF0">
        <w:rPr>
          <w:rFonts w:ascii="Times New Roman" w:hAnsi="Times New Roman" w:cs="Times New Roman"/>
          <w:noProof/>
          <w:sz w:val="20"/>
          <w:szCs w:val="20"/>
          <w:lang w:val="en-IE"/>
        </w:rPr>
        <w:t xml:space="preserve">, 4–18. </w:t>
      </w:r>
    </w:p>
    <w:p w14:paraId="718B2CFF"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Trebitz A.S., Hoffman J.C., Darling J.A., Pilgrim E.M., Kelly J.R., Brown E.A., Chadderton W.L., Egan S.P., Grey E.K., Hashsham S.A., Klymus K.E., Mahon A.R., Ram J.L., Schultz M.T., Stepien C.A. &amp; Schardt J.C. (</w:t>
      </w:r>
      <w:r w:rsidRPr="00D73FF0">
        <w:rPr>
          <w:rFonts w:ascii="Times New Roman" w:hAnsi="Times New Roman" w:cs="Times New Roman"/>
          <w:noProof/>
          <w:sz w:val="20"/>
          <w:szCs w:val="20"/>
          <w:lang w:val="en-IE"/>
        </w:rPr>
        <w:t xml:space="preserve">2017). Early detection monitoring for aquatic non-indigenous species: Optimizing surveillance, incorporating advanced technologies, and identifying research needs. </w:t>
      </w:r>
      <w:r w:rsidRPr="00D73FF0">
        <w:rPr>
          <w:rFonts w:ascii="Times New Roman" w:hAnsi="Times New Roman" w:cs="Times New Roman"/>
          <w:i/>
          <w:iCs/>
          <w:noProof/>
          <w:sz w:val="20"/>
          <w:szCs w:val="20"/>
          <w:lang w:val="en-IE"/>
        </w:rPr>
        <w:t>Journal of Environmental Management,</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202</w:t>
      </w:r>
      <w:r w:rsidRPr="00D73FF0">
        <w:rPr>
          <w:rFonts w:ascii="Times New Roman" w:hAnsi="Times New Roman" w:cs="Times New Roman"/>
          <w:noProof/>
          <w:sz w:val="20"/>
          <w:szCs w:val="20"/>
          <w:lang w:val="en-IE"/>
        </w:rPr>
        <w:t xml:space="preserve">, 299–310. </w:t>
      </w:r>
    </w:p>
    <w:p w14:paraId="034A2F79"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Becker J.A., Huerlimann R., Saunders R.J. &amp; Hutson K.S. (</w:t>
      </w:r>
      <w:r w:rsidRPr="00D73FF0">
        <w:rPr>
          <w:rFonts w:ascii="Times New Roman" w:hAnsi="Times New Roman" w:cs="Times New Roman"/>
          <w:noProof/>
          <w:sz w:val="20"/>
          <w:szCs w:val="20"/>
          <w:lang w:val="en-IE"/>
        </w:rPr>
        <w:t xml:space="preserve">2019a). Can environmental DNA be used for aquatic biosecurity in the aquarium fish trade? </w:t>
      </w:r>
      <w:r w:rsidRPr="00D73FF0">
        <w:rPr>
          <w:rFonts w:ascii="Times New Roman" w:hAnsi="Times New Roman" w:cs="Times New Roman"/>
          <w:i/>
          <w:iCs/>
          <w:noProof/>
          <w:sz w:val="20"/>
          <w:szCs w:val="20"/>
          <w:lang w:val="en-IE"/>
        </w:rPr>
        <w:t>Biological Invasions,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22</w:t>
      </w:r>
      <w:r w:rsidRPr="00D73FF0">
        <w:rPr>
          <w:rFonts w:ascii="Times New Roman" w:hAnsi="Times New Roman" w:cs="Times New Roman"/>
          <w:noProof/>
          <w:sz w:val="20"/>
          <w:szCs w:val="20"/>
          <w:lang w:val="en-IE"/>
        </w:rPr>
        <w:t>, 1011–1025.</w:t>
      </w:r>
    </w:p>
    <w:p w14:paraId="500BE523"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Trujillo-González A., Edmunds R. C., Becker J.A. &amp; Hutson K.S. (2019</w:t>
      </w:r>
      <w:r w:rsidRPr="00D73FF0">
        <w:rPr>
          <w:rFonts w:ascii="Times New Roman" w:hAnsi="Times New Roman" w:cs="Times New Roman"/>
          <w:noProof/>
          <w:sz w:val="20"/>
          <w:szCs w:val="20"/>
          <w:lang w:val="en-IE"/>
        </w:rPr>
        <w:t>b)</w:t>
      </w:r>
      <w:r w:rsidRPr="00D73FF0">
        <w:rPr>
          <w:rFonts w:ascii="Times New Roman" w:hAnsi="Times New Roman" w:cs="Times New Roman"/>
          <w:smallCaps/>
          <w:noProof/>
          <w:sz w:val="20"/>
          <w:szCs w:val="20"/>
          <w:lang w:val="en-IE"/>
        </w:rPr>
        <w:t>.</w:t>
      </w:r>
      <w:r w:rsidRPr="00D73FF0">
        <w:rPr>
          <w:rFonts w:ascii="Times New Roman" w:hAnsi="Times New Roman" w:cs="Times New Roman"/>
          <w:noProof/>
          <w:sz w:val="20"/>
          <w:szCs w:val="20"/>
          <w:lang w:val="en-IE"/>
        </w:rPr>
        <w:t xml:space="preserve"> Parasite detection in the ornamental fish trade using environmental DNA. </w:t>
      </w:r>
      <w:r w:rsidRPr="00D73FF0">
        <w:rPr>
          <w:rFonts w:ascii="Times New Roman" w:hAnsi="Times New Roman" w:cs="Times New Roman"/>
          <w:i/>
          <w:iCs/>
          <w:noProof/>
          <w:sz w:val="20"/>
          <w:szCs w:val="20"/>
          <w:lang w:val="en-IE"/>
        </w:rPr>
        <w:t>Scientific Reports, 9</w:t>
      </w:r>
      <w:r w:rsidRPr="00D73FF0">
        <w:rPr>
          <w:rFonts w:ascii="Times New Roman" w:hAnsi="Times New Roman" w:cs="Times New Roman"/>
          <w:noProof/>
          <w:sz w:val="20"/>
          <w:szCs w:val="20"/>
          <w:lang w:val="en-IE"/>
        </w:rPr>
        <w:t>, 1–9.</w:t>
      </w:r>
    </w:p>
    <w:p w14:paraId="736241B0"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Vilaça S.T., Grant S.A., Beaty L., Brunetti C.R., Congram M., Murray D.L., Wilson C.C. &amp; Kyle C.J.</w:t>
      </w:r>
      <w:r w:rsidRPr="00D73FF0">
        <w:rPr>
          <w:rFonts w:ascii="Times New Roman" w:hAnsi="Times New Roman" w:cs="Times New Roman"/>
          <w:noProof/>
          <w:sz w:val="20"/>
          <w:szCs w:val="20"/>
          <w:lang w:val="en-IE"/>
        </w:rPr>
        <w:t xml:space="preserve"> (2020). Detection of spatiotemporal variation in ranavirus distribution using eDNA. </w:t>
      </w:r>
      <w:r w:rsidRPr="00D73FF0">
        <w:rPr>
          <w:rFonts w:ascii="Times New Roman" w:hAnsi="Times New Roman" w:cs="Times New Roman"/>
          <w:i/>
          <w:iCs/>
          <w:noProof/>
          <w:sz w:val="20"/>
          <w:szCs w:val="20"/>
          <w:lang w:val="en-IE"/>
        </w:rPr>
        <w:t>Environmental DNA,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w:t>
      </w:r>
      <w:r w:rsidRPr="00D73FF0">
        <w:rPr>
          <w:rFonts w:ascii="Times New Roman" w:hAnsi="Times New Roman" w:cs="Times New Roman"/>
          <w:noProof/>
          <w:sz w:val="20"/>
          <w:szCs w:val="20"/>
          <w:lang w:val="en-IE"/>
        </w:rPr>
        <w:t>, 210–220.</w:t>
      </w:r>
    </w:p>
    <w:p w14:paraId="1B7EE2D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Vrålstad T., Strand D., Rusch J., Toverud O., Johnsen S.I., Tarpai A., Rask-Moller P. &amp; Gjerve A.-G.</w:t>
      </w:r>
      <w:r w:rsidRPr="00D73FF0">
        <w:rPr>
          <w:rFonts w:ascii="Times New Roman" w:hAnsi="Times New Roman" w:cs="Times New Roman"/>
          <w:noProof/>
          <w:sz w:val="20"/>
          <w:szCs w:val="20"/>
          <w:lang w:val="en-IE"/>
        </w:rPr>
        <w:t xml:space="preserve"> (2016). The surveillance programme for </w:t>
      </w:r>
      <w:r w:rsidRPr="00D73FF0">
        <w:rPr>
          <w:rFonts w:ascii="Times New Roman" w:hAnsi="Times New Roman" w:cs="Times New Roman"/>
          <w:i/>
          <w:iCs/>
          <w:noProof/>
          <w:sz w:val="20"/>
          <w:szCs w:val="20"/>
          <w:lang w:val="en-IE"/>
        </w:rPr>
        <w:t>Aphanomyces astaci</w:t>
      </w:r>
      <w:r w:rsidRPr="00D73FF0">
        <w:rPr>
          <w:rFonts w:ascii="Times New Roman" w:hAnsi="Times New Roman" w:cs="Times New Roman"/>
          <w:noProof/>
          <w:sz w:val="20"/>
          <w:szCs w:val="20"/>
          <w:lang w:val="en-IE"/>
        </w:rPr>
        <w:t xml:space="preserve"> in Norway 2016. Norwegian Veterinary Institute.</w:t>
      </w:r>
    </w:p>
    <w:p w14:paraId="6DD12D24"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Walker S.F., Salas M.B., Jenkins D., Garner T.W.J., Cunningham A.A., Hyatt A.D., Bosch J. &amp; Fisher M.C.</w:t>
      </w:r>
      <w:r w:rsidRPr="00D73FF0">
        <w:rPr>
          <w:rFonts w:ascii="Times New Roman" w:hAnsi="Times New Roman" w:cs="Times New Roman"/>
          <w:noProof/>
          <w:sz w:val="20"/>
          <w:szCs w:val="20"/>
          <w:lang w:val="en-IE"/>
        </w:rPr>
        <w:t xml:space="preserve"> (2007). Environmental detection of </w:t>
      </w:r>
      <w:r w:rsidRPr="00D73FF0">
        <w:rPr>
          <w:rFonts w:ascii="Times New Roman" w:hAnsi="Times New Roman" w:cs="Times New Roman"/>
          <w:i/>
          <w:iCs/>
          <w:noProof/>
          <w:sz w:val="20"/>
          <w:szCs w:val="20"/>
          <w:lang w:val="en-IE"/>
        </w:rPr>
        <w:t>Batrachochytrium dendrobatidis</w:t>
      </w:r>
      <w:r w:rsidRPr="00D73FF0">
        <w:rPr>
          <w:rFonts w:ascii="Times New Roman" w:hAnsi="Times New Roman" w:cs="Times New Roman"/>
          <w:noProof/>
          <w:sz w:val="20"/>
          <w:szCs w:val="20"/>
          <w:lang w:val="en-IE"/>
        </w:rPr>
        <w:t xml:space="preserve"> in a temperate climate. </w:t>
      </w:r>
      <w:r w:rsidRPr="00D73FF0">
        <w:rPr>
          <w:rFonts w:ascii="Times New Roman" w:hAnsi="Times New Roman" w:cs="Times New Roman"/>
          <w:i/>
          <w:iCs/>
          <w:noProof/>
          <w:sz w:val="20"/>
          <w:szCs w:val="20"/>
          <w:lang w:val="en-IE"/>
        </w:rPr>
        <w:t>Diseases of Aquatic Organisms,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77</w:t>
      </w:r>
      <w:r w:rsidRPr="00D73FF0">
        <w:rPr>
          <w:rFonts w:ascii="Times New Roman" w:hAnsi="Times New Roman" w:cs="Times New Roman"/>
          <w:noProof/>
          <w:sz w:val="20"/>
          <w:szCs w:val="20"/>
          <w:lang w:val="en-IE"/>
        </w:rPr>
        <w:t>, 105–112.</w:t>
      </w:r>
    </w:p>
    <w:p w14:paraId="0CBDB285"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Weli S.C., Bernhardt L.-V., Qviller L., Myrmel M. &amp; Lillehaug A.</w:t>
      </w:r>
      <w:r w:rsidRPr="00D73FF0">
        <w:rPr>
          <w:rFonts w:ascii="Times New Roman" w:hAnsi="Times New Roman" w:cs="Times New Roman"/>
          <w:noProof/>
          <w:sz w:val="20"/>
          <w:szCs w:val="20"/>
          <w:lang w:val="en-IE"/>
        </w:rPr>
        <w:t xml:space="preserve"> (2021). Development and evaluation of a method for concentration and detection of salmonid alphavirus from seawater. </w:t>
      </w:r>
      <w:r w:rsidRPr="00D73FF0">
        <w:rPr>
          <w:rFonts w:ascii="Times New Roman" w:hAnsi="Times New Roman" w:cs="Times New Roman"/>
          <w:i/>
          <w:iCs/>
          <w:noProof/>
          <w:sz w:val="20"/>
          <w:szCs w:val="20"/>
          <w:lang w:val="en-IE"/>
        </w:rPr>
        <w:t>Journal of Virological Methods,</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287</w:t>
      </w:r>
      <w:r w:rsidRPr="00D73FF0">
        <w:rPr>
          <w:rFonts w:ascii="Times New Roman" w:hAnsi="Times New Roman" w:cs="Times New Roman"/>
          <w:noProof/>
          <w:sz w:val="20"/>
          <w:szCs w:val="20"/>
          <w:lang w:val="en-IE"/>
        </w:rPr>
        <w:t>, 113990.</w:t>
      </w:r>
    </w:p>
    <w:p w14:paraId="64765648"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Nowak C., Strand D.A., Vrålstad T., Thines M. &amp; Stoll S.</w:t>
      </w:r>
      <w:r w:rsidRPr="00D73FF0">
        <w:rPr>
          <w:rFonts w:ascii="Times New Roman" w:hAnsi="Times New Roman" w:cs="Times New Roman"/>
          <w:noProof/>
          <w:sz w:val="20"/>
          <w:szCs w:val="20"/>
          <w:lang w:val="en-IE"/>
        </w:rPr>
        <w:t xml:space="preserve"> (2018a). Comparison of two water sampling approaches for eDNA-based crayfish plague detection. </w:t>
      </w:r>
      <w:r w:rsidRPr="00D73FF0">
        <w:rPr>
          <w:rFonts w:ascii="Times New Roman" w:hAnsi="Times New Roman" w:cs="Times New Roman"/>
          <w:i/>
          <w:iCs/>
          <w:noProof/>
          <w:sz w:val="20"/>
          <w:szCs w:val="20"/>
          <w:lang w:val="en-IE"/>
        </w:rPr>
        <w:t>Limnologica,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70</w:t>
      </w:r>
      <w:r w:rsidRPr="00D73FF0">
        <w:rPr>
          <w:rFonts w:ascii="Times New Roman" w:hAnsi="Times New Roman" w:cs="Times New Roman"/>
          <w:noProof/>
          <w:sz w:val="20"/>
          <w:szCs w:val="20"/>
          <w:lang w:val="en-IE"/>
        </w:rPr>
        <w:t>, 1–9.</w:t>
      </w:r>
    </w:p>
    <w:p w14:paraId="2AD8EA50" w14:textId="77777777" w:rsidR="00BC7F24"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r w:rsidRPr="00D73FF0">
        <w:rPr>
          <w:rFonts w:ascii="Times New Roman" w:hAnsi="Times New Roman" w:cs="Times New Roman"/>
          <w:smallCaps/>
          <w:noProof/>
          <w:sz w:val="20"/>
          <w:szCs w:val="20"/>
          <w:lang w:val="en-IE"/>
        </w:rPr>
        <w:t>Wittwer C., Stoll S., Strand D., Vrålstad T., Nowak C. &amp; Thines M.</w:t>
      </w:r>
      <w:r w:rsidRPr="00D73FF0">
        <w:rPr>
          <w:rFonts w:ascii="Times New Roman" w:hAnsi="Times New Roman" w:cs="Times New Roman"/>
          <w:noProof/>
          <w:sz w:val="20"/>
          <w:szCs w:val="20"/>
          <w:lang w:val="en-IE"/>
        </w:rPr>
        <w:t xml:space="preserve"> (2018b). eDNA-based crayfish plague monitoring is superior to conventional trap-based assessments in year-round detection probability. </w:t>
      </w:r>
      <w:r w:rsidRPr="00D73FF0">
        <w:rPr>
          <w:rFonts w:ascii="Times New Roman" w:hAnsi="Times New Roman" w:cs="Times New Roman"/>
          <w:i/>
          <w:iCs/>
          <w:noProof/>
          <w:sz w:val="20"/>
          <w:szCs w:val="20"/>
          <w:lang w:val="en-IE"/>
        </w:rPr>
        <w:t>Hydrobiologia,</w:t>
      </w:r>
      <w:r w:rsidRPr="00D73FF0">
        <w:rPr>
          <w:rFonts w:ascii="Times New Roman" w:hAnsi="Times New Roman" w:cs="Times New Roman"/>
          <w:noProof/>
          <w:sz w:val="20"/>
          <w:szCs w:val="20"/>
          <w:lang w:val="en-IE"/>
        </w:rPr>
        <w:t xml:space="preserve"> </w:t>
      </w:r>
      <w:r w:rsidRPr="00D73FF0">
        <w:rPr>
          <w:rFonts w:ascii="Times New Roman" w:hAnsi="Times New Roman" w:cs="Times New Roman"/>
          <w:b/>
          <w:bCs/>
          <w:noProof/>
          <w:sz w:val="20"/>
          <w:szCs w:val="20"/>
          <w:lang w:val="en-IE"/>
        </w:rPr>
        <w:t>807</w:t>
      </w:r>
      <w:r w:rsidRPr="00D73FF0">
        <w:rPr>
          <w:rFonts w:ascii="Times New Roman" w:hAnsi="Times New Roman" w:cs="Times New Roman"/>
          <w:noProof/>
          <w:sz w:val="20"/>
          <w:szCs w:val="20"/>
          <w:lang w:val="en-IE"/>
        </w:rPr>
        <w:t>, 87–97.</w:t>
      </w:r>
    </w:p>
    <w:p w14:paraId="5EA1D6F4" w14:textId="77777777" w:rsidR="00BC7F24" w:rsidRPr="00873DAE" w:rsidRDefault="00BC7F24" w:rsidP="00BC7F24">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1C02AF5" w14:textId="77777777" w:rsidR="00BC7F24"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443CA416" w14:textId="77777777" w:rsidR="00BC7F24"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656FCAD7" w14:textId="77777777" w:rsidR="00BC7F24" w:rsidRPr="00D73FF0" w:rsidRDefault="00BC7F24" w:rsidP="00BC7F24">
      <w:pPr>
        <w:widowControl w:val="0"/>
        <w:autoSpaceDE w:val="0"/>
        <w:autoSpaceDN w:val="0"/>
        <w:adjustRightInd w:val="0"/>
        <w:spacing w:after="240" w:line="240" w:lineRule="auto"/>
        <w:jc w:val="both"/>
        <w:rPr>
          <w:rFonts w:ascii="Times New Roman" w:hAnsi="Times New Roman" w:cs="Times New Roman"/>
          <w:noProof/>
          <w:sz w:val="20"/>
          <w:szCs w:val="20"/>
          <w:lang w:val="en-IE"/>
        </w:rPr>
      </w:pPr>
    </w:p>
    <w:p w14:paraId="58A78AD3" w14:textId="77777777" w:rsidR="00F80824" w:rsidRDefault="00F80824"/>
    <w:sectPr w:rsidR="00F8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21573ED1"/>
    <w:multiLevelType w:val="hybridMultilevel"/>
    <w:tmpl w:val="4DDC4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54F7A"/>
    <w:multiLevelType w:val="multilevel"/>
    <w:tmpl w:val="A9049FDA"/>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3.%2.%3."/>
      <w:lvlJc w:val="left"/>
      <w:pPr>
        <w:ind w:left="121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24"/>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24"/>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ABA7"/>
  <w15:chartTrackingRefBased/>
  <w15:docId w15:val="{6C125271-74AD-415D-A579-3500CC55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2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11726</Words>
  <Characters>66842</Characters>
  <Application>Microsoft Office Word</Application>
  <DocSecurity>0</DocSecurity>
  <Lines>557</Lines>
  <Paragraphs>156</Paragraphs>
  <ScaleCrop>false</ScaleCrop>
  <Company/>
  <LinksUpToDate>false</LinksUpToDate>
  <CharactersWithSpaces>78412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Egrie, Paul G - APHIS</dc:creator>
  <cp:keywords/>
  <dc:description/>
  <cp:lastModifiedBy>Egrie, Paul G - APHIS</cp:lastModifiedBy>
  <cp:revision>1</cp:revision>
  <dcterms:created xsi:type="dcterms:W3CDTF">2021-06-02T19:39:00Z</dcterms:created>
  <dcterms:modified xsi:type="dcterms:W3CDTF">2021-06-02T19:40:00Z</dcterms:modified>
</cp:coreProperties>
</file>