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8062A" w14:textId="77777777" w:rsidR="00A17D4D" w:rsidRPr="00A17D4D" w:rsidRDefault="00A17D4D" w:rsidP="00A17D4D">
      <w:pPr>
        <w:keepNext/>
        <w:keepLines/>
        <w:spacing w:before="240" w:after="480" w:line="240" w:lineRule="auto"/>
        <w:jc w:val="center"/>
        <w:outlineLvl w:val="0"/>
        <w:rPr>
          <w:rFonts w:ascii="Arial" w:eastAsia="Yu Gothic Light" w:hAnsi="Arial" w:cs="Arial"/>
          <w:b/>
          <w:bCs/>
          <w:iCs/>
          <w:sz w:val="18"/>
          <w:szCs w:val="18"/>
          <w:lang w:val="en-GB"/>
        </w:rPr>
      </w:pPr>
      <w:r w:rsidRPr="00A17D4D">
        <w:rPr>
          <w:rFonts w:ascii="Arial" w:eastAsia="Yu Gothic Light" w:hAnsi="Arial" w:cs="Arial"/>
          <w:b/>
          <w:bCs/>
          <w:iCs/>
          <w:sz w:val="18"/>
          <w:szCs w:val="18"/>
          <w:lang w:val="en-GB"/>
        </w:rPr>
        <w:t xml:space="preserve">Annex 35. Item 11.1.2. – Chapter 2.2.2. Infection with </w:t>
      </w:r>
      <w:r w:rsidRPr="00A17D4D">
        <w:rPr>
          <w:rFonts w:ascii="Arial" w:eastAsia="Yu Gothic Light" w:hAnsi="Arial" w:cs="Arial"/>
          <w:b/>
          <w:bCs/>
          <w:i/>
          <w:sz w:val="18"/>
          <w:szCs w:val="18"/>
          <w:lang w:val="en-GB"/>
        </w:rPr>
        <w:t>Aphanomyces astaci</w:t>
      </w:r>
      <w:r w:rsidRPr="00A17D4D">
        <w:rPr>
          <w:rFonts w:ascii="Arial" w:eastAsia="Yu Gothic Light" w:hAnsi="Arial" w:cs="Arial"/>
          <w:b/>
          <w:bCs/>
          <w:iCs/>
          <w:sz w:val="18"/>
          <w:szCs w:val="18"/>
          <w:lang w:val="en-GB"/>
        </w:rPr>
        <w:t xml:space="preserve"> (crayfish plague)</w:t>
      </w:r>
    </w:p>
    <w:p w14:paraId="68D12C35" w14:textId="77777777" w:rsidR="00A17D4D" w:rsidRPr="00A17D4D" w:rsidRDefault="00A17D4D" w:rsidP="00A17D4D">
      <w:pPr>
        <w:spacing w:after="480" w:line="240" w:lineRule="auto"/>
        <w:jc w:val="center"/>
        <w:rPr>
          <w:rFonts w:ascii="Söhne Halbfett" w:eastAsia="Times New Roman" w:hAnsi="Söhne Halbfett" w:cs="Times New Roman"/>
          <w:bCs/>
          <w:iCs/>
          <w:caps/>
          <w:spacing w:val="40"/>
          <w:sz w:val="32"/>
          <w:szCs w:val="24"/>
          <w:lang w:bidi="en-US"/>
        </w:rPr>
      </w:pPr>
      <w:r w:rsidRPr="00A17D4D">
        <w:rPr>
          <w:rFonts w:ascii="Söhne Kräftig" w:eastAsia="Times New Roman" w:hAnsi="Söhne Kräftig" w:cs="Arial"/>
          <w:bCs/>
          <w:iCs/>
          <w:caps/>
          <w:spacing w:val="40"/>
          <w:sz w:val="32"/>
          <w:szCs w:val="24"/>
          <w:lang w:bidi="en-US"/>
        </w:rPr>
        <w:t>CHAPTER 2.2.2.</w:t>
      </w:r>
      <w:r w:rsidRPr="00A17D4D">
        <w:rPr>
          <w:rFonts w:ascii="Söhne Kräftig" w:eastAsia="Times New Roman" w:hAnsi="Söhne Kräftig" w:cs="Arial"/>
          <w:bCs/>
          <w:iCs/>
          <w:caps/>
          <w:spacing w:val="40"/>
          <w:sz w:val="32"/>
          <w:szCs w:val="24"/>
          <w:lang w:bidi="en-US"/>
        </w:rPr>
        <w:br/>
      </w:r>
      <w:r w:rsidRPr="00A17D4D">
        <w:rPr>
          <w:rFonts w:ascii="Söhne Kräftig" w:eastAsia="Times New Roman" w:hAnsi="Söhne Kräftig" w:cs="Arial"/>
          <w:bCs/>
          <w:iCs/>
          <w:caps/>
          <w:spacing w:val="40"/>
          <w:sz w:val="32"/>
          <w:szCs w:val="24"/>
          <w:lang w:bidi="en-US"/>
        </w:rPr>
        <w:br/>
      </w:r>
      <w:r w:rsidRPr="00A17D4D">
        <w:rPr>
          <w:rFonts w:ascii="Söhne Halbfett" w:eastAsia="Times New Roman" w:hAnsi="Söhne Halbfett" w:cs="Times New Roman"/>
          <w:bCs/>
          <w:iCs/>
          <w:caps/>
          <w:spacing w:val="40"/>
          <w:sz w:val="32"/>
          <w:szCs w:val="24"/>
          <w:lang w:bidi="en-US"/>
        </w:rPr>
        <w:t xml:space="preserve">infection with </w:t>
      </w:r>
      <w:r w:rsidRPr="00A17D4D">
        <w:rPr>
          <w:rFonts w:ascii="Söhne Halbfett" w:eastAsia="Times New Roman" w:hAnsi="Söhne Halbfett" w:cs="Times New Roman"/>
          <w:bCs/>
          <w:i/>
          <w:caps/>
          <w:spacing w:val="40"/>
          <w:sz w:val="32"/>
          <w:szCs w:val="24"/>
          <w:lang w:bidi="en-US"/>
        </w:rPr>
        <w:t>Aphanomyces astaci</w:t>
      </w:r>
      <w:r w:rsidRPr="00A17D4D">
        <w:rPr>
          <w:rFonts w:ascii="Söhne Halbfett" w:eastAsia="Times New Roman" w:hAnsi="Söhne Halbfett" w:cs="Times New Roman"/>
          <w:bCs/>
          <w:iCs/>
          <w:caps/>
          <w:spacing w:val="40"/>
          <w:sz w:val="32"/>
          <w:szCs w:val="24"/>
          <w:lang w:bidi="en-US"/>
        </w:rPr>
        <w:t xml:space="preserve"> </w:t>
      </w:r>
      <w:r w:rsidRPr="00A17D4D">
        <w:rPr>
          <w:rFonts w:ascii="Söhne Halbfett" w:eastAsia="Times New Roman" w:hAnsi="Söhne Halbfett" w:cs="Times New Roman"/>
          <w:bCs/>
          <w:iCs/>
          <w:caps/>
          <w:spacing w:val="40"/>
          <w:sz w:val="32"/>
          <w:szCs w:val="24"/>
          <w:lang w:bidi="en-US"/>
        </w:rPr>
        <w:br/>
        <w:t>(crayfish plague)</w:t>
      </w:r>
    </w:p>
    <w:p w14:paraId="3B99DAE0" w14:textId="77777777" w:rsidR="00A17D4D" w:rsidRPr="00A17D4D" w:rsidRDefault="00A17D4D" w:rsidP="00A17D4D">
      <w:pPr>
        <w:spacing w:after="240" w:line="240" w:lineRule="auto"/>
        <w:ind w:left="284" w:hanging="284"/>
        <w:jc w:val="both"/>
        <w:rPr>
          <w:rFonts w:ascii="Söhne Halbfett" w:eastAsia="MS Mincho" w:hAnsi="Söhne Halbfett" w:cs="Times New Roman"/>
          <w:szCs w:val="20"/>
          <w:lang w:val="en-IE" w:eastAsia="fr-FR"/>
        </w:rPr>
      </w:pPr>
      <w:r w:rsidRPr="00A17D4D">
        <w:rPr>
          <w:rFonts w:ascii="Söhne Halbfett" w:eastAsia="MS Mincho" w:hAnsi="Söhne Halbfett" w:cs="Times New Roman"/>
          <w:szCs w:val="20"/>
          <w:lang w:val="en-IE" w:eastAsia="fr-FR"/>
        </w:rPr>
        <w:t>1.</w:t>
      </w:r>
      <w:r w:rsidRPr="00A17D4D">
        <w:rPr>
          <w:rFonts w:ascii="Söhne Halbfett" w:eastAsia="MS Mincho" w:hAnsi="Söhne Halbfett" w:cs="Times New Roman"/>
          <w:szCs w:val="20"/>
          <w:lang w:val="en-IE" w:eastAsia="fr-FR"/>
        </w:rPr>
        <w:tab/>
        <w:t>Scope</w:t>
      </w:r>
    </w:p>
    <w:p w14:paraId="186EAA41" w14:textId="77777777" w:rsidR="00A17D4D" w:rsidRPr="00A17D4D" w:rsidRDefault="00A17D4D" w:rsidP="00A17D4D">
      <w:pPr>
        <w:spacing w:after="240" w:line="240" w:lineRule="auto"/>
        <w:jc w:val="both"/>
        <w:rPr>
          <w:rFonts w:ascii="Söhne" w:eastAsia="Times New Roman" w:hAnsi="Söhne" w:cs="Times New Roman"/>
          <w:bCs/>
          <w:sz w:val="18"/>
          <w:lang w:val="en-IE" w:bidi="en-US"/>
        </w:rPr>
      </w:pPr>
      <w:r w:rsidRPr="00A17D4D">
        <w:rPr>
          <w:rFonts w:ascii="Söhne" w:eastAsia="Times New Roman" w:hAnsi="Söhne" w:cs="Times New Roman"/>
          <w:bCs/>
          <w:sz w:val="18"/>
          <w:lang w:val="en-IE" w:bidi="en-US"/>
        </w:rPr>
        <w:t xml:space="preserve">Infection with </w:t>
      </w:r>
      <w:r w:rsidRPr="00A17D4D">
        <w:rPr>
          <w:rFonts w:ascii="Söhne" w:eastAsia="Times New Roman" w:hAnsi="Söhne" w:cs="Arial"/>
          <w:bCs/>
          <w:i/>
          <w:sz w:val="18"/>
          <w:lang w:val="en-IE" w:bidi="en-US"/>
        </w:rPr>
        <w:t>Aphanomyces astaci</w:t>
      </w:r>
      <w:r w:rsidRPr="00A17D4D">
        <w:rPr>
          <w:rFonts w:ascii="Söhne" w:eastAsia="Times New Roman" w:hAnsi="Söhne" w:cs="Times New Roman"/>
          <w:bCs/>
          <w:i/>
          <w:sz w:val="18"/>
          <w:lang w:val="en-IE" w:bidi="en-US"/>
        </w:rPr>
        <w:t xml:space="preserve"> </w:t>
      </w:r>
      <w:r w:rsidRPr="00A17D4D">
        <w:rPr>
          <w:rFonts w:ascii="Söhne" w:eastAsia="Times New Roman" w:hAnsi="Söhne" w:cs="Times New Roman"/>
          <w:bCs/>
          <w:sz w:val="18"/>
          <w:lang w:val="en-IE" w:bidi="en-US"/>
        </w:rPr>
        <w:t xml:space="preserve">means infection with </w:t>
      </w:r>
      <w:r w:rsidRPr="00A17D4D">
        <w:rPr>
          <w:rFonts w:ascii="Söhne" w:eastAsia="Times New Roman" w:hAnsi="Söhne" w:cs="Arial"/>
          <w:iCs/>
          <w:sz w:val="18"/>
          <w:szCs w:val="18"/>
          <w:lang w:val="en-IE" w:bidi="en-US"/>
        </w:rPr>
        <w:t>the pathogenic agent</w:t>
      </w:r>
      <w:r w:rsidRPr="00A17D4D">
        <w:rPr>
          <w:rFonts w:ascii="Söhne" w:eastAsia="Times New Roman" w:hAnsi="Söhne" w:cs="Times New Roman"/>
          <w:bCs/>
          <w:i/>
          <w:sz w:val="18"/>
          <w:lang w:val="en-IE" w:bidi="en-US"/>
        </w:rPr>
        <w:t xml:space="preserve"> A. astaci</w:t>
      </w:r>
      <w:r w:rsidRPr="00A17D4D">
        <w:rPr>
          <w:rFonts w:ascii="Söhne" w:eastAsia="Times New Roman" w:hAnsi="Söhne" w:cs="Times New Roman"/>
          <w:bCs/>
          <w:sz w:val="18"/>
          <w:lang w:val="en-IE" w:bidi="en-US"/>
        </w:rPr>
        <w:t xml:space="preserve">, </w:t>
      </w:r>
      <w:r w:rsidRPr="00A17D4D">
        <w:rPr>
          <w:rFonts w:ascii="Söhne" w:eastAsia="Times New Roman" w:hAnsi="Söhne" w:cs="Times New Roman"/>
          <w:sz w:val="18"/>
          <w:szCs w:val="18"/>
          <w:lang w:val="en-IE" w:bidi="en-US"/>
        </w:rPr>
        <w:t>Phylum</w:t>
      </w:r>
      <w:r w:rsidRPr="00A17D4D">
        <w:rPr>
          <w:rFonts w:ascii="Söhne" w:eastAsia="Times New Roman" w:hAnsi="Söhne" w:cs="Arial"/>
          <w:sz w:val="18"/>
          <w:szCs w:val="18"/>
          <w:lang w:val="en-IE" w:bidi="en-US"/>
        </w:rPr>
        <w:t xml:space="preserve"> </w:t>
      </w:r>
      <w:r w:rsidRPr="00A17D4D">
        <w:rPr>
          <w:rFonts w:ascii="Söhne" w:eastAsia="Times New Roman" w:hAnsi="Söhne" w:cs="Times New Roman"/>
          <w:bCs/>
          <w:sz w:val="18"/>
          <w:lang w:val="en-IE" w:bidi="en-US"/>
        </w:rPr>
        <w:t xml:space="preserve">Oomycota. The disease is commonly known as crayfish plague. </w:t>
      </w:r>
    </w:p>
    <w:p w14:paraId="68864226" w14:textId="77777777" w:rsidR="00A17D4D" w:rsidRPr="00A17D4D" w:rsidRDefault="00A17D4D" w:rsidP="00A17D4D">
      <w:pPr>
        <w:spacing w:after="240" w:line="240" w:lineRule="auto"/>
        <w:ind w:left="284" w:hanging="284"/>
        <w:jc w:val="both"/>
        <w:rPr>
          <w:rFonts w:ascii="Söhne Halbfett" w:eastAsia="MS Mincho" w:hAnsi="Söhne Halbfett" w:cs="Times New Roman"/>
          <w:szCs w:val="20"/>
          <w:lang w:val="en-IE" w:eastAsia="fr-FR"/>
        </w:rPr>
      </w:pPr>
      <w:r w:rsidRPr="00A17D4D">
        <w:rPr>
          <w:rFonts w:ascii="Söhne Halbfett" w:eastAsia="MS Mincho" w:hAnsi="Söhne Halbfett" w:cs="Times New Roman"/>
          <w:szCs w:val="20"/>
          <w:lang w:val="en-IE" w:eastAsia="fr-FR"/>
        </w:rPr>
        <w:t>2.</w:t>
      </w:r>
      <w:r w:rsidRPr="00A17D4D">
        <w:rPr>
          <w:rFonts w:ascii="Söhne Halbfett" w:eastAsia="MS Mincho" w:hAnsi="Söhne Halbfett" w:cs="Times New Roman"/>
          <w:szCs w:val="20"/>
          <w:lang w:val="en-IE" w:eastAsia="fr-FR"/>
        </w:rPr>
        <w:tab/>
        <w:t>Disease information</w:t>
      </w:r>
    </w:p>
    <w:p w14:paraId="01A49109"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2.1.</w:t>
      </w:r>
      <w:r w:rsidRPr="00A17D4D">
        <w:rPr>
          <w:rFonts w:ascii="Söhne Kräftig" w:eastAsia="MS Mincho" w:hAnsi="Söhne Kräftig" w:cs="Times New Roman"/>
          <w:sz w:val="21"/>
          <w:szCs w:val="20"/>
          <w:lang w:val="da-DK" w:eastAsia="da-DK"/>
        </w:rPr>
        <w:tab/>
        <w:t>Agent factors</w:t>
      </w:r>
    </w:p>
    <w:p w14:paraId="215CC8F5"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2.1.1.</w:t>
      </w:r>
      <w:r w:rsidRPr="00A17D4D">
        <w:rPr>
          <w:rFonts w:ascii="Söhne Kräftig" w:eastAsia="Times New Roman" w:hAnsi="Söhne Kräftig" w:cs="Times New Roman"/>
          <w:bCs/>
          <w:sz w:val="20"/>
          <w:lang w:val="en-GB" w:eastAsia="fr-FR"/>
        </w:rPr>
        <w:tab/>
        <w:t>Aetiological agent</w:t>
      </w:r>
    </w:p>
    <w:p w14:paraId="7F962BCE"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is a water mould. The Oomycetida or Oomycota, are considered protists and are classified with diatoms and brown algae in a group called the Stramenopiles or Chromista.</w:t>
      </w:r>
    </w:p>
    <w:p w14:paraId="3F1B6A25"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rPr>
      </w:pPr>
      <w:r w:rsidRPr="00A17D4D">
        <w:rPr>
          <w:rFonts w:ascii="Söhne" w:eastAsia="Times New Roman" w:hAnsi="Söhne" w:cs="Times New Roman"/>
          <w:sz w:val="18"/>
          <w:szCs w:val="18"/>
          <w:lang w:val="en-IE"/>
        </w:rPr>
        <w:t xml:space="preserve">Five groups (A–E) of </w:t>
      </w:r>
      <w:r w:rsidRPr="00A17D4D">
        <w:rPr>
          <w:rFonts w:ascii="Söhne" w:eastAsia="Times New Roman" w:hAnsi="Söhne" w:cs="Times New Roman"/>
          <w:i/>
          <w:iCs/>
          <w:sz w:val="18"/>
          <w:szCs w:val="18"/>
          <w:lang w:val="en-IE"/>
        </w:rPr>
        <w:t>A. astaci</w:t>
      </w:r>
      <w:r w:rsidRPr="00A17D4D">
        <w:rPr>
          <w:rFonts w:ascii="Söhne" w:eastAsia="Times New Roman" w:hAnsi="Söhne" w:cs="Times New Roman"/>
          <w:sz w:val="18"/>
          <w:szCs w:val="18"/>
          <w:lang w:val="en-IE"/>
        </w:rPr>
        <w:t xml:space="preserve"> have been described based on random amplification of polymorphic DNA polymerase chain reaction (RAPD PCR) (Dieguez-Uribeondo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1995; Huang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1994; </w:t>
      </w:r>
      <w:r w:rsidRPr="00A17D4D">
        <w:rPr>
          <w:rFonts w:ascii="Söhne" w:eastAsia="Times New Roman" w:hAnsi="Söhne" w:cs="Times New Roman"/>
          <w:sz w:val="18"/>
          <w:szCs w:val="18"/>
          <w:lang w:val="en-IE" w:bidi="en-US"/>
        </w:rPr>
        <w:t>Kozubikova</w:t>
      </w:r>
      <w:r w:rsidRPr="00A17D4D">
        <w:rPr>
          <w:rFonts w:ascii="Söhne" w:eastAsia="Times New Roman" w:hAnsi="Söhne" w:cs="Times New Roman"/>
          <w:sz w:val="18"/>
          <w:szCs w:val="18"/>
          <w:lang w:val="en-IE"/>
        </w:rPr>
        <w:t xml:space="preserve">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2011). Additional geno- or haplotypes are still being detected using molecular methods (Di Domenico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2021). Group A (the so called </w:t>
      </w:r>
      <w:r w:rsidRPr="00A17D4D">
        <w:rPr>
          <w:rFonts w:ascii="Söhne" w:eastAsia="Times New Roman" w:hAnsi="Söhne" w:cs="Times New Roman"/>
          <w:i/>
          <w:iCs/>
          <w:sz w:val="18"/>
          <w:szCs w:val="18"/>
          <w:lang w:val="en-IE"/>
        </w:rPr>
        <w:t>Astacus</w:t>
      </w:r>
      <w:r w:rsidRPr="00A17D4D">
        <w:rPr>
          <w:rFonts w:ascii="Söhne" w:eastAsia="Times New Roman" w:hAnsi="Söhne" w:cs="Times New Roman"/>
          <w:sz w:val="18"/>
          <w:szCs w:val="18"/>
          <w:lang w:val="en-IE"/>
        </w:rPr>
        <w:t xml:space="preserve"> strains) comprises strains isolated from several European crayfish species. These strains are thought to have been in Europe for a long period of time. Group B (</w:t>
      </w:r>
      <w:r w:rsidRPr="00A17D4D">
        <w:rPr>
          <w:rFonts w:ascii="Söhne" w:eastAsia="Times New Roman" w:hAnsi="Söhne" w:cs="Times New Roman"/>
          <w:i/>
          <w:iCs/>
          <w:sz w:val="18"/>
          <w:szCs w:val="18"/>
          <w:lang w:val="en-IE"/>
        </w:rPr>
        <w:t xml:space="preserve">Pacifastacus </w:t>
      </w:r>
      <w:r w:rsidRPr="00A17D4D">
        <w:rPr>
          <w:rFonts w:ascii="Söhne" w:eastAsia="Times New Roman" w:hAnsi="Söhne" w:cs="Times New Roman"/>
          <w:sz w:val="18"/>
          <w:szCs w:val="18"/>
          <w:lang w:val="en-IE"/>
        </w:rPr>
        <w:t xml:space="preserve">strains I) includes isolates from several European crayfish species and from the invasive </w:t>
      </w:r>
      <w:r w:rsidRPr="00A17D4D">
        <w:rPr>
          <w:rFonts w:ascii="Söhne" w:eastAsia="Times New Roman" w:hAnsi="Söhne" w:cs="Times New Roman"/>
          <w:i/>
          <w:iCs/>
          <w:sz w:val="18"/>
          <w:szCs w:val="18"/>
          <w:lang w:val="en-IE"/>
        </w:rPr>
        <w:t>Pacifastacus leniusculus</w:t>
      </w:r>
      <w:r w:rsidRPr="00A17D4D">
        <w:rPr>
          <w:rFonts w:ascii="Söhne" w:eastAsia="Times New Roman" w:hAnsi="Söhne" w:cs="Times New Roman"/>
          <w:sz w:val="18"/>
          <w:szCs w:val="18"/>
          <w:lang w:val="en-IE"/>
        </w:rPr>
        <w:t xml:space="preserve"> in Europe as well as Lake Tahoe, USA. Imported to Europe, </w:t>
      </w:r>
      <w:r w:rsidRPr="00A17D4D">
        <w:rPr>
          <w:rFonts w:ascii="Söhne" w:eastAsia="Times New Roman" w:hAnsi="Söhne" w:cs="Times New Roman"/>
          <w:i/>
          <w:iCs/>
          <w:sz w:val="18"/>
          <w:szCs w:val="18"/>
          <w:lang w:val="en-IE"/>
        </w:rPr>
        <w:t>P. leniusculus</w:t>
      </w:r>
      <w:r w:rsidRPr="00A17D4D">
        <w:rPr>
          <w:rFonts w:ascii="Söhne" w:eastAsia="Times New Roman" w:hAnsi="Söhne" w:cs="Times New Roman"/>
          <w:sz w:val="18"/>
          <w:szCs w:val="18"/>
          <w:lang w:val="en-IE"/>
        </w:rPr>
        <w:t xml:space="preserve"> probably introduced this genotype of </w:t>
      </w:r>
      <w:r w:rsidRPr="00A17D4D">
        <w:rPr>
          <w:rFonts w:ascii="Söhne" w:eastAsia="Times New Roman" w:hAnsi="Söhne" w:cs="Times New Roman"/>
          <w:i/>
          <w:iCs/>
          <w:sz w:val="18"/>
          <w:szCs w:val="18"/>
          <w:lang w:val="en-IE"/>
        </w:rPr>
        <w:t>A. astaci</w:t>
      </w:r>
      <w:r w:rsidRPr="00A17D4D">
        <w:rPr>
          <w:rFonts w:ascii="Söhne" w:eastAsia="Times New Roman" w:hAnsi="Söhne" w:cs="Times New Roman"/>
          <w:sz w:val="18"/>
          <w:szCs w:val="18"/>
          <w:lang w:val="en-IE"/>
        </w:rPr>
        <w:t xml:space="preserve"> and infected the native European crayfish. Group C (</w:t>
      </w:r>
      <w:r w:rsidRPr="00A17D4D">
        <w:rPr>
          <w:rFonts w:ascii="Söhne" w:eastAsia="Times New Roman" w:hAnsi="Söhne" w:cs="Times New Roman"/>
          <w:i/>
          <w:iCs/>
          <w:sz w:val="18"/>
          <w:szCs w:val="18"/>
          <w:lang w:val="en-IE"/>
        </w:rPr>
        <w:t xml:space="preserve">Pacifastacus </w:t>
      </w:r>
      <w:r w:rsidRPr="00A17D4D">
        <w:rPr>
          <w:rFonts w:ascii="Söhne" w:eastAsia="Times New Roman" w:hAnsi="Söhne" w:cs="Times New Roman"/>
          <w:sz w:val="18"/>
          <w:szCs w:val="18"/>
          <w:lang w:val="en-IE"/>
        </w:rPr>
        <w:t xml:space="preserve">strains II) consists of a strain isolated from </w:t>
      </w:r>
      <w:r w:rsidRPr="00A17D4D">
        <w:rPr>
          <w:rFonts w:ascii="Söhne" w:eastAsia="Times New Roman" w:hAnsi="Söhne" w:cs="Times New Roman"/>
          <w:i/>
          <w:iCs/>
          <w:sz w:val="18"/>
          <w:szCs w:val="18"/>
          <w:lang w:val="en-IE"/>
        </w:rPr>
        <w:t>P. leniusculus</w:t>
      </w:r>
      <w:r w:rsidRPr="00A17D4D">
        <w:rPr>
          <w:rFonts w:ascii="Söhne" w:eastAsia="Times New Roman" w:hAnsi="Söhne" w:cs="Times New Roman"/>
          <w:sz w:val="18"/>
          <w:szCs w:val="18"/>
          <w:lang w:val="en-IE"/>
        </w:rPr>
        <w:t xml:space="preserve"> from Pitt Lake, Canada. Another strain (Pc), isolated from </w:t>
      </w:r>
      <w:r w:rsidRPr="00A17D4D">
        <w:rPr>
          <w:rFonts w:ascii="Söhne" w:eastAsia="Times New Roman" w:hAnsi="Söhne" w:cs="Times New Roman"/>
          <w:i/>
          <w:iCs/>
          <w:sz w:val="18"/>
          <w:szCs w:val="18"/>
          <w:lang w:val="en-IE"/>
        </w:rPr>
        <w:t>Procambarus clarkii</w:t>
      </w:r>
      <w:r w:rsidRPr="00A17D4D">
        <w:rPr>
          <w:rFonts w:ascii="Söhne" w:eastAsia="Times New Roman" w:hAnsi="Söhne" w:cs="Times New Roman"/>
          <w:sz w:val="18"/>
          <w:szCs w:val="18"/>
          <w:lang w:val="en-IE"/>
        </w:rPr>
        <w:t xml:space="preserve"> in Spain, sits in group D (</w:t>
      </w:r>
      <w:r w:rsidRPr="00A17D4D">
        <w:rPr>
          <w:rFonts w:ascii="Söhne" w:eastAsia="Times New Roman" w:hAnsi="Söhne" w:cs="Times New Roman"/>
          <w:i/>
          <w:iCs/>
          <w:sz w:val="18"/>
          <w:szCs w:val="18"/>
          <w:lang w:val="en-IE"/>
        </w:rPr>
        <w:t>Procambarus</w:t>
      </w:r>
      <w:r w:rsidRPr="00A17D4D">
        <w:rPr>
          <w:rFonts w:ascii="Söhne" w:eastAsia="Times New Roman" w:hAnsi="Söhne" w:cs="Times New Roman"/>
          <w:sz w:val="18"/>
          <w:szCs w:val="18"/>
          <w:lang w:val="en-IE"/>
        </w:rPr>
        <w:t xml:space="preserve"> strains). This strain shows temperature/growth curves with higher optimum temperatures compared with groups A and B (</w:t>
      </w:r>
      <w:r w:rsidRPr="00A17D4D">
        <w:rPr>
          <w:rFonts w:ascii="Söhne" w:eastAsia="Times New Roman" w:hAnsi="Söhne" w:cs="Times New Roman"/>
          <w:snapToGrid w:val="0"/>
          <w:sz w:val="18"/>
          <w:szCs w:val="18"/>
          <w:lang w:val="en-IE"/>
        </w:rPr>
        <w:t xml:space="preserve">Dieguez-Uribeondo </w:t>
      </w:r>
      <w:r w:rsidRPr="00A17D4D">
        <w:rPr>
          <w:rFonts w:ascii="Söhne" w:eastAsia="Times New Roman" w:hAnsi="Söhne" w:cs="Times New Roman"/>
          <w:i/>
          <w:iCs/>
          <w:snapToGrid w:val="0"/>
          <w:sz w:val="18"/>
          <w:szCs w:val="18"/>
          <w:lang w:val="en-IE"/>
        </w:rPr>
        <w:t>et al</w:t>
      </w:r>
      <w:r w:rsidRPr="00A17D4D">
        <w:rPr>
          <w:rFonts w:ascii="Söhne" w:eastAsia="Times New Roman" w:hAnsi="Söhne" w:cs="Times New Roman"/>
          <w:snapToGrid w:val="0"/>
          <w:sz w:val="18"/>
          <w:szCs w:val="18"/>
          <w:lang w:val="en-IE"/>
        </w:rPr>
        <w:t>., 1995</w:t>
      </w:r>
      <w:r w:rsidRPr="00A17D4D">
        <w:rPr>
          <w:rFonts w:ascii="Söhne" w:eastAsia="Times New Roman" w:hAnsi="Söhne" w:cs="Times New Roman"/>
          <w:sz w:val="18"/>
          <w:szCs w:val="18"/>
          <w:lang w:val="en-IE"/>
        </w:rPr>
        <w:t xml:space="preserve">). </w:t>
      </w:r>
      <w:r w:rsidRPr="00A17D4D">
        <w:rPr>
          <w:rFonts w:ascii="Söhne" w:eastAsia="Times New Roman" w:hAnsi="Söhne" w:cs="Times New Roman"/>
          <w:i/>
          <w:iCs/>
          <w:sz w:val="18"/>
          <w:szCs w:val="18"/>
          <w:lang w:val="en-IE"/>
        </w:rPr>
        <w:t>Aphanomyces astaci</w:t>
      </w:r>
      <w:r w:rsidRPr="00A17D4D">
        <w:rPr>
          <w:rFonts w:ascii="Söhne" w:eastAsia="Times New Roman" w:hAnsi="Söhne" w:cs="Times New Roman"/>
          <w:sz w:val="18"/>
          <w:szCs w:val="18"/>
          <w:lang w:val="en-IE"/>
        </w:rPr>
        <w:t xml:space="preserve"> strains that have been present in Europe for many years (group A strains) appear to be less pathogenic than strains introduced with crayfish imports from North America since the 1960s. </w:t>
      </w:r>
      <w:r w:rsidRPr="00A17D4D">
        <w:rPr>
          <w:rFonts w:ascii="Söhne" w:eastAsia="Times New Roman" w:hAnsi="Söhne" w:cs="Times New Roman"/>
          <w:sz w:val="18"/>
          <w:szCs w:val="18"/>
          <w:u w:val="double"/>
          <w:lang w:val="en-IE"/>
        </w:rPr>
        <w:t>North American host species spiny-cheek crayfish (</w:t>
      </w:r>
      <w:r w:rsidRPr="00A17D4D">
        <w:rPr>
          <w:rFonts w:ascii="Söhne" w:eastAsia="Times New Roman" w:hAnsi="Söhne" w:cs="Times New Roman"/>
          <w:i/>
          <w:iCs/>
          <w:sz w:val="18"/>
          <w:szCs w:val="18"/>
          <w:u w:val="double"/>
          <w:lang w:val="en-IE"/>
        </w:rPr>
        <w:t>Orconectes limosus</w:t>
      </w:r>
      <w:r w:rsidRPr="00A17D4D">
        <w:rPr>
          <w:rFonts w:ascii="Söhne" w:eastAsia="Times New Roman" w:hAnsi="Söhne" w:cs="Times New Roman"/>
          <w:sz w:val="18"/>
          <w:szCs w:val="18"/>
          <w:u w:val="double"/>
          <w:lang w:val="en-IE"/>
        </w:rPr>
        <w:t>)</w:t>
      </w:r>
      <w:r w:rsidRPr="00A17D4D">
        <w:rPr>
          <w:rFonts w:ascii="Söhne" w:eastAsia="Times New Roman" w:hAnsi="Söhne" w:cs="Times New Roman"/>
          <w:i/>
          <w:iCs/>
          <w:sz w:val="18"/>
          <w:szCs w:val="18"/>
          <w:u w:val="double"/>
          <w:lang w:val="en-IE"/>
        </w:rPr>
        <w:t xml:space="preserve"> </w:t>
      </w:r>
      <w:r w:rsidRPr="00A17D4D">
        <w:rPr>
          <w:rFonts w:ascii="Söhne" w:eastAsia="Times New Roman" w:hAnsi="Söhne" w:cs="Times New Roman"/>
          <w:sz w:val="18"/>
          <w:szCs w:val="18"/>
          <w:u w:val="double"/>
          <w:lang w:val="en-IE"/>
        </w:rPr>
        <w:t>has been shown to be a carrier of Group E (</w:t>
      </w:r>
      <w:r w:rsidRPr="00A17D4D">
        <w:rPr>
          <w:rFonts w:ascii="Söhne" w:hAnsi="Söhne" w:cs="Segoe UI"/>
          <w:color w:val="1C1D1E"/>
          <w:sz w:val="18"/>
          <w:szCs w:val="18"/>
          <w:u w:val="double"/>
          <w:lang w:val="en-CA"/>
        </w:rPr>
        <w:t xml:space="preserve">Kozubíková </w:t>
      </w:r>
      <w:r w:rsidRPr="00A17D4D">
        <w:rPr>
          <w:rFonts w:ascii="Söhne" w:hAnsi="Söhne" w:cs="Segoe UI"/>
          <w:i/>
          <w:color w:val="1C1D1E"/>
          <w:sz w:val="18"/>
          <w:szCs w:val="18"/>
          <w:u w:val="double"/>
          <w:lang w:val="en-CA"/>
        </w:rPr>
        <w:t xml:space="preserve">et al., </w:t>
      </w:r>
      <w:r w:rsidRPr="00A17D4D">
        <w:rPr>
          <w:rFonts w:ascii="Söhne" w:hAnsi="Söhne" w:cs="Segoe UI"/>
          <w:color w:val="1C1D1E"/>
          <w:sz w:val="18"/>
          <w:szCs w:val="18"/>
          <w:u w:val="double"/>
          <w:lang w:val="en-CA"/>
        </w:rPr>
        <w:t>2011</w:t>
      </w:r>
      <w:r w:rsidRPr="00A17D4D">
        <w:rPr>
          <w:rFonts w:ascii="Söhne" w:eastAsia="Times New Roman" w:hAnsi="Söhne" w:cs="Times New Roman"/>
          <w:sz w:val="18"/>
          <w:szCs w:val="18"/>
          <w:u w:val="double"/>
          <w:lang w:val="en-IE"/>
        </w:rPr>
        <w:t>).</w:t>
      </w:r>
    </w:p>
    <w:p w14:paraId="19C3E9AE"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2.1.2.</w:t>
      </w:r>
      <w:r w:rsidRPr="00A17D4D">
        <w:rPr>
          <w:rFonts w:ascii="Söhne Kräftig" w:eastAsia="Times New Roman" w:hAnsi="Söhne Kräftig" w:cs="Times New Roman"/>
          <w:bCs/>
          <w:sz w:val="20"/>
          <w:lang w:val="en-GB" w:eastAsia="fr-FR"/>
        </w:rPr>
        <w:tab/>
        <w:t>Survival and stability in processed or stored samples</w:t>
      </w:r>
    </w:p>
    <w:p w14:paraId="0BE882B1" w14:textId="77777777" w:rsidR="00A17D4D" w:rsidRPr="00A17D4D" w:rsidRDefault="00A17D4D" w:rsidP="00A17D4D">
      <w:pPr>
        <w:spacing w:after="240" w:line="240" w:lineRule="auto"/>
        <w:ind w:left="851"/>
        <w:jc w:val="both"/>
        <w:rPr>
          <w:rFonts w:ascii="Söhne" w:eastAsia="Times New Roman" w:hAnsi="Söhne" w:cs="Arial"/>
          <w:bCs/>
          <w:sz w:val="18"/>
          <w:lang w:val="en-IE"/>
        </w:rPr>
      </w:pP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is poorly resistant against desiccation and does not survive long in decomposing hosts. Any treatment of the crayfish (freezing, cooking, drying) will affect the survival of the pathogen (Oidtmann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2002). Isolation from processed samples is not possible, however they may be suitable for molecular methods used for pathogen detection. </w:t>
      </w:r>
    </w:p>
    <w:p w14:paraId="71EA88E7"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2.1.3.</w:t>
      </w:r>
      <w:r w:rsidRPr="00A17D4D">
        <w:rPr>
          <w:rFonts w:ascii="Söhne Kräftig" w:eastAsia="Times New Roman" w:hAnsi="Söhne Kräftig" w:cs="Times New Roman"/>
          <w:bCs/>
          <w:sz w:val="20"/>
          <w:lang w:val="en-GB" w:eastAsia="fr-FR"/>
        </w:rPr>
        <w:tab/>
        <w:t xml:space="preserve">Survival and stability outside the host </w:t>
      </w:r>
    </w:p>
    <w:p w14:paraId="4D93067F"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iCs/>
          <w:sz w:val="18"/>
          <w:lang w:val="en-IE"/>
        </w:rPr>
        <w:t xml:space="preserve">Outside the host </w:t>
      </w:r>
      <w:r w:rsidRPr="00A17D4D">
        <w:rPr>
          <w:rFonts w:ascii="Söhne" w:eastAsia="Times New Roman" w:hAnsi="Söhne" w:cs="Times New Roman"/>
          <w:bCs/>
          <w:i/>
          <w:sz w:val="18"/>
          <w:lang w:val="en-IE"/>
        </w:rPr>
        <w:t>Aphanomyces astaci</w:t>
      </w:r>
      <w:r w:rsidRPr="00A17D4D">
        <w:rPr>
          <w:rFonts w:ascii="Söhne" w:eastAsia="Times New Roman" w:hAnsi="Söhne" w:cs="Times New Roman"/>
          <w:bCs/>
          <w:sz w:val="18"/>
          <w:lang w:val="en-IE"/>
        </w:rPr>
        <w:t xml:space="preserve"> is found as zoospores that remain motile for up to 3 days and form cysts that can survive for 2 weeks in distilled water. As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rPr>
        <w:t xml:space="preserve"> can go through three cycles of encystment and zoospore emergence, the maximum life span outside of a host could be several weeks. Spores remained viable in a spore suspension in clean water kept at 2°C for 2 months (</w:t>
      </w:r>
      <w:r w:rsidRPr="00A17D4D">
        <w:rPr>
          <w:rFonts w:ascii="Söhne" w:eastAsia="Times New Roman" w:hAnsi="Söhne" w:cs="Times New Roman"/>
          <w:bCs/>
          <w:sz w:val="18"/>
          <w:szCs w:val="18"/>
          <w:lang w:val="en-IE"/>
        </w:rPr>
        <w:t>Unestam, 1966</w:t>
      </w:r>
      <w:r w:rsidRPr="00A17D4D">
        <w:rPr>
          <w:rFonts w:ascii="Söhne" w:eastAsia="Times New Roman" w:hAnsi="Söhne" w:cs="Times New Roman"/>
          <w:bCs/>
          <w:sz w:val="18"/>
          <w:lang w:val="en-IE"/>
        </w:rPr>
        <w:t>). Survival time is probably shorter in natural waters.</w:t>
      </w:r>
    </w:p>
    <w:p w14:paraId="1C6D044A"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For inactivation methods, see Section 2.4.5.</w:t>
      </w:r>
    </w:p>
    <w:p w14:paraId="1D4A4FAB"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2.2.</w:t>
      </w:r>
      <w:r w:rsidRPr="00A17D4D">
        <w:rPr>
          <w:rFonts w:ascii="Söhne Kräftig" w:eastAsia="MS Mincho" w:hAnsi="Söhne Kräftig" w:cs="Times New Roman"/>
          <w:sz w:val="21"/>
          <w:szCs w:val="20"/>
          <w:lang w:val="da-DK" w:eastAsia="da-DK"/>
        </w:rPr>
        <w:tab/>
        <w:t>Host factors</w:t>
      </w:r>
    </w:p>
    <w:p w14:paraId="46DF2338"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lastRenderedPageBreak/>
        <w:t>2.2.1.</w:t>
      </w:r>
      <w:r w:rsidRPr="00A17D4D">
        <w:rPr>
          <w:rFonts w:ascii="Söhne Kräftig" w:eastAsia="Times New Roman" w:hAnsi="Söhne Kräftig" w:cs="Times New Roman"/>
          <w:bCs/>
          <w:sz w:val="20"/>
          <w:lang w:val="en-GB" w:eastAsia="fr-FR"/>
        </w:rPr>
        <w:tab/>
        <w:t>Susceptible host species</w:t>
      </w:r>
    </w:p>
    <w:p w14:paraId="7956FBD9" w14:textId="77777777" w:rsidR="00A17D4D" w:rsidRPr="00A17D4D" w:rsidRDefault="00A17D4D" w:rsidP="00A17D4D">
      <w:pPr>
        <w:spacing w:after="240" w:line="240" w:lineRule="auto"/>
        <w:ind w:left="851"/>
        <w:jc w:val="both"/>
        <w:rPr>
          <w:rFonts w:ascii="Söhne" w:eastAsia="Times New Roman" w:hAnsi="Söhne" w:cs="Times New Roman"/>
          <w:sz w:val="18"/>
          <w:szCs w:val="18"/>
          <w:u w:val="double"/>
          <w:lang w:val="en-IE" w:eastAsia="fr-FR"/>
        </w:rPr>
      </w:pPr>
      <w:r w:rsidRPr="00A17D4D">
        <w:rPr>
          <w:rFonts w:ascii="Söhne" w:eastAsia="Times New Roman" w:hAnsi="Söhne" w:cs="Times New Roman"/>
          <w:sz w:val="18"/>
          <w:szCs w:val="18"/>
          <w:u w:val="double"/>
          <w:lang w:val="en-IE" w:eastAsia="fr-FR"/>
        </w:rPr>
        <w:t>The recommendations in this chapter apply to all species of crayfish in all three crayfish families (Cambaridae, Astacidae and Parastacidae).</w:t>
      </w:r>
    </w:p>
    <w:p w14:paraId="1908B23D" w14:textId="77777777" w:rsidR="00A17D4D" w:rsidRPr="00A17D4D" w:rsidRDefault="00A17D4D" w:rsidP="00A17D4D">
      <w:pPr>
        <w:spacing w:after="240" w:line="240" w:lineRule="auto"/>
        <w:ind w:left="851"/>
        <w:jc w:val="both"/>
        <w:rPr>
          <w:rFonts w:ascii="Söhne" w:eastAsia="Times New Roman" w:hAnsi="Söhne" w:cs="Times New Roman"/>
          <w:sz w:val="18"/>
          <w:szCs w:val="18"/>
          <w:u w:val="double"/>
          <w:lang w:val="en-IE" w:eastAsia="fr-FR"/>
        </w:rPr>
      </w:pPr>
      <w:r w:rsidRPr="00A17D4D">
        <w:rPr>
          <w:rFonts w:ascii="Söhne" w:eastAsia="Times New Roman" w:hAnsi="Söhne" w:cs="Times New Roman"/>
          <w:sz w:val="18"/>
          <w:szCs w:val="18"/>
          <w:u w:val="double"/>
          <w:lang w:val="en-IE" w:eastAsia="fr-FR"/>
        </w:rPr>
        <w:t xml:space="preserve">[Note: an assessment of species that meet the criteria for listing as susceptible to infection with </w:t>
      </w:r>
      <w:r w:rsidRPr="00A17D4D">
        <w:rPr>
          <w:rFonts w:ascii="Söhne" w:eastAsia="Times New Roman" w:hAnsi="Söhne" w:cs="Times New Roman"/>
          <w:i/>
          <w:iCs/>
          <w:sz w:val="18"/>
          <w:szCs w:val="18"/>
          <w:u w:val="double"/>
          <w:lang w:val="en-IE" w:eastAsia="fr-FR"/>
        </w:rPr>
        <w:t>A. astaci</w:t>
      </w:r>
      <w:r w:rsidRPr="00A17D4D">
        <w:rPr>
          <w:rFonts w:ascii="Söhne" w:eastAsia="Times New Roman" w:hAnsi="Söhne" w:cs="Times New Roman"/>
          <w:sz w:val="18"/>
          <w:szCs w:val="18"/>
          <w:u w:val="double"/>
          <w:lang w:val="en-IE" w:eastAsia="fr-FR"/>
        </w:rPr>
        <w:t xml:space="preserve"> in accordance with Chapter </w:t>
      </w:r>
      <w:hyperlink r:id="rId7" w:anchor="chapitre_criteria_species" w:history="1">
        <w:r w:rsidRPr="00A17D4D">
          <w:rPr>
            <w:rFonts w:ascii="Söhne" w:eastAsia="Times New Roman" w:hAnsi="Söhne" w:cs="Times New Roman"/>
            <w:sz w:val="18"/>
            <w:szCs w:val="18"/>
            <w:u w:val="double"/>
            <w:lang w:val="en-IE" w:eastAsia="fr-FR"/>
          </w:rPr>
          <w:t>1.5.</w:t>
        </w:r>
      </w:hyperlink>
      <w:r w:rsidRPr="00A17D4D">
        <w:rPr>
          <w:rFonts w:ascii="Söhne" w:eastAsia="Times New Roman" w:hAnsi="Söhne" w:cs="Times New Roman"/>
          <w:sz w:val="18"/>
          <w:szCs w:val="18"/>
          <w:u w:val="double"/>
          <w:lang w:val="en-IE" w:eastAsia="fr-FR"/>
        </w:rPr>
        <w:t> has not yet been completed]</w:t>
      </w:r>
    </w:p>
    <w:p w14:paraId="7DAA921E" w14:textId="77777777" w:rsidR="00A17D4D" w:rsidRPr="00A17D4D" w:rsidRDefault="00A17D4D" w:rsidP="00A17D4D">
      <w:pPr>
        <w:spacing w:after="240" w:line="240" w:lineRule="auto"/>
        <w:ind w:left="851"/>
        <w:jc w:val="both"/>
        <w:rPr>
          <w:rFonts w:ascii="Söhne" w:eastAsia="Times New Roman" w:hAnsi="Söhne" w:cs="Times New Roman"/>
          <w:bCs/>
          <w:strike/>
          <w:sz w:val="18"/>
          <w:lang w:val="en-IE"/>
        </w:rPr>
      </w:pPr>
      <w:r w:rsidRPr="00A17D4D">
        <w:rPr>
          <w:rFonts w:ascii="Söhne" w:eastAsia="Times New Roman" w:hAnsi="Söhne" w:cs="Times New Roman"/>
          <w:bCs/>
          <w:strike/>
          <w:sz w:val="18"/>
          <w:lang w:val="en-IE"/>
        </w:rPr>
        <w:t>All stages of crayfish species native to Europe, including the noble crayfish (</w:t>
      </w:r>
      <w:r w:rsidRPr="00A17D4D">
        <w:rPr>
          <w:rFonts w:ascii="Söhne" w:eastAsia="Times New Roman" w:hAnsi="Söhne" w:cs="Times New Roman"/>
          <w:bCs/>
          <w:i/>
          <w:strike/>
          <w:sz w:val="18"/>
          <w:lang w:val="en-IE"/>
        </w:rPr>
        <w:t>Astacus astacus</w:t>
      </w:r>
      <w:r w:rsidRPr="00A17D4D">
        <w:rPr>
          <w:rFonts w:ascii="Söhne" w:eastAsia="Times New Roman" w:hAnsi="Söhne" w:cs="Times New Roman"/>
          <w:bCs/>
          <w:strike/>
          <w:sz w:val="18"/>
          <w:lang w:val="en-IE"/>
        </w:rPr>
        <w:t>) of north-west Europe, the white clawed crayfish (</w:t>
      </w:r>
      <w:r w:rsidRPr="00A17D4D">
        <w:rPr>
          <w:rFonts w:ascii="Söhne" w:eastAsia="Times New Roman" w:hAnsi="Söhne" w:cs="Times New Roman"/>
          <w:bCs/>
          <w:i/>
          <w:strike/>
          <w:sz w:val="18"/>
          <w:lang w:val="en-IE"/>
        </w:rPr>
        <w:t>Austropotamobius pallipes</w:t>
      </w:r>
      <w:r w:rsidRPr="00A17D4D">
        <w:rPr>
          <w:rFonts w:ascii="Söhne" w:eastAsia="Times New Roman" w:hAnsi="Söhne" w:cs="Times New Roman"/>
          <w:bCs/>
          <w:strike/>
          <w:sz w:val="18"/>
          <w:lang w:val="en-IE"/>
        </w:rPr>
        <w:t xml:space="preserve">) of south-west and west Europe, the related </w:t>
      </w:r>
      <w:r w:rsidRPr="00A17D4D">
        <w:rPr>
          <w:rFonts w:ascii="Söhne" w:eastAsia="Times New Roman" w:hAnsi="Söhne" w:cs="Times New Roman"/>
          <w:bCs/>
          <w:i/>
          <w:strike/>
          <w:sz w:val="18"/>
          <w:lang w:val="en-IE"/>
        </w:rPr>
        <w:t>Austropotamobius torrentium</w:t>
      </w:r>
      <w:r w:rsidRPr="00A17D4D">
        <w:rPr>
          <w:rFonts w:ascii="Söhne" w:eastAsia="Times New Roman" w:hAnsi="Söhne" w:cs="Times New Roman"/>
          <w:bCs/>
          <w:strike/>
          <w:sz w:val="18"/>
          <w:lang w:val="en-IE"/>
        </w:rPr>
        <w:t xml:space="preserve"> (mountain streams of south-west Europe) and the slender clawed or Turkish crayfish (</w:t>
      </w:r>
      <w:r w:rsidRPr="00A17D4D">
        <w:rPr>
          <w:rFonts w:ascii="Söhne" w:eastAsia="Times New Roman" w:hAnsi="Söhne" w:cs="Times New Roman"/>
          <w:bCs/>
          <w:i/>
          <w:iCs/>
          <w:strike/>
          <w:sz w:val="18"/>
          <w:lang w:val="en-IE"/>
        </w:rPr>
        <w:t xml:space="preserve">Pontastacus </w:t>
      </w:r>
      <w:r w:rsidRPr="00A17D4D">
        <w:rPr>
          <w:rFonts w:ascii="Söhne" w:eastAsia="Times New Roman" w:hAnsi="Söhne" w:cs="Times New Roman"/>
          <w:bCs/>
          <w:i/>
          <w:strike/>
          <w:sz w:val="18"/>
          <w:lang w:val="en-IE"/>
        </w:rPr>
        <w:t>leptodactylus</w:t>
      </w:r>
      <w:r w:rsidRPr="00A17D4D">
        <w:rPr>
          <w:rFonts w:ascii="Söhne" w:eastAsia="Times New Roman" w:hAnsi="Söhne" w:cs="Times New Roman"/>
          <w:bCs/>
          <w:strike/>
          <w:sz w:val="18"/>
          <w:lang w:val="en-IE"/>
        </w:rPr>
        <w:t>) of eastern Europe and Asia Minor are highly susceptible (</w:t>
      </w:r>
      <w:proofErr w:type="gramStart"/>
      <w:r w:rsidRPr="00A17D4D">
        <w:rPr>
          <w:rFonts w:ascii="Söhne" w:eastAsia="Times New Roman" w:hAnsi="Söhne" w:cs="Times New Roman"/>
          <w:bCs/>
          <w:strike/>
          <w:sz w:val="18"/>
          <w:lang w:val="en-IE"/>
        </w:rPr>
        <w:t>e.g.</w:t>
      </w:r>
      <w:proofErr w:type="gramEnd"/>
      <w:r w:rsidRPr="00A17D4D">
        <w:rPr>
          <w:rFonts w:ascii="Söhne" w:eastAsia="Times New Roman" w:hAnsi="Söhne" w:cs="Times New Roman"/>
          <w:bCs/>
          <w:strike/>
          <w:sz w:val="18"/>
          <w:lang w:val="en-IE"/>
        </w:rPr>
        <w:t xml:space="preserve"> Holdich </w:t>
      </w:r>
      <w:r w:rsidRPr="00A17D4D">
        <w:rPr>
          <w:rFonts w:ascii="Söhne" w:eastAsia="Times New Roman" w:hAnsi="Söhne" w:cs="Times New Roman"/>
          <w:bCs/>
          <w:i/>
          <w:iCs/>
          <w:strike/>
          <w:sz w:val="18"/>
          <w:lang w:val="en-IE"/>
        </w:rPr>
        <w:t>et al</w:t>
      </w:r>
      <w:r w:rsidRPr="00A17D4D">
        <w:rPr>
          <w:rFonts w:ascii="Söhne" w:eastAsia="Times New Roman" w:hAnsi="Söhne" w:cs="Times New Roman"/>
          <w:bCs/>
          <w:strike/>
          <w:sz w:val="18"/>
          <w:lang w:val="en-IE"/>
        </w:rPr>
        <w:t>., 2009). Australian species of crayfish are also highly susceptible. North American crayfish such as the signal crayfish (</w:t>
      </w:r>
      <w:r w:rsidRPr="00A17D4D">
        <w:rPr>
          <w:rFonts w:ascii="Söhne" w:eastAsia="Times New Roman" w:hAnsi="Söhne" w:cs="Times New Roman"/>
          <w:bCs/>
          <w:i/>
          <w:strike/>
          <w:sz w:val="18"/>
          <w:lang w:val="en-IE"/>
        </w:rPr>
        <w:t>Pacifastacus</w:t>
      </w:r>
      <w:r w:rsidRPr="00A17D4D">
        <w:rPr>
          <w:rFonts w:ascii="Söhne" w:eastAsia="Times New Roman" w:hAnsi="Söhne" w:cs="Times New Roman"/>
          <w:bCs/>
          <w:strike/>
          <w:sz w:val="18"/>
          <w:lang w:val="en-IE"/>
        </w:rPr>
        <w:t xml:space="preserve"> </w:t>
      </w:r>
      <w:r w:rsidRPr="00A17D4D">
        <w:rPr>
          <w:rFonts w:ascii="Söhne" w:eastAsia="Times New Roman" w:hAnsi="Söhne" w:cs="Times New Roman"/>
          <w:bCs/>
          <w:i/>
          <w:strike/>
          <w:sz w:val="18"/>
          <w:lang w:val="en-IE"/>
        </w:rPr>
        <w:t>leniusculus</w:t>
      </w:r>
      <w:r w:rsidRPr="00A17D4D">
        <w:rPr>
          <w:rFonts w:ascii="Söhne" w:eastAsia="Times New Roman" w:hAnsi="Söhne" w:cs="Times New Roman"/>
          <w:bCs/>
          <w:strike/>
          <w:sz w:val="18"/>
          <w:lang w:val="en-IE"/>
        </w:rPr>
        <w:t>), Louisiana swamp crayfish (</w:t>
      </w:r>
      <w:r w:rsidRPr="00A17D4D">
        <w:rPr>
          <w:rFonts w:ascii="Söhne" w:eastAsia="Times New Roman" w:hAnsi="Söhne" w:cs="Times New Roman"/>
          <w:bCs/>
          <w:i/>
          <w:strike/>
          <w:sz w:val="18"/>
          <w:lang w:val="en-IE"/>
        </w:rPr>
        <w:t>Procambarus clarkii</w:t>
      </w:r>
      <w:r w:rsidRPr="00A17D4D">
        <w:rPr>
          <w:rFonts w:ascii="Söhne" w:eastAsia="Times New Roman" w:hAnsi="Söhne" w:cs="Times New Roman"/>
          <w:bCs/>
          <w:strike/>
          <w:sz w:val="18"/>
          <w:lang w:val="en-IE"/>
        </w:rPr>
        <w:t xml:space="preserve">) and </w:t>
      </w:r>
      <w:r w:rsidRPr="00A17D4D">
        <w:rPr>
          <w:rFonts w:ascii="Söhne" w:eastAsia="Times New Roman" w:hAnsi="Söhne" w:cs="Times New Roman"/>
          <w:bCs/>
          <w:i/>
          <w:iCs/>
          <w:strike/>
          <w:sz w:val="18"/>
          <w:lang w:val="en-IE"/>
        </w:rPr>
        <w:t>Faxonius</w:t>
      </w:r>
      <w:r w:rsidRPr="00A17D4D">
        <w:rPr>
          <w:rFonts w:ascii="Söhne" w:eastAsia="Times New Roman" w:hAnsi="Söhne" w:cs="Times New Roman"/>
          <w:bCs/>
          <w:strike/>
          <w:sz w:val="18"/>
          <w:lang w:val="en-IE"/>
        </w:rPr>
        <w:t xml:space="preserve"> spp. are infected by </w:t>
      </w:r>
      <w:r w:rsidRPr="00A17D4D">
        <w:rPr>
          <w:rFonts w:ascii="Söhne" w:eastAsia="Times New Roman" w:hAnsi="Söhne" w:cs="Times New Roman"/>
          <w:bCs/>
          <w:i/>
          <w:strike/>
          <w:sz w:val="18"/>
          <w:lang w:val="en-IE"/>
        </w:rPr>
        <w:t>A. astaci</w:t>
      </w:r>
      <w:r w:rsidRPr="00A17D4D">
        <w:rPr>
          <w:rFonts w:ascii="Söhne" w:eastAsia="Times New Roman" w:hAnsi="Söhne" w:cs="Times New Roman"/>
          <w:bCs/>
          <w:strike/>
          <w:sz w:val="18"/>
          <w:lang w:val="en-IE"/>
        </w:rPr>
        <w:t xml:space="preserve">, but under normal conditions the infection does not cause clinical disease or death. All North American crayfish species investigated to date have been shown to be susceptible to infection, demonstrated by the presence of the pathogen in host cuticle (reviewed by Svoboda </w:t>
      </w:r>
      <w:r w:rsidRPr="00A17D4D">
        <w:rPr>
          <w:rFonts w:ascii="Söhne" w:eastAsia="Times New Roman" w:hAnsi="Söhne" w:cs="Times New Roman"/>
          <w:bCs/>
          <w:i/>
          <w:iCs/>
          <w:strike/>
          <w:sz w:val="18"/>
          <w:lang w:val="en-IE"/>
        </w:rPr>
        <w:t>et al</w:t>
      </w:r>
      <w:r w:rsidRPr="00A17D4D">
        <w:rPr>
          <w:rFonts w:ascii="Söhne" w:eastAsia="Times New Roman" w:hAnsi="Söhne" w:cs="Times New Roman"/>
          <w:bCs/>
          <w:strike/>
          <w:sz w:val="18"/>
          <w:lang w:val="en-IE"/>
        </w:rPr>
        <w:t xml:space="preserve">. 2017) and it is therefore currently assumed that this is the case for any other North American species. </w:t>
      </w:r>
    </w:p>
    <w:p w14:paraId="13B47F70" w14:textId="77777777" w:rsidR="00A17D4D" w:rsidRPr="00A17D4D" w:rsidRDefault="00A17D4D" w:rsidP="00A17D4D">
      <w:pPr>
        <w:spacing w:after="240" w:line="240" w:lineRule="auto"/>
        <w:ind w:left="851"/>
        <w:jc w:val="both"/>
        <w:rPr>
          <w:rFonts w:ascii="Söhne" w:eastAsia="Times New Roman" w:hAnsi="Söhne" w:cs="Times New Roman"/>
          <w:strike/>
          <w:sz w:val="18"/>
          <w:szCs w:val="18"/>
          <w:lang w:val="en-IE"/>
        </w:rPr>
      </w:pPr>
      <w:r w:rsidRPr="00A17D4D">
        <w:rPr>
          <w:rFonts w:ascii="Söhne" w:eastAsia="Times New Roman" w:hAnsi="Söhne" w:cs="Times New Roman"/>
          <w:strike/>
          <w:sz w:val="18"/>
          <w:szCs w:val="18"/>
          <w:lang w:val="en-IE"/>
        </w:rPr>
        <w:t xml:space="preserve">The only other crustacean known to be susceptible to infection by </w:t>
      </w:r>
      <w:r w:rsidRPr="00A17D4D">
        <w:rPr>
          <w:rFonts w:ascii="Söhne" w:eastAsia="Times New Roman" w:hAnsi="Söhne" w:cs="Times New Roman"/>
          <w:i/>
          <w:iCs/>
          <w:strike/>
          <w:sz w:val="18"/>
          <w:szCs w:val="18"/>
          <w:lang w:val="en-IE"/>
        </w:rPr>
        <w:t>A. astaci</w:t>
      </w:r>
      <w:r w:rsidRPr="00A17D4D">
        <w:rPr>
          <w:rFonts w:ascii="Söhne" w:eastAsia="Times New Roman" w:hAnsi="Söhne" w:cs="Times New Roman"/>
          <w:strike/>
          <w:sz w:val="18"/>
          <w:szCs w:val="18"/>
          <w:lang w:val="en-IE"/>
        </w:rPr>
        <w:t xml:space="preserve"> is the Chinese mitten crab (</w:t>
      </w:r>
      <w:r w:rsidRPr="00A17D4D">
        <w:rPr>
          <w:rFonts w:ascii="Söhne" w:eastAsia="Times New Roman" w:hAnsi="Söhne" w:cs="Times New Roman"/>
          <w:i/>
          <w:iCs/>
          <w:strike/>
          <w:sz w:val="18"/>
          <w:szCs w:val="18"/>
          <w:lang w:val="en-IE"/>
        </w:rPr>
        <w:t>Eriocheir sinensis</w:t>
      </w:r>
      <w:r w:rsidRPr="00A17D4D">
        <w:rPr>
          <w:rFonts w:ascii="Söhne" w:eastAsia="Times New Roman" w:hAnsi="Söhne" w:cs="Times New Roman"/>
          <w:strike/>
          <w:sz w:val="18"/>
          <w:szCs w:val="18"/>
          <w:lang w:val="en-IE"/>
        </w:rPr>
        <w:t>).</w:t>
      </w:r>
    </w:p>
    <w:p w14:paraId="0E89ACF4" w14:textId="77777777" w:rsidR="00A17D4D" w:rsidRPr="00A17D4D" w:rsidRDefault="00A17D4D" w:rsidP="00A17D4D">
      <w:pPr>
        <w:spacing w:after="120" w:line="240" w:lineRule="auto"/>
        <w:ind w:left="1418" w:hanging="567"/>
        <w:jc w:val="both"/>
        <w:rPr>
          <w:rFonts w:ascii="Söhne Kräftig" w:eastAsia="Times New Roman" w:hAnsi="Söhne Kräftig" w:cs="Times New Roman"/>
          <w:sz w:val="20"/>
          <w:szCs w:val="20"/>
          <w:lang w:val="en-GB" w:eastAsia="fr-FR"/>
        </w:rPr>
      </w:pPr>
      <w:r w:rsidRPr="00A17D4D">
        <w:rPr>
          <w:rFonts w:ascii="Söhne Kräftig" w:eastAsia="Times New Roman" w:hAnsi="Söhne Kräftig" w:cs="Times New Roman"/>
          <w:sz w:val="20"/>
          <w:szCs w:val="20"/>
          <w:lang w:val="en-GB" w:eastAsia="fr-FR"/>
        </w:rPr>
        <w:t>2.2.2.</w:t>
      </w:r>
      <w:r w:rsidRPr="00A17D4D">
        <w:rPr>
          <w:lang w:val="en-CA"/>
        </w:rPr>
        <w:tab/>
      </w:r>
      <w:r w:rsidRPr="00A17D4D">
        <w:rPr>
          <w:rFonts w:ascii="Söhne Kräftig" w:eastAsia="Times New Roman" w:hAnsi="Söhne Kräftig" w:cs="Times New Roman"/>
          <w:sz w:val="20"/>
          <w:szCs w:val="20"/>
          <w:lang w:val="en-GB" w:eastAsia="fr-FR"/>
        </w:rPr>
        <w:t>Species with incomplete evidence for susceptibility</w:t>
      </w:r>
    </w:p>
    <w:p w14:paraId="52BCC822" w14:textId="77777777" w:rsidR="00A17D4D" w:rsidRPr="00A17D4D" w:rsidRDefault="00A17D4D" w:rsidP="00A17D4D">
      <w:pPr>
        <w:spacing w:after="120" w:line="240" w:lineRule="auto"/>
        <w:ind w:left="1418" w:hanging="567"/>
        <w:jc w:val="both"/>
        <w:rPr>
          <w:rFonts w:ascii="Söhne" w:eastAsia="Times New Roman" w:hAnsi="Söhne" w:cs="Times New Roman"/>
          <w:bCs/>
          <w:sz w:val="18"/>
          <w:szCs w:val="18"/>
          <w:u w:val="double"/>
          <w:lang w:val="en-GB" w:eastAsia="fr-FR"/>
        </w:rPr>
      </w:pPr>
      <w:r w:rsidRPr="00A17D4D">
        <w:rPr>
          <w:rFonts w:ascii="Söhne" w:eastAsia="Times New Roman" w:hAnsi="Söhne" w:cs="Times New Roman"/>
          <w:bCs/>
          <w:sz w:val="18"/>
          <w:szCs w:val="18"/>
          <w:u w:val="double"/>
          <w:lang w:val="en-GB" w:eastAsia="fr-FR"/>
        </w:rPr>
        <w:t>[Under study]</w:t>
      </w:r>
    </w:p>
    <w:p w14:paraId="2F56A2BC"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2.2.3.</w:t>
      </w:r>
      <w:r w:rsidRPr="00A17D4D">
        <w:rPr>
          <w:rFonts w:ascii="Söhne Kräftig" w:eastAsia="Times New Roman" w:hAnsi="Söhne Kräftig" w:cs="Times New Roman"/>
          <w:bCs/>
          <w:sz w:val="20"/>
          <w:lang w:val="en-GB" w:eastAsia="fr-FR"/>
        </w:rPr>
        <w:tab/>
        <w:t xml:space="preserve">Likelihood of infection by species, host life stage, </w:t>
      </w:r>
      <w:proofErr w:type="gramStart"/>
      <w:r w:rsidRPr="00A17D4D">
        <w:rPr>
          <w:rFonts w:ascii="Söhne Kräftig" w:eastAsia="Times New Roman" w:hAnsi="Söhne Kräftig" w:cs="Times New Roman"/>
          <w:bCs/>
          <w:sz w:val="20"/>
          <w:lang w:val="en-GB" w:eastAsia="fr-FR"/>
        </w:rPr>
        <w:t>population</w:t>
      </w:r>
      <w:proofErr w:type="gramEnd"/>
      <w:r w:rsidRPr="00A17D4D">
        <w:rPr>
          <w:rFonts w:ascii="Söhne Kräftig" w:eastAsia="Times New Roman" w:hAnsi="Söhne Kräftig" w:cs="Times New Roman"/>
          <w:bCs/>
          <w:sz w:val="20"/>
          <w:lang w:val="en-GB" w:eastAsia="fr-FR"/>
        </w:rPr>
        <w:t xml:space="preserve"> or sub-populations</w:t>
      </w:r>
    </w:p>
    <w:p w14:paraId="29ADCCBB" w14:textId="77777777" w:rsidR="00A17D4D" w:rsidRPr="00A17D4D" w:rsidRDefault="00A17D4D" w:rsidP="00A17D4D">
      <w:pPr>
        <w:spacing w:after="240" w:line="240" w:lineRule="auto"/>
        <w:ind w:left="851"/>
        <w:jc w:val="both"/>
        <w:rPr>
          <w:rFonts w:ascii="Söhne" w:eastAsia="Times New Roman" w:hAnsi="Söhne" w:cs="Times New Roman"/>
          <w:sz w:val="18"/>
          <w:szCs w:val="18"/>
          <w:u w:val="double"/>
          <w:lang w:val="en-IE" w:eastAsia="fr-FR"/>
        </w:rPr>
      </w:pPr>
      <w:r w:rsidRPr="00A17D4D">
        <w:rPr>
          <w:rFonts w:ascii="Söhne" w:eastAsia="Times New Roman" w:hAnsi="Söhne" w:cs="Times New Roman"/>
          <w:sz w:val="18"/>
          <w:szCs w:val="18"/>
          <w:lang w:val="en-IE" w:eastAsia="fr-FR"/>
        </w:rPr>
        <w:t>The host species susceptible to infection with</w:t>
      </w:r>
      <w:r w:rsidRPr="00A17D4D">
        <w:rPr>
          <w:rFonts w:ascii="Söhne" w:eastAsia="Times New Roman" w:hAnsi="Söhne" w:cs="Times New Roman"/>
          <w:i/>
          <w:iCs/>
          <w:sz w:val="18"/>
          <w:szCs w:val="18"/>
          <w:lang w:val="en-IE" w:eastAsia="fr-FR"/>
        </w:rPr>
        <w:t xml:space="preserve"> A. astaci </w:t>
      </w:r>
      <w:r w:rsidRPr="00A17D4D">
        <w:rPr>
          <w:rFonts w:ascii="Söhne" w:eastAsia="Times New Roman" w:hAnsi="Söhne" w:cs="Times New Roman"/>
          <w:sz w:val="18"/>
          <w:szCs w:val="18"/>
          <w:lang w:val="en-IE" w:eastAsia="fr-FR"/>
        </w:rPr>
        <w:t xml:space="preserve">fall largely into two categories: those </w:t>
      </w:r>
      <w:r w:rsidRPr="00A17D4D">
        <w:rPr>
          <w:rFonts w:ascii="Söhne" w:eastAsia="Times New Roman" w:hAnsi="Söhne" w:cs="Times New Roman"/>
          <w:strike/>
          <w:sz w:val="18"/>
          <w:szCs w:val="18"/>
          <w:lang w:val="en-IE" w:eastAsia="fr-FR"/>
        </w:rPr>
        <w:t xml:space="preserve">highly susceptible to infection with </w:t>
      </w:r>
      <w:r w:rsidRPr="00A17D4D">
        <w:rPr>
          <w:rFonts w:ascii="Söhne" w:eastAsia="Times New Roman" w:hAnsi="Söhne" w:cs="Times New Roman"/>
          <w:sz w:val="18"/>
          <w:szCs w:val="18"/>
          <w:u w:val="double"/>
          <w:lang w:val="en-IE" w:eastAsia="fr-FR"/>
        </w:rPr>
        <w:t>that</w:t>
      </w:r>
      <w:r w:rsidRPr="00A17D4D">
        <w:rPr>
          <w:rFonts w:ascii="Söhne" w:eastAsia="Times New Roman" w:hAnsi="Söhne" w:cs="Times New Roman"/>
          <w:sz w:val="18"/>
          <w:szCs w:val="18"/>
          <w:lang w:val="en-IE" w:eastAsia="fr-FR"/>
        </w:rPr>
        <w:t xml:space="preserve"> develop</w:t>
      </w:r>
      <w:r w:rsidRPr="00A17D4D">
        <w:rPr>
          <w:rFonts w:ascii="Söhne" w:eastAsia="Times New Roman" w:hAnsi="Söhne" w:cs="Times New Roman"/>
          <w:strike/>
          <w:sz w:val="18"/>
          <w:szCs w:val="18"/>
          <w:lang w:val="en-IE" w:eastAsia="fr-FR"/>
        </w:rPr>
        <w:t>ment</w:t>
      </w:r>
      <w:r w:rsidRPr="00A17D4D">
        <w:rPr>
          <w:rFonts w:ascii="Söhne" w:eastAsia="Times New Roman" w:hAnsi="Söhne" w:cs="Times New Roman"/>
          <w:sz w:val="18"/>
          <w:szCs w:val="18"/>
          <w:lang w:val="en-IE" w:eastAsia="fr-FR"/>
        </w:rPr>
        <w:t xml:space="preserve"> </w:t>
      </w:r>
      <w:r w:rsidRPr="00A17D4D">
        <w:rPr>
          <w:rFonts w:ascii="Söhne" w:eastAsia="Times New Roman" w:hAnsi="Söhne" w:cs="Times New Roman"/>
          <w:strike/>
          <w:sz w:val="18"/>
          <w:szCs w:val="18"/>
          <w:lang w:val="en-IE" w:eastAsia="fr-FR"/>
        </w:rPr>
        <w:t>of</w:t>
      </w:r>
      <w:r w:rsidRPr="00A17D4D">
        <w:rPr>
          <w:rFonts w:ascii="Söhne" w:eastAsia="Times New Roman" w:hAnsi="Söhne" w:cs="Times New Roman"/>
          <w:sz w:val="18"/>
          <w:szCs w:val="18"/>
          <w:lang w:val="en-IE" w:eastAsia="fr-FR"/>
        </w:rPr>
        <w:t xml:space="preserve"> clinical disease and mortalities, and those that are infected </w:t>
      </w:r>
      <w:r w:rsidRPr="00A17D4D">
        <w:rPr>
          <w:rFonts w:ascii="Söhne" w:eastAsia="Times New Roman" w:hAnsi="Söhne" w:cs="Times New Roman"/>
          <w:strike/>
          <w:sz w:val="18"/>
          <w:szCs w:val="18"/>
          <w:lang w:val="en-IE" w:eastAsia="fr-FR"/>
        </w:rPr>
        <w:t xml:space="preserve">without associated </w:t>
      </w:r>
      <w:r w:rsidRPr="00A17D4D">
        <w:rPr>
          <w:rFonts w:ascii="Söhne" w:eastAsia="Times New Roman" w:hAnsi="Söhne" w:cs="Times New Roman"/>
          <w:sz w:val="18"/>
          <w:szCs w:val="18"/>
          <w:u w:val="double"/>
          <w:lang w:val="en-IE" w:eastAsia="fr-FR"/>
        </w:rPr>
        <w:t>but do not display any significant</w:t>
      </w:r>
      <w:r w:rsidRPr="00A17D4D">
        <w:rPr>
          <w:rFonts w:ascii="Söhne" w:eastAsia="Times New Roman" w:hAnsi="Söhne" w:cs="Times New Roman"/>
          <w:sz w:val="18"/>
          <w:szCs w:val="18"/>
          <w:lang w:val="en-IE" w:eastAsia="fr-FR"/>
        </w:rPr>
        <w:t xml:space="preserve"> clinical disease or mortalities. </w:t>
      </w:r>
      <w:r w:rsidRPr="00A17D4D">
        <w:rPr>
          <w:rFonts w:ascii="Söhne" w:eastAsia="Times New Roman" w:hAnsi="Söhne" w:cs="Times New Roman"/>
          <w:sz w:val="18"/>
          <w:szCs w:val="18"/>
          <w:u w:val="double"/>
          <w:lang w:val="en-IE" w:eastAsia="fr-FR"/>
        </w:rPr>
        <w:t xml:space="preserve">All life stages are considered susceptible to infection with </w:t>
      </w:r>
      <w:r w:rsidRPr="00A17D4D">
        <w:rPr>
          <w:rFonts w:ascii="Söhne" w:eastAsia="Times New Roman" w:hAnsi="Söhne" w:cs="Times New Roman"/>
          <w:i/>
          <w:iCs/>
          <w:sz w:val="18"/>
          <w:szCs w:val="18"/>
          <w:u w:val="double"/>
          <w:lang w:val="en-IE" w:eastAsia="fr-FR"/>
        </w:rPr>
        <w:t>A. astaci</w:t>
      </w:r>
      <w:r w:rsidRPr="00A17D4D">
        <w:rPr>
          <w:rFonts w:ascii="Söhne" w:eastAsia="Times New Roman" w:hAnsi="Söhne" w:cs="Times New Roman"/>
          <w:sz w:val="18"/>
          <w:szCs w:val="18"/>
          <w:u w:val="double"/>
          <w:lang w:val="en-IE" w:eastAsia="fr-FR"/>
        </w:rPr>
        <w:t xml:space="preserve">. </w:t>
      </w:r>
    </w:p>
    <w:p w14:paraId="0B93F1E3" w14:textId="77777777" w:rsidR="00A17D4D" w:rsidRPr="00A17D4D" w:rsidRDefault="00A17D4D" w:rsidP="00A17D4D">
      <w:pPr>
        <w:spacing w:after="240" w:line="240" w:lineRule="auto"/>
        <w:ind w:left="851"/>
        <w:jc w:val="both"/>
        <w:rPr>
          <w:rFonts w:ascii="Söhne" w:eastAsia="Times New Roman" w:hAnsi="Söhne" w:cs="Times New Roman"/>
          <w:bCs/>
          <w:sz w:val="18"/>
          <w:u w:val="double"/>
          <w:lang w:val="en-IE"/>
        </w:rPr>
      </w:pPr>
      <w:r w:rsidRPr="00A17D4D">
        <w:rPr>
          <w:rFonts w:ascii="Söhne" w:eastAsia="Times New Roman" w:hAnsi="Söhne" w:cs="Times New Roman"/>
          <w:bCs/>
          <w:sz w:val="18"/>
          <w:u w:val="double"/>
          <w:lang w:val="en-IE"/>
        </w:rPr>
        <w:t>Species that develop clinical disease and mortalities include the noble crayfish (</w:t>
      </w:r>
      <w:r w:rsidRPr="00A17D4D">
        <w:rPr>
          <w:rFonts w:ascii="Söhne" w:eastAsia="Times New Roman" w:hAnsi="Söhne" w:cs="Times New Roman"/>
          <w:bCs/>
          <w:i/>
          <w:sz w:val="18"/>
          <w:u w:val="double"/>
          <w:lang w:val="en-IE"/>
        </w:rPr>
        <w:t>Astacus astacus</w:t>
      </w:r>
      <w:r w:rsidRPr="00A17D4D">
        <w:rPr>
          <w:rFonts w:ascii="Söhne" w:eastAsia="Times New Roman" w:hAnsi="Söhne" w:cs="Times New Roman"/>
          <w:bCs/>
          <w:sz w:val="18"/>
          <w:u w:val="double"/>
          <w:lang w:val="en-IE"/>
        </w:rPr>
        <w:t>) of north-west Europe, the white clawed crayfish (</w:t>
      </w:r>
      <w:r w:rsidRPr="00A17D4D">
        <w:rPr>
          <w:rFonts w:ascii="Söhne" w:eastAsia="Times New Roman" w:hAnsi="Söhne" w:cs="Times New Roman"/>
          <w:bCs/>
          <w:i/>
          <w:sz w:val="18"/>
          <w:u w:val="double"/>
          <w:lang w:val="en-IE"/>
        </w:rPr>
        <w:t>Austropotamobius pallipes</w:t>
      </w:r>
      <w:r w:rsidRPr="00A17D4D">
        <w:rPr>
          <w:rFonts w:ascii="Söhne" w:eastAsia="Times New Roman" w:hAnsi="Söhne" w:cs="Times New Roman"/>
          <w:bCs/>
          <w:sz w:val="18"/>
          <w:u w:val="double"/>
          <w:lang w:val="en-IE"/>
        </w:rPr>
        <w:t xml:space="preserve">) of south-west and west Europe, the related </w:t>
      </w:r>
      <w:r w:rsidRPr="00A17D4D">
        <w:rPr>
          <w:rFonts w:ascii="Söhne" w:eastAsia="Times New Roman" w:hAnsi="Söhne" w:cs="Times New Roman"/>
          <w:bCs/>
          <w:i/>
          <w:sz w:val="18"/>
          <w:u w:val="double"/>
          <w:lang w:val="en-IE"/>
        </w:rPr>
        <w:t>Austropotamobius torrentium</w:t>
      </w:r>
      <w:r w:rsidRPr="00A17D4D">
        <w:rPr>
          <w:rFonts w:ascii="Söhne" w:eastAsia="Times New Roman" w:hAnsi="Söhne" w:cs="Times New Roman"/>
          <w:bCs/>
          <w:sz w:val="18"/>
          <w:u w:val="double"/>
          <w:lang w:val="en-IE"/>
        </w:rPr>
        <w:t xml:space="preserve"> (mountain streams of south-west Europe) and the slender clawed or Turkish crayfish (</w:t>
      </w:r>
      <w:r w:rsidRPr="00A17D4D">
        <w:rPr>
          <w:rFonts w:ascii="Söhne" w:eastAsia="Times New Roman" w:hAnsi="Söhne" w:cs="Times New Roman"/>
          <w:bCs/>
          <w:i/>
          <w:iCs/>
          <w:sz w:val="18"/>
          <w:u w:val="double"/>
          <w:lang w:val="en-IE"/>
        </w:rPr>
        <w:t xml:space="preserve">Pontastacus </w:t>
      </w:r>
      <w:r w:rsidRPr="00A17D4D">
        <w:rPr>
          <w:rFonts w:ascii="Söhne" w:eastAsia="Times New Roman" w:hAnsi="Söhne" w:cs="Times New Roman"/>
          <w:bCs/>
          <w:i/>
          <w:sz w:val="18"/>
          <w:u w:val="double"/>
          <w:lang w:val="en-IE"/>
        </w:rPr>
        <w:t>leptodactylus</w:t>
      </w:r>
      <w:r w:rsidRPr="00A17D4D">
        <w:rPr>
          <w:rFonts w:ascii="Söhne" w:eastAsia="Times New Roman" w:hAnsi="Söhne" w:cs="Times New Roman"/>
          <w:bCs/>
          <w:sz w:val="18"/>
          <w:u w:val="double"/>
          <w:lang w:val="en-IE"/>
        </w:rPr>
        <w:t>) of eastern Europe and Asia Minor (</w:t>
      </w:r>
      <w:proofErr w:type="gramStart"/>
      <w:r w:rsidRPr="00A17D4D">
        <w:rPr>
          <w:rFonts w:ascii="Söhne" w:eastAsia="Times New Roman" w:hAnsi="Söhne" w:cs="Times New Roman"/>
          <w:bCs/>
          <w:sz w:val="18"/>
          <w:u w:val="double"/>
          <w:lang w:val="en-IE"/>
        </w:rPr>
        <w:t>e.g.</w:t>
      </w:r>
      <w:proofErr w:type="gramEnd"/>
      <w:r w:rsidRPr="00A17D4D">
        <w:rPr>
          <w:rFonts w:ascii="Söhne" w:eastAsia="Times New Roman" w:hAnsi="Söhne" w:cs="Times New Roman"/>
          <w:bCs/>
          <w:sz w:val="18"/>
          <w:u w:val="double"/>
          <w:lang w:val="en-IE"/>
        </w:rPr>
        <w:t xml:space="preserve"> Holdich </w:t>
      </w:r>
      <w:r w:rsidRPr="00A17D4D">
        <w:rPr>
          <w:rFonts w:ascii="Söhne" w:eastAsia="Times New Roman" w:hAnsi="Söhne" w:cs="Times New Roman"/>
          <w:bCs/>
          <w:i/>
          <w:iCs/>
          <w:sz w:val="18"/>
          <w:u w:val="double"/>
          <w:lang w:val="en-IE"/>
        </w:rPr>
        <w:t>et al</w:t>
      </w:r>
      <w:r w:rsidRPr="00A17D4D">
        <w:rPr>
          <w:rFonts w:ascii="Söhne" w:eastAsia="Times New Roman" w:hAnsi="Söhne" w:cs="Times New Roman"/>
          <w:bCs/>
          <w:sz w:val="18"/>
          <w:u w:val="double"/>
          <w:lang w:val="en-IE"/>
        </w:rPr>
        <w:t xml:space="preserve">., 2009). Australian species of freshwater crayfish are also considered vulnerable to clinical disease and mortalities. </w:t>
      </w:r>
    </w:p>
    <w:p w14:paraId="45B33DAC" w14:textId="77777777" w:rsidR="00A17D4D" w:rsidRPr="00A17D4D" w:rsidRDefault="00A17D4D" w:rsidP="00A17D4D">
      <w:pPr>
        <w:spacing w:after="240" w:line="240" w:lineRule="auto"/>
        <w:ind w:left="851"/>
        <w:jc w:val="both"/>
        <w:rPr>
          <w:rFonts w:ascii="Söhne" w:eastAsia="Times New Roman" w:hAnsi="Söhne" w:cs="Times New Roman"/>
          <w:bCs/>
          <w:sz w:val="18"/>
          <w:u w:val="double"/>
          <w:lang w:val="en-IE"/>
        </w:rPr>
      </w:pPr>
      <w:r w:rsidRPr="00A17D4D">
        <w:rPr>
          <w:rFonts w:ascii="Söhne" w:eastAsia="Times New Roman" w:hAnsi="Söhne" w:cs="Times New Roman"/>
          <w:bCs/>
          <w:sz w:val="18"/>
          <w:u w:val="double"/>
          <w:lang w:val="en-IE"/>
        </w:rPr>
        <w:t>Species that can be infected but do not normally develop clinical disease include North American crayfish species such as the signal crayfish (</w:t>
      </w:r>
      <w:r w:rsidRPr="00A17D4D">
        <w:rPr>
          <w:rFonts w:ascii="Söhne" w:eastAsia="Times New Roman" w:hAnsi="Söhne" w:cs="Times New Roman"/>
          <w:bCs/>
          <w:i/>
          <w:sz w:val="18"/>
          <w:u w:val="double"/>
          <w:lang w:val="en-IE"/>
        </w:rPr>
        <w:t>Pacifastacus</w:t>
      </w:r>
      <w:r w:rsidRPr="00A17D4D">
        <w:rPr>
          <w:rFonts w:ascii="Söhne" w:eastAsia="Times New Roman" w:hAnsi="Söhne" w:cs="Times New Roman"/>
          <w:bCs/>
          <w:sz w:val="18"/>
          <w:u w:val="double"/>
          <w:lang w:val="en-IE"/>
        </w:rPr>
        <w:t xml:space="preserve"> </w:t>
      </w:r>
      <w:r w:rsidRPr="00A17D4D">
        <w:rPr>
          <w:rFonts w:ascii="Söhne" w:eastAsia="Times New Roman" w:hAnsi="Söhne" w:cs="Times New Roman"/>
          <w:bCs/>
          <w:i/>
          <w:sz w:val="18"/>
          <w:u w:val="double"/>
          <w:lang w:val="en-IE"/>
        </w:rPr>
        <w:t>leniusculus</w:t>
      </w:r>
      <w:r w:rsidRPr="00A17D4D">
        <w:rPr>
          <w:rFonts w:ascii="Söhne" w:eastAsia="Times New Roman" w:hAnsi="Söhne" w:cs="Times New Roman"/>
          <w:bCs/>
          <w:sz w:val="18"/>
          <w:u w:val="double"/>
          <w:lang w:val="en-IE"/>
        </w:rPr>
        <w:t>), Louisiana swamp crayfish (</w:t>
      </w:r>
      <w:r w:rsidRPr="00A17D4D">
        <w:rPr>
          <w:rFonts w:ascii="Söhne" w:eastAsia="Times New Roman" w:hAnsi="Söhne" w:cs="Times New Roman"/>
          <w:bCs/>
          <w:i/>
          <w:sz w:val="18"/>
          <w:u w:val="double"/>
          <w:lang w:val="en-IE"/>
        </w:rPr>
        <w:t>Procambarus clarkii</w:t>
      </w:r>
      <w:r w:rsidRPr="00A17D4D">
        <w:rPr>
          <w:rFonts w:ascii="Söhne" w:eastAsia="Times New Roman" w:hAnsi="Söhne" w:cs="Times New Roman"/>
          <w:bCs/>
          <w:sz w:val="18"/>
          <w:u w:val="double"/>
          <w:lang w:val="en-IE"/>
        </w:rPr>
        <w:t xml:space="preserve">) and </w:t>
      </w:r>
      <w:r w:rsidRPr="00A17D4D">
        <w:rPr>
          <w:rFonts w:ascii="Söhne" w:eastAsia="Times New Roman" w:hAnsi="Söhne" w:cs="Times New Roman"/>
          <w:bCs/>
          <w:i/>
          <w:iCs/>
          <w:sz w:val="18"/>
          <w:u w:val="double"/>
          <w:lang w:val="en-IE"/>
        </w:rPr>
        <w:t>Faxonius</w:t>
      </w:r>
      <w:r w:rsidRPr="00A17D4D">
        <w:rPr>
          <w:rFonts w:ascii="Söhne" w:eastAsia="Times New Roman" w:hAnsi="Söhne" w:cs="Times New Roman"/>
          <w:bCs/>
          <w:sz w:val="18"/>
          <w:u w:val="double"/>
          <w:lang w:val="en-IE"/>
        </w:rPr>
        <w:t xml:space="preserve"> spp. All North American crayfish species that have been investigated have been shown to be susceptible to infection, demonstrated by the presence of the pathogen in host cuticle (reviewed by Svoboda </w:t>
      </w:r>
      <w:r w:rsidRPr="00A17D4D">
        <w:rPr>
          <w:rFonts w:ascii="Söhne" w:eastAsia="Times New Roman" w:hAnsi="Söhne" w:cs="Times New Roman"/>
          <w:bCs/>
          <w:i/>
          <w:iCs/>
          <w:sz w:val="18"/>
          <w:u w:val="double"/>
          <w:lang w:val="en-IE"/>
        </w:rPr>
        <w:t>et al</w:t>
      </w:r>
      <w:r w:rsidRPr="00A17D4D">
        <w:rPr>
          <w:rFonts w:ascii="Söhne" w:eastAsia="Times New Roman" w:hAnsi="Söhne" w:cs="Times New Roman"/>
          <w:bCs/>
          <w:sz w:val="18"/>
          <w:u w:val="double"/>
          <w:lang w:val="en-IE"/>
        </w:rPr>
        <w:t xml:space="preserve">. 2017). </w:t>
      </w:r>
    </w:p>
    <w:p w14:paraId="0851CFC5" w14:textId="77777777" w:rsidR="00A17D4D" w:rsidRPr="00A17D4D" w:rsidRDefault="00A17D4D" w:rsidP="00A17D4D">
      <w:pPr>
        <w:spacing w:after="240" w:line="240" w:lineRule="auto"/>
        <w:ind w:left="851"/>
        <w:jc w:val="both"/>
        <w:rPr>
          <w:rFonts w:ascii="Söhne" w:eastAsia="Times New Roman" w:hAnsi="Söhne" w:cs="Times New Roman"/>
          <w:sz w:val="18"/>
          <w:szCs w:val="18"/>
          <w:u w:val="double"/>
          <w:lang w:val="en-IE" w:eastAsia="fr-FR"/>
        </w:rPr>
      </w:pPr>
      <w:r w:rsidRPr="00A17D4D">
        <w:rPr>
          <w:rFonts w:ascii="Söhne" w:eastAsia="Times New Roman" w:hAnsi="Söhne" w:cs="Times New Roman"/>
          <w:i/>
          <w:iCs/>
          <w:strike/>
          <w:sz w:val="18"/>
          <w:szCs w:val="18"/>
          <w:lang w:val="en-IE" w:eastAsia="fr-FR"/>
        </w:rPr>
        <w:t>Highly susceptible species:</w:t>
      </w:r>
      <w:r w:rsidRPr="00A17D4D">
        <w:rPr>
          <w:rFonts w:ascii="Söhne" w:eastAsia="Times New Roman" w:hAnsi="Söhne" w:cs="Times New Roman"/>
          <w:strike/>
          <w:sz w:val="18"/>
          <w:szCs w:val="18"/>
          <w:lang w:val="en-IE" w:eastAsia="fr-FR"/>
        </w:rPr>
        <w:t xml:space="preserve"> </w:t>
      </w:r>
      <w:r w:rsidRPr="00A17D4D">
        <w:rPr>
          <w:rFonts w:ascii="Söhne" w:eastAsia="Times New Roman" w:hAnsi="Söhne" w:cs="Times New Roman"/>
          <w:sz w:val="18"/>
          <w:szCs w:val="18"/>
          <w:lang w:val="en-IE" w:eastAsia="fr-FR"/>
        </w:rPr>
        <w:t xml:space="preserve">Clinical disease outbreaks caused by infection with </w:t>
      </w:r>
      <w:r w:rsidRPr="00A17D4D">
        <w:rPr>
          <w:rFonts w:ascii="Söhne" w:eastAsia="Times New Roman" w:hAnsi="Söhne" w:cs="Times New Roman"/>
          <w:i/>
          <w:iCs/>
          <w:sz w:val="18"/>
          <w:szCs w:val="18"/>
          <w:lang w:val="en-IE" w:eastAsia="fr-FR"/>
        </w:rPr>
        <w:t>A. astaci</w:t>
      </w:r>
      <w:r w:rsidRPr="00A17D4D">
        <w:rPr>
          <w:rFonts w:ascii="Söhne" w:eastAsia="Times New Roman" w:hAnsi="Söhne" w:cs="Times New Roman"/>
          <w:sz w:val="18"/>
          <w:szCs w:val="18"/>
          <w:lang w:val="en-IE" w:eastAsia="fr-FR"/>
        </w:rPr>
        <w:t xml:space="preserve"> are generally known as ‘crayfish plague’ outbreaks. In such outbreaks, moribund and dead crayfish of a range of sizes (and therefore ages) can be found. </w:t>
      </w:r>
    </w:p>
    <w:p w14:paraId="459C7BB4" w14:textId="77777777" w:rsidR="00A17D4D" w:rsidRPr="00A17D4D" w:rsidRDefault="00A17D4D" w:rsidP="00A17D4D">
      <w:pPr>
        <w:spacing w:after="240" w:line="240" w:lineRule="auto"/>
        <w:ind w:left="851"/>
        <w:jc w:val="both"/>
        <w:rPr>
          <w:rFonts w:ascii="Söhne" w:eastAsia="Times New Roman" w:hAnsi="Söhne" w:cs="Times New Roman"/>
          <w:sz w:val="18"/>
          <w:szCs w:val="18"/>
          <w:u w:val="double"/>
          <w:lang w:val="en-IE"/>
        </w:rPr>
      </w:pPr>
      <w:r w:rsidRPr="00A17D4D">
        <w:rPr>
          <w:rFonts w:ascii="Söhne" w:eastAsia="Times New Roman" w:hAnsi="Söhne" w:cs="Times New Roman"/>
          <w:sz w:val="18"/>
          <w:szCs w:val="18"/>
          <w:u w:val="double"/>
          <w:lang w:val="en-IE"/>
        </w:rPr>
        <w:t xml:space="preserve">The only non-crayfish crustacean species known to be susceptible to infection by </w:t>
      </w:r>
      <w:r w:rsidRPr="00A17D4D">
        <w:rPr>
          <w:rFonts w:ascii="Söhne" w:eastAsia="Times New Roman" w:hAnsi="Söhne" w:cs="Times New Roman"/>
          <w:i/>
          <w:iCs/>
          <w:sz w:val="18"/>
          <w:szCs w:val="18"/>
          <w:u w:val="double"/>
          <w:lang w:val="en-IE"/>
        </w:rPr>
        <w:t>A. astaci</w:t>
      </w:r>
      <w:r w:rsidRPr="00A17D4D">
        <w:rPr>
          <w:rFonts w:ascii="Söhne" w:eastAsia="Times New Roman" w:hAnsi="Söhne" w:cs="Times New Roman"/>
          <w:sz w:val="18"/>
          <w:szCs w:val="18"/>
          <w:u w:val="double"/>
          <w:lang w:val="en-IE"/>
        </w:rPr>
        <w:t xml:space="preserve"> is the Chinese mitten crab (</w:t>
      </w:r>
      <w:r w:rsidRPr="00A17D4D">
        <w:rPr>
          <w:rFonts w:ascii="Söhne" w:eastAsia="Times New Roman" w:hAnsi="Söhne" w:cs="Times New Roman"/>
          <w:i/>
          <w:iCs/>
          <w:sz w:val="18"/>
          <w:szCs w:val="18"/>
          <w:u w:val="double"/>
          <w:lang w:val="en-IE"/>
        </w:rPr>
        <w:t>Eriocheir sinensis</w:t>
      </w:r>
      <w:r w:rsidRPr="00A17D4D">
        <w:rPr>
          <w:rFonts w:ascii="Söhne" w:eastAsia="Times New Roman" w:hAnsi="Söhne" w:cs="Times New Roman"/>
          <w:sz w:val="18"/>
          <w:szCs w:val="18"/>
          <w:u w:val="double"/>
          <w:lang w:val="en-IE"/>
        </w:rPr>
        <w:t>).</w:t>
      </w:r>
    </w:p>
    <w:p w14:paraId="1F4278A4"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2.2.4.</w:t>
      </w:r>
      <w:r w:rsidRPr="00A17D4D">
        <w:rPr>
          <w:rFonts w:ascii="Söhne Kräftig" w:eastAsia="Times New Roman" w:hAnsi="Söhne Kräftig" w:cs="Times New Roman"/>
          <w:bCs/>
          <w:sz w:val="20"/>
          <w:lang w:val="en-GB" w:eastAsia="fr-FR"/>
        </w:rPr>
        <w:tab/>
        <w:t>Distribution of the pathogen in the host</w:t>
      </w:r>
    </w:p>
    <w:p w14:paraId="541AF3A9"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rPr>
      </w:pPr>
      <w:r w:rsidRPr="00A17D4D">
        <w:rPr>
          <w:rFonts w:ascii="Söhne" w:eastAsia="Times New Roman" w:hAnsi="Söhne" w:cs="Times New Roman"/>
          <w:sz w:val="18"/>
          <w:szCs w:val="18"/>
          <w:lang w:val="en-IE"/>
        </w:rPr>
        <w:t xml:space="preserve">The tissue that becomes initially infected is the exoskeleton cuticle. Soft cuticle, as is found on the ventral abdomen and around joints, is preferentially affected. In </w:t>
      </w:r>
      <w:r w:rsidRPr="00A17D4D">
        <w:rPr>
          <w:rFonts w:ascii="Söhne" w:eastAsia="Times New Roman" w:hAnsi="Söhne" w:cs="Times New Roman"/>
          <w:strike/>
          <w:sz w:val="18"/>
          <w:szCs w:val="18"/>
          <w:lang w:val="en-IE"/>
        </w:rPr>
        <w:t xml:space="preserve">the highly susceptible </w:t>
      </w:r>
      <w:r w:rsidRPr="00A17D4D">
        <w:rPr>
          <w:rFonts w:ascii="Söhne" w:eastAsia="Times New Roman" w:hAnsi="Söhne" w:cs="Times New Roman"/>
          <w:sz w:val="18"/>
          <w:szCs w:val="18"/>
          <w:lang w:val="en-IE"/>
        </w:rPr>
        <w:t>European crayfish species</w:t>
      </w:r>
      <w:r w:rsidRPr="00A17D4D">
        <w:rPr>
          <w:rFonts w:ascii="Söhne" w:eastAsia="Times New Roman" w:hAnsi="Söhne" w:cs="Times New Roman"/>
          <w:sz w:val="18"/>
          <w:szCs w:val="18"/>
          <w:u w:val="double"/>
          <w:lang w:val="en-IE"/>
        </w:rPr>
        <w:t>, which are prone to development of clinical disease,</w:t>
      </w:r>
      <w:r w:rsidRPr="00A17D4D">
        <w:rPr>
          <w:rFonts w:ascii="Söhne" w:eastAsia="Times New Roman" w:hAnsi="Söhne" w:cs="Times New Roman"/>
          <w:sz w:val="18"/>
          <w:szCs w:val="18"/>
          <w:lang w:val="en-IE"/>
        </w:rPr>
        <w:t xml:space="preserve"> the pathogen often manages to penetrate the basal lamina located underneath the epidermis cell layer. From there, </w:t>
      </w:r>
      <w:r w:rsidRPr="00A17D4D">
        <w:rPr>
          <w:rFonts w:ascii="Söhne" w:eastAsia="Times New Roman" w:hAnsi="Söhne" w:cs="Times New Roman"/>
          <w:i/>
          <w:iCs/>
          <w:sz w:val="18"/>
          <w:szCs w:val="18"/>
          <w:lang w:val="en-IE"/>
        </w:rPr>
        <w:t>A. astaci</w:t>
      </w:r>
      <w:r w:rsidRPr="00A17D4D">
        <w:rPr>
          <w:rFonts w:ascii="Söhne" w:eastAsia="Times New Roman" w:hAnsi="Söhne" w:cs="Times New Roman"/>
          <w:sz w:val="18"/>
          <w:szCs w:val="18"/>
          <w:lang w:val="en-IE"/>
        </w:rPr>
        <w:t xml:space="preserve"> spreads throughout the body primarily by invading connective tissue and haemal sinuses; however, all tissues may be affected. </w:t>
      </w:r>
    </w:p>
    <w:p w14:paraId="29026A32"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rPr>
        <w:t xml:space="preserve">In North American crayfish species, infection is usually restricted to the cuticle. Based on PCR results, the tailfan (consisting of uropods and telson) and soft abdominal cuticle appear to be frequently infected (Oidtmann </w:t>
      </w:r>
      <w:r w:rsidRPr="00A17D4D">
        <w:rPr>
          <w:rFonts w:ascii="Söhne" w:eastAsia="Times New Roman" w:hAnsi="Söhne" w:cs="Times New Roman"/>
          <w:bCs/>
          <w:i/>
          <w:sz w:val="18"/>
          <w:lang w:val="en-IE"/>
        </w:rPr>
        <w:t>et al.,</w:t>
      </w:r>
      <w:r w:rsidRPr="00A17D4D">
        <w:rPr>
          <w:rFonts w:ascii="Söhne" w:eastAsia="Times New Roman" w:hAnsi="Söhne" w:cs="Times New Roman"/>
          <w:bCs/>
          <w:sz w:val="18"/>
          <w:lang w:val="en-IE"/>
        </w:rPr>
        <w:t xml:space="preserve"> 2006; Vralstad </w:t>
      </w:r>
      <w:r w:rsidRPr="00A17D4D">
        <w:rPr>
          <w:rFonts w:ascii="Söhne" w:eastAsia="Times New Roman" w:hAnsi="Söhne" w:cs="Times New Roman"/>
          <w:bCs/>
          <w:i/>
          <w:sz w:val="18"/>
          <w:lang w:val="en-IE"/>
        </w:rPr>
        <w:t>et al.,</w:t>
      </w:r>
      <w:r w:rsidRPr="00A17D4D">
        <w:rPr>
          <w:rFonts w:ascii="Söhne" w:eastAsia="Times New Roman" w:hAnsi="Söhne" w:cs="Times New Roman"/>
          <w:bCs/>
          <w:sz w:val="18"/>
          <w:lang w:val="en-IE"/>
        </w:rPr>
        <w:t xml:space="preserve"> 2011).</w:t>
      </w:r>
    </w:p>
    <w:p w14:paraId="5CB0C4CC"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lastRenderedPageBreak/>
        <w:t>2.2.5.</w:t>
      </w:r>
      <w:r w:rsidRPr="00A17D4D">
        <w:rPr>
          <w:rFonts w:ascii="Söhne Kräftig" w:eastAsia="Times New Roman" w:hAnsi="Söhne Kräftig" w:cs="Times New Roman"/>
          <w:bCs/>
          <w:sz w:val="20"/>
          <w:lang w:val="en-GB" w:eastAsia="fr-FR"/>
        </w:rPr>
        <w:tab/>
        <w:t xml:space="preserve">Aquatic animal reservoirs of infection </w:t>
      </w:r>
    </w:p>
    <w:p w14:paraId="047AAEA3"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eastAsia="fr-FR"/>
        </w:rPr>
      </w:pPr>
      <w:r w:rsidRPr="00A17D4D">
        <w:rPr>
          <w:rFonts w:ascii="Söhne" w:eastAsia="Times New Roman" w:hAnsi="Söhne" w:cs="Times New Roman"/>
          <w:sz w:val="18"/>
          <w:szCs w:val="18"/>
          <w:lang w:val="en-IE" w:eastAsia="fr-FR"/>
        </w:rPr>
        <w:t xml:space="preserve">North American crayfish species act mostly as </w:t>
      </w:r>
      <w:r w:rsidRPr="00A17D4D">
        <w:rPr>
          <w:rFonts w:ascii="Söhne" w:eastAsia="Times New Roman" w:hAnsi="Söhne" w:cs="Times New Roman"/>
          <w:sz w:val="18"/>
          <w:szCs w:val="18"/>
          <w:u w:val="double"/>
          <w:lang w:val="en-IE" w:eastAsia="fr-FR"/>
        </w:rPr>
        <w:t>reservoirs</w:t>
      </w:r>
      <w:r w:rsidRPr="00A17D4D">
        <w:rPr>
          <w:rFonts w:ascii="Söhne" w:eastAsia="Times New Roman" w:hAnsi="Söhne" w:cs="Times New Roman"/>
          <w:sz w:val="18"/>
          <w:szCs w:val="18"/>
          <w:lang w:val="en-IE" w:eastAsia="fr-FR"/>
        </w:rPr>
        <w:t xml:space="preserve"> </w:t>
      </w:r>
      <w:r w:rsidRPr="00A17D4D">
        <w:rPr>
          <w:rFonts w:ascii="Söhne" w:eastAsia="Times New Roman" w:hAnsi="Söhne" w:cs="Times New Roman"/>
          <w:strike/>
          <w:sz w:val="18"/>
          <w:szCs w:val="18"/>
          <w:lang w:val="en-IE" w:eastAsia="fr-FR"/>
        </w:rPr>
        <w:t xml:space="preserve">carriers </w:t>
      </w:r>
      <w:r w:rsidRPr="00A17D4D">
        <w:rPr>
          <w:rFonts w:ascii="Söhne" w:eastAsia="Times New Roman" w:hAnsi="Söhne" w:cs="Times New Roman"/>
          <w:sz w:val="18"/>
          <w:szCs w:val="18"/>
          <w:lang w:val="en-IE" w:eastAsia="fr-FR"/>
        </w:rPr>
        <w:t xml:space="preserve">of the infection without showing clinical signs. However, some strains </w:t>
      </w:r>
      <w:r w:rsidRPr="00A17D4D">
        <w:rPr>
          <w:rFonts w:ascii="Söhne" w:eastAsia="Times New Roman" w:hAnsi="Söhne" w:cs="Times New Roman"/>
          <w:sz w:val="18"/>
          <w:szCs w:val="18"/>
          <w:u w:val="double"/>
          <w:lang w:val="en-IE" w:eastAsia="fr-FR"/>
        </w:rPr>
        <w:t xml:space="preserve">of </w:t>
      </w:r>
      <w:r w:rsidRPr="00A17D4D">
        <w:rPr>
          <w:rFonts w:ascii="Söhne" w:eastAsia="Times New Roman" w:hAnsi="Söhne" w:cs="Times New Roman"/>
          <w:i/>
          <w:iCs/>
          <w:sz w:val="18"/>
          <w:szCs w:val="18"/>
          <w:u w:val="double"/>
          <w:lang w:val="en-IE" w:eastAsia="fr-FR"/>
        </w:rPr>
        <w:t>A. astaci,</w:t>
      </w:r>
      <w:r w:rsidRPr="00A17D4D">
        <w:rPr>
          <w:rFonts w:ascii="Söhne" w:eastAsia="Times New Roman" w:hAnsi="Söhne" w:cs="Times New Roman"/>
          <w:sz w:val="18"/>
          <w:szCs w:val="18"/>
          <w:lang w:val="en-IE" w:eastAsia="fr-FR"/>
        </w:rPr>
        <w:t xml:space="preserve"> especially from group A, show lowered virulence, thus enabling </w:t>
      </w:r>
      <w:r w:rsidRPr="00A17D4D">
        <w:rPr>
          <w:rFonts w:ascii="Söhne" w:eastAsia="Times New Roman" w:hAnsi="Söhne" w:cs="Times New Roman"/>
          <w:strike/>
          <w:sz w:val="18"/>
          <w:szCs w:val="18"/>
          <w:lang w:val="en-IE" w:eastAsia="fr-FR"/>
        </w:rPr>
        <w:t xml:space="preserve">normally highly susceptible </w:t>
      </w:r>
      <w:r w:rsidRPr="00A17D4D">
        <w:rPr>
          <w:rFonts w:ascii="Söhne" w:eastAsia="Times New Roman" w:hAnsi="Söhne" w:cs="Times New Roman"/>
          <w:sz w:val="18"/>
          <w:szCs w:val="18"/>
          <w:lang w:val="en-IE" w:eastAsia="fr-FR"/>
        </w:rPr>
        <w:t xml:space="preserve">European crayfish to act as </w:t>
      </w:r>
      <w:r w:rsidRPr="00A17D4D">
        <w:rPr>
          <w:rFonts w:ascii="Söhne" w:eastAsia="Times New Roman" w:hAnsi="Söhne" w:cs="Times New Roman"/>
          <w:sz w:val="18"/>
          <w:szCs w:val="18"/>
          <w:u w:val="double"/>
          <w:lang w:val="en-IE" w:eastAsia="fr-FR"/>
        </w:rPr>
        <w:t>reservoirs</w:t>
      </w:r>
      <w:r w:rsidRPr="00A17D4D">
        <w:rPr>
          <w:rFonts w:ascii="Söhne" w:eastAsia="Times New Roman" w:hAnsi="Söhne" w:cs="Times New Roman"/>
          <w:sz w:val="18"/>
          <w:szCs w:val="18"/>
          <w:lang w:val="en-IE" w:eastAsia="fr-FR"/>
        </w:rPr>
        <w:t xml:space="preserve"> </w:t>
      </w:r>
      <w:r w:rsidRPr="00A17D4D">
        <w:rPr>
          <w:rFonts w:ascii="Söhne" w:eastAsia="Times New Roman" w:hAnsi="Söhne" w:cs="Times New Roman"/>
          <w:strike/>
          <w:sz w:val="18"/>
          <w:szCs w:val="18"/>
          <w:lang w:val="en-IE" w:eastAsia="fr-FR"/>
        </w:rPr>
        <w:t xml:space="preserve">carriers </w:t>
      </w:r>
      <w:r w:rsidRPr="00A17D4D">
        <w:rPr>
          <w:rFonts w:ascii="Söhne" w:eastAsia="Times New Roman" w:hAnsi="Söhne" w:cs="Times New Roman"/>
          <w:sz w:val="18"/>
          <w:szCs w:val="18"/>
          <w:lang w:val="en-IE" w:eastAsia="fr-FR"/>
        </w:rPr>
        <w:t xml:space="preserve">as well (see review by Svoboda </w:t>
      </w:r>
      <w:r w:rsidRPr="00A17D4D">
        <w:rPr>
          <w:rFonts w:ascii="Söhne" w:eastAsia="Times New Roman" w:hAnsi="Söhne" w:cs="Times New Roman"/>
          <w:i/>
          <w:iCs/>
          <w:sz w:val="18"/>
          <w:szCs w:val="18"/>
          <w:lang w:val="en-IE" w:eastAsia="fr-FR"/>
        </w:rPr>
        <w:t>et al</w:t>
      </w:r>
      <w:r w:rsidRPr="00A17D4D">
        <w:rPr>
          <w:rFonts w:ascii="Söhne" w:eastAsia="Times New Roman" w:hAnsi="Söhne" w:cs="Times New Roman"/>
          <w:sz w:val="18"/>
          <w:szCs w:val="18"/>
          <w:lang w:val="en-IE" w:eastAsia="fr-FR"/>
        </w:rPr>
        <w:t>., 2017).</w:t>
      </w:r>
    </w:p>
    <w:p w14:paraId="718A6599"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rPr>
      </w:pPr>
      <w:r w:rsidRPr="00A17D4D">
        <w:rPr>
          <w:rFonts w:ascii="Söhne" w:eastAsia="Times New Roman" w:hAnsi="Söhne" w:cs="Times New Roman"/>
          <w:sz w:val="18"/>
          <w:szCs w:val="18"/>
          <w:lang w:val="en-IE"/>
        </w:rPr>
        <w:t>Colonisation of habitats</w:t>
      </w:r>
      <w:r w:rsidRPr="00A17D4D">
        <w:rPr>
          <w:rFonts w:ascii="Söhne" w:eastAsia="Times New Roman" w:hAnsi="Söhne" w:cs="Times New Roman"/>
          <w:strike/>
          <w:sz w:val="18"/>
          <w:szCs w:val="18"/>
          <w:lang w:val="en-IE"/>
        </w:rPr>
        <w:t>, initially</w:t>
      </w:r>
      <w:r w:rsidRPr="00A17D4D">
        <w:rPr>
          <w:rFonts w:ascii="Söhne" w:eastAsia="Times New Roman" w:hAnsi="Söhne" w:cs="Times New Roman"/>
          <w:sz w:val="18"/>
          <w:szCs w:val="18"/>
          <w:lang w:val="en-IE"/>
        </w:rPr>
        <w:t xml:space="preserve"> </w:t>
      </w:r>
      <w:r w:rsidRPr="00A17D4D">
        <w:rPr>
          <w:rFonts w:ascii="Söhne" w:eastAsia="Times New Roman" w:hAnsi="Söhne" w:cs="Times New Roman"/>
          <w:sz w:val="18"/>
          <w:szCs w:val="18"/>
          <w:u w:val="double"/>
          <w:lang w:val="en-IE"/>
        </w:rPr>
        <w:t xml:space="preserve">by North American crayfish species carrying </w:t>
      </w:r>
      <w:r w:rsidRPr="00A17D4D">
        <w:rPr>
          <w:rFonts w:ascii="Söhne" w:eastAsia="Times New Roman" w:hAnsi="Söhne" w:cs="Times New Roman"/>
          <w:i/>
          <w:iCs/>
          <w:sz w:val="18"/>
          <w:szCs w:val="18"/>
          <w:u w:val="double"/>
          <w:lang w:val="en-IE"/>
        </w:rPr>
        <w:t>A. astaci</w:t>
      </w:r>
      <w:r w:rsidRPr="00A17D4D">
        <w:rPr>
          <w:rFonts w:ascii="Söhne" w:eastAsia="Times New Roman" w:hAnsi="Söhne" w:cs="Times New Roman"/>
          <w:i/>
          <w:iCs/>
          <w:sz w:val="18"/>
          <w:szCs w:val="18"/>
          <w:lang w:val="en-IE"/>
        </w:rPr>
        <w:t xml:space="preserve"> </w:t>
      </w:r>
      <w:r w:rsidRPr="00A17D4D">
        <w:rPr>
          <w:rFonts w:ascii="Söhne" w:eastAsia="Times New Roman" w:hAnsi="Söhne" w:cs="Times New Roman"/>
          <w:strike/>
          <w:sz w:val="18"/>
          <w:szCs w:val="18"/>
          <w:lang w:val="en-IE"/>
        </w:rPr>
        <w:t xml:space="preserve">occupied by highly susceptible </w:t>
      </w:r>
      <w:r w:rsidRPr="00A17D4D">
        <w:rPr>
          <w:rFonts w:ascii="Söhne" w:eastAsia="Times New Roman" w:hAnsi="Söhne" w:cs="Times New Roman"/>
          <w:sz w:val="18"/>
          <w:szCs w:val="18"/>
          <w:u w:val="double"/>
          <w:lang w:val="en-IE"/>
        </w:rPr>
        <w:t>is likely to result in an epizootic if crayfish</w:t>
      </w:r>
      <w:r w:rsidRPr="00A17D4D">
        <w:rPr>
          <w:rFonts w:ascii="Söhne" w:eastAsia="Times New Roman" w:hAnsi="Söhne" w:cs="Times New Roman"/>
          <w:sz w:val="18"/>
          <w:szCs w:val="18"/>
          <w:lang w:val="en-IE"/>
        </w:rPr>
        <w:t xml:space="preserve"> species </w:t>
      </w:r>
      <w:r w:rsidRPr="00A17D4D">
        <w:rPr>
          <w:rFonts w:ascii="Söhne" w:eastAsia="Times New Roman" w:hAnsi="Söhne" w:cs="Times New Roman"/>
          <w:sz w:val="18"/>
          <w:szCs w:val="18"/>
          <w:u w:val="double"/>
          <w:lang w:val="en-IE"/>
        </w:rPr>
        <w:t>that are prone to expression of clinical disease are present</w:t>
      </w:r>
      <w:r w:rsidRPr="00A17D4D">
        <w:rPr>
          <w:rFonts w:ascii="Söhne" w:eastAsia="Times New Roman" w:hAnsi="Söhne" w:cs="Times New Roman"/>
          <w:strike/>
          <w:sz w:val="18"/>
          <w:szCs w:val="18"/>
          <w:lang w:val="en-IE"/>
        </w:rPr>
        <w:t xml:space="preserve"> by North American crayfish species carrying </w:t>
      </w:r>
      <w:r w:rsidRPr="00A17D4D">
        <w:rPr>
          <w:rFonts w:ascii="Söhne" w:eastAsia="Times New Roman" w:hAnsi="Söhne" w:cs="Times New Roman"/>
          <w:i/>
          <w:iCs/>
          <w:strike/>
          <w:sz w:val="18"/>
          <w:szCs w:val="18"/>
          <w:lang w:val="en-IE"/>
        </w:rPr>
        <w:t>A. astaci</w:t>
      </w:r>
      <w:r w:rsidRPr="00A17D4D">
        <w:rPr>
          <w:rFonts w:ascii="Söhne" w:eastAsia="Times New Roman" w:hAnsi="Söhne" w:cs="Times New Roman"/>
          <w:strike/>
          <w:sz w:val="18"/>
          <w:szCs w:val="18"/>
          <w:lang w:val="en-IE"/>
        </w:rPr>
        <w:t xml:space="preserve"> is likely to result in an </w:t>
      </w:r>
      <w:r w:rsidRPr="00A17D4D">
        <w:rPr>
          <w:rFonts w:ascii="Söhne" w:eastAsia="Times New Roman" w:hAnsi="Söhne" w:cs="Times New Roman"/>
          <w:strike/>
          <w:sz w:val="18"/>
          <w:szCs w:val="18"/>
          <w:lang w:val="en-IE" w:eastAsia="fr-FR"/>
        </w:rPr>
        <w:t xml:space="preserve">epizootic </w:t>
      </w:r>
      <w:r w:rsidRPr="00A17D4D">
        <w:rPr>
          <w:rFonts w:ascii="Söhne" w:eastAsia="Times New Roman" w:hAnsi="Söhne" w:cs="Times New Roman"/>
          <w:strike/>
          <w:sz w:val="18"/>
          <w:szCs w:val="18"/>
          <w:lang w:val="en-IE"/>
        </w:rPr>
        <w:t>among the highly susceptible animals</w:t>
      </w:r>
      <w:r w:rsidRPr="00A17D4D">
        <w:rPr>
          <w:rFonts w:ascii="Söhne" w:eastAsia="Times New Roman" w:hAnsi="Söhne" w:cs="Times New Roman"/>
          <w:sz w:val="18"/>
          <w:szCs w:val="18"/>
          <w:lang w:val="en-IE"/>
        </w:rPr>
        <w:t xml:space="preserve">. </w:t>
      </w:r>
    </w:p>
    <w:p w14:paraId="65689C3C"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2.2.6.</w:t>
      </w:r>
      <w:r w:rsidRPr="00A17D4D">
        <w:rPr>
          <w:rFonts w:ascii="Söhne Kräftig" w:eastAsia="Times New Roman" w:hAnsi="Söhne Kräftig" w:cs="Times New Roman"/>
          <w:bCs/>
          <w:sz w:val="20"/>
          <w:lang w:val="en-GB" w:eastAsia="fr-FR"/>
        </w:rPr>
        <w:tab/>
        <w:t>Vectors</w:t>
      </w:r>
    </w:p>
    <w:p w14:paraId="793E9B29"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eastAsia="fr-FR"/>
        </w:rPr>
      </w:pPr>
      <w:r w:rsidRPr="00A17D4D">
        <w:rPr>
          <w:rFonts w:ascii="Söhne" w:eastAsia="Times New Roman" w:hAnsi="Söhne" w:cs="Times New Roman"/>
          <w:strike/>
          <w:sz w:val="18"/>
          <w:szCs w:val="18"/>
          <w:lang w:val="en-IE"/>
        </w:rPr>
        <w:t xml:space="preserve">Transportation of finfish may facilitate the spread of </w:t>
      </w:r>
      <w:r w:rsidRPr="00A17D4D">
        <w:rPr>
          <w:rFonts w:ascii="Söhne" w:eastAsia="Times New Roman" w:hAnsi="Söhne" w:cs="Times New Roman"/>
          <w:i/>
          <w:iCs/>
          <w:strike/>
          <w:sz w:val="18"/>
          <w:szCs w:val="18"/>
          <w:lang w:val="en-IE"/>
        </w:rPr>
        <w:t>A. astaci</w:t>
      </w:r>
      <w:r w:rsidRPr="00A17D4D">
        <w:rPr>
          <w:rFonts w:ascii="Söhne" w:eastAsia="Times New Roman" w:hAnsi="Söhne" w:cs="Times New Roman"/>
          <w:strike/>
          <w:sz w:val="18"/>
          <w:szCs w:val="18"/>
          <w:lang w:val="en-IE"/>
        </w:rPr>
        <w:t xml:space="preserve"> through the presence of spores in the transport water or co-transport of infected crayfish specimens (Alderman </w:t>
      </w:r>
      <w:r w:rsidRPr="00A17D4D">
        <w:rPr>
          <w:rFonts w:ascii="Söhne" w:eastAsia="Times New Roman" w:hAnsi="Söhne" w:cs="Times New Roman"/>
          <w:i/>
          <w:iCs/>
          <w:strike/>
          <w:sz w:val="18"/>
          <w:szCs w:val="18"/>
          <w:lang w:val="en-IE"/>
        </w:rPr>
        <w:t>et al</w:t>
      </w:r>
      <w:r w:rsidRPr="00A17D4D">
        <w:rPr>
          <w:rFonts w:ascii="Söhne" w:eastAsia="Times New Roman" w:hAnsi="Söhne" w:cs="Times New Roman"/>
          <w:strike/>
          <w:sz w:val="18"/>
          <w:szCs w:val="18"/>
          <w:lang w:val="en-IE"/>
        </w:rPr>
        <w:t xml:space="preserve">., 1987; Oidtmann </w:t>
      </w:r>
      <w:r w:rsidRPr="00A17D4D">
        <w:rPr>
          <w:rFonts w:ascii="Söhne" w:eastAsia="Times New Roman" w:hAnsi="Söhne" w:cs="Times New Roman"/>
          <w:i/>
          <w:iCs/>
          <w:strike/>
          <w:sz w:val="18"/>
          <w:szCs w:val="18"/>
          <w:lang w:val="en-IE"/>
        </w:rPr>
        <w:t>et al</w:t>
      </w:r>
      <w:r w:rsidRPr="00A17D4D">
        <w:rPr>
          <w:rFonts w:ascii="Söhne" w:eastAsia="Times New Roman" w:hAnsi="Söhne" w:cs="Times New Roman"/>
          <w:strike/>
          <w:sz w:val="18"/>
          <w:szCs w:val="18"/>
          <w:lang w:val="en-IE"/>
        </w:rPr>
        <w:t>., 2002). There is also circumstantial evidence of spread by contaminated equipment (</w:t>
      </w:r>
      <w:proofErr w:type="gramStart"/>
      <w:r w:rsidRPr="00A17D4D">
        <w:rPr>
          <w:rFonts w:ascii="Söhne" w:eastAsia="Times New Roman" w:hAnsi="Söhne" w:cs="Times New Roman"/>
          <w:strike/>
          <w:sz w:val="18"/>
          <w:szCs w:val="18"/>
          <w:lang w:val="en-IE"/>
        </w:rPr>
        <w:t>e.g.</w:t>
      </w:r>
      <w:proofErr w:type="gramEnd"/>
      <w:r w:rsidRPr="00A17D4D">
        <w:rPr>
          <w:rFonts w:ascii="Söhne" w:eastAsia="Times New Roman" w:hAnsi="Söhne" w:cs="Times New Roman"/>
          <w:strike/>
          <w:sz w:val="18"/>
          <w:szCs w:val="18"/>
          <w:lang w:val="en-IE"/>
        </w:rPr>
        <w:t xml:space="preserve"> nets, boots, clothing, traps) (Alderman </w:t>
      </w:r>
      <w:r w:rsidRPr="00A17D4D">
        <w:rPr>
          <w:rFonts w:ascii="Söhne" w:eastAsia="Times New Roman" w:hAnsi="Söhne" w:cs="Times New Roman"/>
          <w:i/>
          <w:iCs/>
          <w:strike/>
          <w:sz w:val="18"/>
          <w:szCs w:val="18"/>
          <w:lang w:val="en-IE"/>
        </w:rPr>
        <w:t>et al</w:t>
      </w:r>
      <w:r w:rsidRPr="00A17D4D">
        <w:rPr>
          <w:rFonts w:ascii="Söhne" w:eastAsia="Times New Roman" w:hAnsi="Söhne" w:cs="Times New Roman"/>
          <w:strike/>
          <w:sz w:val="18"/>
          <w:szCs w:val="18"/>
          <w:lang w:val="en-IE"/>
        </w:rPr>
        <w:t xml:space="preserve">., 1987). </w:t>
      </w:r>
      <w:r w:rsidRPr="00A17D4D">
        <w:rPr>
          <w:rFonts w:ascii="Söhne" w:eastAsia="Times New Roman" w:hAnsi="Söhne" w:cs="Times New Roman"/>
          <w:sz w:val="18"/>
          <w:szCs w:val="18"/>
          <w:u w:val="double"/>
          <w:lang w:val="en-IE"/>
        </w:rPr>
        <w:t>None known</w:t>
      </w:r>
      <w:r w:rsidRPr="00A17D4D">
        <w:rPr>
          <w:rFonts w:ascii="Söhne" w:eastAsia="Times New Roman" w:hAnsi="Söhne" w:cs="Times New Roman"/>
          <w:sz w:val="18"/>
          <w:szCs w:val="18"/>
          <w:lang w:val="en-IE"/>
        </w:rPr>
        <w:t>.</w:t>
      </w:r>
    </w:p>
    <w:p w14:paraId="71D36D47" w14:textId="77777777" w:rsidR="00A17D4D" w:rsidRPr="00A17D4D" w:rsidRDefault="00A17D4D" w:rsidP="00A17D4D">
      <w:pPr>
        <w:spacing w:after="240" w:line="240" w:lineRule="auto"/>
        <w:ind w:left="851"/>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2.3.</w:t>
      </w:r>
      <w:r w:rsidRPr="00A17D4D">
        <w:rPr>
          <w:rFonts w:ascii="Söhne Kräftig" w:eastAsia="MS Mincho" w:hAnsi="Söhne Kräftig" w:cs="Times New Roman"/>
          <w:sz w:val="21"/>
          <w:szCs w:val="20"/>
          <w:lang w:val="da-DK" w:eastAsia="da-DK"/>
        </w:rPr>
        <w:tab/>
        <w:t>Disease pattern</w:t>
      </w:r>
    </w:p>
    <w:p w14:paraId="57142085"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2.3.1.</w:t>
      </w:r>
      <w:r w:rsidRPr="00A17D4D">
        <w:rPr>
          <w:rFonts w:ascii="Söhne Kräftig" w:eastAsia="Times New Roman" w:hAnsi="Söhne Kräftig" w:cs="Times New Roman"/>
          <w:bCs/>
          <w:sz w:val="20"/>
          <w:lang w:val="en-GB" w:eastAsia="fr-FR"/>
        </w:rPr>
        <w:tab/>
        <w:t>Mortality, morbidity, and prevalence</w:t>
      </w:r>
    </w:p>
    <w:p w14:paraId="3A308587"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rPr>
      </w:pPr>
      <w:r w:rsidRPr="00A17D4D">
        <w:rPr>
          <w:rFonts w:ascii="Söhne" w:eastAsia="Times New Roman" w:hAnsi="Söhne" w:cs="Times New Roman"/>
          <w:sz w:val="18"/>
          <w:szCs w:val="18"/>
          <w:lang w:val="en-IE"/>
        </w:rPr>
        <w:t xml:space="preserve">When the infection first reaches a naïve population of </w:t>
      </w:r>
      <w:r w:rsidRPr="00A17D4D">
        <w:rPr>
          <w:rFonts w:ascii="Söhne" w:eastAsia="Times New Roman" w:hAnsi="Söhne" w:cs="Times New Roman"/>
          <w:strike/>
          <w:sz w:val="18"/>
          <w:szCs w:val="18"/>
          <w:lang w:val="en-IE"/>
        </w:rPr>
        <w:t xml:space="preserve">highly susceptible </w:t>
      </w:r>
      <w:r w:rsidRPr="00A17D4D">
        <w:rPr>
          <w:rFonts w:ascii="Söhne" w:eastAsia="Times New Roman" w:hAnsi="Söhne" w:cs="Times New Roman"/>
          <w:sz w:val="18"/>
          <w:szCs w:val="18"/>
          <w:lang w:val="en-IE"/>
        </w:rPr>
        <w:t xml:space="preserve">crayfish species </w:t>
      </w:r>
      <w:r w:rsidRPr="00A17D4D">
        <w:rPr>
          <w:rFonts w:ascii="Söhne" w:eastAsia="Times New Roman" w:hAnsi="Söhne" w:cs="Times New Roman"/>
          <w:sz w:val="18"/>
          <w:szCs w:val="18"/>
          <w:u w:val="double"/>
          <w:lang w:val="en-IE"/>
        </w:rPr>
        <w:t>that are prone to clinical disease</w:t>
      </w:r>
      <w:r w:rsidRPr="00A17D4D">
        <w:rPr>
          <w:rFonts w:ascii="Söhne" w:eastAsia="Times New Roman" w:hAnsi="Söhne" w:cs="Times New Roman"/>
          <w:sz w:val="18"/>
          <w:szCs w:val="18"/>
          <w:lang w:val="en-IE"/>
        </w:rPr>
        <w:t xml:space="preserve">, high levels of mortality are usually observed within a short space of time, </w:t>
      </w:r>
      <w:r w:rsidRPr="00A17D4D">
        <w:rPr>
          <w:rFonts w:ascii="Söhne" w:eastAsia="Times New Roman" w:hAnsi="Söhne" w:cs="Times New Roman"/>
          <w:strike/>
          <w:sz w:val="18"/>
          <w:szCs w:val="18"/>
          <w:lang w:val="en-IE"/>
        </w:rPr>
        <w:t xml:space="preserve">so that in </w:t>
      </w:r>
      <w:r w:rsidRPr="00A17D4D">
        <w:rPr>
          <w:rFonts w:ascii="Söhne" w:eastAsia="Times New Roman" w:hAnsi="Söhne" w:cs="Times New Roman"/>
          <w:sz w:val="18"/>
          <w:szCs w:val="18"/>
          <w:u w:val="double"/>
          <w:lang w:val="en-IE"/>
        </w:rPr>
        <w:t>and in</w:t>
      </w:r>
      <w:r w:rsidRPr="00A17D4D">
        <w:rPr>
          <w:rFonts w:ascii="Söhne" w:eastAsia="Times New Roman" w:hAnsi="Söhne" w:cs="Times New Roman"/>
          <w:sz w:val="18"/>
          <w:szCs w:val="18"/>
          <w:lang w:val="en-IE"/>
        </w:rPr>
        <w:t xml:space="preserve"> areas with high crayfish densities the bottoms of lakes, rivers and streams are covered with dead and dying crayfish. A band of mortality will spread quickly from the initial outbreak site downstream, whereas upstream spread is slower. Lower water temperatures are associated with </w:t>
      </w:r>
      <w:r w:rsidRPr="00A17D4D">
        <w:rPr>
          <w:rFonts w:ascii="Söhne" w:eastAsia="Times New Roman" w:hAnsi="Söhne" w:cs="Times New Roman"/>
          <w:strike/>
          <w:sz w:val="18"/>
          <w:szCs w:val="18"/>
          <w:lang w:val="en-IE"/>
        </w:rPr>
        <w:t xml:space="preserve">slower </w:t>
      </w:r>
      <w:r w:rsidRPr="00A17D4D">
        <w:rPr>
          <w:rFonts w:ascii="Söhne" w:eastAsia="Times New Roman" w:hAnsi="Söhne" w:cs="Times New Roman"/>
          <w:sz w:val="18"/>
          <w:szCs w:val="18"/>
          <w:u w:val="double"/>
          <w:lang w:val="en-IE"/>
        </w:rPr>
        <w:t>a lower rate of</w:t>
      </w:r>
      <w:r w:rsidRPr="00A17D4D">
        <w:rPr>
          <w:rFonts w:ascii="Söhne" w:eastAsia="Times New Roman" w:hAnsi="Söhne" w:cs="Times New Roman"/>
          <w:sz w:val="18"/>
          <w:szCs w:val="18"/>
          <w:lang w:val="en-IE"/>
        </w:rPr>
        <w:t xml:space="preserve"> mortalities and a greater range of clinical signs in affected animals (Alderman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1987). Observations from Finland suggest that at low water temperatures, noble crayfish (</w:t>
      </w:r>
      <w:r w:rsidRPr="00A17D4D">
        <w:rPr>
          <w:rFonts w:ascii="Söhne" w:eastAsia="Times New Roman" w:hAnsi="Söhne" w:cs="Times New Roman"/>
          <w:i/>
          <w:iCs/>
          <w:sz w:val="18"/>
          <w:szCs w:val="18"/>
          <w:lang w:val="en-IE"/>
        </w:rPr>
        <w:t>Astacus astacus</w:t>
      </w:r>
      <w:r w:rsidRPr="00A17D4D">
        <w:rPr>
          <w:rFonts w:ascii="Söhne" w:eastAsia="Times New Roman" w:hAnsi="Söhne" w:cs="Times New Roman"/>
          <w:sz w:val="18"/>
          <w:szCs w:val="18"/>
          <w:lang w:val="en-IE"/>
        </w:rPr>
        <w:t xml:space="preserve">) can be infected for several months without </w:t>
      </w:r>
      <w:r w:rsidRPr="00A17D4D">
        <w:rPr>
          <w:rFonts w:ascii="Söhne" w:eastAsia="Times New Roman" w:hAnsi="Söhne" w:cs="Times New Roman"/>
          <w:strike/>
          <w:sz w:val="18"/>
          <w:szCs w:val="18"/>
          <w:lang w:val="en-IE"/>
        </w:rPr>
        <w:t xml:space="preserve">the development of </w:t>
      </w:r>
      <w:r w:rsidRPr="00A17D4D">
        <w:rPr>
          <w:rFonts w:ascii="Söhne" w:eastAsia="Times New Roman" w:hAnsi="Söhne" w:cs="Times New Roman"/>
          <w:sz w:val="18"/>
          <w:szCs w:val="18"/>
          <w:u w:val="double"/>
          <w:lang w:val="en-IE"/>
        </w:rPr>
        <w:t>any</w:t>
      </w:r>
      <w:r w:rsidRPr="00A17D4D">
        <w:rPr>
          <w:rFonts w:ascii="Söhne" w:eastAsia="Times New Roman" w:hAnsi="Söhne" w:cs="Times New Roman"/>
          <w:sz w:val="18"/>
          <w:szCs w:val="18"/>
          <w:lang w:val="en-IE"/>
        </w:rPr>
        <w:t xml:space="preserve"> noticeable mortalities (Viljamaa-Dirks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2013).</w:t>
      </w:r>
    </w:p>
    <w:p w14:paraId="727F6581"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eastAsia="fr-FR"/>
        </w:rPr>
      </w:pPr>
      <w:r w:rsidRPr="00A17D4D">
        <w:rPr>
          <w:rFonts w:ascii="Söhne" w:eastAsia="Times New Roman" w:hAnsi="Söhne" w:cs="Times New Roman"/>
          <w:sz w:val="18"/>
          <w:szCs w:val="18"/>
          <w:lang w:val="en-IE"/>
        </w:rPr>
        <w:t xml:space="preserve">On rare occasions, single specimens of </w:t>
      </w:r>
      <w:r w:rsidRPr="00A17D4D">
        <w:rPr>
          <w:rFonts w:ascii="Söhne" w:eastAsia="Times New Roman" w:hAnsi="Söhne" w:cs="Times New Roman"/>
          <w:strike/>
          <w:sz w:val="18"/>
          <w:szCs w:val="18"/>
          <w:lang w:val="en-IE"/>
        </w:rPr>
        <w:t xml:space="preserve">the highly susceptible </w:t>
      </w:r>
      <w:r w:rsidRPr="00A17D4D">
        <w:rPr>
          <w:rFonts w:ascii="Söhne" w:eastAsia="Times New Roman" w:hAnsi="Söhne" w:cs="Times New Roman"/>
          <w:sz w:val="18"/>
          <w:szCs w:val="18"/>
          <w:lang w:val="en-IE"/>
        </w:rPr>
        <w:t xml:space="preserve">species </w:t>
      </w:r>
      <w:r w:rsidRPr="00A17D4D">
        <w:rPr>
          <w:rFonts w:ascii="Söhne" w:eastAsia="Times New Roman" w:hAnsi="Söhne" w:cs="Times New Roman"/>
          <w:sz w:val="18"/>
          <w:szCs w:val="18"/>
          <w:u w:val="double"/>
          <w:lang w:val="en-IE"/>
        </w:rPr>
        <w:t>that are prone to clinical disease</w:t>
      </w:r>
      <w:r w:rsidRPr="00A17D4D">
        <w:rPr>
          <w:rFonts w:ascii="Söhne" w:eastAsia="Times New Roman" w:hAnsi="Söhne" w:cs="Times New Roman"/>
          <w:sz w:val="18"/>
          <w:szCs w:val="18"/>
          <w:lang w:val="en-IE"/>
        </w:rPr>
        <w:t xml:space="preserve"> have been found after a wave of infection with </w:t>
      </w:r>
      <w:r w:rsidRPr="00A17D4D">
        <w:rPr>
          <w:rFonts w:ascii="Söhne" w:eastAsia="Times New Roman" w:hAnsi="Söhne" w:cs="Times New Roman"/>
          <w:i/>
          <w:iCs/>
          <w:sz w:val="18"/>
          <w:szCs w:val="18"/>
          <w:lang w:val="en-IE"/>
        </w:rPr>
        <w:t>A. astaci</w:t>
      </w:r>
      <w:r w:rsidRPr="00A17D4D">
        <w:rPr>
          <w:rFonts w:ascii="Söhne" w:eastAsia="Times New Roman" w:hAnsi="Söhne" w:cs="Times New Roman"/>
          <w:sz w:val="18"/>
          <w:szCs w:val="18"/>
          <w:lang w:val="en-IE"/>
        </w:rPr>
        <w:t xml:space="preserve"> has gone through a river or lake. This is most likely to be due to lack of exposure of these animals during an outbreak (animals may have been present in a tributary of a river or lake or in a part of the affected river/lake that was not reached by spores, or crayfish may have stayed in burrows during the epizootic). However, low virulent strains of </w:t>
      </w:r>
      <w:r w:rsidRPr="00A17D4D">
        <w:rPr>
          <w:rFonts w:ascii="Söhne" w:eastAsia="Times New Roman" w:hAnsi="Söhne" w:cs="Times New Roman"/>
          <w:i/>
          <w:iCs/>
          <w:sz w:val="18"/>
          <w:szCs w:val="18"/>
          <w:lang w:val="en-IE"/>
        </w:rPr>
        <w:t>A. astaci</w:t>
      </w:r>
      <w:r w:rsidRPr="00A17D4D">
        <w:rPr>
          <w:rFonts w:ascii="Söhne" w:eastAsia="Times New Roman" w:hAnsi="Söhne" w:cs="Times New Roman"/>
          <w:sz w:val="18"/>
          <w:szCs w:val="18"/>
          <w:lang w:val="en-IE"/>
        </w:rPr>
        <w:t xml:space="preserve"> have been described to persist in a water way, kept alive by a weak infection in the remnant population (Viljamaa-Dirks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2011). Although remnant populations of susceptible crayfish species remain in many European watersheds, the dense populations that existed 150 years ago are now heavily diminished (Souty-Grosset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2006; Holdich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2009). Populations of susceptible crayfish may re-establish, but once population density and geographical distribution is sufficient for susceptible animals to </w:t>
      </w:r>
      <w:proofErr w:type="gramStart"/>
      <w:r w:rsidRPr="00A17D4D">
        <w:rPr>
          <w:rFonts w:ascii="Söhne" w:eastAsia="Times New Roman" w:hAnsi="Söhne" w:cs="Times New Roman"/>
          <w:sz w:val="18"/>
          <w:szCs w:val="18"/>
          <w:lang w:val="en-IE"/>
        </w:rPr>
        <w:t>come into contact with</w:t>
      </w:r>
      <w:proofErr w:type="gramEnd"/>
      <w:r w:rsidRPr="00A17D4D">
        <w:rPr>
          <w:rFonts w:ascii="Söhne" w:eastAsia="Times New Roman" w:hAnsi="Söhne" w:cs="Times New Roman"/>
          <w:sz w:val="18"/>
          <w:szCs w:val="18"/>
          <w:lang w:val="en-IE"/>
        </w:rPr>
        <w:t xml:space="preserve"> spores, new outbreaks of infection with </w:t>
      </w:r>
      <w:r w:rsidRPr="00A17D4D">
        <w:rPr>
          <w:rFonts w:ascii="Söhne" w:eastAsia="Times New Roman" w:hAnsi="Söhne" w:cs="Times New Roman"/>
          <w:i/>
          <w:iCs/>
          <w:sz w:val="18"/>
          <w:szCs w:val="18"/>
          <w:lang w:val="en-IE"/>
        </w:rPr>
        <w:t>A. astaci</w:t>
      </w:r>
      <w:r w:rsidRPr="00A17D4D">
        <w:rPr>
          <w:rFonts w:ascii="Söhne" w:eastAsia="Times New Roman" w:hAnsi="Söhne" w:cs="Times New Roman"/>
          <w:sz w:val="18"/>
          <w:szCs w:val="18"/>
          <w:lang w:val="en-IE"/>
        </w:rPr>
        <w:t xml:space="preserve"> and large-scale mortalities will occur.</w:t>
      </w:r>
    </w:p>
    <w:p w14:paraId="1C66016C"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rPr>
      </w:pPr>
      <w:r w:rsidRPr="00A17D4D">
        <w:rPr>
          <w:rFonts w:ascii="Söhne" w:eastAsia="Times New Roman" w:hAnsi="Söhne" w:cs="Times New Roman"/>
          <w:sz w:val="18"/>
          <w:szCs w:val="18"/>
          <w:lang w:val="en-IE"/>
        </w:rPr>
        <w:t xml:space="preserve">In </w:t>
      </w:r>
      <w:r w:rsidRPr="00A17D4D">
        <w:rPr>
          <w:rFonts w:ascii="Söhne" w:eastAsia="Times New Roman" w:hAnsi="Söhne" w:cs="Times New Roman"/>
          <w:strike/>
          <w:sz w:val="18"/>
          <w:szCs w:val="18"/>
          <w:lang w:val="en-IE"/>
        </w:rPr>
        <w:t>the highly susceptible</w:t>
      </w:r>
      <w:r w:rsidRPr="00A17D4D">
        <w:rPr>
          <w:rFonts w:ascii="Söhne" w:eastAsia="Times New Roman" w:hAnsi="Söhne" w:cs="Times New Roman"/>
          <w:sz w:val="18"/>
          <w:szCs w:val="18"/>
          <w:lang w:val="en-IE"/>
        </w:rPr>
        <w:t xml:space="preserve"> European crayfish species, exposure to </w:t>
      </w:r>
      <w:r w:rsidRPr="00A17D4D">
        <w:rPr>
          <w:rFonts w:ascii="Söhne" w:eastAsia="Times New Roman" w:hAnsi="Söhne" w:cs="Times New Roman"/>
          <w:i/>
          <w:iCs/>
          <w:sz w:val="18"/>
          <w:szCs w:val="18"/>
          <w:lang w:val="en-IE"/>
        </w:rPr>
        <w:t>A. astaci</w:t>
      </w:r>
      <w:r w:rsidRPr="00A17D4D">
        <w:rPr>
          <w:rFonts w:ascii="Söhne" w:eastAsia="Times New Roman" w:hAnsi="Söhne" w:cs="Times New Roman"/>
          <w:sz w:val="18"/>
          <w:szCs w:val="18"/>
          <w:lang w:val="en-IE"/>
        </w:rPr>
        <w:t xml:space="preserve"> spores usually leads to infection and eventually to death. Prevalence of infection within a population in the early stage of an outbreak may be low (few animals in a river population may be affected). However, the pathogen </w:t>
      </w:r>
      <w:r w:rsidRPr="00A17D4D">
        <w:rPr>
          <w:rFonts w:ascii="Söhne" w:eastAsia="Times New Roman" w:hAnsi="Söhne" w:cs="Times New Roman"/>
          <w:strike/>
          <w:sz w:val="18"/>
          <w:szCs w:val="18"/>
          <w:lang w:val="en-IE"/>
        </w:rPr>
        <w:t xml:space="preserve">is </w:t>
      </w:r>
      <w:r w:rsidRPr="00A17D4D">
        <w:rPr>
          <w:rFonts w:ascii="Söhne" w:eastAsia="Times New Roman" w:hAnsi="Söhne" w:cs="Times New Roman"/>
          <w:sz w:val="18"/>
          <w:szCs w:val="18"/>
          <w:lang w:val="en-IE"/>
        </w:rPr>
        <w:t xml:space="preserve">amplified in affected animals and subsequently released into the water; usually leading to 100% mortality in a contiguous population. The rate of spread from initially affected animals depends on several factors, one being water temperature. Therefore, the time from first introduction of the pathogen into a population to noticeable crayfish mortalities can vary greatly and may range from a few weeks to months. Prevalence of infection will gradually increase over this time and usually reach 100%. Data from a noble crayfish population in Finland that experienced an acute mortality event due to infection with </w:t>
      </w:r>
      <w:r w:rsidRPr="00A17D4D">
        <w:rPr>
          <w:rFonts w:ascii="Söhne" w:eastAsia="Times New Roman" w:hAnsi="Söhne" w:cs="Times New Roman"/>
          <w:i/>
          <w:iCs/>
          <w:sz w:val="18"/>
          <w:szCs w:val="18"/>
          <w:lang w:val="en-IE"/>
        </w:rPr>
        <w:t>A. astaci</w:t>
      </w:r>
      <w:r w:rsidRPr="00A17D4D">
        <w:rPr>
          <w:rFonts w:ascii="Söhne" w:eastAsia="Times New Roman" w:hAnsi="Söhne" w:cs="Times New Roman"/>
          <w:sz w:val="18"/>
          <w:szCs w:val="18"/>
          <w:lang w:val="en-IE"/>
        </w:rPr>
        <w:t xml:space="preserve"> in 2001 suggest that in sparse noble crayfish populations, spread of disease throughout the host population may take several years (Viljamaa-Dirks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2011).</w:t>
      </w:r>
    </w:p>
    <w:p w14:paraId="105153F2"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2.3.2.</w:t>
      </w:r>
      <w:r w:rsidRPr="00A17D4D">
        <w:rPr>
          <w:rFonts w:ascii="Söhne Kräftig" w:eastAsia="Times New Roman" w:hAnsi="Söhne Kräftig" w:cs="Times New Roman"/>
          <w:bCs/>
          <w:sz w:val="20"/>
          <w:lang w:val="en-GB" w:eastAsia="fr-FR"/>
        </w:rPr>
        <w:tab/>
        <w:t xml:space="preserve">Clinical signs, including behavioural </w:t>
      </w:r>
      <w:proofErr w:type="gramStart"/>
      <w:r w:rsidRPr="00A17D4D">
        <w:rPr>
          <w:rFonts w:ascii="Söhne Kräftig" w:eastAsia="Times New Roman" w:hAnsi="Söhne Kräftig" w:cs="Times New Roman"/>
          <w:bCs/>
          <w:sz w:val="20"/>
          <w:lang w:val="en-GB" w:eastAsia="fr-FR"/>
        </w:rPr>
        <w:t>changes</w:t>
      </w:r>
      <w:proofErr w:type="gramEnd"/>
    </w:p>
    <w:p w14:paraId="1B0E17E0" w14:textId="77777777" w:rsidR="00A17D4D" w:rsidRPr="00A17D4D" w:rsidRDefault="00A17D4D" w:rsidP="00A17D4D">
      <w:pPr>
        <w:spacing w:after="120" w:line="240" w:lineRule="auto"/>
        <w:ind w:left="851"/>
        <w:jc w:val="both"/>
        <w:rPr>
          <w:rFonts w:ascii="Söhne" w:eastAsia="Times New Roman" w:hAnsi="Söhne" w:cs="Times New Roman"/>
          <w:bCs/>
          <w:i/>
          <w:iCs/>
          <w:sz w:val="18"/>
          <w:lang w:val="en-IE"/>
        </w:rPr>
      </w:pPr>
      <w:r w:rsidRPr="00A17D4D">
        <w:rPr>
          <w:rFonts w:ascii="Söhne" w:eastAsia="Times New Roman" w:hAnsi="Söhne" w:cs="Times New Roman"/>
          <w:bCs/>
          <w:i/>
          <w:iCs/>
          <w:sz w:val="18"/>
          <w:lang w:val="en-IE"/>
        </w:rPr>
        <w:t>Susceptible species</w:t>
      </w:r>
    </w:p>
    <w:p w14:paraId="06B69F41"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rPr>
        <w:t>Gross clinical signs are variable and depend on challenge severity and water temperatures. The first sign of an epizootic may be the appearance of crayfish during daylight (crayfish are normally nocturnal), some of which may show loss of co-ordination, falling onto their backs and remaining unable to right themselves. Occasionally, the infected animals can be seen trying to scratch or pinch themselves.</w:t>
      </w:r>
    </w:p>
    <w:p w14:paraId="270840E7"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rPr>
        <w:lastRenderedPageBreak/>
        <w:t xml:space="preserve">Often, however, the first sign of an outbreak may be the presence of large numbers of dead crayfish in a river or lake (Alderman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1987).</w:t>
      </w:r>
    </w:p>
    <w:p w14:paraId="02AEB1EB"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Infection with </w:t>
      </w:r>
      <w:r w:rsidRPr="00A17D4D">
        <w:rPr>
          <w:rFonts w:ascii="Söhne" w:eastAsia="Times New Roman" w:hAnsi="Söhne" w:cs="Times New Roman"/>
          <w:bCs/>
          <w:i/>
          <w:iCs/>
          <w:sz w:val="18"/>
          <w:lang w:val="en-IE"/>
        </w:rPr>
        <w:t>A. astaci</w:t>
      </w:r>
      <w:r w:rsidRPr="00A17D4D">
        <w:rPr>
          <w:rFonts w:ascii="Söhne" w:eastAsia="Times New Roman" w:hAnsi="Söhne" w:cs="Times New Roman"/>
          <w:bCs/>
          <w:sz w:val="18"/>
          <w:lang w:val="en-IE"/>
        </w:rPr>
        <w:t xml:space="preserve"> may cause mass mortality of crayfish. However, investigation of mortality event should consider other causes such as environmental pollution (</w:t>
      </w:r>
      <w:proofErr w:type="gramStart"/>
      <w:r w:rsidRPr="00A17D4D">
        <w:rPr>
          <w:rFonts w:ascii="Söhne" w:eastAsia="Times New Roman" w:hAnsi="Söhne" w:cs="Times New Roman"/>
          <w:bCs/>
          <w:sz w:val="18"/>
          <w:lang w:val="en-IE"/>
        </w:rPr>
        <w:t>e.g.</w:t>
      </w:r>
      <w:proofErr w:type="gramEnd"/>
      <w:r w:rsidRPr="00A17D4D">
        <w:rPr>
          <w:rFonts w:ascii="Söhne" w:eastAsia="Times New Roman" w:hAnsi="Söhne" w:cs="Times New Roman"/>
          <w:bCs/>
          <w:sz w:val="18"/>
          <w:lang w:val="en-IE"/>
        </w:rPr>
        <w:t xml:space="preserve"> insecticides such as cypermethrin have been associated with initial misdiagnoses).</w:t>
      </w:r>
    </w:p>
    <w:p w14:paraId="02EC293D" w14:textId="77777777" w:rsidR="00A17D4D" w:rsidRPr="00A17D4D" w:rsidRDefault="00A17D4D" w:rsidP="00A17D4D">
      <w:pPr>
        <w:spacing w:after="120" w:line="240" w:lineRule="auto"/>
        <w:ind w:left="851"/>
        <w:jc w:val="both"/>
        <w:rPr>
          <w:rFonts w:ascii="Söhne" w:eastAsia="Times New Roman" w:hAnsi="Söhne" w:cs="Times New Roman"/>
          <w:bCs/>
          <w:i/>
          <w:iCs/>
          <w:sz w:val="18"/>
          <w:lang w:val="en-IE"/>
        </w:rPr>
      </w:pPr>
      <w:r w:rsidRPr="00A17D4D">
        <w:rPr>
          <w:rFonts w:ascii="Söhne" w:eastAsia="Times New Roman" w:hAnsi="Söhne" w:cs="Times New Roman"/>
          <w:bCs/>
          <w:i/>
          <w:iCs/>
          <w:sz w:val="18"/>
          <w:lang w:val="en-IE"/>
        </w:rPr>
        <w:t>North American crayfish species</w:t>
      </w:r>
    </w:p>
    <w:p w14:paraId="38F6CABA"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rPr>
        <w:t>Infected North American crayfish may be subclinical carriers</w:t>
      </w:r>
      <w:r w:rsidRPr="00A17D4D">
        <w:rPr>
          <w:rFonts w:ascii="Söhne" w:eastAsia="Times New Roman" w:hAnsi="Söhne" w:cs="Times New Roman"/>
          <w:bCs/>
          <w:sz w:val="18"/>
          <w:lang w:val="en-IE" w:eastAsia="fr-FR"/>
        </w:rPr>
        <w:t xml:space="preserve">. Controlled exposure to a highly virulent strain has resulted in mortality in juvenile stages of </w:t>
      </w:r>
      <w:r w:rsidRPr="00A17D4D">
        <w:rPr>
          <w:rFonts w:ascii="Söhne" w:eastAsia="Times New Roman" w:hAnsi="Söhne" w:cs="Times New Roman"/>
          <w:bCs/>
          <w:i/>
          <w:sz w:val="18"/>
          <w:lang w:val="en-IE" w:eastAsia="fr-FR"/>
        </w:rPr>
        <w:t>Pacifastacus leniusculus</w:t>
      </w:r>
      <w:r w:rsidRPr="00A17D4D">
        <w:rPr>
          <w:rFonts w:ascii="Söhne" w:eastAsia="Times New Roman" w:hAnsi="Söhne" w:cs="Times New Roman"/>
          <w:bCs/>
          <w:sz w:val="18"/>
          <w:lang w:val="en-IE" w:eastAsia="fr-FR"/>
        </w:rPr>
        <w:t xml:space="preserve"> as well as behavioural alterations in adults (Thomas </w:t>
      </w:r>
      <w:r w:rsidRPr="00A17D4D">
        <w:rPr>
          <w:rFonts w:ascii="Söhne" w:eastAsia="Times New Roman" w:hAnsi="Söhne" w:cs="Times New Roman"/>
          <w:bCs/>
          <w:i/>
          <w:sz w:val="18"/>
          <w:lang w:val="en-IE" w:eastAsia="fr-FR"/>
        </w:rPr>
        <w:t>et al.,</w:t>
      </w:r>
      <w:r w:rsidRPr="00A17D4D">
        <w:rPr>
          <w:rFonts w:ascii="Söhne" w:eastAsia="Times New Roman" w:hAnsi="Söhne" w:cs="Times New Roman"/>
          <w:bCs/>
          <w:sz w:val="18"/>
          <w:lang w:val="en-IE" w:eastAsia="fr-FR"/>
        </w:rPr>
        <w:t xml:space="preserve"> 2020). </w:t>
      </w:r>
    </w:p>
    <w:p w14:paraId="6ECC0992"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2.3.3</w:t>
      </w:r>
      <w:r w:rsidRPr="00A17D4D">
        <w:rPr>
          <w:rFonts w:ascii="Söhne Kräftig" w:eastAsia="Times New Roman" w:hAnsi="Söhne Kräftig" w:cs="Times New Roman"/>
          <w:bCs/>
          <w:sz w:val="20"/>
          <w:lang w:val="en-GB" w:eastAsia="fr-FR"/>
        </w:rPr>
        <w:tab/>
        <w:t>Gross pathology</w:t>
      </w:r>
    </w:p>
    <w:p w14:paraId="24980D98" w14:textId="77777777" w:rsidR="00A17D4D" w:rsidRPr="00A17D4D" w:rsidRDefault="00A17D4D" w:rsidP="00A17D4D">
      <w:pPr>
        <w:spacing w:after="120" w:line="240" w:lineRule="auto"/>
        <w:ind w:left="851"/>
        <w:jc w:val="both"/>
        <w:rPr>
          <w:rFonts w:ascii="Söhne" w:eastAsia="Times New Roman" w:hAnsi="Söhne" w:cs="Times New Roman"/>
          <w:i/>
          <w:iCs/>
          <w:sz w:val="18"/>
          <w:szCs w:val="18"/>
          <w:lang w:val="en-IE"/>
        </w:rPr>
      </w:pPr>
      <w:r w:rsidRPr="00A17D4D">
        <w:rPr>
          <w:rFonts w:ascii="Söhne" w:eastAsia="Times New Roman" w:hAnsi="Söhne" w:cs="Times New Roman"/>
          <w:bCs/>
          <w:i/>
          <w:iCs/>
          <w:strike/>
          <w:sz w:val="18"/>
          <w:lang w:val="en-IE"/>
        </w:rPr>
        <w:t xml:space="preserve">Susceptible </w:t>
      </w:r>
      <w:r w:rsidRPr="00A17D4D">
        <w:rPr>
          <w:rFonts w:ascii="Söhne" w:eastAsia="Times New Roman" w:hAnsi="Söhne" w:cs="Times New Roman"/>
          <w:i/>
          <w:iCs/>
          <w:sz w:val="18"/>
          <w:szCs w:val="18"/>
          <w:lang w:val="en-IE"/>
        </w:rPr>
        <w:t xml:space="preserve">Species </w:t>
      </w:r>
      <w:r w:rsidRPr="00A17D4D">
        <w:rPr>
          <w:rFonts w:ascii="Söhne" w:eastAsia="Times New Roman" w:hAnsi="Söhne" w:cs="Times New Roman"/>
          <w:i/>
          <w:iCs/>
          <w:sz w:val="18"/>
          <w:szCs w:val="18"/>
          <w:u w:val="double"/>
          <w:lang w:val="en-IE"/>
        </w:rPr>
        <w:t>prone to clinical disease</w:t>
      </w:r>
    </w:p>
    <w:p w14:paraId="784E34E4"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Depending on a range of factors, the foci of infection in crayfish may be seen by the naked eye or may not be discernible despite careful examination. Infection foci are best viewed under a low power stereo microscope and are recognisable by localised whitening of the muscle beneath the cuticle. In some cases, a brown colouration of cuticle and muscle may occur, or hyphae may be visible in infected cuticles in the form of fine brown (melanised) tracks in the cuticle. Sites for examination include the intersternal soft ventral cuticle of the abdomen and tail, the cuticle of the perianal region, the cuticle between the carapace and abdomen, the joints of the pereiopods (walking legs), particularly the proximal joint, eyestalks and finally the gills.</w:t>
      </w:r>
    </w:p>
    <w:p w14:paraId="6B500344" w14:textId="77777777" w:rsidR="00A17D4D" w:rsidRPr="00A17D4D" w:rsidRDefault="00A17D4D" w:rsidP="00A17D4D">
      <w:pPr>
        <w:spacing w:after="120" w:line="240" w:lineRule="auto"/>
        <w:ind w:left="851"/>
        <w:jc w:val="both"/>
        <w:rPr>
          <w:rFonts w:ascii="Söhne" w:eastAsia="Times New Roman" w:hAnsi="Söhne" w:cs="Times New Roman"/>
          <w:bCs/>
          <w:i/>
          <w:iCs/>
          <w:sz w:val="18"/>
          <w:lang w:val="en-IE"/>
        </w:rPr>
      </w:pPr>
      <w:r w:rsidRPr="00A17D4D">
        <w:rPr>
          <w:rFonts w:ascii="Söhne" w:eastAsia="Times New Roman" w:hAnsi="Söhne" w:cs="Times New Roman"/>
          <w:bCs/>
          <w:i/>
          <w:iCs/>
          <w:sz w:val="18"/>
          <w:lang w:val="en-IE"/>
        </w:rPr>
        <w:t>North American crayfish species</w:t>
      </w:r>
    </w:p>
    <w:p w14:paraId="779A2C07"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rPr>
      </w:pPr>
      <w:r w:rsidRPr="00A17D4D">
        <w:rPr>
          <w:rFonts w:ascii="Söhne" w:eastAsia="Times New Roman" w:hAnsi="Söhne" w:cs="Times New Roman"/>
          <w:sz w:val="18"/>
          <w:szCs w:val="18"/>
          <w:lang w:val="en-IE"/>
        </w:rPr>
        <w:t xml:space="preserve">Infected North American crayfish </w:t>
      </w:r>
      <w:r w:rsidRPr="00A17D4D">
        <w:rPr>
          <w:rFonts w:ascii="Söhne" w:eastAsia="Times New Roman" w:hAnsi="Söhne" w:cs="Times New Roman"/>
          <w:sz w:val="18"/>
          <w:szCs w:val="18"/>
          <w:u w:val="double"/>
          <w:lang w:val="en-IE"/>
        </w:rPr>
        <w:t>do not usually show signs of disease</w:t>
      </w:r>
      <w:r w:rsidRPr="00A17D4D">
        <w:rPr>
          <w:rFonts w:ascii="Söhne" w:eastAsia="Times New Roman" w:hAnsi="Söhne" w:cs="Times New Roman"/>
          <w:strike/>
          <w:sz w:val="18"/>
          <w:szCs w:val="18"/>
          <w:lang w:val="en-IE"/>
        </w:rPr>
        <w:t xml:space="preserve"> can sometimes show melanised spots in their soft cuticle, for example, the soft abdominal cuticle and joints. These melanisations can be caused by mechanical injuries or infections with other water moulds and are non-specific</w:t>
      </w:r>
      <w:r w:rsidRPr="00A17D4D">
        <w:rPr>
          <w:rFonts w:ascii="Söhne" w:eastAsia="Times New Roman" w:hAnsi="Söhne" w:cs="Times New Roman"/>
          <w:sz w:val="18"/>
          <w:szCs w:val="18"/>
          <w:lang w:val="en-IE"/>
        </w:rPr>
        <w:t>. However, populations with high levels of infection can show abnormally high levels of cuticular damage in individual animals, such as missing legs and claws due to deteriorated joints.</w:t>
      </w:r>
    </w:p>
    <w:p w14:paraId="70981122"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2.3.4.</w:t>
      </w:r>
      <w:r w:rsidRPr="00A17D4D">
        <w:rPr>
          <w:rFonts w:ascii="Söhne Kräftig" w:eastAsia="Times New Roman" w:hAnsi="Söhne Kräftig" w:cs="Times New Roman"/>
          <w:bCs/>
          <w:sz w:val="20"/>
          <w:lang w:val="en-GB" w:eastAsia="fr-FR"/>
        </w:rPr>
        <w:tab/>
        <w:t>Modes of transmission and life cycle</w:t>
      </w:r>
    </w:p>
    <w:p w14:paraId="14D64AA7" w14:textId="77777777" w:rsidR="00A17D4D" w:rsidRPr="00A17D4D" w:rsidRDefault="00A17D4D" w:rsidP="00A17D4D">
      <w:pPr>
        <w:spacing w:after="240" w:line="240" w:lineRule="auto"/>
        <w:ind w:left="851"/>
        <w:jc w:val="both"/>
        <w:rPr>
          <w:rFonts w:ascii="Söhne" w:eastAsia="Times New Roman" w:hAnsi="Söhne" w:cs="Times New Roman"/>
          <w:bCs/>
          <w:strike/>
          <w:sz w:val="18"/>
          <w:lang w:val="en-IE"/>
        </w:rPr>
      </w:pPr>
      <w:r w:rsidRPr="00A17D4D">
        <w:rPr>
          <w:rFonts w:ascii="Söhne" w:eastAsia="Times New Roman" w:hAnsi="Söhne" w:cs="Times New Roman"/>
          <w:bCs/>
          <w:strike/>
          <w:sz w:val="18"/>
          <w:lang w:val="en-IE"/>
        </w:rPr>
        <w:t xml:space="preserve">The main routes of spread of the pathogen are through 1) movement of infected crayfish, 2) movement of spores with contaminated water or equipment, as may occur during movements of finfish, or 3) through colonisation of habitats by invasive North American crayfish species. </w:t>
      </w:r>
    </w:p>
    <w:p w14:paraId="7BFAA189" w14:textId="77777777" w:rsidR="00A17D4D" w:rsidRPr="00A17D4D" w:rsidRDefault="00A17D4D" w:rsidP="00A17D4D">
      <w:pPr>
        <w:spacing w:after="240" w:line="240" w:lineRule="auto"/>
        <w:ind w:left="851"/>
        <w:jc w:val="both"/>
        <w:rPr>
          <w:rFonts w:ascii="Söhne" w:eastAsia="Times New Roman" w:hAnsi="Söhne" w:cs="Times New Roman"/>
          <w:bCs/>
          <w:strike/>
          <w:sz w:val="18"/>
          <w:lang w:val="en-IE"/>
        </w:rPr>
      </w:pPr>
      <w:r w:rsidRPr="00A17D4D">
        <w:rPr>
          <w:rFonts w:ascii="Söhne" w:eastAsia="Times New Roman" w:hAnsi="Söhne" w:cs="Times New Roman"/>
          <w:bCs/>
          <w:strike/>
          <w:sz w:val="18"/>
          <w:lang w:val="en-IE"/>
        </w:rPr>
        <w:t xml:space="preserve">The main route of spread of </w:t>
      </w:r>
      <w:r w:rsidRPr="00A17D4D">
        <w:rPr>
          <w:rFonts w:ascii="Söhne" w:eastAsia="Times New Roman" w:hAnsi="Söhne" w:cs="Times New Roman"/>
          <w:bCs/>
          <w:i/>
          <w:iCs/>
          <w:strike/>
          <w:sz w:val="18"/>
          <w:lang w:val="en-IE"/>
        </w:rPr>
        <w:t>A. astaci</w:t>
      </w:r>
      <w:r w:rsidRPr="00A17D4D">
        <w:rPr>
          <w:rFonts w:ascii="Söhne" w:eastAsia="Times New Roman" w:hAnsi="Söhne" w:cs="Times New Roman"/>
          <w:bCs/>
          <w:strike/>
          <w:sz w:val="18"/>
          <w:lang w:val="en-IE"/>
        </w:rPr>
        <w:t xml:space="preserve"> in Europe between the 1960s and 2000 was through the active stocking of North American crayfish into the wild or escapes from crayfish farms. Subsequent spread occurs through expanding populations of invasive North American crayfish, accidental co-transport of specimens, and release of North American crayfish into the wild by private individuals (Holdich </w:t>
      </w:r>
      <w:r w:rsidRPr="00A17D4D">
        <w:rPr>
          <w:rFonts w:ascii="Söhne" w:eastAsia="Times New Roman" w:hAnsi="Söhne" w:cs="Times New Roman"/>
          <w:bCs/>
          <w:i/>
          <w:iCs/>
          <w:strike/>
          <w:sz w:val="18"/>
          <w:lang w:val="en-IE"/>
        </w:rPr>
        <w:t>et al.,</w:t>
      </w:r>
      <w:r w:rsidRPr="00A17D4D">
        <w:rPr>
          <w:rFonts w:ascii="Söhne" w:eastAsia="Times New Roman" w:hAnsi="Söhne" w:cs="Times New Roman"/>
          <w:bCs/>
          <w:strike/>
          <w:sz w:val="18"/>
          <w:lang w:val="en-IE"/>
        </w:rPr>
        <w:t xml:space="preserve"> 2009). </w:t>
      </w:r>
    </w:p>
    <w:p w14:paraId="5913FFCD"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Transmission from crayfish to crayfish occurs through the release of zoospores from an infected animal and attachment of the zoospores to naïve crayfish. The life cycle of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rPr>
        <w:t xml:space="preserve"> is simple with vegetative hyphae invading and ramifying through host tissues, eventually producing extramatrical sporangia that release amoeboid primary spores. These initially encyst, but then release a biflagellate zoospore (secondary zoospore). Biflagellate zoospores swim in the water column and, on encountering a susceptible host, attach and germinate to produce invasive vegetative hyphae. The zoospores of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rPr>
        <w:t xml:space="preserve"> swim actively in the water column and have been demonstrated to show positive chemotaxis towards </w:t>
      </w:r>
      <w:r w:rsidRPr="00A17D4D">
        <w:rPr>
          <w:rFonts w:ascii="Söhne" w:eastAsia="Times New Roman" w:hAnsi="Söhne" w:cs="Times New Roman"/>
          <w:bCs/>
          <w:sz w:val="18"/>
          <w:szCs w:val="18"/>
          <w:lang w:val="en-IE"/>
        </w:rPr>
        <w:t>crayfish (Cerenius &amp; Söderhäll, 1984). Zoospor</w:t>
      </w:r>
      <w:r w:rsidRPr="00A17D4D">
        <w:rPr>
          <w:rFonts w:ascii="Söhne" w:eastAsia="Times New Roman" w:hAnsi="Söhne" w:cs="Times New Roman"/>
          <w:bCs/>
          <w:sz w:val="18"/>
          <w:lang w:val="en-IE"/>
        </w:rPr>
        <w:t>es are capable of repeated encystment and re-emergence, extending the period of their infectivity (Soderhall &amp; Cerenius 1999). Growth and sporulation capacity is strain-and temperature-dependent (</w:t>
      </w:r>
      <w:r w:rsidRPr="00A17D4D">
        <w:rPr>
          <w:rFonts w:ascii="Söhne" w:eastAsia="Times New Roman" w:hAnsi="Söhne" w:cs="Times New Roman"/>
          <w:bCs/>
          <w:snapToGrid w:val="0"/>
          <w:sz w:val="18"/>
          <w:lang w:val="en-IE"/>
        </w:rPr>
        <w:t xml:space="preserve">Dieguez-Uribeondo </w:t>
      </w:r>
      <w:r w:rsidRPr="00A17D4D">
        <w:rPr>
          <w:rFonts w:ascii="Söhne" w:eastAsia="Times New Roman" w:hAnsi="Söhne" w:cs="Times New Roman"/>
          <w:bCs/>
          <w:i/>
          <w:snapToGrid w:val="0"/>
          <w:sz w:val="18"/>
          <w:lang w:val="en-IE"/>
        </w:rPr>
        <w:t>et al</w:t>
      </w:r>
      <w:r w:rsidRPr="00A17D4D">
        <w:rPr>
          <w:rFonts w:ascii="Söhne" w:eastAsia="Times New Roman" w:hAnsi="Söhne" w:cs="Times New Roman"/>
          <w:bCs/>
          <w:snapToGrid w:val="0"/>
          <w:sz w:val="18"/>
          <w:lang w:val="en-IE"/>
        </w:rPr>
        <w:t>., 1995</w:t>
      </w:r>
      <w:r w:rsidRPr="00A17D4D">
        <w:rPr>
          <w:rFonts w:ascii="Söhne" w:eastAsia="Times New Roman" w:hAnsi="Söhne" w:cs="Times New Roman"/>
          <w:bCs/>
          <w:sz w:val="18"/>
          <w:lang w:val="en-IE"/>
        </w:rPr>
        <w:t>).</w:t>
      </w:r>
    </w:p>
    <w:p w14:paraId="6F493F33" w14:textId="77777777" w:rsidR="00A17D4D" w:rsidRPr="00A17D4D" w:rsidRDefault="00A17D4D" w:rsidP="00A17D4D">
      <w:pPr>
        <w:spacing w:after="240" w:line="240" w:lineRule="auto"/>
        <w:ind w:left="851"/>
        <w:jc w:val="both"/>
        <w:rPr>
          <w:rFonts w:ascii="Söhne" w:eastAsia="Times New Roman" w:hAnsi="Söhne" w:cs="Times New Roman"/>
          <w:bCs/>
          <w:sz w:val="18"/>
          <w:u w:val="double"/>
          <w:lang w:val="en-IE"/>
        </w:rPr>
      </w:pPr>
      <w:r w:rsidRPr="00A17D4D">
        <w:rPr>
          <w:rFonts w:ascii="Söhne" w:eastAsia="Times New Roman" w:hAnsi="Söhne" w:cs="Times New Roman"/>
          <w:bCs/>
          <w:sz w:val="18"/>
          <w:u w:val="double"/>
          <w:lang w:val="en-IE"/>
        </w:rPr>
        <w:t xml:space="preserve">The main routes of spread of the pathogen are through 1) movement of infected crayfish, 2) movement of spores with contaminated water or equipment, or 3) through colonisation of non-native habitats by invasive North American crayfish species. </w:t>
      </w:r>
    </w:p>
    <w:p w14:paraId="680A7EA9" w14:textId="77777777" w:rsidR="00A17D4D" w:rsidRPr="00A17D4D" w:rsidRDefault="00A17D4D" w:rsidP="00A17D4D">
      <w:pPr>
        <w:spacing w:after="240" w:line="240" w:lineRule="auto"/>
        <w:ind w:left="851"/>
        <w:jc w:val="both"/>
        <w:rPr>
          <w:rFonts w:ascii="Söhne" w:eastAsia="Times New Roman" w:hAnsi="Söhne" w:cs="Times New Roman"/>
          <w:bCs/>
          <w:sz w:val="18"/>
          <w:u w:val="double"/>
          <w:lang w:val="en-IE"/>
        </w:rPr>
      </w:pPr>
      <w:r w:rsidRPr="00A17D4D">
        <w:rPr>
          <w:rFonts w:ascii="Söhne" w:eastAsia="Times New Roman" w:hAnsi="Söhne" w:cs="Times New Roman"/>
          <w:bCs/>
          <w:sz w:val="18"/>
          <w:u w:val="double"/>
          <w:lang w:val="en-IE"/>
        </w:rPr>
        <w:t xml:space="preserve">The main route of spread of </w:t>
      </w:r>
      <w:r w:rsidRPr="00A17D4D">
        <w:rPr>
          <w:rFonts w:ascii="Söhne" w:eastAsia="Times New Roman" w:hAnsi="Söhne" w:cs="Times New Roman"/>
          <w:bCs/>
          <w:i/>
          <w:iCs/>
          <w:sz w:val="18"/>
          <w:u w:val="double"/>
          <w:lang w:val="en-IE"/>
        </w:rPr>
        <w:t>A. astaci</w:t>
      </w:r>
      <w:r w:rsidRPr="00A17D4D">
        <w:rPr>
          <w:rFonts w:ascii="Söhne" w:eastAsia="Times New Roman" w:hAnsi="Söhne" w:cs="Times New Roman"/>
          <w:bCs/>
          <w:sz w:val="18"/>
          <w:u w:val="double"/>
          <w:lang w:val="en-IE"/>
        </w:rPr>
        <w:t xml:space="preserve"> in Europe between the 1960s and 2000 was through the active stocking of North American crayfish into the wild or escapes from crayfish farms. Subsequent spread occurred through expanding populations of invasive North American crayfish, accidental co-transport of specimens, and release of North American crayfish into the wild by private individuals (Holdich </w:t>
      </w:r>
      <w:r w:rsidRPr="00A17D4D">
        <w:rPr>
          <w:rFonts w:ascii="Söhne" w:eastAsia="Times New Roman" w:hAnsi="Söhne" w:cs="Times New Roman"/>
          <w:bCs/>
          <w:i/>
          <w:iCs/>
          <w:sz w:val="18"/>
          <w:u w:val="double"/>
          <w:lang w:val="en-IE"/>
        </w:rPr>
        <w:t>et al.,</w:t>
      </w:r>
      <w:r w:rsidRPr="00A17D4D">
        <w:rPr>
          <w:rFonts w:ascii="Söhne" w:eastAsia="Times New Roman" w:hAnsi="Söhne" w:cs="Times New Roman"/>
          <w:bCs/>
          <w:sz w:val="18"/>
          <w:u w:val="double"/>
          <w:lang w:val="en-IE"/>
        </w:rPr>
        <w:t xml:space="preserve"> 2009). </w:t>
      </w:r>
    </w:p>
    <w:p w14:paraId="75AA1267" w14:textId="77777777" w:rsidR="00A17D4D" w:rsidRPr="00A17D4D" w:rsidRDefault="00A17D4D" w:rsidP="00A17D4D">
      <w:pPr>
        <w:spacing w:after="240" w:line="240" w:lineRule="auto"/>
        <w:ind w:left="851"/>
        <w:jc w:val="both"/>
        <w:rPr>
          <w:rFonts w:ascii="Söhne" w:eastAsia="Times New Roman" w:hAnsi="Söhne" w:cs="Times New Roman"/>
          <w:sz w:val="18"/>
          <w:szCs w:val="18"/>
          <w:u w:val="double"/>
          <w:lang w:val="en-IE" w:eastAsia="fr-FR"/>
        </w:rPr>
      </w:pPr>
      <w:r w:rsidRPr="00A17D4D">
        <w:rPr>
          <w:rFonts w:ascii="Söhne" w:eastAsia="Times New Roman" w:hAnsi="Söhne" w:cs="Times New Roman"/>
          <w:sz w:val="18"/>
          <w:szCs w:val="18"/>
          <w:u w:val="double"/>
          <w:lang w:val="en-IE"/>
        </w:rPr>
        <w:lastRenderedPageBreak/>
        <w:t xml:space="preserve">Transportation of finfish may facilitate the spread of </w:t>
      </w:r>
      <w:r w:rsidRPr="00A17D4D">
        <w:rPr>
          <w:rFonts w:ascii="Söhne" w:eastAsia="Times New Roman" w:hAnsi="Söhne" w:cs="Times New Roman"/>
          <w:i/>
          <w:iCs/>
          <w:sz w:val="18"/>
          <w:szCs w:val="18"/>
          <w:u w:val="double"/>
          <w:lang w:val="en-IE"/>
        </w:rPr>
        <w:t>A. astaci</w:t>
      </w:r>
      <w:r w:rsidRPr="00A17D4D">
        <w:rPr>
          <w:rFonts w:ascii="Söhne" w:eastAsia="Times New Roman" w:hAnsi="Söhne" w:cs="Times New Roman"/>
          <w:sz w:val="18"/>
          <w:szCs w:val="18"/>
          <w:u w:val="double"/>
          <w:lang w:val="en-IE"/>
        </w:rPr>
        <w:t xml:space="preserve"> through the presence of spores in the transport water or co-transport of infected crayfish specimens (Alderman </w:t>
      </w:r>
      <w:r w:rsidRPr="00A17D4D">
        <w:rPr>
          <w:rFonts w:ascii="Söhne" w:eastAsia="Times New Roman" w:hAnsi="Söhne" w:cs="Times New Roman"/>
          <w:i/>
          <w:iCs/>
          <w:sz w:val="18"/>
          <w:szCs w:val="18"/>
          <w:u w:val="double"/>
          <w:lang w:val="en-IE"/>
        </w:rPr>
        <w:t>et al</w:t>
      </w:r>
      <w:r w:rsidRPr="00A17D4D">
        <w:rPr>
          <w:rFonts w:ascii="Söhne" w:eastAsia="Times New Roman" w:hAnsi="Söhne" w:cs="Times New Roman"/>
          <w:sz w:val="18"/>
          <w:szCs w:val="18"/>
          <w:u w:val="double"/>
          <w:lang w:val="en-IE"/>
        </w:rPr>
        <w:t xml:space="preserve">., 1987; Oidtmann </w:t>
      </w:r>
      <w:r w:rsidRPr="00A17D4D">
        <w:rPr>
          <w:rFonts w:ascii="Söhne" w:eastAsia="Times New Roman" w:hAnsi="Söhne" w:cs="Times New Roman"/>
          <w:i/>
          <w:iCs/>
          <w:sz w:val="18"/>
          <w:szCs w:val="18"/>
          <w:u w:val="double"/>
          <w:lang w:val="en-IE"/>
        </w:rPr>
        <w:t>et al</w:t>
      </w:r>
      <w:r w:rsidRPr="00A17D4D">
        <w:rPr>
          <w:rFonts w:ascii="Söhne" w:eastAsia="Times New Roman" w:hAnsi="Söhne" w:cs="Times New Roman"/>
          <w:sz w:val="18"/>
          <w:szCs w:val="18"/>
          <w:u w:val="double"/>
          <w:lang w:val="en-IE"/>
        </w:rPr>
        <w:t>., 2002). There is also circumstantial evidence of spread by contaminated equipment (</w:t>
      </w:r>
      <w:proofErr w:type="gramStart"/>
      <w:r w:rsidRPr="00A17D4D">
        <w:rPr>
          <w:rFonts w:ascii="Söhne" w:eastAsia="Times New Roman" w:hAnsi="Söhne" w:cs="Times New Roman"/>
          <w:sz w:val="18"/>
          <w:szCs w:val="18"/>
          <w:u w:val="double"/>
          <w:lang w:val="en-IE"/>
        </w:rPr>
        <w:t>e.g.</w:t>
      </w:r>
      <w:proofErr w:type="gramEnd"/>
      <w:r w:rsidRPr="00A17D4D">
        <w:rPr>
          <w:rFonts w:ascii="Söhne" w:eastAsia="Times New Roman" w:hAnsi="Söhne" w:cs="Times New Roman"/>
          <w:sz w:val="18"/>
          <w:szCs w:val="18"/>
          <w:u w:val="double"/>
          <w:lang w:val="en-IE"/>
        </w:rPr>
        <w:t xml:space="preserve"> nets, boots, clothing, traps) (Alderman </w:t>
      </w:r>
      <w:r w:rsidRPr="00A17D4D">
        <w:rPr>
          <w:rFonts w:ascii="Söhne" w:eastAsia="Times New Roman" w:hAnsi="Söhne" w:cs="Times New Roman"/>
          <w:i/>
          <w:iCs/>
          <w:sz w:val="18"/>
          <w:szCs w:val="18"/>
          <w:u w:val="double"/>
          <w:lang w:val="en-IE"/>
        </w:rPr>
        <w:t>et al</w:t>
      </w:r>
      <w:r w:rsidRPr="00A17D4D">
        <w:rPr>
          <w:rFonts w:ascii="Söhne" w:eastAsia="Times New Roman" w:hAnsi="Söhne" w:cs="Times New Roman"/>
          <w:sz w:val="18"/>
          <w:szCs w:val="18"/>
          <w:u w:val="double"/>
          <w:lang w:val="en-IE"/>
        </w:rPr>
        <w:t xml:space="preserve">., 1987). </w:t>
      </w:r>
    </w:p>
    <w:p w14:paraId="1890E0AC"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2.3.5.</w:t>
      </w:r>
      <w:r w:rsidRPr="00A17D4D">
        <w:rPr>
          <w:rFonts w:ascii="Söhne Kräftig" w:eastAsia="Times New Roman" w:hAnsi="Söhne Kräftig" w:cs="Times New Roman"/>
          <w:bCs/>
          <w:sz w:val="20"/>
          <w:lang w:val="en-GB" w:eastAsia="fr-FR"/>
        </w:rPr>
        <w:tab/>
        <w:t xml:space="preserve">Environmental factors </w:t>
      </w:r>
    </w:p>
    <w:p w14:paraId="0907E5A7"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 xml:space="preserve">Under laboratory conditions, the preferred temperature range at which the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eastAsia="fr-FR"/>
        </w:rPr>
        <w:t xml:space="preserve"> mycelium grows varies slightly depending on the strain. In a study, which compared several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eastAsia="fr-FR"/>
        </w:rPr>
        <w:t xml:space="preserve"> strains that had been isolated from a variety of crayfish species, mycelial growth was observed between 4 and 29.5°C, with the strain isolated from </w:t>
      </w:r>
      <w:r w:rsidRPr="00A17D4D">
        <w:rPr>
          <w:rFonts w:ascii="Söhne" w:eastAsia="Times New Roman" w:hAnsi="Söhne" w:cs="Times New Roman"/>
          <w:bCs/>
          <w:i/>
          <w:sz w:val="18"/>
          <w:lang w:val="en-IE"/>
        </w:rPr>
        <w:t>Procambarus clarkii</w:t>
      </w:r>
      <w:r w:rsidRPr="00A17D4D">
        <w:rPr>
          <w:rFonts w:ascii="Söhne" w:eastAsia="Times New Roman" w:hAnsi="Söhne" w:cs="Times New Roman"/>
          <w:bCs/>
          <w:sz w:val="18"/>
          <w:lang w:val="en-IE" w:eastAsia="fr-FR"/>
        </w:rPr>
        <w:t xml:space="preserve"> growing better at higher temperatures compared to the other strains. Sporulation efficiency was similarly high for all strains tested between 4 and 20°C, but it was clearly reduced for the non-</w:t>
      </w:r>
      <w:r w:rsidRPr="00A17D4D">
        <w:rPr>
          <w:rFonts w:ascii="Söhne" w:eastAsia="Times New Roman" w:hAnsi="Söhne" w:cs="Times New Roman"/>
          <w:bCs/>
          <w:i/>
          <w:sz w:val="18"/>
          <w:lang w:val="en-IE"/>
        </w:rPr>
        <w:t>P. clarkii</w:t>
      </w:r>
      <w:r w:rsidRPr="00A17D4D">
        <w:rPr>
          <w:rFonts w:ascii="Söhne" w:eastAsia="Times New Roman" w:hAnsi="Söhne" w:cs="Times New Roman"/>
          <w:bCs/>
          <w:sz w:val="18"/>
          <w:lang w:val="en-IE" w:eastAsia="fr-FR"/>
        </w:rPr>
        <w:t xml:space="preserve"> strains at 25°C and absent at 27°C. In contrast, sporulation still occurred in the </w:t>
      </w:r>
      <w:r w:rsidRPr="00A17D4D">
        <w:rPr>
          <w:rFonts w:ascii="Söhne" w:eastAsia="Times New Roman" w:hAnsi="Söhne" w:cs="Times New Roman"/>
          <w:bCs/>
          <w:i/>
          <w:sz w:val="18"/>
          <w:lang w:val="en-IE"/>
        </w:rPr>
        <w:t>P. clarkii</w:t>
      </w:r>
      <w:r w:rsidRPr="00A17D4D">
        <w:rPr>
          <w:rFonts w:ascii="Söhne" w:eastAsia="Times New Roman" w:hAnsi="Söhne" w:cs="Times New Roman"/>
          <w:bCs/>
          <w:sz w:val="18"/>
          <w:lang w:val="en-IE" w:eastAsia="fr-FR"/>
        </w:rPr>
        <w:t xml:space="preserve"> strain at 27°C. The proportion of motile zoospores (out of all zoospores observed in a zoospore suspension) was almost 100% at temperatures ranging from 4–18°C, reduced to about 60% at 20°C and about 20% at 25°C in all but the </w:t>
      </w:r>
      <w:r w:rsidRPr="00A17D4D">
        <w:rPr>
          <w:rFonts w:ascii="Söhne" w:eastAsia="Times New Roman" w:hAnsi="Söhne" w:cs="Times New Roman"/>
          <w:bCs/>
          <w:i/>
          <w:sz w:val="18"/>
          <w:lang w:val="en-IE"/>
        </w:rPr>
        <w:t>P. clarkii</w:t>
      </w:r>
      <w:r w:rsidRPr="00A17D4D">
        <w:rPr>
          <w:rFonts w:ascii="Söhne" w:eastAsia="Times New Roman" w:hAnsi="Söhne" w:cs="Times New Roman"/>
          <w:bCs/>
          <w:sz w:val="18"/>
          <w:lang w:val="en-IE" w:eastAsia="fr-FR"/>
        </w:rPr>
        <w:t xml:space="preserve"> strain. In the </w:t>
      </w:r>
      <w:r w:rsidRPr="00A17D4D">
        <w:rPr>
          <w:rFonts w:ascii="Söhne" w:eastAsia="Times New Roman" w:hAnsi="Söhne" w:cs="Times New Roman"/>
          <w:bCs/>
          <w:i/>
          <w:sz w:val="18"/>
          <w:lang w:val="en-IE"/>
        </w:rPr>
        <w:t>P. clarkii</w:t>
      </w:r>
      <w:r w:rsidRPr="00A17D4D">
        <w:rPr>
          <w:rFonts w:ascii="Söhne" w:eastAsia="Times New Roman" w:hAnsi="Söhne" w:cs="Times New Roman"/>
          <w:bCs/>
          <w:sz w:val="18"/>
          <w:lang w:val="en-IE" w:eastAsia="fr-FR"/>
        </w:rPr>
        <w:t xml:space="preserve"> strain, 80% of the zoospores were still motile at 25°C, but no motile spores were found at 27°C (</w:t>
      </w:r>
      <w:r w:rsidRPr="00A17D4D">
        <w:rPr>
          <w:rFonts w:ascii="Söhne" w:eastAsia="Times New Roman" w:hAnsi="Söhne" w:cs="Times New Roman"/>
          <w:bCs/>
          <w:snapToGrid w:val="0"/>
          <w:sz w:val="18"/>
          <w:lang w:val="en-IE"/>
        </w:rPr>
        <w:t xml:space="preserve">Dieguez-Uribeondo </w:t>
      </w:r>
      <w:r w:rsidRPr="00A17D4D">
        <w:rPr>
          <w:rFonts w:ascii="Söhne" w:eastAsia="Times New Roman" w:hAnsi="Söhne" w:cs="Times New Roman"/>
          <w:bCs/>
          <w:i/>
          <w:snapToGrid w:val="0"/>
          <w:sz w:val="18"/>
          <w:lang w:val="en-IE"/>
        </w:rPr>
        <w:t>et al</w:t>
      </w:r>
      <w:r w:rsidRPr="00A17D4D">
        <w:rPr>
          <w:rFonts w:ascii="Söhne" w:eastAsia="Times New Roman" w:hAnsi="Söhne" w:cs="Times New Roman"/>
          <w:bCs/>
          <w:snapToGrid w:val="0"/>
          <w:sz w:val="18"/>
          <w:lang w:val="en-IE"/>
        </w:rPr>
        <w:t>., 1995</w:t>
      </w:r>
      <w:r w:rsidRPr="00A17D4D">
        <w:rPr>
          <w:rFonts w:ascii="Söhne" w:eastAsia="Times New Roman" w:hAnsi="Söhne" w:cs="Times New Roman"/>
          <w:bCs/>
          <w:sz w:val="18"/>
          <w:lang w:val="en-IE" w:eastAsia="fr-FR"/>
        </w:rPr>
        <w:t xml:space="preserve">). </w:t>
      </w:r>
    </w:p>
    <w:p w14:paraId="0F01EFDE"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 xml:space="preserve">Field observations show that outbreaks of </w:t>
      </w:r>
      <w:r w:rsidRPr="00A17D4D">
        <w:rPr>
          <w:rFonts w:ascii="Söhne" w:eastAsia="Times New Roman" w:hAnsi="Söhne" w:cs="Times New Roman"/>
          <w:bCs/>
          <w:sz w:val="18"/>
          <w:lang w:val="en-IE"/>
        </w:rPr>
        <w:t xml:space="preserve">infection with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rPr>
        <w:t xml:space="preserve"> </w:t>
      </w:r>
      <w:r w:rsidRPr="00A17D4D">
        <w:rPr>
          <w:rFonts w:ascii="Söhne" w:eastAsia="Times New Roman" w:hAnsi="Söhne" w:cs="Times New Roman"/>
          <w:bCs/>
          <w:sz w:val="18"/>
          <w:lang w:val="en-IE" w:eastAsia="fr-FR"/>
        </w:rPr>
        <w:t xml:space="preserve">occur over a wide temperature range, and at least in the temperature range 4–20°C. The </w:t>
      </w:r>
      <w:r w:rsidRPr="00A17D4D">
        <w:rPr>
          <w:rFonts w:ascii="Söhne" w:eastAsia="Times New Roman" w:hAnsi="Söhne" w:cs="Times New Roman"/>
          <w:bCs/>
          <w:sz w:val="18"/>
          <w:lang w:val="en-IE"/>
        </w:rPr>
        <w:t xml:space="preserve">rate </w:t>
      </w:r>
      <w:r w:rsidRPr="00A17D4D">
        <w:rPr>
          <w:rFonts w:ascii="Söhne" w:eastAsia="Times New Roman" w:hAnsi="Söhne" w:cs="Times New Roman"/>
          <w:bCs/>
          <w:sz w:val="18"/>
          <w:lang w:val="en-IE" w:eastAsia="fr-FR"/>
        </w:rPr>
        <w:t xml:space="preserve">of spread within a population depends on several factors, including water temperature. In a temperature range between 4 and 16°C, the speed of an epizootic is enhanced by higher water temperatures. </w:t>
      </w:r>
    </w:p>
    <w:p w14:paraId="585BD3F7"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In buffered, redistilled water, sporulation occurs between pH 5 and 8, with the optimal range being pH 5–7. The optimal pH range for swimming of zoospores appears to be pH 6.0–7.5, with a maximum range between pH 4.5 and 9.0 (</w:t>
      </w:r>
      <w:r w:rsidRPr="00A17D4D">
        <w:rPr>
          <w:rFonts w:ascii="Söhne" w:eastAsia="Times New Roman" w:hAnsi="Söhne" w:cs="Times New Roman"/>
          <w:bCs/>
          <w:sz w:val="18"/>
          <w:szCs w:val="18"/>
          <w:lang w:val="en-IE"/>
        </w:rPr>
        <w:t>Unestam, 1966</w:t>
      </w:r>
      <w:r w:rsidRPr="00A17D4D">
        <w:rPr>
          <w:rFonts w:ascii="Söhne" w:eastAsia="Times New Roman" w:hAnsi="Söhne" w:cs="Times New Roman"/>
          <w:bCs/>
          <w:sz w:val="18"/>
          <w:lang w:val="en-IE" w:eastAsia="fr-FR"/>
        </w:rPr>
        <w:t xml:space="preserve">). </w:t>
      </w:r>
    </w:p>
    <w:p w14:paraId="55DF8D09"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Zoospore emergence is influenced by the presence of certain salts in the water. CaCl</w:t>
      </w:r>
      <w:r w:rsidRPr="00A17D4D">
        <w:rPr>
          <w:rFonts w:ascii="Söhne" w:eastAsia="Times New Roman" w:hAnsi="Söhne" w:cs="Times New Roman"/>
          <w:bCs/>
          <w:i/>
          <w:sz w:val="18"/>
          <w:szCs w:val="14"/>
          <w:vertAlign w:val="subscript"/>
          <w:lang w:val="en-IE" w:eastAsia="fr-FR"/>
        </w:rPr>
        <w:t>2</w:t>
      </w:r>
      <w:r w:rsidRPr="00A17D4D">
        <w:rPr>
          <w:rFonts w:ascii="Söhne" w:eastAsia="Times New Roman" w:hAnsi="Söhne" w:cs="Times New Roman"/>
          <w:bCs/>
          <w:sz w:val="18"/>
          <w:lang w:val="en-IE" w:eastAsia="fr-FR"/>
        </w:rPr>
        <w:t xml:space="preserve"> stimulates zoospore emergence from primary cysts, whereas MgCl</w:t>
      </w:r>
      <w:r w:rsidRPr="00A17D4D">
        <w:rPr>
          <w:rFonts w:ascii="Söhne" w:eastAsia="Times New Roman" w:hAnsi="Söhne" w:cs="Times New Roman"/>
          <w:bCs/>
          <w:i/>
          <w:sz w:val="18"/>
          <w:szCs w:val="14"/>
          <w:vertAlign w:val="subscript"/>
          <w:lang w:val="en-IE" w:eastAsia="fr-FR"/>
        </w:rPr>
        <w:t>2</w:t>
      </w:r>
      <w:r w:rsidRPr="00A17D4D">
        <w:rPr>
          <w:rFonts w:ascii="Söhne" w:eastAsia="Times New Roman" w:hAnsi="Söhne" w:cs="Times New Roman"/>
          <w:bCs/>
          <w:sz w:val="18"/>
          <w:lang w:val="en-IE" w:eastAsia="fr-FR"/>
        </w:rPr>
        <w:t xml:space="preserve"> has an inhibitory effect. In general, zoospore emergence is triggered by transferring the vegetative mycelium into a medium where nutrients are absent or low in concentration (</w:t>
      </w:r>
      <w:r w:rsidRPr="00A17D4D">
        <w:rPr>
          <w:rFonts w:ascii="Söhne" w:eastAsia="Times New Roman" w:hAnsi="Söhne" w:cs="Times New Roman"/>
          <w:bCs/>
          <w:sz w:val="18"/>
          <w:szCs w:val="18"/>
          <w:lang w:val="en-IE"/>
        </w:rPr>
        <w:t xml:space="preserve">Cerenius </w:t>
      </w:r>
      <w:r w:rsidRPr="00A17D4D">
        <w:rPr>
          <w:rFonts w:ascii="Söhne" w:eastAsia="Times New Roman" w:hAnsi="Söhne" w:cs="Times New Roman"/>
          <w:bCs/>
          <w:i/>
          <w:iCs/>
          <w:sz w:val="18"/>
          <w:szCs w:val="18"/>
          <w:lang w:val="en-IE"/>
        </w:rPr>
        <w:t>et al</w:t>
      </w:r>
      <w:r w:rsidRPr="00A17D4D">
        <w:rPr>
          <w:rFonts w:ascii="Söhne" w:eastAsia="Times New Roman" w:hAnsi="Söhne" w:cs="Times New Roman"/>
          <w:bCs/>
          <w:sz w:val="18"/>
          <w:szCs w:val="18"/>
          <w:lang w:val="en-IE"/>
        </w:rPr>
        <w:t xml:space="preserve">., </w:t>
      </w:r>
      <w:r w:rsidRPr="00A17D4D">
        <w:rPr>
          <w:rFonts w:ascii="Söhne" w:eastAsia="Times New Roman" w:hAnsi="Söhne" w:cs="Times New Roman"/>
          <w:bCs/>
          <w:sz w:val="18"/>
          <w:lang w:val="en-IE"/>
        </w:rPr>
        <w:t>1988</w:t>
      </w:r>
      <w:r w:rsidRPr="00A17D4D">
        <w:rPr>
          <w:rFonts w:ascii="Söhne" w:eastAsia="Times New Roman" w:hAnsi="Söhne" w:cs="Times New Roman"/>
          <w:bCs/>
          <w:sz w:val="18"/>
          <w:lang w:val="en-IE" w:eastAsia="fr-FR"/>
        </w:rPr>
        <w:t>).</w:t>
      </w:r>
    </w:p>
    <w:p w14:paraId="7C327818"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2.3.6.</w:t>
      </w:r>
      <w:r w:rsidRPr="00A17D4D">
        <w:rPr>
          <w:rFonts w:ascii="Söhne Kräftig" w:eastAsia="Times New Roman" w:hAnsi="Söhne Kräftig" w:cs="Times New Roman"/>
          <w:bCs/>
          <w:sz w:val="20"/>
          <w:lang w:val="en-GB" w:eastAsia="fr-FR"/>
        </w:rPr>
        <w:tab/>
      </w:r>
      <w:bookmarkStart w:id="0" w:name="_Hlk85793512"/>
      <w:r w:rsidRPr="00A17D4D">
        <w:rPr>
          <w:rFonts w:ascii="Söhne Kräftig" w:eastAsia="Times New Roman" w:hAnsi="Söhne Kräftig" w:cs="Times New Roman"/>
          <w:bCs/>
          <w:sz w:val="20"/>
          <w:lang w:val="en-GB" w:eastAsia="fr-FR"/>
        </w:rPr>
        <w:t xml:space="preserve">Geographical </w:t>
      </w:r>
      <w:bookmarkEnd w:id="0"/>
      <w:r w:rsidRPr="00A17D4D">
        <w:rPr>
          <w:rFonts w:ascii="Söhne Kräftig" w:eastAsia="Times New Roman" w:hAnsi="Söhne Kräftig" w:cs="Times New Roman"/>
          <w:bCs/>
          <w:sz w:val="20"/>
          <w:lang w:val="en-GB" w:eastAsia="fr-FR"/>
        </w:rPr>
        <w:t>distribution</w:t>
      </w:r>
    </w:p>
    <w:p w14:paraId="37362B27"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In Europe the reports of large mortalities of crayfish go back to 1860. The reservoir of the original infections in the 19th century was never established. </w:t>
      </w:r>
      <w:r w:rsidRPr="00A17D4D">
        <w:rPr>
          <w:rFonts w:ascii="Söhne" w:eastAsia="Times New Roman" w:hAnsi="Söhne" w:cs="Times New Roman"/>
          <w:bCs/>
          <w:i/>
          <w:iCs/>
          <w:sz w:val="18"/>
          <w:lang w:val="en-IE"/>
        </w:rPr>
        <w:t>Faxonius</w:t>
      </w:r>
      <w:r w:rsidRPr="00A17D4D">
        <w:rPr>
          <w:rFonts w:ascii="Söhne" w:eastAsia="Times New Roman" w:hAnsi="Söhne" w:cs="Times New Roman"/>
          <w:bCs/>
          <w:sz w:val="18"/>
          <w:lang w:val="en-IE"/>
        </w:rPr>
        <w:t xml:space="preserve"> (</w:t>
      </w:r>
      <w:r w:rsidRPr="00A17D4D">
        <w:rPr>
          <w:rFonts w:ascii="Söhne" w:eastAsia="Times New Roman" w:hAnsi="Söhne" w:cs="Times New Roman"/>
          <w:bCs/>
          <w:i/>
          <w:sz w:val="18"/>
          <w:lang w:val="en-IE"/>
        </w:rPr>
        <w:t>Orconectes</w:t>
      </w:r>
      <w:r w:rsidRPr="00A17D4D">
        <w:rPr>
          <w:rFonts w:ascii="Söhne" w:eastAsia="Times New Roman" w:hAnsi="Söhne" w:cs="Times New Roman"/>
          <w:bCs/>
          <w:iCs/>
          <w:sz w:val="18"/>
          <w:lang w:val="en-IE"/>
        </w:rPr>
        <w:t xml:space="preserve">) </w:t>
      </w:r>
      <w:r w:rsidRPr="00A17D4D">
        <w:rPr>
          <w:rFonts w:ascii="Söhne" w:eastAsia="Times New Roman" w:hAnsi="Söhne" w:cs="Times New Roman"/>
          <w:bCs/>
          <w:sz w:val="18"/>
          <w:lang w:val="en-IE"/>
        </w:rPr>
        <w:t xml:space="preserve">spp. were not known to have been introduced into Europe until the 1890s, but the post-1960s extensions are largely linked to more recent introductions of North American crayfish for farming (Alderman, 1996; Holdich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2009). </w:t>
      </w:r>
      <w:r w:rsidRPr="00A17D4D">
        <w:rPr>
          <w:rFonts w:ascii="Söhne" w:eastAsia="Times New Roman" w:hAnsi="Söhne" w:cs="Times New Roman"/>
          <w:bCs/>
          <w:i/>
          <w:sz w:val="18"/>
          <w:lang w:val="en-IE"/>
        </w:rPr>
        <w:t>Pacifastacus leniusculus</w:t>
      </w:r>
      <w:r w:rsidRPr="00A17D4D">
        <w:rPr>
          <w:rFonts w:ascii="Söhne" w:eastAsia="Times New Roman" w:hAnsi="Söhne" w:cs="Times New Roman"/>
          <w:bCs/>
          <w:sz w:val="18"/>
          <w:lang w:val="en-IE"/>
        </w:rPr>
        <w:t xml:space="preserve"> and </w:t>
      </w:r>
      <w:r w:rsidRPr="00A17D4D">
        <w:rPr>
          <w:rFonts w:ascii="Söhne" w:eastAsia="Times New Roman" w:hAnsi="Söhne" w:cs="Times New Roman"/>
          <w:bCs/>
          <w:i/>
          <w:sz w:val="18"/>
          <w:lang w:val="en-IE"/>
        </w:rPr>
        <w:t>Procambarus clarkii</w:t>
      </w:r>
      <w:r w:rsidRPr="00A17D4D">
        <w:rPr>
          <w:rFonts w:ascii="Söhne" w:eastAsia="Times New Roman" w:hAnsi="Söhne" w:cs="Times New Roman"/>
          <w:bCs/>
          <w:sz w:val="18"/>
          <w:lang w:val="en-IE"/>
        </w:rPr>
        <w:t xml:space="preserve"> are now widely naturalised in many parts of Europe. </w:t>
      </w:r>
    </w:p>
    <w:p w14:paraId="34224984"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In recent years, crayfish plague has been reported in Asia and also in North- and South America (see </w:t>
      </w:r>
      <w:proofErr w:type="gramStart"/>
      <w:r w:rsidRPr="00A17D4D">
        <w:rPr>
          <w:rFonts w:ascii="Söhne" w:eastAsia="Times New Roman" w:hAnsi="Söhne" w:cs="Times New Roman"/>
          <w:bCs/>
          <w:sz w:val="18"/>
          <w:lang w:val="en-IE"/>
        </w:rPr>
        <w:t>e.g.</w:t>
      </w:r>
      <w:proofErr w:type="gramEnd"/>
      <w:r w:rsidRPr="00A17D4D">
        <w:rPr>
          <w:rFonts w:ascii="Söhne" w:eastAsia="Times New Roman" w:hAnsi="Söhne" w:cs="Times New Roman"/>
          <w:bCs/>
          <w:sz w:val="18"/>
          <w:lang w:val="en-IE"/>
        </w:rPr>
        <w:t xml:space="preserve"> references in Di Domenico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2021). The distribution of </w:t>
      </w:r>
      <w:r w:rsidRPr="00A17D4D">
        <w:rPr>
          <w:rFonts w:ascii="Söhne" w:eastAsia="Times New Roman" w:hAnsi="Söhne" w:cs="Times New Roman"/>
          <w:bCs/>
          <w:i/>
          <w:iCs/>
          <w:sz w:val="18"/>
          <w:lang w:val="en-IE"/>
        </w:rPr>
        <w:t>A. astaci</w:t>
      </w:r>
      <w:r w:rsidRPr="00A17D4D">
        <w:rPr>
          <w:rFonts w:ascii="Söhne" w:eastAsia="Times New Roman" w:hAnsi="Söhne" w:cs="Times New Roman"/>
          <w:bCs/>
          <w:sz w:val="18"/>
          <w:lang w:val="en-IE"/>
        </w:rPr>
        <w:t xml:space="preserve"> in North America is likely to be much wider than reported. </w:t>
      </w:r>
    </w:p>
    <w:p w14:paraId="226B1855"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eastAsia="fr-FR"/>
        </w:rPr>
      </w:pPr>
      <w:r w:rsidRPr="00A17D4D">
        <w:rPr>
          <w:rFonts w:ascii="Söhne" w:eastAsia="Times New Roman" w:hAnsi="Söhne" w:cs="Times New Roman"/>
          <w:strike/>
          <w:sz w:val="18"/>
          <w:szCs w:val="18"/>
          <w:lang w:val="en-IE"/>
        </w:rPr>
        <w:t xml:space="preserve">Any geographical area where North American crayfish species were introduced must be considered as potentially infected if not proven otherwise. Lack of clinical disease in these carrier species may hamper the reliability in reporting the infection. For the highly susceptible species, </w:t>
      </w:r>
      <w:r w:rsidRPr="00A17D4D">
        <w:rPr>
          <w:rFonts w:ascii="Söhne" w:eastAsia="Times New Roman" w:hAnsi="Söhne" w:cs="Times New Roman"/>
          <w:sz w:val="18"/>
          <w:szCs w:val="18"/>
          <w:lang w:val="en-IE" w:eastAsia="fr-FR"/>
        </w:rPr>
        <w:t>See WOAH WAHIS (</w:t>
      </w:r>
      <w:r w:rsidRPr="00A17D4D">
        <w:rPr>
          <w:rFonts w:ascii="Söhne" w:eastAsia="Times New Roman" w:hAnsi="Söhne" w:cs="Times New Roman"/>
          <w:color w:val="0000FF"/>
          <w:sz w:val="18"/>
          <w:szCs w:val="18"/>
          <w:u w:val="single"/>
          <w:lang w:val="en-IE"/>
        </w:rPr>
        <w:t>https://wahis.woah.org/#/home</w:t>
      </w:r>
      <w:r w:rsidRPr="00A17D4D">
        <w:rPr>
          <w:rFonts w:ascii="Söhne" w:eastAsia="Times New Roman" w:hAnsi="Söhne" w:cs="Times New Roman"/>
          <w:sz w:val="18"/>
          <w:szCs w:val="18"/>
          <w:lang w:val="en-IE" w:eastAsia="fr-FR"/>
        </w:rPr>
        <w:t xml:space="preserve">) for recent information on distribution at the country level. </w:t>
      </w:r>
      <w:r w:rsidRPr="00A17D4D">
        <w:rPr>
          <w:rFonts w:ascii="Söhne" w:eastAsia="Times New Roman" w:hAnsi="Söhne" w:cs="Times New Roman"/>
          <w:strike/>
          <w:sz w:val="18"/>
          <w:szCs w:val="18"/>
          <w:lang w:val="en-IE" w:eastAsia="fr-FR"/>
        </w:rPr>
        <w:t>However, even high mortalities can go unnoticed in wild populations.</w:t>
      </w:r>
    </w:p>
    <w:p w14:paraId="01914462"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2.4.</w:t>
      </w:r>
      <w:r w:rsidRPr="00A17D4D">
        <w:rPr>
          <w:rFonts w:ascii="Söhne Kräftig" w:eastAsia="MS Mincho" w:hAnsi="Söhne Kräftig" w:cs="Times New Roman"/>
          <w:sz w:val="21"/>
          <w:szCs w:val="20"/>
          <w:lang w:val="da-DK" w:eastAsia="da-DK"/>
        </w:rPr>
        <w:tab/>
        <w:t xml:space="preserve">Biosecurity and disease control strategies </w:t>
      </w:r>
    </w:p>
    <w:p w14:paraId="3CF90C5D"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2.4.1.</w:t>
      </w:r>
      <w:r w:rsidRPr="00A17D4D">
        <w:rPr>
          <w:rFonts w:ascii="Söhne Kräftig" w:eastAsia="Times New Roman" w:hAnsi="Söhne Kräftig" w:cs="Times New Roman"/>
          <w:bCs/>
          <w:sz w:val="20"/>
          <w:lang w:val="en-GB" w:eastAsia="fr-FR"/>
        </w:rPr>
        <w:tab/>
        <w:t>Vaccination</w:t>
      </w:r>
    </w:p>
    <w:p w14:paraId="395C1E6F"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rPr>
        <w:t>No vaccines are available.</w:t>
      </w:r>
    </w:p>
    <w:p w14:paraId="1E0854AE"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2.4.2.</w:t>
      </w:r>
      <w:r w:rsidRPr="00A17D4D">
        <w:rPr>
          <w:rFonts w:ascii="Söhne Kräftig" w:eastAsia="Times New Roman" w:hAnsi="Söhne Kräftig" w:cs="Times New Roman"/>
          <w:bCs/>
          <w:sz w:val="20"/>
          <w:lang w:val="en-GB" w:eastAsia="fr-FR"/>
        </w:rPr>
        <w:tab/>
        <w:t xml:space="preserve">Chemotherapy including blocking </w:t>
      </w:r>
      <w:proofErr w:type="gramStart"/>
      <w:r w:rsidRPr="00A17D4D">
        <w:rPr>
          <w:rFonts w:ascii="Söhne Kräftig" w:eastAsia="Times New Roman" w:hAnsi="Söhne Kräftig" w:cs="Times New Roman"/>
          <w:bCs/>
          <w:sz w:val="20"/>
          <w:lang w:val="en-GB" w:eastAsia="fr-FR"/>
        </w:rPr>
        <w:t>agents</w:t>
      </w:r>
      <w:proofErr w:type="gramEnd"/>
    </w:p>
    <w:p w14:paraId="40A54E35"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sz w:val="18"/>
          <w:szCs w:val="18"/>
          <w:lang w:val="en-IE"/>
        </w:rPr>
        <w:t>No treatments are currently known</w:t>
      </w:r>
      <w:r w:rsidRPr="00A17D4D">
        <w:rPr>
          <w:rFonts w:ascii="Söhne" w:eastAsia="Times New Roman" w:hAnsi="Söhne" w:cs="Times New Roman"/>
          <w:strike/>
          <w:sz w:val="18"/>
          <w:szCs w:val="18"/>
          <w:lang w:val="en-IE"/>
        </w:rPr>
        <w:t xml:space="preserve"> that can successfully treat the highly susceptible crayfish species, once infected</w:t>
      </w:r>
      <w:r w:rsidRPr="00A17D4D">
        <w:rPr>
          <w:rFonts w:ascii="Söhne" w:eastAsia="Times New Roman" w:hAnsi="Söhne" w:cs="Times New Roman"/>
          <w:sz w:val="18"/>
          <w:szCs w:val="18"/>
          <w:lang w:val="en-IE"/>
        </w:rPr>
        <w:t xml:space="preserve">. </w:t>
      </w:r>
    </w:p>
    <w:p w14:paraId="20B62D89"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2.4.3.</w:t>
      </w:r>
      <w:r w:rsidRPr="00A17D4D">
        <w:rPr>
          <w:rFonts w:ascii="Söhne Kräftig" w:eastAsia="Times New Roman" w:hAnsi="Söhne Kräftig" w:cs="Times New Roman"/>
          <w:bCs/>
          <w:sz w:val="20"/>
          <w:lang w:val="en-GB" w:eastAsia="fr-FR"/>
        </w:rPr>
        <w:tab/>
        <w:t>Immunostimulation</w:t>
      </w:r>
    </w:p>
    <w:p w14:paraId="07FD91ED" w14:textId="77777777" w:rsidR="00A17D4D" w:rsidRPr="00A17D4D" w:rsidDel="003453AF" w:rsidRDefault="00A17D4D" w:rsidP="00A17D4D">
      <w:pPr>
        <w:spacing w:after="240" w:line="240" w:lineRule="auto"/>
        <w:ind w:left="851"/>
        <w:jc w:val="both"/>
        <w:rPr>
          <w:rFonts w:ascii="Söhne" w:eastAsia="Times New Roman" w:hAnsi="Söhne" w:cs="Times New Roman"/>
          <w:sz w:val="18"/>
          <w:szCs w:val="18"/>
          <w:lang w:val="en-IE" w:eastAsia="fr-FR"/>
        </w:rPr>
      </w:pPr>
      <w:r w:rsidRPr="00A17D4D">
        <w:rPr>
          <w:rFonts w:ascii="Söhne" w:eastAsia="Times New Roman" w:hAnsi="Söhne" w:cs="Times New Roman"/>
          <w:sz w:val="18"/>
          <w:szCs w:val="18"/>
          <w:lang w:val="en-IE"/>
        </w:rPr>
        <w:t>No immunostimulants are currently known</w:t>
      </w:r>
      <w:r w:rsidRPr="00A17D4D">
        <w:rPr>
          <w:rFonts w:ascii="Söhne" w:eastAsia="Times New Roman" w:hAnsi="Söhne" w:cs="Times New Roman"/>
          <w:strike/>
          <w:sz w:val="18"/>
          <w:szCs w:val="18"/>
          <w:lang w:val="en-IE"/>
        </w:rPr>
        <w:t xml:space="preserve"> that can successfully protect the highly susceptible crayfish species against infection and consequent disease due to </w:t>
      </w:r>
      <w:r w:rsidRPr="00A17D4D">
        <w:rPr>
          <w:rFonts w:ascii="Söhne" w:eastAsia="Times New Roman" w:hAnsi="Söhne" w:cs="Times New Roman"/>
          <w:i/>
          <w:iCs/>
          <w:strike/>
          <w:sz w:val="18"/>
          <w:szCs w:val="18"/>
          <w:lang w:val="en-IE"/>
        </w:rPr>
        <w:t>A. astaci</w:t>
      </w:r>
      <w:r w:rsidRPr="00A17D4D">
        <w:rPr>
          <w:rFonts w:ascii="Söhne" w:eastAsia="Times New Roman" w:hAnsi="Söhne" w:cs="Times New Roman"/>
          <w:strike/>
          <w:sz w:val="18"/>
          <w:szCs w:val="18"/>
          <w:lang w:val="en-IE"/>
        </w:rPr>
        <w:t xml:space="preserve"> infection</w:t>
      </w:r>
      <w:r w:rsidRPr="00A17D4D">
        <w:rPr>
          <w:rFonts w:ascii="Söhne" w:eastAsia="Times New Roman" w:hAnsi="Söhne" w:cs="Times New Roman"/>
          <w:sz w:val="18"/>
          <w:szCs w:val="18"/>
          <w:lang w:val="en-IE"/>
        </w:rPr>
        <w:t xml:space="preserve">. </w:t>
      </w:r>
    </w:p>
    <w:p w14:paraId="25D3EA92"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lastRenderedPageBreak/>
        <w:t>2.4.4.</w:t>
      </w:r>
      <w:r w:rsidRPr="00A17D4D">
        <w:rPr>
          <w:rFonts w:ascii="Söhne Kräftig" w:eastAsia="Times New Roman" w:hAnsi="Söhne Kräftig" w:cs="Times New Roman"/>
          <w:bCs/>
          <w:sz w:val="20"/>
          <w:lang w:val="en-GB" w:eastAsia="fr-FR"/>
        </w:rPr>
        <w:tab/>
        <w:t>Breeding resistant strains</w:t>
      </w:r>
    </w:p>
    <w:p w14:paraId="4DDAA2BA"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rPr>
      </w:pPr>
      <w:r w:rsidRPr="00A17D4D">
        <w:rPr>
          <w:rFonts w:ascii="Söhne" w:eastAsia="Times New Roman" w:hAnsi="Söhne" w:cs="Times New Roman"/>
          <w:sz w:val="18"/>
          <w:szCs w:val="18"/>
          <w:lang w:val="en-IE"/>
        </w:rPr>
        <w:t xml:space="preserve">A few studies suggest that there might be differences in resistance between populations of </w:t>
      </w:r>
      <w:r w:rsidRPr="00A17D4D">
        <w:rPr>
          <w:rFonts w:ascii="Söhne" w:eastAsia="Times New Roman" w:hAnsi="Söhne" w:cs="Times New Roman"/>
          <w:strike/>
          <w:sz w:val="18"/>
          <w:szCs w:val="18"/>
          <w:lang w:val="en-IE"/>
        </w:rPr>
        <w:t xml:space="preserve">highly susceptible species </w:t>
      </w:r>
      <w:r w:rsidRPr="00A17D4D">
        <w:rPr>
          <w:rFonts w:ascii="Söhne" w:eastAsia="Times New Roman" w:hAnsi="Söhne" w:cs="Times New Roman"/>
          <w:sz w:val="18"/>
          <w:szCs w:val="18"/>
          <w:u w:val="double"/>
          <w:lang w:val="en-IE"/>
        </w:rPr>
        <w:t>crayfish species that are prone to clinical disease</w:t>
      </w:r>
      <w:r w:rsidRPr="00A17D4D">
        <w:rPr>
          <w:rFonts w:ascii="Söhne" w:eastAsia="Times New Roman" w:hAnsi="Söhne" w:cs="Times New Roman"/>
          <w:sz w:val="18"/>
          <w:szCs w:val="18"/>
          <w:lang w:val="en-IE"/>
        </w:rPr>
        <w:t xml:space="preserve"> (reviewed by Mart</w:t>
      </w:r>
      <w:r w:rsidRPr="00A17D4D">
        <w:rPr>
          <w:rFonts w:ascii="Söhne" w:eastAsia="Times New Roman" w:hAnsi="Söhne" w:cs="Arial"/>
          <w:sz w:val="18"/>
          <w:szCs w:val="18"/>
          <w:lang w:val="en-IE"/>
        </w:rPr>
        <w:t>i</w:t>
      </w:r>
      <w:r w:rsidRPr="00A17D4D">
        <w:rPr>
          <w:rFonts w:ascii="Söhne" w:eastAsia="Times New Roman" w:hAnsi="Söhne" w:cs="Times New Roman"/>
          <w:sz w:val="18"/>
          <w:szCs w:val="18"/>
          <w:lang w:val="en-IE"/>
        </w:rPr>
        <w:t xml:space="preserve">n-Torrijos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2017; Svoboda </w:t>
      </w:r>
      <w:r w:rsidRPr="00A17D4D">
        <w:rPr>
          <w:rFonts w:ascii="Söhne" w:eastAsia="Times New Roman" w:hAnsi="Söhne" w:cs="Times New Roman"/>
          <w:i/>
          <w:iCs/>
          <w:sz w:val="18"/>
          <w:szCs w:val="18"/>
          <w:lang w:val="en-IE"/>
        </w:rPr>
        <w:t>et al.</w:t>
      </w:r>
      <w:r w:rsidRPr="00A17D4D">
        <w:rPr>
          <w:rFonts w:ascii="Söhne" w:eastAsia="Times New Roman" w:hAnsi="Söhne" w:cs="Times New Roman"/>
          <w:sz w:val="18"/>
          <w:szCs w:val="18"/>
          <w:lang w:val="en-IE"/>
        </w:rPr>
        <w:t xml:space="preserve">, 2017). </w:t>
      </w:r>
      <w:r w:rsidRPr="00A17D4D">
        <w:rPr>
          <w:rFonts w:ascii="Söhne" w:eastAsia="Times New Roman" w:hAnsi="Söhne" w:cs="Times New Roman"/>
          <w:strike/>
          <w:sz w:val="18"/>
          <w:szCs w:val="18"/>
          <w:lang w:val="en-IE"/>
        </w:rPr>
        <w:t xml:space="preserve">The fact that North American crayfish generally do not develop clinical disease suggests that selection for resistance may be possible and laboratory studies using attenuated strains of </w:t>
      </w:r>
      <w:r w:rsidRPr="00A17D4D">
        <w:rPr>
          <w:rFonts w:ascii="Söhne" w:eastAsia="Times New Roman" w:hAnsi="Söhne" w:cs="Times New Roman"/>
          <w:i/>
          <w:iCs/>
          <w:strike/>
          <w:sz w:val="18"/>
          <w:szCs w:val="18"/>
          <w:lang w:val="en-IE"/>
        </w:rPr>
        <w:t>A. astaci</w:t>
      </w:r>
      <w:r w:rsidRPr="00A17D4D">
        <w:rPr>
          <w:rFonts w:ascii="Söhne" w:eastAsia="Times New Roman" w:hAnsi="Söhne" w:cs="Times New Roman"/>
          <w:strike/>
          <w:sz w:val="18"/>
          <w:szCs w:val="18"/>
          <w:lang w:val="en-IE"/>
        </w:rPr>
        <w:t xml:space="preserve"> might be successful. However, there are currently no published data from such studies.</w:t>
      </w:r>
    </w:p>
    <w:p w14:paraId="57A1A28B"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2.4.5.</w:t>
      </w:r>
      <w:r w:rsidRPr="00A17D4D">
        <w:rPr>
          <w:rFonts w:ascii="Söhne Kräftig" w:eastAsia="Times New Roman" w:hAnsi="Söhne Kräftig" w:cs="Times New Roman"/>
          <w:bCs/>
          <w:sz w:val="20"/>
          <w:lang w:val="en-GB" w:eastAsia="fr-FR"/>
        </w:rPr>
        <w:tab/>
        <w:t>Inactivation methods</w:t>
      </w:r>
    </w:p>
    <w:p w14:paraId="6EE59AB1"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both in culture and in infected crayfish, is inactivated by a short exposure to temperatures of 60°C or to temperatures of –20°C (or below) for 48 hours (or more) (Oidtmann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2002). Sodium hypochlorite at 100 ppm, free chlorine and iodophors at 100 ppm available iodine, are effective for disinfection of contaminated equipment. Equipment must be cleaned prior to disinfection since organic matter decreases the effectiveness of disinfectants (Alderman &amp; Polglase, 1985). Thorough drying of equipment (&gt;24 hours) is also effective as </w:t>
      </w:r>
      <w:r w:rsidRPr="00A17D4D">
        <w:rPr>
          <w:rFonts w:ascii="Söhne" w:eastAsia="Times New Roman" w:hAnsi="Söhne" w:cs="Times New Roman"/>
          <w:bCs/>
          <w:i/>
          <w:iCs/>
          <w:sz w:val="18"/>
          <w:lang w:val="en-IE"/>
        </w:rPr>
        <w:t>A. astaci</w:t>
      </w:r>
      <w:r w:rsidRPr="00A17D4D">
        <w:rPr>
          <w:rFonts w:ascii="Söhne" w:eastAsia="Times New Roman" w:hAnsi="Söhne" w:cs="Times New Roman"/>
          <w:bCs/>
          <w:sz w:val="18"/>
          <w:lang w:val="en-IE"/>
        </w:rPr>
        <w:t xml:space="preserve"> is not resistant to desiccation (Rennerfelt, 1936). </w:t>
      </w:r>
    </w:p>
    <w:p w14:paraId="796C5D3A"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2.4.6.</w:t>
      </w:r>
      <w:r w:rsidRPr="00A17D4D">
        <w:rPr>
          <w:rFonts w:ascii="Söhne Kräftig" w:eastAsia="Times New Roman" w:hAnsi="Söhne Kräftig" w:cs="Times New Roman"/>
          <w:bCs/>
          <w:sz w:val="20"/>
          <w:lang w:val="en-GB" w:eastAsia="fr-FR"/>
        </w:rPr>
        <w:tab/>
        <w:t>Disinfection of eggs and larvae</w:t>
      </w:r>
    </w:p>
    <w:p w14:paraId="4D416DAF"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No information available.</w:t>
      </w:r>
    </w:p>
    <w:p w14:paraId="6219B6E7"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2.4.7.</w:t>
      </w:r>
      <w:r w:rsidRPr="00A17D4D">
        <w:rPr>
          <w:rFonts w:ascii="Söhne Kräftig" w:eastAsia="Times New Roman" w:hAnsi="Söhne Kräftig" w:cs="Times New Roman"/>
          <w:bCs/>
          <w:sz w:val="20"/>
          <w:lang w:val="en-GB" w:eastAsia="fr-FR"/>
        </w:rPr>
        <w:tab/>
        <w:t>General husbandry</w:t>
      </w:r>
    </w:p>
    <w:p w14:paraId="0F8A9E14" w14:textId="77777777" w:rsidR="00A17D4D" w:rsidRPr="00A17D4D" w:rsidRDefault="00A17D4D" w:rsidP="00A17D4D">
      <w:pPr>
        <w:spacing w:after="240" w:line="240" w:lineRule="auto"/>
        <w:ind w:left="851"/>
        <w:jc w:val="both"/>
        <w:rPr>
          <w:rFonts w:ascii="Söhne" w:eastAsia="Times New Roman" w:hAnsi="Söhne" w:cs="Times New Roman"/>
          <w:sz w:val="18"/>
          <w:szCs w:val="18"/>
          <w:lang w:val="en-IE" w:eastAsia="fr-FR"/>
        </w:rPr>
      </w:pPr>
      <w:r w:rsidRPr="00A17D4D">
        <w:rPr>
          <w:rFonts w:ascii="Söhne" w:eastAsia="Times New Roman" w:hAnsi="Söhne" w:cs="Times New Roman"/>
          <w:sz w:val="18"/>
          <w:szCs w:val="18"/>
          <w:lang w:val="en-IE" w:eastAsia="fr-FR"/>
        </w:rPr>
        <w:t xml:space="preserve">If a </w:t>
      </w:r>
      <w:r w:rsidRPr="00A17D4D">
        <w:rPr>
          <w:rFonts w:ascii="Söhne" w:eastAsia="Times New Roman" w:hAnsi="Söhne" w:cs="Times New Roman"/>
          <w:strike/>
          <w:sz w:val="18"/>
          <w:szCs w:val="18"/>
          <w:lang w:val="en-IE" w:eastAsia="fr-FR"/>
        </w:rPr>
        <w:t xml:space="preserve">crayfish </w:t>
      </w:r>
      <w:r w:rsidRPr="00A17D4D">
        <w:rPr>
          <w:rFonts w:ascii="Söhne" w:eastAsia="Times New Roman" w:hAnsi="Söhne" w:cs="Times New Roman"/>
          <w:sz w:val="18"/>
          <w:szCs w:val="18"/>
          <w:lang w:val="en-IE" w:eastAsia="fr-FR"/>
        </w:rPr>
        <w:t>farm for</w:t>
      </w:r>
      <w:r w:rsidRPr="00A17D4D">
        <w:rPr>
          <w:rFonts w:ascii="Söhne" w:eastAsia="Times New Roman" w:hAnsi="Söhne" w:cs="Times New Roman"/>
          <w:strike/>
          <w:sz w:val="18"/>
          <w:szCs w:val="18"/>
          <w:lang w:val="en-IE" w:eastAsia="fr-FR"/>
        </w:rPr>
        <w:t xml:space="preserve"> highly susceptible</w:t>
      </w:r>
      <w:r w:rsidRPr="00A17D4D">
        <w:rPr>
          <w:rFonts w:ascii="Söhne" w:eastAsia="Times New Roman" w:hAnsi="Söhne" w:cs="Times New Roman"/>
          <w:sz w:val="18"/>
          <w:szCs w:val="18"/>
          <w:lang w:val="en-IE" w:eastAsia="fr-FR"/>
        </w:rPr>
        <w:t xml:space="preserve"> </w:t>
      </w:r>
      <w:r w:rsidRPr="00A17D4D">
        <w:rPr>
          <w:rFonts w:ascii="Söhne" w:eastAsia="Times New Roman" w:hAnsi="Söhne" w:cs="Times New Roman"/>
          <w:sz w:val="18"/>
          <w:szCs w:val="18"/>
          <w:u w:val="double"/>
          <w:lang w:val="en-IE" w:eastAsia="fr-FR"/>
        </w:rPr>
        <w:t>crayfish</w:t>
      </w:r>
      <w:r w:rsidRPr="00A17D4D">
        <w:rPr>
          <w:rFonts w:ascii="Söhne" w:eastAsia="Times New Roman" w:hAnsi="Söhne" w:cs="Times New Roman"/>
          <w:sz w:val="18"/>
          <w:szCs w:val="18"/>
          <w:lang w:val="en-IE" w:eastAsia="fr-FR"/>
        </w:rPr>
        <w:t xml:space="preserve"> species </w:t>
      </w:r>
      <w:r w:rsidRPr="00A17D4D">
        <w:rPr>
          <w:rFonts w:ascii="Söhne" w:eastAsia="Times New Roman" w:hAnsi="Söhne" w:cs="Times New Roman"/>
          <w:sz w:val="18"/>
          <w:szCs w:val="18"/>
          <w:u w:val="double"/>
          <w:lang w:val="en-IE" w:eastAsia="fr-FR"/>
        </w:rPr>
        <w:t>that are prone to clinical disease</w:t>
      </w:r>
      <w:r w:rsidRPr="00A17D4D">
        <w:rPr>
          <w:rFonts w:ascii="Söhne" w:eastAsia="Times New Roman" w:hAnsi="Söhne" w:cs="Times New Roman"/>
          <w:sz w:val="18"/>
          <w:szCs w:val="18"/>
          <w:lang w:val="en-IE" w:eastAsia="fr-FR"/>
        </w:rPr>
        <w:t xml:space="preserve"> is being planned, it should be carefully investigated whether North American crayfish species are in the vicinity of the planned site or present upstream. If North American crayfish are present, there is a high likelihood that susceptible farmed crayfish will eventually become infected. </w:t>
      </w:r>
    </w:p>
    <w:p w14:paraId="53DF16CB"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 xml:space="preserve">In an endemic area where </w:t>
      </w:r>
      <w:r w:rsidRPr="00A17D4D">
        <w:rPr>
          <w:rFonts w:ascii="Söhne" w:eastAsia="Times New Roman" w:hAnsi="Söhne" w:cs="Times New Roman"/>
          <w:bCs/>
          <w:strike/>
          <w:sz w:val="18"/>
          <w:lang w:val="en-IE" w:eastAsia="fr-FR"/>
        </w:rPr>
        <w:t xml:space="preserve">the highly susceptible </w:t>
      </w:r>
      <w:r w:rsidRPr="00A17D4D">
        <w:rPr>
          <w:rFonts w:ascii="Söhne" w:eastAsia="Times New Roman" w:hAnsi="Söhne" w:cs="Times New Roman"/>
          <w:bCs/>
          <w:sz w:val="18"/>
          <w:lang w:val="en-IE" w:eastAsia="fr-FR"/>
        </w:rPr>
        <w:t xml:space="preserve">species </w:t>
      </w:r>
      <w:r w:rsidRPr="00A17D4D">
        <w:rPr>
          <w:rFonts w:ascii="Söhne" w:eastAsia="Times New Roman" w:hAnsi="Söhne" w:cs="Times New Roman"/>
          <w:bCs/>
          <w:sz w:val="18"/>
          <w:u w:val="double"/>
          <w:lang w:val="en-IE" w:eastAsia="fr-FR"/>
        </w:rPr>
        <w:t>prone to expression of clinical disease</w:t>
      </w:r>
      <w:r w:rsidRPr="00A17D4D">
        <w:rPr>
          <w:rFonts w:ascii="Söhne" w:eastAsia="Times New Roman" w:hAnsi="Söhne" w:cs="Times New Roman"/>
          <w:bCs/>
          <w:sz w:val="18"/>
          <w:lang w:val="en-IE" w:eastAsia="fr-FR"/>
        </w:rPr>
        <w:t xml:space="preserve"> are being farmed, the following biosecurity recommendations should be followed to avoid an introduction of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eastAsia="fr-FR"/>
        </w:rPr>
        <w:t xml:space="preserve"> onto the site:</w:t>
      </w:r>
    </w:p>
    <w:p w14:paraId="307A460F"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bidi="en-US"/>
        </w:rPr>
      </w:pPr>
      <w:r w:rsidRPr="00A17D4D">
        <w:rPr>
          <w:rFonts w:ascii="Söhne" w:eastAsia="MS Mincho" w:hAnsi="Söhne" w:cs="Arial"/>
          <w:sz w:val="18"/>
          <w:szCs w:val="18"/>
          <w:lang w:val="en-IE" w:bidi="en-US"/>
        </w:rPr>
        <w:t>1.</w:t>
      </w:r>
      <w:r w:rsidRPr="00A17D4D">
        <w:rPr>
          <w:rFonts w:ascii="Söhne" w:eastAsia="MS Mincho" w:hAnsi="Söhne" w:cs="Arial"/>
          <w:sz w:val="18"/>
          <w:szCs w:val="18"/>
          <w:lang w:val="en-IE" w:bidi="en-US"/>
        </w:rPr>
        <w:tab/>
        <w:t>General biosecurity should be in place (</w:t>
      </w:r>
      <w:proofErr w:type="gramStart"/>
      <w:r w:rsidRPr="00A17D4D">
        <w:rPr>
          <w:rFonts w:ascii="Söhne" w:eastAsia="MS Mincho" w:hAnsi="Söhne" w:cs="Arial"/>
          <w:sz w:val="18"/>
          <w:szCs w:val="18"/>
          <w:lang w:val="en-IE" w:bidi="en-US"/>
        </w:rPr>
        <w:t>e.g.</w:t>
      </w:r>
      <w:proofErr w:type="gramEnd"/>
      <w:r w:rsidRPr="00A17D4D">
        <w:rPr>
          <w:rFonts w:ascii="Söhne" w:eastAsia="MS Mincho" w:hAnsi="Söhne" w:cs="Arial"/>
          <w:sz w:val="18"/>
          <w:szCs w:val="18"/>
          <w:lang w:val="en-IE" w:bidi="en-US"/>
        </w:rPr>
        <w:t xml:space="preserve"> controlled access to premises; disinfection of boots when entering the site; investigation of mortalities if they occur; introduction of live animals (crayfish, finfish) only from sources known to be free from</w:t>
      </w:r>
      <w:r w:rsidRPr="00A17D4D">
        <w:rPr>
          <w:rFonts w:ascii="Söhne" w:eastAsia="MS Mincho" w:hAnsi="Söhne" w:cs="Arial"/>
          <w:i/>
          <w:sz w:val="18"/>
          <w:szCs w:val="18"/>
          <w:lang w:val="en-IE" w:bidi="en-US"/>
        </w:rPr>
        <w:t xml:space="preserve"> </w:t>
      </w:r>
      <w:r w:rsidRPr="00A17D4D">
        <w:rPr>
          <w:rFonts w:ascii="Söhne" w:eastAsia="MS Mincho" w:hAnsi="Söhne" w:cs="Arial"/>
          <w:sz w:val="18"/>
          <w:szCs w:val="18"/>
          <w:lang w:val="en-IE" w:bidi="en-US"/>
        </w:rPr>
        <w:t xml:space="preserve">infection with </w:t>
      </w:r>
      <w:r w:rsidRPr="00A17D4D">
        <w:rPr>
          <w:rFonts w:ascii="Söhne" w:eastAsia="MS Mincho" w:hAnsi="Söhne" w:cs="Arial"/>
          <w:i/>
          <w:sz w:val="18"/>
          <w:szCs w:val="18"/>
          <w:lang w:val="en-IE" w:bidi="en-US"/>
        </w:rPr>
        <w:t>A. astaci</w:t>
      </w:r>
      <w:r w:rsidRPr="00A17D4D">
        <w:rPr>
          <w:rFonts w:ascii="Söhne" w:eastAsia="MS Mincho" w:hAnsi="Söhne" w:cs="Arial"/>
          <w:sz w:val="18"/>
          <w:szCs w:val="18"/>
          <w:lang w:val="en-IE" w:bidi="en-US"/>
        </w:rPr>
        <w:t xml:space="preserve">). </w:t>
      </w:r>
    </w:p>
    <w:p w14:paraId="5DDE7EE5"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bidi="en-US"/>
        </w:rPr>
      </w:pPr>
      <w:r w:rsidRPr="00A17D4D">
        <w:rPr>
          <w:rFonts w:ascii="Söhne" w:eastAsia="MS Mincho" w:hAnsi="Söhne" w:cs="Arial"/>
          <w:sz w:val="18"/>
          <w:szCs w:val="18"/>
          <w:lang w:val="en-IE" w:bidi="en-US"/>
        </w:rPr>
        <w:t>2.</w:t>
      </w:r>
      <w:r w:rsidRPr="00A17D4D">
        <w:rPr>
          <w:rFonts w:ascii="Söhne" w:eastAsia="MS Mincho" w:hAnsi="Söhne" w:cs="Arial"/>
          <w:sz w:val="18"/>
          <w:szCs w:val="18"/>
          <w:lang w:val="en-IE" w:bidi="en-US"/>
        </w:rPr>
        <w:tab/>
        <w:t xml:space="preserve">Movements of potentially infected live or dead crayfish, potentially contaminated water, </w:t>
      </w:r>
      <w:proofErr w:type="gramStart"/>
      <w:r w:rsidRPr="00A17D4D">
        <w:rPr>
          <w:rFonts w:ascii="Söhne" w:eastAsia="MS Mincho" w:hAnsi="Söhne" w:cs="Arial"/>
          <w:sz w:val="18"/>
          <w:szCs w:val="18"/>
          <w:lang w:val="en-IE" w:bidi="en-US"/>
        </w:rPr>
        <w:t>equipment</w:t>
      </w:r>
      <w:proofErr w:type="gramEnd"/>
      <w:r w:rsidRPr="00A17D4D">
        <w:rPr>
          <w:rFonts w:ascii="Söhne" w:eastAsia="MS Mincho" w:hAnsi="Söhne" w:cs="Arial"/>
          <w:sz w:val="18"/>
          <w:szCs w:val="18"/>
          <w:lang w:val="en-IE" w:bidi="en-US"/>
        </w:rPr>
        <w:t xml:space="preserve"> or any other item that might carry the pathogen from an infected to an uninfected site holding susceptible species should be prevented.</w:t>
      </w:r>
    </w:p>
    <w:p w14:paraId="3BB7020A"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bidi="en-US"/>
        </w:rPr>
      </w:pPr>
      <w:r w:rsidRPr="00A17D4D">
        <w:rPr>
          <w:rFonts w:ascii="Söhne" w:eastAsia="MS Mincho" w:hAnsi="Söhne" w:cs="Arial"/>
          <w:sz w:val="18"/>
          <w:szCs w:val="18"/>
          <w:lang w:val="en-IE" w:bidi="en-US"/>
        </w:rPr>
        <w:t>3.</w:t>
      </w:r>
      <w:r w:rsidRPr="00A17D4D">
        <w:rPr>
          <w:rFonts w:ascii="Söhne" w:eastAsia="MS Mincho" w:hAnsi="Söhne" w:cs="Arial"/>
          <w:sz w:val="18"/>
          <w:szCs w:val="18"/>
          <w:lang w:val="en-IE" w:bidi="en-US"/>
        </w:rPr>
        <w:tab/>
        <w:t xml:space="preserve">If transfers of finfish or crayfish are being planned, these should not come from streams or other waters that harbour potentially infected crayfish (either susceptible crayfish populations that are going through a current outbreak of infection with </w:t>
      </w:r>
      <w:r w:rsidRPr="00A17D4D">
        <w:rPr>
          <w:rFonts w:ascii="Söhne" w:eastAsia="MS Mincho" w:hAnsi="Söhne" w:cs="Arial"/>
          <w:i/>
          <w:sz w:val="18"/>
          <w:szCs w:val="18"/>
          <w:lang w:val="en-IE" w:bidi="en-US"/>
        </w:rPr>
        <w:t>A. astaci</w:t>
      </w:r>
      <w:r w:rsidRPr="00A17D4D">
        <w:rPr>
          <w:rFonts w:ascii="Söhne" w:eastAsia="MS Mincho" w:hAnsi="Söhne" w:cs="Arial"/>
          <w:sz w:val="18"/>
          <w:szCs w:val="18"/>
          <w:lang w:val="en-IE" w:bidi="en-US"/>
        </w:rPr>
        <w:t xml:space="preserve"> or North American </w:t>
      </w:r>
      <w:r w:rsidRPr="00A17D4D">
        <w:rPr>
          <w:rFonts w:ascii="Söhne" w:eastAsia="MS Mincho" w:hAnsi="Söhne" w:cs="Arial"/>
          <w:strike/>
          <w:sz w:val="18"/>
          <w:szCs w:val="18"/>
          <w:lang w:val="en-IE" w:bidi="en-US"/>
        </w:rPr>
        <w:t xml:space="preserve">carrier </w:t>
      </w:r>
      <w:r w:rsidRPr="00A17D4D">
        <w:rPr>
          <w:rFonts w:ascii="Söhne" w:eastAsia="MS Mincho" w:hAnsi="Söhne" w:cs="Arial"/>
          <w:sz w:val="18"/>
          <w:szCs w:val="18"/>
          <w:lang w:val="en-IE" w:bidi="en-US"/>
        </w:rPr>
        <w:t xml:space="preserve">crayfish </w:t>
      </w:r>
      <w:r w:rsidRPr="00A17D4D">
        <w:rPr>
          <w:rFonts w:ascii="Söhne" w:eastAsia="MS Mincho" w:hAnsi="Söhne" w:cs="Arial"/>
          <w:sz w:val="18"/>
          <w:szCs w:val="18"/>
          <w:u w:val="double"/>
          <w:lang w:val="en-IE" w:bidi="en-US"/>
        </w:rPr>
        <w:t>species</w:t>
      </w:r>
      <w:r w:rsidRPr="00A17D4D">
        <w:rPr>
          <w:rFonts w:ascii="Söhne" w:eastAsia="MS Mincho" w:hAnsi="Söhne" w:cs="Arial"/>
          <w:sz w:val="18"/>
          <w:szCs w:val="18"/>
          <w:lang w:val="en-IE" w:bidi="en-US"/>
        </w:rPr>
        <w:t xml:space="preserve">). </w:t>
      </w:r>
    </w:p>
    <w:p w14:paraId="76D61438"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bidi="en-US"/>
        </w:rPr>
      </w:pPr>
      <w:r w:rsidRPr="00A17D4D">
        <w:rPr>
          <w:rFonts w:ascii="Söhne" w:eastAsia="MS Mincho" w:hAnsi="Söhne" w:cs="Arial"/>
          <w:sz w:val="18"/>
          <w:szCs w:val="18"/>
          <w:lang w:val="en-IE" w:bidi="en-US"/>
        </w:rPr>
        <w:t>4.</w:t>
      </w:r>
      <w:r w:rsidRPr="00A17D4D">
        <w:rPr>
          <w:rFonts w:ascii="Söhne" w:eastAsia="MS Mincho" w:hAnsi="Söhne" w:cs="Arial"/>
          <w:sz w:val="18"/>
          <w:szCs w:val="18"/>
          <w:lang w:val="en-IE" w:bidi="en-US"/>
        </w:rPr>
        <w:tab/>
        <w:t>North American crayfish should not be brought onto the site.</w:t>
      </w:r>
    </w:p>
    <w:p w14:paraId="0DD29957"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bidi="en-US"/>
        </w:rPr>
      </w:pPr>
      <w:r w:rsidRPr="00A17D4D">
        <w:rPr>
          <w:rFonts w:ascii="Söhne" w:eastAsia="MS Mincho" w:hAnsi="Söhne" w:cs="Arial"/>
          <w:sz w:val="18"/>
          <w:szCs w:val="18"/>
          <w:lang w:val="en-IE" w:bidi="en-US"/>
        </w:rPr>
        <w:t>5.</w:t>
      </w:r>
      <w:r w:rsidRPr="00A17D4D">
        <w:rPr>
          <w:rFonts w:ascii="Söhne" w:eastAsia="MS Mincho" w:hAnsi="Söhne" w:cs="Arial"/>
          <w:sz w:val="18"/>
          <w:szCs w:val="18"/>
          <w:lang w:val="en-IE" w:bidi="en-US"/>
        </w:rPr>
        <w:tab/>
        <w:t xml:space="preserve">Finfish obtained from unknown freshwater sources or from sources, where North American crayfish may be present or a current outbreak of infection with </w:t>
      </w:r>
      <w:r w:rsidRPr="00A17D4D">
        <w:rPr>
          <w:rFonts w:ascii="Söhne" w:eastAsia="MS Mincho" w:hAnsi="Söhne" w:cs="Arial"/>
          <w:i/>
          <w:sz w:val="18"/>
          <w:szCs w:val="18"/>
          <w:lang w:val="en-IE" w:bidi="en-US"/>
        </w:rPr>
        <w:t>A. astaci</w:t>
      </w:r>
      <w:r w:rsidRPr="00A17D4D">
        <w:rPr>
          <w:rFonts w:ascii="Söhne" w:eastAsia="MS Mincho" w:hAnsi="Söhne" w:cs="Arial"/>
          <w:sz w:val="18"/>
          <w:szCs w:val="18"/>
          <w:lang w:val="en-IE" w:bidi="en-US"/>
        </w:rPr>
        <w:t xml:space="preserve"> may be taking place, must not be used as bait or feed for crayfish, unless they have been subject to a temperature treatment to kill </w:t>
      </w:r>
      <w:r w:rsidRPr="00A17D4D">
        <w:rPr>
          <w:rFonts w:ascii="Söhne" w:eastAsia="MS Mincho" w:hAnsi="Söhne" w:cs="Arial"/>
          <w:i/>
          <w:sz w:val="18"/>
          <w:szCs w:val="18"/>
          <w:lang w:val="en-IE" w:bidi="en-US"/>
        </w:rPr>
        <w:t>A. astaci</w:t>
      </w:r>
      <w:r w:rsidRPr="00A17D4D">
        <w:rPr>
          <w:rFonts w:ascii="Söhne" w:eastAsia="MS Mincho" w:hAnsi="Söhne" w:cs="Arial"/>
          <w:sz w:val="18"/>
          <w:szCs w:val="18"/>
          <w:lang w:val="en-IE" w:bidi="en-US"/>
        </w:rPr>
        <w:t xml:space="preserve"> (see Section 2.4.5. </w:t>
      </w:r>
      <w:r w:rsidRPr="00A17D4D">
        <w:rPr>
          <w:rFonts w:ascii="Söhne" w:eastAsia="MS Mincho" w:hAnsi="Söhne" w:cs="Arial"/>
          <w:i/>
          <w:iCs/>
          <w:sz w:val="18"/>
          <w:szCs w:val="18"/>
          <w:lang w:val="en-IE" w:bidi="en-US"/>
        </w:rPr>
        <w:t>Inactivation methods</w:t>
      </w:r>
      <w:r w:rsidRPr="00A17D4D">
        <w:rPr>
          <w:rFonts w:ascii="Söhne" w:eastAsia="MS Mincho" w:hAnsi="Söhne" w:cs="Arial"/>
          <w:sz w:val="18"/>
          <w:szCs w:val="18"/>
          <w:lang w:val="en-IE" w:bidi="en-US"/>
        </w:rPr>
        <w:t xml:space="preserve">). </w:t>
      </w:r>
    </w:p>
    <w:p w14:paraId="63514EC8"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bidi="en-US"/>
        </w:rPr>
      </w:pPr>
      <w:r w:rsidRPr="00A17D4D">
        <w:rPr>
          <w:rFonts w:ascii="Söhne" w:eastAsia="MS Mincho" w:hAnsi="Söhne" w:cs="Arial"/>
          <w:sz w:val="18"/>
          <w:szCs w:val="18"/>
          <w:lang w:val="en-IE" w:bidi="en-US"/>
        </w:rPr>
        <w:t>6.</w:t>
      </w:r>
      <w:r w:rsidRPr="00A17D4D">
        <w:rPr>
          <w:lang w:val="en-CA"/>
        </w:rPr>
        <w:tab/>
      </w:r>
      <w:r w:rsidRPr="00A17D4D">
        <w:rPr>
          <w:rFonts w:ascii="Söhne" w:eastAsia="MS Mincho" w:hAnsi="Söhne" w:cs="Arial"/>
          <w:sz w:val="18"/>
          <w:szCs w:val="18"/>
          <w:lang w:val="en-IE" w:bidi="en-US"/>
        </w:rPr>
        <w:t>Any equipment that is brought onto site should be disinfected.</w:t>
      </w:r>
    </w:p>
    <w:p w14:paraId="414846FE" w14:textId="77777777" w:rsidR="00A17D4D" w:rsidRPr="00A17D4D" w:rsidRDefault="00A17D4D" w:rsidP="00A17D4D">
      <w:pPr>
        <w:widowControl w:val="0"/>
        <w:spacing w:after="240" w:line="240" w:lineRule="auto"/>
        <w:ind w:left="284" w:hanging="284"/>
        <w:jc w:val="both"/>
        <w:rPr>
          <w:rFonts w:ascii="Söhne Halbfett" w:eastAsia="Arial" w:hAnsi="Söhne Halbfett" w:cs="Arial"/>
          <w:szCs w:val="18"/>
          <w:lang w:eastAsia="fr-FR"/>
        </w:rPr>
      </w:pPr>
      <w:r w:rsidRPr="00A17D4D">
        <w:rPr>
          <w:rFonts w:ascii="Söhne Halbfett" w:eastAsia="Arial" w:hAnsi="Söhne Halbfett" w:cs="Arial"/>
          <w:szCs w:val="18"/>
          <w:lang w:eastAsia="fr-FR"/>
        </w:rPr>
        <w:t>3.</w:t>
      </w:r>
      <w:r w:rsidRPr="00A17D4D">
        <w:rPr>
          <w:rFonts w:ascii="Söhne Halbfett" w:eastAsia="Arial" w:hAnsi="Söhne Halbfett" w:cs="Arial"/>
          <w:szCs w:val="18"/>
          <w:lang w:eastAsia="fr-FR"/>
        </w:rPr>
        <w:tab/>
        <w:t xml:space="preserve">Specimen selection, sample collection, </w:t>
      </w:r>
      <w:proofErr w:type="gramStart"/>
      <w:r w:rsidRPr="00A17D4D">
        <w:rPr>
          <w:rFonts w:ascii="Söhne Halbfett" w:eastAsia="Arial" w:hAnsi="Söhne Halbfett" w:cs="Arial"/>
          <w:szCs w:val="18"/>
          <w:lang w:eastAsia="fr-FR"/>
        </w:rPr>
        <w:t>transportation</w:t>
      </w:r>
      <w:proofErr w:type="gramEnd"/>
      <w:r w:rsidRPr="00A17D4D">
        <w:rPr>
          <w:rFonts w:ascii="Söhne Halbfett" w:eastAsia="Arial" w:hAnsi="Söhne Halbfett" w:cs="Arial"/>
          <w:szCs w:val="18"/>
          <w:lang w:eastAsia="fr-FR"/>
        </w:rPr>
        <w:t xml:space="preserve"> and handling </w:t>
      </w:r>
    </w:p>
    <w:p w14:paraId="0CD84D2D"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3.1.</w:t>
      </w:r>
      <w:r w:rsidRPr="00A17D4D">
        <w:rPr>
          <w:rFonts w:ascii="Söhne Kräftig" w:eastAsia="MS Mincho" w:hAnsi="Söhne Kräftig" w:cs="Times New Roman"/>
          <w:sz w:val="21"/>
          <w:szCs w:val="20"/>
          <w:lang w:val="da-DK" w:eastAsia="da-DK"/>
        </w:rPr>
        <w:tab/>
        <w:t xml:space="preserve">Selection of populations and individual specimens </w:t>
      </w:r>
    </w:p>
    <w:p w14:paraId="61157516" w14:textId="77777777" w:rsidR="00A17D4D" w:rsidRPr="00A17D4D" w:rsidRDefault="00A17D4D" w:rsidP="00A17D4D">
      <w:pPr>
        <w:spacing w:after="240" w:line="240" w:lineRule="auto"/>
        <w:ind w:left="284"/>
        <w:jc w:val="both"/>
        <w:rPr>
          <w:rFonts w:ascii="Söhne" w:eastAsia="Times New Roman" w:hAnsi="Söhne" w:cs="Times New Roman"/>
          <w:sz w:val="18"/>
          <w:szCs w:val="18"/>
          <w:lang w:val="en-IE" w:eastAsia="fr-FR"/>
        </w:rPr>
      </w:pPr>
      <w:r w:rsidRPr="00A17D4D">
        <w:rPr>
          <w:rFonts w:ascii="Söhne" w:eastAsia="Times New Roman" w:hAnsi="Söhne" w:cs="Times New Roman"/>
          <w:sz w:val="18"/>
          <w:szCs w:val="18"/>
          <w:lang w:val="en-IE" w:eastAsia="fr-FR"/>
        </w:rPr>
        <w:t xml:space="preserve">For a suspected outbreak of </w:t>
      </w:r>
      <w:r w:rsidRPr="00A17D4D">
        <w:rPr>
          <w:rFonts w:ascii="Söhne" w:eastAsia="Times New Roman" w:hAnsi="Söhne" w:cs="Times New Roman"/>
          <w:sz w:val="18"/>
          <w:szCs w:val="18"/>
          <w:lang w:val="en-IE"/>
        </w:rPr>
        <w:t xml:space="preserve">infection with </w:t>
      </w:r>
      <w:r w:rsidRPr="00A17D4D">
        <w:rPr>
          <w:rFonts w:ascii="Söhne" w:eastAsia="Times New Roman" w:hAnsi="Söhne" w:cs="Times New Roman"/>
          <w:i/>
          <w:iCs/>
          <w:sz w:val="18"/>
          <w:szCs w:val="18"/>
          <w:lang w:val="en-IE"/>
        </w:rPr>
        <w:t>A. astaci</w:t>
      </w:r>
      <w:r w:rsidRPr="00A17D4D">
        <w:rPr>
          <w:rFonts w:ascii="Söhne" w:eastAsia="Times New Roman" w:hAnsi="Söhne" w:cs="Times New Roman"/>
          <w:sz w:val="18"/>
          <w:szCs w:val="18"/>
          <w:lang w:val="en-IE"/>
        </w:rPr>
        <w:t xml:space="preserve"> </w:t>
      </w:r>
      <w:r w:rsidRPr="00A17D4D">
        <w:rPr>
          <w:rFonts w:ascii="Söhne" w:eastAsia="Times New Roman" w:hAnsi="Söhne" w:cs="Times New Roman"/>
          <w:sz w:val="18"/>
          <w:szCs w:val="18"/>
          <w:lang w:val="en-IE" w:eastAsia="fr-FR"/>
        </w:rPr>
        <w:t>in a population of</w:t>
      </w:r>
      <w:r w:rsidRPr="00A17D4D">
        <w:rPr>
          <w:rFonts w:ascii="Söhne" w:eastAsia="Times New Roman" w:hAnsi="Söhne" w:cs="Times New Roman"/>
          <w:strike/>
          <w:sz w:val="18"/>
          <w:szCs w:val="18"/>
          <w:lang w:val="en-IE" w:eastAsia="fr-FR"/>
        </w:rPr>
        <w:t xml:space="preserve"> highly susceptible</w:t>
      </w:r>
      <w:r w:rsidRPr="00A17D4D">
        <w:rPr>
          <w:rFonts w:ascii="Söhne" w:eastAsia="Times New Roman" w:hAnsi="Söhne" w:cs="Times New Roman"/>
          <w:sz w:val="18"/>
          <w:szCs w:val="18"/>
          <w:lang w:val="en-IE" w:eastAsia="fr-FR"/>
        </w:rPr>
        <w:t xml:space="preserve"> crayfish species </w:t>
      </w:r>
      <w:r w:rsidRPr="00A17D4D">
        <w:rPr>
          <w:rFonts w:ascii="Söhne" w:eastAsia="Times New Roman" w:hAnsi="Söhne" w:cs="Times New Roman"/>
          <w:sz w:val="18"/>
          <w:szCs w:val="18"/>
          <w:u w:val="double"/>
          <w:lang w:val="en-IE" w:eastAsia="fr-FR"/>
        </w:rPr>
        <w:t>that are prone to clinical disease</w:t>
      </w:r>
      <w:r w:rsidRPr="00A17D4D">
        <w:rPr>
          <w:rFonts w:ascii="Söhne" w:eastAsia="Times New Roman" w:hAnsi="Söhne" w:cs="Times New Roman"/>
          <w:sz w:val="18"/>
          <w:szCs w:val="18"/>
          <w:lang w:val="en-IE" w:eastAsia="fr-FR"/>
        </w:rPr>
        <w:t>, sample</w:t>
      </w:r>
      <w:r w:rsidRPr="00A17D4D">
        <w:rPr>
          <w:rFonts w:ascii="Söhne" w:eastAsia="Times New Roman" w:hAnsi="Söhne" w:cs="Times New Roman"/>
          <w:sz w:val="18"/>
          <w:szCs w:val="18"/>
          <w:u w:val="double"/>
          <w:lang w:val="en-IE" w:eastAsia="fr-FR"/>
        </w:rPr>
        <w:t>d</w:t>
      </w:r>
      <w:r w:rsidRPr="00A17D4D">
        <w:rPr>
          <w:rFonts w:ascii="Söhne" w:eastAsia="Times New Roman" w:hAnsi="Söhne" w:cs="Times New Roman"/>
          <w:sz w:val="18"/>
          <w:szCs w:val="18"/>
          <w:lang w:val="en-IE" w:eastAsia="fr-FR"/>
        </w:rPr>
        <w:t xml:space="preserve"> crayfish should ideally consist of: a) live crayfish showing signs of disease, and b) live, apparently healthy crayfish. Freshly dead crayfish may also be suitable, although this will depend on their condition. </w:t>
      </w:r>
    </w:p>
    <w:p w14:paraId="0F39C09C" w14:textId="77777777" w:rsidR="00A17D4D" w:rsidRPr="00A17D4D" w:rsidRDefault="00A17D4D" w:rsidP="00A17D4D">
      <w:pPr>
        <w:spacing w:after="240" w:line="240" w:lineRule="auto"/>
        <w:ind w:left="284"/>
        <w:jc w:val="both"/>
        <w:rPr>
          <w:rFonts w:ascii="Söhne" w:eastAsia="Times New Roman" w:hAnsi="Söhne" w:cs="Times New Roman"/>
          <w:sz w:val="18"/>
          <w:lang w:val="en-IE" w:eastAsia="fr-FR"/>
        </w:rPr>
      </w:pPr>
      <w:r w:rsidRPr="00A17D4D">
        <w:rPr>
          <w:rFonts w:ascii="Söhne" w:eastAsia="Times New Roman" w:hAnsi="Söhne" w:cs="Times New Roman"/>
          <w:sz w:val="18"/>
          <w:lang w:val="en-IE" w:eastAsia="fr-FR"/>
        </w:rPr>
        <w:lastRenderedPageBreak/>
        <w:t>Live crayfish should be transported using insulated containers equipped with small holes to allow aeration. The temperature in the container should not exceed 16°C.</w:t>
      </w:r>
    </w:p>
    <w:p w14:paraId="359EDE90" w14:textId="77777777" w:rsidR="00A17D4D" w:rsidRPr="00A17D4D" w:rsidRDefault="00A17D4D" w:rsidP="00A17D4D">
      <w:pPr>
        <w:spacing w:after="240" w:line="240" w:lineRule="auto"/>
        <w:ind w:left="284"/>
        <w:jc w:val="both"/>
        <w:rPr>
          <w:rFonts w:ascii="Söhne" w:eastAsia="Times New Roman" w:hAnsi="Söhne" w:cs="Times New Roman"/>
          <w:sz w:val="18"/>
          <w:lang w:val="en-IE" w:eastAsia="fr-FR"/>
        </w:rPr>
      </w:pPr>
      <w:r w:rsidRPr="00A17D4D">
        <w:rPr>
          <w:rFonts w:ascii="Söhne" w:eastAsia="Times New Roman" w:hAnsi="Söhne" w:cs="Times New Roman"/>
          <w:sz w:val="18"/>
          <w:lang w:val="en-IE" w:eastAsia="fr-FR"/>
        </w:rPr>
        <w:t xml:space="preserve">Crayfish should be transported in a moist atmosphere, for example using moistened wood shavings/wood wool, newspaper, or grass/hay. Unless transport water is sufficiently oxygenated, live crayfish should not be transported in water, as they may suffocate. </w:t>
      </w:r>
    </w:p>
    <w:p w14:paraId="2ACD1580" w14:textId="77777777" w:rsidR="00A17D4D" w:rsidRPr="00A17D4D" w:rsidRDefault="00A17D4D" w:rsidP="00A17D4D">
      <w:pPr>
        <w:spacing w:after="240" w:line="240" w:lineRule="auto"/>
        <w:ind w:left="284"/>
        <w:jc w:val="both"/>
        <w:rPr>
          <w:rFonts w:ascii="Söhne" w:eastAsia="Times New Roman" w:hAnsi="Söhne" w:cs="Times New Roman"/>
          <w:sz w:val="18"/>
          <w:lang w:val="en-IE" w:eastAsia="fr-FR"/>
        </w:rPr>
      </w:pPr>
      <w:r w:rsidRPr="00A17D4D">
        <w:rPr>
          <w:rFonts w:ascii="Söhne" w:eastAsia="Times New Roman" w:hAnsi="Söhne" w:cs="Times New Roman"/>
          <w:sz w:val="18"/>
          <w:lang w:val="en-IE" w:eastAsia="fr-FR"/>
        </w:rPr>
        <w:t xml:space="preserve">The time between sampling of live animals and delivery to the investigating laboratory should not exceed 24 hours. </w:t>
      </w:r>
    </w:p>
    <w:p w14:paraId="18BEAB84" w14:textId="77777777" w:rsidR="00A17D4D" w:rsidRPr="00A17D4D" w:rsidRDefault="00A17D4D" w:rsidP="00A17D4D">
      <w:pPr>
        <w:spacing w:after="240" w:line="240" w:lineRule="auto"/>
        <w:ind w:left="284"/>
        <w:jc w:val="both"/>
        <w:rPr>
          <w:rFonts w:ascii="Söhne" w:eastAsia="Times New Roman" w:hAnsi="Söhne" w:cs="Times New Roman"/>
          <w:sz w:val="18"/>
          <w:lang w:val="en-IE" w:eastAsia="fr-FR"/>
        </w:rPr>
      </w:pPr>
      <w:r w:rsidRPr="00A17D4D">
        <w:rPr>
          <w:rFonts w:ascii="Söhne" w:eastAsia="Times New Roman" w:hAnsi="Söhne" w:cs="Times New Roman"/>
          <w:sz w:val="18"/>
          <w:lang w:val="en-IE" w:eastAsia="fr-FR"/>
        </w:rPr>
        <w:t xml:space="preserve">Should only dead animals be found at the site of a suspected outbreak, freshly dead animals should be selected for diagnosis. Dead animals can either </w:t>
      </w:r>
      <w:proofErr w:type="gramStart"/>
      <w:r w:rsidRPr="00A17D4D">
        <w:rPr>
          <w:rFonts w:ascii="Söhne" w:eastAsia="Times New Roman" w:hAnsi="Söhne" w:cs="Times New Roman"/>
          <w:sz w:val="18"/>
          <w:lang w:val="en-IE" w:eastAsia="fr-FR"/>
        </w:rPr>
        <w:t>be:</w:t>
      </w:r>
      <w:proofErr w:type="gramEnd"/>
      <w:r w:rsidRPr="00A17D4D">
        <w:rPr>
          <w:rFonts w:ascii="Söhne" w:eastAsia="Times New Roman" w:hAnsi="Söhne" w:cs="Times New Roman"/>
          <w:sz w:val="18"/>
          <w:lang w:val="en-IE" w:eastAsia="fr-FR"/>
        </w:rPr>
        <w:t xml:space="preserve"> a) transported chilled (if they appear to have died only very recently), or, b) placed in non-methylated ethanol (minimum concentration 70%; see </w:t>
      </w:r>
      <w:r w:rsidRPr="00A17D4D">
        <w:rPr>
          <w:rFonts w:ascii="Söhne" w:eastAsia="Times New Roman" w:hAnsi="Söhne" w:cs="Times New Roman"/>
          <w:sz w:val="18"/>
          <w:lang w:val="en-IE"/>
        </w:rPr>
        <w:t xml:space="preserve">3.5. </w:t>
      </w:r>
      <w:r w:rsidRPr="00A17D4D">
        <w:rPr>
          <w:rFonts w:ascii="Söhne" w:eastAsia="Times New Roman" w:hAnsi="Söhne" w:cs="Times New Roman"/>
          <w:i/>
          <w:iCs/>
          <w:sz w:val="18"/>
          <w:lang w:val="en-IE"/>
        </w:rPr>
        <w:t>Preservation of samples for submission</w:t>
      </w:r>
      <w:r w:rsidRPr="00A17D4D">
        <w:rPr>
          <w:rFonts w:ascii="Söhne" w:eastAsia="Times New Roman" w:hAnsi="Söhne" w:cs="Times New Roman"/>
          <w:sz w:val="18"/>
          <w:lang w:val="en-IE" w:eastAsia="fr-FR"/>
        </w:rPr>
        <w:t>), or c) placed in freezer at –20°C to avoid further decay and transported frozen.</w:t>
      </w:r>
    </w:p>
    <w:p w14:paraId="65C69C86" w14:textId="77777777" w:rsidR="00A17D4D" w:rsidRPr="00A17D4D" w:rsidRDefault="00A17D4D" w:rsidP="00A17D4D">
      <w:pPr>
        <w:spacing w:after="240" w:line="240" w:lineRule="auto"/>
        <w:ind w:left="284"/>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 xml:space="preserve">When testing any population outside an acute mortality event for the presence of crayfish plague, as many individuals as possible should be inspected visually for signs of cuticular damage. Crayfish that have melanized spots or missing limbs should be selected in the first place for further analysis. </w:t>
      </w:r>
    </w:p>
    <w:p w14:paraId="0F6FBC04"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3.2.</w:t>
      </w:r>
      <w:r w:rsidRPr="00A17D4D">
        <w:rPr>
          <w:rFonts w:ascii="Söhne Kräftig" w:eastAsia="MS Mincho" w:hAnsi="Söhne Kräftig" w:cs="Times New Roman"/>
          <w:sz w:val="21"/>
          <w:szCs w:val="20"/>
          <w:lang w:val="da-DK" w:eastAsia="da-DK"/>
        </w:rPr>
        <w:tab/>
        <w:t>Selection of organs or tissues</w:t>
      </w:r>
    </w:p>
    <w:p w14:paraId="4C8C982E" w14:textId="77777777" w:rsidR="00A17D4D" w:rsidRPr="00A17D4D" w:rsidRDefault="00A17D4D" w:rsidP="00A17D4D">
      <w:pPr>
        <w:spacing w:after="240" w:line="240" w:lineRule="auto"/>
        <w:ind w:left="284"/>
        <w:jc w:val="both"/>
        <w:rPr>
          <w:rFonts w:ascii="Söhne" w:eastAsia="Segoe UI" w:hAnsi="Söhne" w:cs="Segoe UI"/>
          <w:sz w:val="18"/>
          <w:szCs w:val="18"/>
          <w:u w:val="single"/>
          <w:lang w:val="en-IE"/>
        </w:rPr>
      </w:pPr>
      <w:r w:rsidRPr="00A17D4D">
        <w:rPr>
          <w:rFonts w:ascii="Söhne" w:eastAsia="Times New Roman" w:hAnsi="Söhne" w:cs="Times New Roman"/>
          <w:sz w:val="18"/>
          <w:szCs w:val="18"/>
          <w:lang w:val="en-IE" w:eastAsia="fr-FR"/>
        </w:rPr>
        <w:t xml:space="preserve">In </w:t>
      </w:r>
      <w:r w:rsidRPr="00A17D4D">
        <w:rPr>
          <w:rFonts w:ascii="Söhne" w:eastAsia="Times New Roman" w:hAnsi="Söhne" w:cs="Times New Roman"/>
          <w:strike/>
          <w:sz w:val="18"/>
          <w:szCs w:val="18"/>
          <w:lang w:val="en-IE" w:eastAsia="fr-FR"/>
        </w:rPr>
        <w:t xml:space="preserve">highly susceptible </w:t>
      </w:r>
      <w:r w:rsidRPr="00A17D4D">
        <w:rPr>
          <w:rFonts w:ascii="Söhne" w:eastAsia="Times New Roman" w:hAnsi="Söhne" w:cs="Times New Roman"/>
          <w:sz w:val="18"/>
          <w:szCs w:val="18"/>
          <w:lang w:val="en-IE" w:eastAsia="fr-FR"/>
        </w:rPr>
        <w:t xml:space="preserve">species </w:t>
      </w:r>
      <w:r w:rsidRPr="00A17D4D">
        <w:rPr>
          <w:rFonts w:ascii="Söhne" w:eastAsia="Times New Roman" w:hAnsi="Söhne" w:cs="Times New Roman"/>
          <w:sz w:val="18"/>
          <w:szCs w:val="18"/>
          <w:u w:val="double"/>
          <w:lang w:val="en-IE" w:eastAsia="fr-FR"/>
        </w:rPr>
        <w:t>that are prone to clinical disease</w:t>
      </w:r>
      <w:r w:rsidRPr="00A17D4D">
        <w:rPr>
          <w:rFonts w:ascii="Söhne" w:eastAsia="Times New Roman" w:hAnsi="Söhne" w:cs="Times New Roman"/>
          <w:sz w:val="18"/>
          <w:szCs w:val="18"/>
          <w:lang w:val="en-IE" w:eastAsia="fr-FR"/>
        </w:rPr>
        <w:t>, the tissue recommended for sampling is the soft abdominal cuticle, which can be found on the ventral side of the abdomen. Any other soft part of the exoskeleton can be included as well. If any melanised spots or whitened areas are detected, these should be included in the sampling.</w:t>
      </w:r>
      <w:r w:rsidRPr="00A17D4D">
        <w:rPr>
          <w:rFonts w:ascii="Söhne" w:eastAsia="Segoe UI" w:hAnsi="Söhne" w:cs="Segoe UI"/>
          <w:sz w:val="18"/>
          <w:szCs w:val="18"/>
          <w:lang w:val="en-IE"/>
        </w:rPr>
        <w:t xml:space="preserve"> From diseased animals, samples should be aseptically collected from the soft abdominal cuticle. For identification of carriers, samples should be aseptically collected from soft abdominal cuticle, and telson and uropods, separately. </w:t>
      </w:r>
    </w:p>
    <w:p w14:paraId="48B6F56D" w14:textId="77777777" w:rsidR="00A17D4D" w:rsidRPr="00A17D4D" w:rsidRDefault="00A17D4D" w:rsidP="00A17D4D">
      <w:pPr>
        <w:spacing w:after="240" w:line="240" w:lineRule="auto"/>
        <w:ind w:left="284"/>
        <w:jc w:val="both"/>
        <w:rPr>
          <w:rFonts w:ascii="Söhne" w:eastAsia="Times New Roman" w:hAnsi="Söhne" w:cs="Times New Roman"/>
          <w:sz w:val="18"/>
          <w:szCs w:val="18"/>
          <w:lang w:val="en-IE" w:eastAsia="fr-FR"/>
        </w:rPr>
      </w:pPr>
      <w:r w:rsidRPr="00A17D4D">
        <w:rPr>
          <w:rFonts w:ascii="Söhne" w:eastAsia="Times New Roman" w:hAnsi="Söhne" w:cs="Times New Roman"/>
          <w:sz w:val="18"/>
          <w:szCs w:val="18"/>
          <w:lang w:val="en-IE" w:eastAsia="fr-FR"/>
        </w:rPr>
        <w:t xml:space="preserve">In the North American crayfish species, sampling of soft abdominal cuticle, uropods and telson are recommended. </w:t>
      </w:r>
      <w:bookmarkStart w:id="1" w:name="_Hlk93479273"/>
      <w:r w:rsidRPr="00A17D4D">
        <w:rPr>
          <w:rFonts w:ascii="Söhne" w:eastAsia="Times New Roman" w:hAnsi="Söhne" w:cs="Times New Roman"/>
          <w:sz w:val="18"/>
          <w:szCs w:val="18"/>
          <w:lang w:val="en-IE" w:eastAsia="fr-FR"/>
        </w:rPr>
        <w:t>Any other soft part of the exoskeleton can be included as well. If any melanized spots are detected, these should be included in the sampling.</w:t>
      </w:r>
      <w:bookmarkEnd w:id="1"/>
    </w:p>
    <w:p w14:paraId="2DF232D6"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3.3.</w:t>
      </w:r>
      <w:r w:rsidRPr="00A17D4D">
        <w:rPr>
          <w:rFonts w:ascii="Söhne Kräftig" w:eastAsia="MS Mincho" w:hAnsi="Söhne Kräftig" w:cs="Times New Roman"/>
          <w:sz w:val="21"/>
          <w:szCs w:val="20"/>
          <w:lang w:val="da-DK" w:eastAsia="da-DK"/>
        </w:rPr>
        <w:tab/>
        <w:t>Samples or tissues not suitable for pathogen detection</w:t>
      </w:r>
    </w:p>
    <w:p w14:paraId="3F950639" w14:textId="77777777" w:rsidR="00A17D4D" w:rsidRPr="00A17D4D" w:rsidRDefault="00A17D4D" w:rsidP="00A17D4D">
      <w:pPr>
        <w:spacing w:after="240" w:line="240" w:lineRule="auto"/>
        <w:ind w:left="284"/>
        <w:jc w:val="both"/>
        <w:rPr>
          <w:rFonts w:ascii="Söhne" w:eastAsia="Times New Roman" w:hAnsi="Söhne" w:cs="Times New Roman"/>
          <w:sz w:val="18"/>
          <w:lang w:val="en-IE" w:eastAsia="fr-FR"/>
        </w:rPr>
      </w:pPr>
      <w:r w:rsidRPr="00A17D4D">
        <w:rPr>
          <w:rFonts w:ascii="Söhne" w:eastAsia="Times New Roman" w:hAnsi="Söhne" w:cs="Times New Roman"/>
          <w:sz w:val="18"/>
          <w:lang w:val="en-IE" w:eastAsia="fr-FR"/>
        </w:rPr>
        <w:t>Autolysed material is not suitable for analysis.</w:t>
      </w:r>
    </w:p>
    <w:p w14:paraId="531C8150"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3.4.</w:t>
      </w:r>
      <w:r w:rsidRPr="00A17D4D">
        <w:rPr>
          <w:rFonts w:ascii="Söhne Kräftig" w:eastAsia="MS Mincho" w:hAnsi="Söhne Kräftig" w:cs="Times New Roman"/>
          <w:sz w:val="21"/>
          <w:szCs w:val="20"/>
          <w:lang w:val="da-DK" w:eastAsia="da-DK"/>
        </w:rPr>
        <w:tab/>
        <w:t>Non-lethal sampling</w:t>
      </w:r>
    </w:p>
    <w:p w14:paraId="0799B448"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A non-destructive sampling method that detects </w:t>
      </w:r>
      <w:r w:rsidRPr="00A17D4D">
        <w:rPr>
          <w:rFonts w:ascii="Söhne" w:eastAsia="Times New Roman" w:hAnsi="Söhne" w:cs="Times New Roman"/>
          <w:i/>
          <w:iCs/>
          <w:sz w:val="18"/>
          <w:lang w:val="en-IE"/>
        </w:rPr>
        <w:t>A. astaci</w:t>
      </w:r>
      <w:r w:rsidRPr="00A17D4D">
        <w:rPr>
          <w:rFonts w:ascii="Söhne" w:eastAsia="Times New Roman" w:hAnsi="Söhne" w:cs="Times New Roman"/>
          <w:sz w:val="18"/>
          <w:lang w:val="en-IE"/>
        </w:rPr>
        <w:t xml:space="preserve"> DNA in the microbial biofilm associated with the cuticle of individual crayfish through vigorous scrubbing has been described (Pavic </w:t>
      </w:r>
      <w:r w:rsidRPr="00A17D4D">
        <w:rPr>
          <w:rFonts w:ascii="Söhne" w:eastAsia="Times New Roman" w:hAnsi="Söhne" w:cs="Times New Roman"/>
          <w:i/>
          <w:iCs/>
          <w:sz w:val="18"/>
          <w:lang w:val="en-IE"/>
        </w:rPr>
        <w:t>et al.,</w:t>
      </w:r>
      <w:r w:rsidRPr="00A17D4D">
        <w:rPr>
          <w:rFonts w:ascii="Söhne" w:eastAsia="Times New Roman" w:hAnsi="Söhne" w:cs="Times New Roman"/>
          <w:sz w:val="18"/>
          <w:lang w:val="en-IE"/>
        </w:rPr>
        <w:t xml:space="preserve"> 2020), and could be considered in case of testing vulnerable populations.</w:t>
      </w:r>
    </w:p>
    <w:p w14:paraId="2EA5D5F2"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hAnsi="Söhne" w:cs="Segoe UI"/>
          <w:sz w:val="18"/>
          <w:szCs w:val="18"/>
          <w:u w:val="double"/>
          <w:lang w:val="en-CA"/>
        </w:rPr>
        <w:t>If non-lethal tissue sample types differ from recommended tissues (see Section 3.2.), or from the tissue samples used in validation studies, the effect on diagnostic performance should be considered.</w:t>
      </w:r>
    </w:p>
    <w:p w14:paraId="2B0D69B3"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3.5.</w:t>
      </w:r>
      <w:r w:rsidRPr="00A17D4D">
        <w:rPr>
          <w:rFonts w:ascii="Söhne Kräftig" w:eastAsia="MS Mincho" w:hAnsi="Söhne Kräftig" w:cs="Times New Roman"/>
          <w:sz w:val="21"/>
          <w:szCs w:val="20"/>
          <w:lang w:val="da-DK" w:eastAsia="da-DK"/>
        </w:rPr>
        <w:tab/>
        <w:t>Preservation of samples for submission</w:t>
      </w:r>
    </w:p>
    <w:p w14:paraId="3C9CC820" w14:textId="77777777" w:rsidR="00A17D4D" w:rsidRPr="00A17D4D" w:rsidRDefault="00A17D4D" w:rsidP="00A17D4D">
      <w:pPr>
        <w:spacing w:after="240" w:line="240" w:lineRule="auto"/>
        <w:ind w:left="284"/>
        <w:jc w:val="both"/>
        <w:rPr>
          <w:rFonts w:ascii="Söhne" w:eastAsia="Times New Roman" w:hAnsi="Söhne" w:cs="Times New Roman"/>
          <w:sz w:val="18"/>
          <w:lang w:val="en-IE" w:eastAsia="fr-FR"/>
        </w:rPr>
      </w:pPr>
      <w:r w:rsidRPr="00A17D4D">
        <w:rPr>
          <w:rFonts w:ascii="Söhne" w:eastAsia="Times New Roman" w:hAnsi="Söhne" w:cs="Times New Roman"/>
          <w:sz w:val="18"/>
          <w:lang w:val="en-IE" w:eastAsia="fr-FR"/>
        </w:rPr>
        <w:t>The use of non-preserved crayfish is preferred, as described above. If transport of recently dead or moribund crayfish cannot be arranged, crayfish may be frozen or fixed in ethanol (minimum 70%). However, fixation may reduce test sensitivity. The crayfish:ethanol ratio should ideally be 1:10 (1 part crayfish, 10 parts ethanol).</w:t>
      </w:r>
    </w:p>
    <w:p w14:paraId="65B65421"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For guidance on sample preservation methods for the intended test methods, see Chapter 2.2.0 </w:t>
      </w:r>
    </w:p>
    <w:p w14:paraId="1EC67465"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3.5.1.</w:t>
      </w:r>
      <w:r w:rsidRPr="00A17D4D">
        <w:rPr>
          <w:rFonts w:ascii="Söhne Kräftig" w:eastAsia="Times New Roman" w:hAnsi="Söhne Kräftig" w:cs="Times New Roman"/>
          <w:bCs/>
          <w:sz w:val="20"/>
          <w:lang w:val="en-GB" w:eastAsia="fr-FR"/>
        </w:rPr>
        <w:tab/>
        <w:t xml:space="preserve">Samples for pathogen isolation </w:t>
      </w:r>
    </w:p>
    <w:p w14:paraId="3E6C0A94"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 xml:space="preserve">The success of pathogen isolation depends strongly on the quality of samples (time since collection and time in storage). Isolation is best attempted from crayfish with clinical signs delivered alive (see Section 3.1.). Fresh specimens should be kept chilled and preferably sent to the laboratory within 24 hours of collection. </w:t>
      </w:r>
    </w:p>
    <w:p w14:paraId="51DE98F8"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3.5.2.</w:t>
      </w:r>
      <w:r w:rsidRPr="00A17D4D">
        <w:rPr>
          <w:rFonts w:ascii="Söhne Kräftig" w:eastAsia="Times New Roman" w:hAnsi="Söhne Kräftig" w:cs="Times New Roman"/>
          <w:bCs/>
          <w:sz w:val="20"/>
          <w:lang w:val="en-GB" w:eastAsia="fr-FR"/>
        </w:rPr>
        <w:tab/>
        <w:t>Preservation of samples for molecular detection</w:t>
      </w:r>
    </w:p>
    <w:p w14:paraId="639F4DB0"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lastRenderedPageBreak/>
        <w:t>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w:t>
      </w:r>
    </w:p>
    <w:p w14:paraId="717452D8"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Söhne" w:hAnsi="Söhne" w:cs="Söhne"/>
          <w:sz w:val="18"/>
          <w:szCs w:val="18"/>
          <w:u w:val="double"/>
          <w:lang w:val="en-IE"/>
        </w:rPr>
        <w:t xml:space="preserve">Standard sample collection, preservation and processing methods for </w:t>
      </w:r>
      <w:r w:rsidRPr="00A17D4D">
        <w:rPr>
          <w:rFonts w:ascii="Söhne" w:eastAsia="Segoe UI" w:hAnsi="Söhne" w:cs="Segoe UI"/>
          <w:sz w:val="18"/>
          <w:szCs w:val="18"/>
          <w:u w:val="double"/>
          <w:lang w:val="en-IE"/>
        </w:rPr>
        <w:t xml:space="preserve">molecular </w:t>
      </w:r>
      <w:r w:rsidRPr="00A17D4D">
        <w:rPr>
          <w:rFonts w:ascii="Söhne" w:eastAsia="Söhne" w:hAnsi="Söhne" w:cs="Söhne"/>
          <w:sz w:val="18"/>
          <w:szCs w:val="18"/>
          <w:u w:val="double"/>
          <w:lang w:val="en-IE"/>
        </w:rPr>
        <w:t>techniques can be found in Section B.</w:t>
      </w:r>
      <w:r w:rsidRPr="00A17D4D">
        <w:rPr>
          <w:rFonts w:ascii="Söhne" w:eastAsia="Segoe UI" w:hAnsi="Söhne" w:cs="Segoe UI"/>
          <w:sz w:val="18"/>
          <w:szCs w:val="18"/>
          <w:u w:val="double"/>
          <w:lang w:val="en-IE"/>
        </w:rPr>
        <w:t>5.5.</w:t>
      </w:r>
      <w:r w:rsidRPr="00A17D4D">
        <w:rPr>
          <w:rFonts w:ascii="Söhne" w:eastAsia="Söhne" w:hAnsi="Söhne" w:cs="Söhne"/>
          <w:sz w:val="18"/>
          <w:szCs w:val="18"/>
          <w:u w:val="double"/>
          <w:lang w:val="en-IE"/>
        </w:rPr>
        <w:t xml:space="preserve"> of Chapter 2.2.0 </w:t>
      </w:r>
      <w:r w:rsidRPr="00A17D4D">
        <w:rPr>
          <w:rFonts w:ascii="Söhne" w:eastAsia="Söhne" w:hAnsi="Söhne" w:cs="Söhne"/>
          <w:i/>
          <w:iCs/>
          <w:sz w:val="18"/>
          <w:szCs w:val="18"/>
          <w:u w:val="double"/>
          <w:lang w:val="en-IE"/>
        </w:rPr>
        <w:t>General information</w:t>
      </w:r>
      <w:r w:rsidRPr="00A17D4D">
        <w:rPr>
          <w:rFonts w:ascii="Söhne" w:eastAsia="Söhne" w:hAnsi="Söhne" w:cs="Söhne"/>
          <w:sz w:val="18"/>
          <w:szCs w:val="18"/>
          <w:u w:val="double"/>
          <w:lang w:val="en-IE"/>
        </w:rPr>
        <w:t xml:space="preserve"> (diseases of crustaceans).</w:t>
      </w:r>
    </w:p>
    <w:p w14:paraId="169B169E"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3.5.3.</w:t>
      </w:r>
      <w:r w:rsidRPr="00A17D4D">
        <w:rPr>
          <w:rFonts w:ascii="Söhne Kräftig" w:eastAsia="Times New Roman" w:hAnsi="Söhne Kräftig" w:cs="Times New Roman"/>
          <w:bCs/>
          <w:sz w:val="20"/>
          <w:lang w:val="en-GB" w:eastAsia="fr-FR"/>
        </w:rPr>
        <w:tab/>
        <w:t>Samples for histopathology</w:t>
      </w:r>
    </w:p>
    <w:p w14:paraId="56BF5F79"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rPr>
        <w:t xml:space="preserve">Standard sample collection, preservation and processing methods for histological techniques can be found in Section 2.2 of Chapter 2.2.0 </w:t>
      </w:r>
      <w:r w:rsidRPr="00A17D4D">
        <w:rPr>
          <w:rFonts w:ascii="Söhne" w:eastAsia="Times New Roman" w:hAnsi="Söhne" w:cs="Times New Roman"/>
          <w:bCs/>
          <w:i/>
          <w:iCs/>
          <w:sz w:val="18"/>
          <w:lang w:val="en-IE"/>
        </w:rPr>
        <w:t>General information</w:t>
      </w:r>
      <w:r w:rsidRPr="00A17D4D">
        <w:rPr>
          <w:rFonts w:ascii="Söhne" w:eastAsia="Times New Roman" w:hAnsi="Söhne" w:cs="Times New Roman"/>
          <w:bCs/>
          <w:sz w:val="18"/>
          <w:lang w:val="en-IE"/>
        </w:rPr>
        <w:t xml:space="preserve"> (diseases of crustaceans).</w:t>
      </w:r>
    </w:p>
    <w:p w14:paraId="06BE8804"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3.5.4.</w:t>
      </w:r>
      <w:r w:rsidRPr="00A17D4D">
        <w:rPr>
          <w:rFonts w:ascii="Söhne Kräftig" w:eastAsia="Times New Roman" w:hAnsi="Söhne Kräftig" w:cs="Times New Roman"/>
          <w:bCs/>
          <w:sz w:val="20"/>
          <w:lang w:val="en-GB" w:eastAsia="fr-FR"/>
        </w:rPr>
        <w:tab/>
        <w:t>Samples for other tests</w:t>
      </w:r>
    </w:p>
    <w:p w14:paraId="5674B9E0" w14:textId="77777777" w:rsidR="00A17D4D" w:rsidRPr="00A17D4D" w:rsidRDefault="00A17D4D" w:rsidP="00A17D4D">
      <w:pPr>
        <w:spacing w:after="240" w:line="240" w:lineRule="auto"/>
        <w:ind w:left="851"/>
        <w:jc w:val="both"/>
        <w:rPr>
          <w:rFonts w:ascii="Söhne" w:eastAsia="Times New Roman" w:hAnsi="Söhne" w:cs="Times New Roman"/>
          <w:bCs/>
          <w:sz w:val="18"/>
          <w:lang w:val="en-IE" w:eastAsia="fr-FR"/>
        </w:rPr>
      </w:pPr>
      <w:r w:rsidRPr="00A17D4D">
        <w:rPr>
          <w:rFonts w:ascii="Söhne" w:eastAsia="Times New Roman" w:hAnsi="Söhne" w:cs="Times New Roman"/>
          <w:bCs/>
          <w:sz w:val="18"/>
          <w:lang w:val="en-IE" w:eastAsia="fr-FR"/>
        </w:rPr>
        <w:t xml:space="preserve">Sensitive molecular methods can be used to detect </w:t>
      </w:r>
      <w:r w:rsidRPr="00A17D4D">
        <w:rPr>
          <w:rFonts w:ascii="Söhne" w:eastAsia="Times New Roman" w:hAnsi="Söhne" w:cs="Times New Roman"/>
          <w:bCs/>
          <w:i/>
          <w:iCs/>
          <w:sz w:val="18"/>
          <w:lang w:val="en-IE" w:eastAsia="fr-FR"/>
        </w:rPr>
        <w:t>A. astaci</w:t>
      </w:r>
      <w:r w:rsidRPr="00A17D4D">
        <w:rPr>
          <w:rFonts w:ascii="Söhne" w:eastAsia="Times New Roman" w:hAnsi="Söhne" w:cs="Times New Roman"/>
          <w:bCs/>
          <w:sz w:val="18"/>
          <w:lang w:val="en-IE" w:eastAsia="fr-FR"/>
        </w:rPr>
        <w:t xml:space="preserve"> DNA directly from water samples (Strand </w:t>
      </w:r>
      <w:r w:rsidRPr="00A17D4D">
        <w:rPr>
          <w:rFonts w:ascii="Söhne" w:eastAsia="Times New Roman" w:hAnsi="Söhne" w:cs="Times New Roman"/>
          <w:bCs/>
          <w:i/>
          <w:iCs/>
          <w:sz w:val="18"/>
          <w:lang w:val="en-IE" w:eastAsia="fr-FR"/>
        </w:rPr>
        <w:t>et al</w:t>
      </w:r>
      <w:r w:rsidRPr="00A17D4D">
        <w:rPr>
          <w:rFonts w:ascii="Söhne" w:eastAsia="Times New Roman" w:hAnsi="Söhne" w:cs="Times New Roman"/>
          <w:bCs/>
          <w:sz w:val="18"/>
          <w:lang w:val="en-IE" w:eastAsia="fr-FR"/>
        </w:rPr>
        <w:t>. 2011, 2012). These methods require validation for diagnostic use.</w:t>
      </w:r>
    </w:p>
    <w:p w14:paraId="570B9799"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3.6.</w:t>
      </w:r>
      <w:r w:rsidRPr="00A17D4D">
        <w:rPr>
          <w:rFonts w:ascii="Söhne Kräftig" w:eastAsia="MS Mincho" w:hAnsi="Söhne Kräftig" w:cs="Times New Roman"/>
          <w:sz w:val="21"/>
          <w:szCs w:val="20"/>
          <w:lang w:val="da-DK" w:eastAsia="da-DK"/>
        </w:rPr>
        <w:tab/>
        <w:t>Pooling of samples</w:t>
      </w:r>
    </w:p>
    <w:p w14:paraId="72C39E86" w14:textId="77777777" w:rsidR="00A17D4D" w:rsidRPr="00A17D4D" w:rsidRDefault="00A17D4D" w:rsidP="00A17D4D">
      <w:pPr>
        <w:spacing w:after="240" w:line="240" w:lineRule="auto"/>
        <w:ind w:left="567"/>
        <w:jc w:val="both"/>
        <w:rPr>
          <w:rFonts w:ascii="Söhne" w:eastAsia="Times New Roman" w:hAnsi="Söhne" w:cs="Arial"/>
          <w:sz w:val="18"/>
          <w:lang w:val="en-IE"/>
        </w:rPr>
      </w:pPr>
      <w:r w:rsidRPr="00A17D4D">
        <w:rPr>
          <w:rFonts w:ascii="Söhne" w:eastAsia="Times New Roman" w:hAnsi="Söhne" w:cs="Arial"/>
          <w:sz w:val="18"/>
          <w:szCs w:val="18"/>
          <w:lang w:val="en-IE"/>
        </w:rPr>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therefore, larger animals should be processed and tested individually. </w:t>
      </w:r>
      <w:r w:rsidRPr="00A17D4D">
        <w:rPr>
          <w:rFonts w:ascii="Söhne" w:eastAsia="Times New Roman" w:hAnsi="Söhne" w:cs="Times New Roman"/>
          <w:sz w:val="18"/>
          <w:bdr w:val="nil"/>
          <w:lang w:val="en-IE"/>
        </w:rPr>
        <w:t>Small life stages such as PL, can be pooled to obtain the minimum amount of material for molecular detection</w:t>
      </w:r>
      <w:r w:rsidRPr="00A17D4D">
        <w:rPr>
          <w:rFonts w:ascii="Söhne" w:eastAsia="Times New Roman" w:hAnsi="Söhne" w:cs="Arial"/>
          <w:sz w:val="18"/>
          <w:bdr w:val="nil"/>
          <w:lang w:val="en-IE" w:eastAsia="fr-FR"/>
        </w:rPr>
        <w:t>.</w:t>
      </w:r>
      <w:r w:rsidRPr="00A17D4D">
        <w:rPr>
          <w:rFonts w:ascii="Söhne" w:eastAsia="Times New Roman" w:hAnsi="Söhne" w:cs="Arial"/>
          <w:sz w:val="18"/>
          <w:lang w:val="en-IE"/>
        </w:rPr>
        <w:t xml:space="preserve"> </w:t>
      </w:r>
    </w:p>
    <w:p w14:paraId="55A561A1" w14:textId="77777777" w:rsidR="00A17D4D" w:rsidRPr="00A17D4D" w:rsidRDefault="00A17D4D" w:rsidP="00A17D4D">
      <w:pPr>
        <w:spacing w:after="240" w:line="240" w:lineRule="auto"/>
        <w:ind w:left="284" w:hanging="284"/>
        <w:jc w:val="both"/>
        <w:rPr>
          <w:rFonts w:ascii="Söhne Halbfett" w:eastAsia="MS Mincho" w:hAnsi="Söhne Halbfett" w:cs="Times New Roman"/>
          <w:szCs w:val="20"/>
          <w:lang w:val="en-IE" w:eastAsia="fr-FR"/>
        </w:rPr>
      </w:pPr>
      <w:r w:rsidRPr="00A17D4D">
        <w:rPr>
          <w:rFonts w:ascii="Söhne Halbfett" w:eastAsia="MS Mincho" w:hAnsi="Söhne Halbfett" w:cs="Times New Roman"/>
          <w:szCs w:val="20"/>
          <w:lang w:val="en-IE" w:eastAsia="fr-FR"/>
        </w:rPr>
        <w:t>4.</w:t>
      </w:r>
      <w:r w:rsidRPr="00A17D4D">
        <w:rPr>
          <w:rFonts w:ascii="Söhne Halbfett" w:eastAsia="MS Mincho" w:hAnsi="Söhne Halbfett" w:cs="Times New Roman"/>
          <w:szCs w:val="20"/>
          <w:lang w:val="en-IE" w:eastAsia="fr-FR"/>
        </w:rPr>
        <w:tab/>
        <w:t>Diagnostic methods</w:t>
      </w:r>
    </w:p>
    <w:p w14:paraId="449F4D82" w14:textId="77777777" w:rsidR="00A17D4D" w:rsidRPr="00A17D4D" w:rsidRDefault="00A17D4D" w:rsidP="00A17D4D">
      <w:pPr>
        <w:spacing w:after="240" w:line="240" w:lineRule="auto"/>
        <w:jc w:val="both"/>
        <w:rPr>
          <w:rFonts w:ascii="Söhne" w:eastAsia="MS Mincho" w:hAnsi="Söhne" w:cs="Times New Roman"/>
          <w:sz w:val="18"/>
          <w:u w:color="000000"/>
          <w:bdr w:val="nil"/>
          <w:lang w:val="en-IE" w:eastAsia="ja-JP" w:bidi="en-US"/>
        </w:rPr>
      </w:pPr>
      <w:r w:rsidRPr="00A17D4D">
        <w:rPr>
          <w:rFonts w:ascii="Söhne" w:eastAsia="MS Mincho" w:hAnsi="Söhne"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2E6D3CE9"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Times New Roman"/>
          <w:b/>
          <w:sz w:val="18"/>
          <w:lang w:val="en-IE" w:bidi="en-US"/>
        </w:rPr>
        <w:t>Ratings for purposes of use.</w:t>
      </w:r>
      <w:r w:rsidRPr="00A17D4D">
        <w:rPr>
          <w:rFonts w:ascii="Söhne" w:eastAsia="Times New Roman" w:hAnsi="Söhne" w:cs="Arial"/>
          <w:sz w:val="18"/>
          <w:szCs w:val="18"/>
          <w:lang w:val="en-IE" w:bidi="en-US"/>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FC67177" w14:textId="77777777" w:rsidR="00A17D4D" w:rsidRPr="00A17D4D" w:rsidRDefault="00A17D4D" w:rsidP="00A17D4D">
      <w:pPr>
        <w:pBdr>
          <w:between w:val="nil"/>
          <w:bar w:val="nil"/>
        </w:pBdr>
        <w:spacing w:after="0" w:line="240" w:lineRule="auto"/>
        <w:ind w:left="1701" w:hanging="1701"/>
        <w:rPr>
          <w:rFonts w:ascii="Söhne" w:eastAsia="Arial" w:hAnsi="Söhne" w:cs="Arial"/>
          <w:color w:val="000000"/>
          <w:sz w:val="18"/>
          <w:szCs w:val="18"/>
          <w:u w:color="000000"/>
          <w:bdr w:val="nil"/>
          <w:lang w:val="en-GB"/>
        </w:rPr>
      </w:pPr>
      <w:r w:rsidRPr="00A17D4D">
        <w:rPr>
          <w:rFonts w:ascii="Söhne" w:eastAsia="Calibri" w:hAnsi="Söhne" w:cs="Calibri"/>
          <w:color w:val="000000"/>
          <w:sz w:val="18"/>
          <w:szCs w:val="18"/>
          <w:u w:color="000000"/>
          <w:bdr w:val="nil"/>
          <w:lang w:val="en-GB"/>
        </w:rPr>
        <w:t>+++ =</w:t>
      </w:r>
      <w:r w:rsidRPr="00A17D4D">
        <w:rPr>
          <w:rFonts w:ascii="Söhne" w:eastAsia="Calibri" w:hAnsi="Söhne" w:cs="Calibri"/>
          <w:color w:val="000000"/>
          <w:sz w:val="18"/>
          <w:szCs w:val="18"/>
          <w:u w:color="000000"/>
          <w:bdr w:val="nil"/>
          <w:lang w:val="en-GB"/>
        </w:rPr>
        <w:tab/>
      </w:r>
      <w:r w:rsidRPr="00A17D4D">
        <w:rPr>
          <w:rFonts w:ascii="Söhne" w:eastAsia="Times New Roman" w:hAnsi="Söhne" w:cs="Arial"/>
          <w:sz w:val="18"/>
          <w:szCs w:val="18"/>
          <w:lang w:val="en-GB"/>
        </w:rPr>
        <w:t xml:space="preserve">Methods </w:t>
      </w:r>
      <w:r w:rsidRPr="00A17D4D">
        <w:rPr>
          <w:rFonts w:ascii="Söhne" w:eastAsia="Arial" w:hAnsi="Söhne" w:cs="Arial"/>
          <w:color w:val="000000"/>
          <w:sz w:val="18"/>
          <w:szCs w:val="18"/>
          <w:u w:color="000000"/>
          <w:bdr w:val="nil"/>
          <w:lang w:val="en-GB"/>
        </w:rPr>
        <w:t xml:space="preserve">are most suitable with </w:t>
      </w:r>
      <w:r w:rsidRPr="00A17D4D">
        <w:rPr>
          <w:rFonts w:ascii="Söhne" w:eastAsia="Times New Roman" w:hAnsi="Söhne" w:cs="Arial"/>
          <w:sz w:val="18"/>
          <w:szCs w:val="18"/>
          <w:lang w:val="en-GB"/>
        </w:rPr>
        <w:t>desirable performance and operational characteristics</w:t>
      </w:r>
      <w:r w:rsidRPr="00A17D4D">
        <w:rPr>
          <w:rFonts w:ascii="Söhne" w:eastAsia="Calibri" w:hAnsi="Söhne" w:cs="Calibri"/>
          <w:color w:val="000000"/>
          <w:sz w:val="18"/>
          <w:szCs w:val="18"/>
          <w:u w:color="000000"/>
          <w:bdr w:val="nil"/>
          <w:lang w:val="en-GB"/>
        </w:rPr>
        <w:t>.</w:t>
      </w:r>
    </w:p>
    <w:p w14:paraId="6AFBAC42" w14:textId="77777777" w:rsidR="00A17D4D" w:rsidRPr="00A17D4D" w:rsidRDefault="00A17D4D" w:rsidP="00A17D4D">
      <w:pPr>
        <w:pBdr>
          <w:between w:val="nil"/>
          <w:bar w:val="nil"/>
        </w:pBdr>
        <w:spacing w:after="0" w:line="240" w:lineRule="auto"/>
        <w:ind w:left="1701" w:hanging="1701"/>
        <w:rPr>
          <w:rFonts w:ascii="Söhne" w:eastAsia="Arial" w:hAnsi="Söhne" w:cs="Arial"/>
          <w:color w:val="000000"/>
          <w:sz w:val="18"/>
          <w:szCs w:val="18"/>
          <w:u w:color="000000"/>
          <w:bdr w:val="nil"/>
          <w:lang w:val="en-GB"/>
        </w:rPr>
      </w:pPr>
      <w:r w:rsidRPr="00A17D4D">
        <w:rPr>
          <w:rFonts w:ascii="Söhne" w:eastAsia="Calibri" w:hAnsi="Söhne" w:cs="Calibri"/>
          <w:color w:val="000000"/>
          <w:sz w:val="18"/>
          <w:szCs w:val="18"/>
          <w:u w:color="000000"/>
          <w:bdr w:val="nil"/>
          <w:lang w:val="en-GB"/>
        </w:rPr>
        <w:t xml:space="preserve">++ = </w:t>
      </w:r>
      <w:r w:rsidRPr="00A17D4D">
        <w:rPr>
          <w:rFonts w:ascii="Söhne" w:eastAsia="Calibri" w:hAnsi="Söhne" w:cs="Calibri"/>
          <w:color w:val="000000"/>
          <w:sz w:val="18"/>
          <w:szCs w:val="18"/>
          <w:u w:color="000000"/>
          <w:bdr w:val="nil"/>
          <w:lang w:val="en-GB"/>
        </w:rPr>
        <w:tab/>
        <w:t>Methods</w:t>
      </w:r>
      <w:r w:rsidRPr="00A17D4D">
        <w:rPr>
          <w:rFonts w:ascii="Söhne" w:eastAsia="Calibri" w:hAnsi="Söhne" w:cs="Calibri"/>
          <w:color w:val="000000"/>
          <w:sz w:val="18"/>
          <w:szCs w:val="18"/>
          <w:bdr w:val="nil"/>
          <w:lang w:val="en-GB"/>
        </w:rPr>
        <w:t xml:space="preserve"> </w:t>
      </w:r>
      <w:r w:rsidRPr="00A17D4D">
        <w:rPr>
          <w:rFonts w:ascii="Söhne" w:eastAsia="Arial" w:hAnsi="Söhne" w:cs="Arial"/>
          <w:color w:val="000000"/>
          <w:sz w:val="18"/>
          <w:szCs w:val="18"/>
          <w:u w:color="000000"/>
          <w:bdr w:val="nil"/>
          <w:lang w:val="en-GB"/>
        </w:rPr>
        <w:t xml:space="preserve">are suitable with </w:t>
      </w:r>
      <w:r w:rsidRPr="00A17D4D">
        <w:rPr>
          <w:rFonts w:ascii="Söhne" w:eastAsia="Times New Roman" w:hAnsi="Söhne" w:cs="Arial"/>
          <w:sz w:val="18"/>
          <w:szCs w:val="18"/>
          <w:lang w:val="en-GB"/>
        </w:rPr>
        <w:t>acceptable performance and operational characteristics under most circumstances</w:t>
      </w:r>
      <w:r w:rsidRPr="00A17D4D">
        <w:rPr>
          <w:rFonts w:ascii="Söhne" w:eastAsia="Calibri" w:hAnsi="Söhne" w:cs="Calibri"/>
          <w:color w:val="000000"/>
          <w:sz w:val="18"/>
          <w:szCs w:val="18"/>
          <w:u w:color="000000"/>
          <w:bdr w:val="nil"/>
          <w:lang w:val="en-GB"/>
        </w:rPr>
        <w:t xml:space="preserve">. </w:t>
      </w:r>
    </w:p>
    <w:p w14:paraId="540C4B7F" w14:textId="77777777" w:rsidR="00A17D4D" w:rsidRPr="00A17D4D" w:rsidRDefault="00A17D4D" w:rsidP="00A17D4D">
      <w:pPr>
        <w:pBdr>
          <w:between w:val="nil"/>
          <w:bar w:val="nil"/>
        </w:pBdr>
        <w:spacing w:after="0" w:line="240" w:lineRule="auto"/>
        <w:ind w:left="1701" w:hanging="1701"/>
        <w:rPr>
          <w:rFonts w:ascii="Söhne" w:eastAsia="Arial" w:hAnsi="Söhne" w:cs="Arial"/>
          <w:color w:val="000000"/>
          <w:sz w:val="18"/>
          <w:szCs w:val="18"/>
          <w:u w:color="000000"/>
          <w:bdr w:val="nil"/>
          <w:lang w:val="en-GB"/>
        </w:rPr>
      </w:pPr>
      <w:r w:rsidRPr="00A17D4D">
        <w:rPr>
          <w:rFonts w:ascii="Söhne" w:eastAsia="Calibri" w:hAnsi="Söhne" w:cs="Calibri"/>
          <w:color w:val="000000"/>
          <w:sz w:val="18"/>
          <w:szCs w:val="18"/>
          <w:u w:color="000000"/>
          <w:bdr w:val="nil"/>
          <w:lang w:val="en-GB"/>
        </w:rPr>
        <w:t xml:space="preserve">+ = </w:t>
      </w:r>
      <w:r w:rsidRPr="00A17D4D">
        <w:rPr>
          <w:rFonts w:ascii="Söhne" w:eastAsia="Calibri" w:hAnsi="Söhne" w:cs="Calibri"/>
          <w:color w:val="000000"/>
          <w:sz w:val="18"/>
          <w:szCs w:val="18"/>
          <w:u w:color="000000"/>
          <w:bdr w:val="nil"/>
          <w:lang w:val="en-GB"/>
        </w:rPr>
        <w:tab/>
      </w:r>
      <w:r w:rsidRPr="00A17D4D">
        <w:rPr>
          <w:rFonts w:ascii="Söhne" w:eastAsia="Times New Roman" w:hAnsi="Söhne" w:cs="Arial"/>
          <w:sz w:val="18"/>
          <w:szCs w:val="18"/>
          <w:lang w:val="en-GB"/>
        </w:rPr>
        <w:t xml:space="preserve">Methods </w:t>
      </w:r>
      <w:r w:rsidRPr="00A17D4D">
        <w:rPr>
          <w:rFonts w:ascii="Söhne" w:eastAsia="Arial" w:hAnsi="Söhne" w:cs="Arial"/>
          <w:color w:val="000000"/>
          <w:sz w:val="18"/>
          <w:szCs w:val="18"/>
          <w:u w:color="000000"/>
          <w:bdr w:val="nil"/>
          <w:lang w:val="en-GB"/>
        </w:rPr>
        <w:t>are suitable, but</w:t>
      </w:r>
      <w:r w:rsidRPr="00A17D4D">
        <w:rPr>
          <w:rFonts w:ascii="Söhne" w:eastAsia="Times New Roman" w:hAnsi="Söhne" w:cs="Arial"/>
          <w:sz w:val="18"/>
          <w:szCs w:val="18"/>
          <w:lang w:val="en-GB"/>
        </w:rPr>
        <w:t xml:space="preserve"> performance or operational characteristics may limit application under some circumstances</w:t>
      </w:r>
      <w:r w:rsidRPr="00A17D4D">
        <w:rPr>
          <w:rFonts w:ascii="Söhne" w:eastAsia="Arial" w:hAnsi="Söhne" w:cs="Arial"/>
          <w:color w:val="000000"/>
          <w:sz w:val="18"/>
          <w:szCs w:val="18"/>
          <w:u w:color="000000"/>
          <w:bdr w:val="nil"/>
          <w:lang w:val="en-GB"/>
        </w:rPr>
        <w:t xml:space="preserve">. </w:t>
      </w:r>
    </w:p>
    <w:p w14:paraId="76B93A26" w14:textId="77777777" w:rsidR="00A17D4D" w:rsidRPr="00A17D4D" w:rsidRDefault="00A17D4D" w:rsidP="00A17D4D">
      <w:pPr>
        <w:pBdr>
          <w:between w:val="nil"/>
          <w:bar w:val="nil"/>
        </w:pBdr>
        <w:spacing w:after="240" w:line="240" w:lineRule="auto"/>
        <w:ind w:left="1701" w:hanging="1701"/>
        <w:rPr>
          <w:rFonts w:ascii="Söhne" w:eastAsia="Calibri" w:hAnsi="Söhne" w:cs="Calibri"/>
          <w:color w:val="000000"/>
          <w:sz w:val="18"/>
          <w:szCs w:val="18"/>
          <w:u w:color="000000"/>
          <w:bdr w:val="nil"/>
          <w:lang w:val="en-GB"/>
        </w:rPr>
      </w:pPr>
      <w:r w:rsidRPr="00A17D4D">
        <w:rPr>
          <w:rFonts w:ascii="Söhne" w:eastAsia="Calibri" w:hAnsi="Söhne" w:cs="Calibri"/>
          <w:color w:val="000000"/>
          <w:sz w:val="18"/>
          <w:szCs w:val="18"/>
          <w:u w:color="000000"/>
          <w:bdr w:val="nil"/>
          <w:lang w:val="en-GB"/>
        </w:rPr>
        <w:t xml:space="preserve">Shaded boxes = </w:t>
      </w:r>
      <w:r w:rsidRPr="00A17D4D">
        <w:rPr>
          <w:rFonts w:ascii="Söhne" w:eastAsia="Calibri" w:hAnsi="Söhne" w:cs="Calibri"/>
          <w:color w:val="000000"/>
          <w:sz w:val="18"/>
          <w:szCs w:val="18"/>
          <w:u w:color="000000"/>
          <w:bdr w:val="nil"/>
          <w:lang w:val="en-GB"/>
        </w:rPr>
        <w:tab/>
        <w:t>Not appropriate for this purpose.</w:t>
      </w:r>
    </w:p>
    <w:p w14:paraId="3AF8BD0A"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Times New Roman"/>
          <w:b/>
          <w:sz w:val="18"/>
          <w:lang w:val="en-IE" w:bidi="en-US"/>
        </w:rPr>
        <w:t>Validation stage</w:t>
      </w:r>
      <w:r w:rsidRPr="00A17D4D">
        <w:rPr>
          <w:rFonts w:ascii="Söhne" w:eastAsia="Times New Roman" w:hAnsi="Söhne" w:cs="Arial"/>
          <w:sz w:val="18"/>
          <w:szCs w:val="18"/>
          <w:lang w:val="en-IE"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7378FE93"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Times New Roman"/>
          <w:sz w:val="18"/>
          <w:lang w:val="en-IE" w:bidi="en-US"/>
        </w:rPr>
        <w:t>WOAH Reference Laboratories welcome feedback on diagnostic performance of recommended assays, in particular PCR methods. Of particular interest are any factors affecting expected assay sensitivity (</w:t>
      </w:r>
      <w:proofErr w:type="gramStart"/>
      <w:r w:rsidRPr="00A17D4D">
        <w:rPr>
          <w:rFonts w:ascii="Söhne" w:eastAsia="Times New Roman" w:hAnsi="Söhne" w:cs="Times New Roman"/>
          <w:sz w:val="18"/>
          <w:lang w:val="en-IE" w:bidi="en-US"/>
        </w:rPr>
        <w:t>e.g.</w:t>
      </w:r>
      <w:proofErr w:type="gramEnd"/>
      <w:r w:rsidRPr="00A17D4D">
        <w:rPr>
          <w:rFonts w:ascii="Söhne" w:eastAsia="Times New Roman" w:hAnsi="Söhne" w:cs="Times New Roman"/>
          <w:sz w:val="18"/>
          <w:lang w:val="en-IE" w:bidi="en-US"/>
        </w:rPr>
        <w:t xml:space="preserve"> tissue components inhibiting amplification) or expecte</w:t>
      </w:r>
      <w:r w:rsidRPr="00A17D4D">
        <w:rPr>
          <w:rFonts w:ascii="Söhne" w:eastAsia="Times New Roman" w:hAnsi="Söhne" w:cs="Arial"/>
          <w:sz w:val="18"/>
          <w:szCs w:val="18"/>
          <w:lang w:val="en-IE" w:bidi="en-US"/>
        </w:rPr>
        <w:t xml:space="preserv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 </w:t>
      </w:r>
    </w:p>
    <w:p w14:paraId="03CB345C" w14:textId="77777777" w:rsidR="00A17D4D" w:rsidRPr="00A17D4D" w:rsidRDefault="00A17D4D" w:rsidP="00A17D4D">
      <w:pPr>
        <w:spacing w:after="240" w:line="240" w:lineRule="auto"/>
        <w:jc w:val="both"/>
        <w:rPr>
          <w:rFonts w:ascii="Söhne" w:eastAsia="Times New Roman" w:hAnsi="Söhne" w:cs="Arial"/>
          <w:sz w:val="18"/>
          <w:lang w:val="en-GB" w:bidi="en-US"/>
        </w:rPr>
      </w:pPr>
    </w:p>
    <w:p w14:paraId="25A450B7" w14:textId="77777777" w:rsidR="00A17D4D" w:rsidRPr="00A17D4D" w:rsidRDefault="00A17D4D" w:rsidP="00A17D4D">
      <w:pPr>
        <w:spacing w:after="120" w:line="240" w:lineRule="auto"/>
        <w:jc w:val="center"/>
        <w:rPr>
          <w:rFonts w:ascii="Söhne Kräftig" w:eastAsia="Times New Roman" w:hAnsi="Söhne Kräftig" w:cs="Times New Roman"/>
          <w:b/>
          <w:bCs/>
          <w:i/>
          <w:sz w:val="18"/>
          <w:lang w:val="en-IE" w:bidi="en-US"/>
        </w:rPr>
        <w:sectPr w:rsidR="00A17D4D" w:rsidRPr="00A17D4D" w:rsidSect="004113FC">
          <w:headerReference w:type="even" r:id="rId8"/>
          <w:footerReference w:type="even" r:id="rId9"/>
          <w:headerReference w:type="first" r:id="rId10"/>
          <w:footerReference w:type="first" r:id="rId11"/>
          <w:footnotePr>
            <w:numRestart w:val="eachSect"/>
          </w:footnotePr>
          <w:pgSz w:w="11909" w:h="16834" w:code="9"/>
          <w:pgMar w:top="1699" w:right="1138" w:bottom="2131" w:left="1138" w:header="706" w:footer="562" w:gutter="0"/>
          <w:cols w:space="708"/>
          <w:docGrid w:linePitch="360"/>
        </w:sectPr>
      </w:pPr>
    </w:p>
    <w:p w14:paraId="2BB9452A" w14:textId="77777777" w:rsidR="00A17D4D" w:rsidRPr="00A17D4D" w:rsidRDefault="00A17D4D" w:rsidP="00A17D4D">
      <w:pPr>
        <w:spacing w:after="120" w:line="240" w:lineRule="auto"/>
        <w:jc w:val="center"/>
        <w:rPr>
          <w:rFonts w:ascii="Söhne Kräftig" w:eastAsia="Times New Roman" w:hAnsi="Söhne Kräftig" w:cs="Times New Roman"/>
          <w:b/>
          <w:bCs/>
          <w:i/>
          <w:sz w:val="18"/>
          <w:lang w:val="en-IE" w:bidi="en-US"/>
        </w:rPr>
      </w:pPr>
      <w:r w:rsidRPr="00A17D4D">
        <w:rPr>
          <w:rFonts w:ascii="Söhne Kräftig" w:eastAsia="Times New Roman" w:hAnsi="Söhne Kräftig" w:cs="Times New Roman"/>
          <w:b/>
          <w:bCs/>
          <w:i/>
          <w:sz w:val="18"/>
          <w:lang w:val="en-IE" w:bidi="en-US"/>
        </w:rPr>
        <w:lastRenderedPageBreak/>
        <w:t>Table 4.</w:t>
      </w:r>
      <w:r w:rsidRPr="00A17D4D">
        <w:rPr>
          <w:rFonts w:ascii="Söhne Kräftig" w:eastAsia="Times New Roman" w:hAnsi="Söhne Kräftig" w:cs="Times New Roman"/>
          <w:b/>
          <w:bCs/>
          <w:i/>
          <w:noProof/>
          <w:sz w:val="18"/>
          <w:lang w:val="en-IE" w:bidi="en-US"/>
        </w:rPr>
        <w:t>1</w:t>
      </w:r>
      <w:r w:rsidRPr="00A17D4D">
        <w:rPr>
          <w:rFonts w:ascii="Söhne Kräftig" w:eastAsia="Times New Roman" w:hAnsi="Söhne Kräftig" w:cs="Times New Roman"/>
          <w:b/>
          <w:bCs/>
          <w:i/>
          <w:sz w:val="18"/>
          <w:lang w:val="en-IE" w:bidi="en-US"/>
        </w:rPr>
        <w:t xml:space="preserve">. </w:t>
      </w:r>
      <w:r w:rsidRPr="00A17D4D">
        <w:rPr>
          <w:rFonts w:ascii="Söhne Kräftig" w:eastAsia="Times New Roman" w:hAnsi="Söhne Kräftig" w:cs="Times New Roman"/>
          <w:bCs/>
          <w:i/>
          <w:sz w:val="18"/>
          <w:lang w:val="en-IE" w:bidi="en-US"/>
        </w:rPr>
        <w:t>WOAH recommended diagnostic methods and their level of validation for surveillance of apparently healthy animals and investigation of clinically affected animals</w:t>
      </w:r>
      <w:r w:rsidRPr="00A17D4D">
        <w:rPr>
          <w:rFonts w:ascii="Söhne Kräftig" w:eastAsia="Times New Roman" w:hAnsi="Söhne Kräftig" w:cs="Times New Roman"/>
          <w:b/>
          <w:bCs/>
          <w:i/>
          <w:sz w:val="18"/>
          <w:lang w:val="en-IE" w:bidi="en-US"/>
        </w:rPr>
        <w:t xml:space="preserve">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709"/>
      </w:tblGrid>
      <w:tr w:rsidR="00A17D4D" w:rsidRPr="00A17D4D" w14:paraId="2D973D58" w14:textId="77777777">
        <w:trPr>
          <w:trHeight w:val="402"/>
          <w:tblHeader/>
          <w:jc w:val="center"/>
        </w:trPr>
        <w:tc>
          <w:tcPr>
            <w:tcW w:w="2399" w:type="dxa"/>
            <w:vMerge w:val="restart"/>
            <w:vAlign w:val="center"/>
          </w:tcPr>
          <w:p w14:paraId="7D9F1713"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Method</w:t>
            </w:r>
          </w:p>
        </w:tc>
        <w:tc>
          <w:tcPr>
            <w:tcW w:w="3405" w:type="dxa"/>
            <w:gridSpan w:val="4"/>
          </w:tcPr>
          <w:p w14:paraId="5B45244B" w14:textId="77777777" w:rsidR="00A17D4D" w:rsidRPr="00A17D4D" w:rsidRDefault="00A17D4D" w:rsidP="00A17D4D">
            <w:pPr>
              <w:numPr>
                <w:ilvl w:val="0"/>
                <w:numId w:val="74"/>
              </w:numPr>
              <w:spacing w:before="120" w:after="120" w:line="240" w:lineRule="auto"/>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Surveillance of apparently healthy animals</w:t>
            </w:r>
          </w:p>
        </w:tc>
        <w:tc>
          <w:tcPr>
            <w:tcW w:w="3327" w:type="dxa"/>
            <w:gridSpan w:val="4"/>
          </w:tcPr>
          <w:p w14:paraId="068E3CC6" w14:textId="77777777" w:rsidR="00A17D4D" w:rsidRPr="00A17D4D" w:rsidRDefault="00A17D4D" w:rsidP="00A17D4D">
            <w:pPr>
              <w:numPr>
                <w:ilvl w:val="0"/>
                <w:numId w:val="74"/>
              </w:num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Presumptive diagnosis of clinically affected animals</w:t>
            </w:r>
          </w:p>
        </w:tc>
        <w:tc>
          <w:tcPr>
            <w:tcW w:w="3761" w:type="dxa"/>
            <w:gridSpan w:val="4"/>
          </w:tcPr>
          <w:p w14:paraId="19BE1E25" w14:textId="77777777" w:rsidR="00A17D4D" w:rsidRPr="00A17D4D" w:rsidRDefault="00A17D4D" w:rsidP="00A17D4D">
            <w:pPr>
              <w:numPr>
                <w:ilvl w:val="0"/>
                <w:numId w:val="74"/>
              </w:num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Confirmatory diagnosis</w:t>
            </w:r>
            <w:r w:rsidRPr="00A17D4D">
              <w:rPr>
                <w:rFonts w:ascii="Söhne Kräftig" w:eastAsia="Times New Roman" w:hAnsi="Söhne Kräftig" w:cs="Arial"/>
                <w:bCs/>
                <w:sz w:val="16"/>
                <w:szCs w:val="16"/>
                <w:vertAlign w:val="superscript"/>
                <w:lang w:val="en-IE" w:bidi="en-US"/>
              </w:rPr>
              <w:t>1</w:t>
            </w:r>
            <w:r w:rsidRPr="00A17D4D">
              <w:rPr>
                <w:rFonts w:ascii="Söhne Kräftig" w:eastAsia="Times New Roman" w:hAnsi="Söhne Kräftig" w:cs="Arial"/>
                <w:bCs/>
                <w:sz w:val="16"/>
                <w:szCs w:val="16"/>
                <w:lang w:val="en-IE" w:bidi="en-US"/>
              </w:rPr>
              <w:t xml:space="preserve"> of a suspect result </w:t>
            </w:r>
            <w:r w:rsidRPr="00A17D4D">
              <w:rPr>
                <w:rFonts w:ascii="Söhne Kräftig" w:eastAsia="Times New Roman" w:hAnsi="Söhne Kräftig" w:cs="Times New Roman"/>
                <w:bCs/>
                <w:sz w:val="16"/>
                <w:szCs w:val="16"/>
                <w:lang w:val="en-IE" w:bidi="en-US"/>
              </w:rPr>
              <w:t>from surveillance or presumptive diagnosis</w:t>
            </w:r>
          </w:p>
        </w:tc>
      </w:tr>
      <w:tr w:rsidR="00A17D4D" w:rsidRPr="00A17D4D" w14:paraId="3D6797FD" w14:textId="77777777">
        <w:trPr>
          <w:trHeight w:val="402"/>
          <w:tblHeader/>
          <w:jc w:val="center"/>
        </w:trPr>
        <w:tc>
          <w:tcPr>
            <w:tcW w:w="2399" w:type="dxa"/>
            <w:vMerge/>
            <w:vAlign w:val="center"/>
          </w:tcPr>
          <w:p w14:paraId="1E1932E3"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p>
        </w:tc>
        <w:tc>
          <w:tcPr>
            <w:tcW w:w="995" w:type="dxa"/>
            <w:vAlign w:val="center"/>
          </w:tcPr>
          <w:p w14:paraId="47C1E0BE"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Early life stages</w:t>
            </w:r>
            <w:r w:rsidRPr="00A17D4D">
              <w:rPr>
                <w:rFonts w:ascii="Söhne Kräftig" w:eastAsia="Times New Roman" w:hAnsi="Söhne Kräftig" w:cs="Arial"/>
                <w:bCs/>
                <w:sz w:val="16"/>
                <w:szCs w:val="16"/>
                <w:vertAlign w:val="superscript"/>
                <w:lang w:val="en-IE" w:bidi="en-US"/>
              </w:rPr>
              <w:t>2</w:t>
            </w:r>
          </w:p>
        </w:tc>
        <w:tc>
          <w:tcPr>
            <w:tcW w:w="1134" w:type="dxa"/>
            <w:vAlign w:val="center"/>
          </w:tcPr>
          <w:p w14:paraId="73D7AE4A"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Juveniles</w:t>
            </w:r>
            <w:r w:rsidRPr="00A17D4D">
              <w:rPr>
                <w:rFonts w:ascii="Söhne Kräftig" w:eastAsia="Times New Roman" w:hAnsi="Söhne Kräftig" w:cs="Arial"/>
                <w:bCs/>
                <w:sz w:val="16"/>
                <w:szCs w:val="16"/>
                <w:vertAlign w:val="superscript"/>
                <w:lang w:val="en-IE" w:bidi="en-US"/>
              </w:rPr>
              <w:t>2</w:t>
            </w:r>
          </w:p>
        </w:tc>
        <w:tc>
          <w:tcPr>
            <w:tcW w:w="709" w:type="dxa"/>
            <w:vAlign w:val="center"/>
          </w:tcPr>
          <w:p w14:paraId="344641D9"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Adults</w:t>
            </w:r>
          </w:p>
        </w:tc>
        <w:tc>
          <w:tcPr>
            <w:tcW w:w="567" w:type="dxa"/>
            <w:vAlign w:val="center"/>
          </w:tcPr>
          <w:p w14:paraId="0658EA24"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LV</w:t>
            </w:r>
          </w:p>
        </w:tc>
        <w:tc>
          <w:tcPr>
            <w:tcW w:w="851" w:type="dxa"/>
            <w:vAlign w:val="center"/>
          </w:tcPr>
          <w:p w14:paraId="1C1B256C"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Early life stages</w:t>
            </w:r>
            <w:r w:rsidRPr="00A17D4D">
              <w:rPr>
                <w:rFonts w:ascii="Söhne Kräftig" w:eastAsia="Times New Roman" w:hAnsi="Söhne Kräftig" w:cs="Arial"/>
                <w:bCs/>
                <w:sz w:val="16"/>
                <w:szCs w:val="16"/>
                <w:vertAlign w:val="superscript"/>
                <w:lang w:val="en-IE" w:bidi="en-US"/>
              </w:rPr>
              <w:t>2</w:t>
            </w:r>
          </w:p>
        </w:tc>
        <w:tc>
          <w:tcPr>
            <w:tcW w:w="992" w:type="dxa"/>
            <w:vAlign w:val="center"/>
          </w:tcPr>
          <w:p w14:paraId="58775881"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Juveniles</w:t>
            </w:r>
            <w:r w:rsidRPr="00A17D4D">
              <w:rPr>
                <w:rFonts w:ascii="Söhne Kräftig" w:eastAsia="Times New Roman" w:hAnsi="Söhne Kräftig" w:cs="Arial"/>
                <w:bCs/>
                <w:sz w:val="16"/>
                <w:szCs w:val="16"/>
                <w:vertAlign w:val="superscript"/>
                <w:lang w:val="en-IE" w:bidi="en-US"/>
              </w:rPr>
              <w:t>2</w:t>
            </w:r>
          </w:p>
        </w:tc>
        <w:tc>
          <w:tcPr>
            <w:tcW w:w="850" w:type="dxa"/>
            <w:vAlign w:val="center"/>
          </w:tcPr>
          <w:p w14:paraId="758B3682"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Adults</w:t>
            </w:r>
          </w:p>
        </w:tc>
        <w:tc>
          <w:tcPr>
            <w:tcW w:w="634" w:type="dxa"/>
            <w:vAlign w:val="center"/>
          </w:tcPr>
          <w:p w14:paraId="78B71DC6"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LV</w:t>
            </w:r>
          </w:p>
        </w:tc>
        <w:tc>
          <w:tcPr>
            <w:tcW w:w="960" w:type="dxa"/>
            <w:vAlign w:val="center"/>
          </w:tcPr>
          <w:p w14:paraId="23FE1B35"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Early life stages</w:t>
            </w:r>
            <w:r w:rsidRPr="00A17D4D">
              <w:rPr>
                <w:rFonts w:ascii="Söhne Kräftig" w:eastAsia="Times New Roman" w:hAnsi="Söhne Kräftig" w:cs="Arial"/>
                <w:bCs/>
                <w:sz w:val="16"/>
                <w:szCs w:val="16"/>
                <w:vertAlign w:val="superscript"/>
                <w:lang w:val="en-IE" w:bidi="en-US"/>
              </w:rPr>
              <w:t>2</w:t>
            </w:r>
          </w:p>
        </w:tc>
        <w:tc>
          <w:tcPr>
            <w:tcW w:w="1100" w:type="dxa"/>
            <w:vAlign w:val="center"/>
          </w:tcPr>
          <w:p w14:paraId="666697D8"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Juveniles</w:t>
            </w:r>
            <w:r w:rsidRPr="00A17D4D">
              <w:rPr>
                <w:rFonts w:ascii="Söhne Kräftig" w:eastAsia="Times New Roman" w:hAnsi="Söhne Kräftig" w:cs="Arial"/>
                <w:bCs/>
                <w:sz w:val="16"/>
                <w:szCs w:val="16"/>
                <w:vertAlign w:val="superscript"/>
                <w:lang w:val="en-IE" w:bidi="en-US"/>
              </w:rPr>
              <w:t>2</w:t>
            </w:r>
          </w:p>
        </w:tc>
        <w:tc>
          <w:tcPr>
            <w:tcW w:w="992" w:type="dxa"/>
            <w:vAlign w:val="center"/>
          </w:tcPr>
          <w:p w14:paraId="08DC2046"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Adults</w:t>
            </w:r>
          </w:p>
        </w:tc>
        <w:tc>
          <w:tcPr>
            <w:tcW w:w="709" w:type="dxa"/>
            <w:vAlign w:val="center"/>
          </w:tcPr>
          <w:p w14:paraId="7FCED8FE" w14:textId="77777777" w:rsidR="00A17D4D" w:rsidRPr="00A17D4D" w:rsidRDefault="00A17D4D" w:rsidP="00A17D4D">
            <w:pPr>
              <w:spacing w:before="120" w:after="12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LV</w:t>
            </w:r>
          </w:p>
        </w:tc>
      </w:tr>
      <w:tr w:rsidR="00A17D4D" w:rsidRPr="00A17D4D" w14:paraId="6690120B" w14:textId="77777777">
        <w:trPr>
          <w:trHeight w:val="227"/>
          <w:jc w:val="center"/>
        </w:trPr>
        <w:tc>
          <w:tcPr>
            <w:tcW w:w="2399" w:type="dxa"/>
            <w:vAlign w:val="center"/>
          </w:tcPr>
          <w:p w14:paraId="4A3E875F"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Wet mounts</w:t>
            </w:r>
          </w:p>
        </w:tc>
        <w:tc>
          <w:tcPr>
            <w:tcW w:w="995" w:type="dxa"/>
            <w:shd w:val="clear" w:color="auto" w:fill="D9D9D9"/>
            <w:vAlign w:val="center"/>
          </w:tcPr>
          <w:p w14:paraId="5BDC25C5"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27A1E3B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08AA961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134CAE5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7FC861F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auto"/>
            <w:vAlign w:val="center"/>
          </w:tcPr>
          <w:p w14:paraId="456258C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850" w:type="dxa"/>
            <w:shd w:val="clear" w:color="auto" w:fill="auto"/>
            <w:vAlign w:val="center"/>
          </w:tcPr>
          <w:p w14:paraId="68F5B33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634" w:type="dxa"/>
            <w:shd w:val="clear" w:color="auto" w:fill="auto"/>
            <w:vAlign w:val="center"/>
          </w:tcPr>
          <w:p w14:paraId="34E96A2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NA</w:t>
            </w:r>
          </w:p>
        </w:tc>
        <w:tc>
          <w:tcPr>
            <w:tcW w:w="960" w:type="dxa"/>
            <w:shd w:val="clear" w:color="auto" w:fill="D9D9D9"/>
            <w:vAlign w:val="center"/>
          </w:tcPr>
          <w:p w14:paraId="79990DF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7FBA7DD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307BC1A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6C033C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61CBCFEB" w14:textId="77777777">
        <w:trPr>
          <w:trHeight w:val="324"/>
          <w:jc w:val="center"/>
        </w:trPr>
        <w:tc>
          <w:tcPr>
            <w:tcW w:w="2399" w:type="dxa"/>
            <w:vAlign w:val="center"/>
          </w:tcPr>
          <w:p w14:paraId="40111047"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Histopathology</w:t>
            </w:r>
          </w:p>
        </w:tc>
        <w:tc>
          <w:tcPr>
            <w:tcW w:w="995" w:type="dxa"/>
            <w:shd w:val="clear" w:color="auto" w:fill="D9D9D9"/>
            <w:vAlign w:val="center"/>
          </w:tcPr>
          <w:p w14:paraId="69AA5D4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47C9D67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5368E3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38FACA25"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0829B214"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vAlign w:val="center"/>
          </w:tcPr>
          <w:p w14:paraId="42A16B6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850" w:type="dxa"/>
            <w:vAlign w:val="center"/>
          </w:tcPr>
          <w:p w14:paraId="45A31D5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634" w:type="dxa"/>
            <w:vAlign w:val="center"/>
          </w:tcPr>
          <w:p w14:paraId="1DA9B6A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NA</w:t>
            </w:r>
          </w:p>
        </w:tc>
        <w:tc>
          <w:tcPr>
            <w:tcW w:w="960" w:type="dxa"/>
            <w:shd w:val="clear" w:color="auto" w:fill="D9D9D9"/>
            <w:vAlign w:val="center"/>
          </w:tcPr>
          <w:p w14:paraId="12CFE30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4C465C2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249929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1B889514"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03CF3DDB" w14:textId="77777777">
        <w:trPr>
          <w:trHeight w:val="402"/>
          <w:jc w:val="center"/>
        </w:trPr>
        <w:tc>
          <w:tcPr>
            <w:tcW w:w="2399" w:type="dxa"/>
            <w:vAlign w:val="center"/>
          </w:tcPr>
          <w:p w14:paraId="62F4584A"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trike/>
                <w:sz w:val="16"/>
                <w:szCs w:val="16"/>
                <w:lang w:val="en-IE" w:bidi="en-US"/>
              </w:rPr>
              <w:t xml:space="preserve">Cell </w:t>
            </w:r>
            <w:r w:rsidRPr="00A17D4D">
              <w:rPr>
                <w:rFonts w:ascii="Söhne Kräftig" w:eastAsia="Times New Roman" w:hAnsi="Söhne Kräftig" w:cs="Arial"/>
                <w:bCs/>
                <w:sz w:val="16"/>
                <w:szCs w:val="16"/>
                <w:lang w:val="en-IE" w:bidi="en-US"/>
              </w:rPr>
              <w:t>Culture</w:t>
            </w:r>
          </w:p>
        </w:tc>
        <w:tc>
          <w:tcPr>
            <w:tcW w:w="995" w:type="dxa"/>
            <w:shd w:val="clear" w:color="auto" w:fill="D9D9D9"/>
            <w:vAlign w:val="center"/>
          </w:tcPr>
          <w:p w14:paraId="52EBFAA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41FAD3F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4EA2B6F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53532FA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3958CDE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vAlign w:val="center"/>
          </w:tcPr>
          <w:p w14:paraId="1EE0BAE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850" w:type="dxa"/>
            <w:vAlign w:val="center"/>
          </w:tcPr>
          <w:p w14:paraId="2E6F773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634" w:type="dxa"/>
            <w:vAlign w:val="center"/>
          </w:tcPr>
          <w:p w14:paraId="053DCC35"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NA</w:t>
            </w:r>
          </w:p>
        </w:tc>
        <w:tc>
          <w:tcPr>
            <w:tcW w:w="960" w:type="dxa"/>
            <w:shd w:val="clear" w:color="auto" w:fill="D9D9D9"/>
            <w:vAlign w:val="center"/>
          </w:tcPr>
          <w:p w14:paraId="2ECFC274"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7363B4A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5315722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78CA4BE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5FF542A9" w14:textId="77777777">
        <w:trPr>
          <w:trHeight w:val="402"/>
          <w:jc w:val="center"/>
        </w:trPr>
        <w:tc>
          <w:tcPr>
            <w:tcW w:w="2399" w:type="dxa"/>
            <w:vAlign w:val="center"/>
          </w:tcPr>
          <w:p w14:paraId="4084B920"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Real-time PCR</w:t>
            </w:r>
          </w:p>
        </w:tc>
        <w:tc>
          <w:tcPr>
            <w:tcW w:w="995" w:type="dxa"/>
            <w:vAlign w:val="center"/>
          </w:tcPr>
          <w:p w14:paraId="3EBECDC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1134" w:type="dxa"/>
            <w:vAlign w:val="center"/>
          </w:tcPr>
          <w:p w14:paraId="38EA0EC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709" w:type="dxa"/>
            <w:vAlign w:val="center"/>
          </w:tcPr>
          <w:p w14:paraId="064507C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567" w:type="dxa"/>
            <w:vAlign w:val="center"/>
          </w:tcPr>
          <w:p w14:paraId="214885A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1</w:t>
            </w:r>
          </w:p>
        </w:tc>
        <w:tc>
          <w:tcPr>
            <w:tcW w:w="851" w:type="dxa"/>
            <w:vAlign w:val="center"/>
          </w:tcPr>
          <w:p w14:paraId="763C5D7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992" w:type="dxa"/>
            <w:vAlign w:val="center"/>
          </w:tcPr>
          <w:p w14:paraId="04DB6DF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850" w:type="dxa"/>
            <w:vAlign w:val="center"/>
          </w:tcPr>
          <w:p w14:paraId="711733D6"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634" w:type="dxa"/>
            <w:vAlign w:val="center"/>
          </w:tcPr>
          <w:p w14:paraId="222C8A0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1</w:t>
            </w:r>
          </w:p>
        </w:tc>
        <w:tc>
          <w:tcPr>
            <w:tcW w:w="960" w:type="dxa"/>
            <w:vAlign w:val="center"/>
          </w:tcPr>
          <w:p w14:paraId="21B8475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1100" w:type="dxa"/>
            <w:vAlign w:val="center"/>
          </w:tcPr>
          <w:p w14:paraId="3594FCA4"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992" w:type="dxa"/>
            <w:vAlign w:val="center"/>
          </w:tcPr>
          <w:p w14:paraId="2FACEFF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709" w:type="dxa"/>
            <w:vAlign w:val="center"/>
          </w:tcPr>
          <w:p w14:paraId="187F1FD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1</w:t>
            </w:r>
          </w:p>
        </w:tc>
      </w:tr>
      <w:tr w:rsidR="00A17D4D" w:rsidRPr="00A17D4D" w14:paraId="7BC2C09F" w14:textId="77777777">
        <w:trPr>
          <w:trHeight w:val="402"/>
          <w:jc w:val="center"/>
        </w:trPr>
        <w:tc>
          <w:tcPr>
            <w:tcW w:w="2399" w:type="dxa"/>
            <w:vAlign w:val="center"/>
          </w:tcPr>
          <w:p w14:paraId="5F0B3924"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Conventional PCR</w:t>
            </w:r>
          </w:p>
        </w:tc>
        <w:tc>
          <w:tcPr>
            <w:tcW w:w="995" w:type="dxa"/>
            <w:vAlign w:val="center"/>
          </w:tcPr>
          <w:p w14:paraId="4C9BFB8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1134" w:type="dxa"/>
            <w:vAlign w:val="center"/>
          </w:tcPr>
          <w:p w14:paraId="170E82D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709" w:type="dxa"/>
            <w:vAlign w:val="center"/>
          </w:tcPr>
          <w:p w14:paraId="22BEC03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567" w:type="dxa"/>
            <w:vAlign w:val="center"/>
          </w:tcPr>
          <w:p w14:paraId="0AE18BE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1</w:t>
            </w:r>
          </w:p>
        </w:tc>
        <w:tc>
          <w:tcPr>
            <w:tcW w:w="851" w:type="dxa"/>
            <w:vAlign w:val="center"/>
          </w:tcPr>
          <w:p w14:paraId="09BFCE3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992" w:type="dxa"/>
            <w:vAlign w:val="center"/>
          </w:tcPr>
          <w:p w14:paraId="1E560206"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850" w:type="dxa"/>
            <w:vAlign w:val="center"/>
          </w:tcPr>
          <w:p w14:paraId="649859F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634" w:type="dxa"/>
            <w:vAlign w:val="center"/>
          </w:tcPr>
          <w:p w14:paraId="43BF9AD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1</w:t>
            </w:r>
          </w:p>
        </w:tc>
        <w:tc>
          <w:tcPr>
            <w:tcW w:w="960" w:type="dxa"/>
            <w:shd w:val="clear" w:color="auto" w:fill="D9D9D9"/>
            <w:vAlign w:val="center"/>
          </w:tcPr>
          <w:p w14:paraId="28A4029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37046EE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01FDDD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18EBBA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4C909394" w14:textId="77777777">
        <w:trPr>
          <w:trHeight w:val="402"/>
          <w:jc w:val="center"/>
        </w:trPr>
        <w:tc>
          <w:tcPr>
            <w:tcW w:w="2399" w:type="dxa"/>
            <w:vAlign w:val="center"/>
          </w:tcPr>
          <w:p w14:paraId="79649FB9"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sz w:val="16"/>
                <w:szCs w:val="16"/>
                <w:lang w:val="en-IE" w:bidi="en-US"/>
              </w:rPr>
              <w:t>Conventional PCR followed by amplicon sequencing</w:t>
            </w:r>
          </w:p>
        </w:tc>
        <w:tc>
          <w:tcPr>
            <w:tcW w:w="995" w:type="dxa"/>
            <w:shd w:val="clear" w:color="auto" w:fill="D9D9D9"/>
            <w:vAlign w:val="center"/>
          </w:tcPr>
          <w:p w14:paraId="2450881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408205B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5722272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5443FB2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4F07AD3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748BDAF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345CD98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6910E95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60" w:type="dxa"/>
            <w:vAlign w:val="center"/>
          </w:tcPr>
          <w:p w14:paraId="48D40F96"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1100" w:type="dxa"/>
            <w:vAlign w:val="center"/>
          </w:tcPr>
          <w:p w14:paraId="0A66BFB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992" w:type="dxa"/>
            <w:vAlign w:val="center"/>
          </w:tcPr>
          <w:p w14:paraId="22D4A6B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bCs/>
                <w:sz w:val="16"/>
                <w:szCs w:val="16"/>
                <w:lang w:val="en-IE" w:bidi="en-US"/>
              </w:rPr>
              <w:t>+++</w:t>
            </w:r>
          </w:p>
        </w:tc>
        <w:tc>
          <w:tcPr>
            <w:tcW w:w="709" w:type="dxa"/>
            <w:vAlign w:val="center"/>
          </w:tcPr>
          <w:p w14:paraId="530D9EC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r w:rsidRPr="00A17D4D">
              <w:rPr>
                <w:rFonts w:ascii="Söhne" w:eastAsia="Times New Roman" w:hAnsi="Söhne" w:cs="Arial"/>
                <w:sz w:val="16"/>
                <w:szCs w:val="16"/>
                <w:lang w:val="en-IE" w:bidi="en-US"/>
              </w:rPr>
              <w:t>1</w:t>
            </w:r>
          </w:p>
        </w:tc>
      </w:tr>
      <w:tr w:rsidR="00A17D4D" w:rsidRPr="00A17D4D" w14:paraId="227F0D74" w14:textId="77777777">
        <w:trPr>
          <w:trHeight w:val="402"/>
          <w:jc w:val="center"/>
        </w:trPr>
        <w:tc>
          <w:tcPr>
            <w:tcW w:w="2399" w:type="dxa"/>
            <w:vAlign w:val="center"/>
          </w:tcPr>
          <w:p w14:paraId="617A6E74"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i/>
                <w:sz w:val="16"/>
                <w:szCs w:val="16"/>
                <w:lang w:val="en-IE" w:bidi="en-US"/>
              </w:rPr>
              <w:t>In-situ</w:t>
            </w:r>
            <w:r w:rsidRPr="00A17D4D">
              <w:rPr>
                <w:rFonts w:ascii="Söhne Kräftig" w:eastAsia="Times New Roman" w:hAnsi="Söhne Kräftig" w:cs="Arial"/>
                <w:bCs/>
                <w:sz w:val="16"/>
                <w:szCs w:val="16"/>
                <w:lang w:val="en-IE" w:bidi="en-US"/>
              </w:rPr>
              <w:t xml:space="preserve"> hybridisation</w:t>
            </w:r>
          </w:p>
        </w:tc>
        <w:tc>
          <w:tcPr>
            <w:tcW w:w="995" w:type="dxa"/>
            <w:shd w:val="clear" w:color="auto" w:fill="D9D9D9"/>
            <w:vAlign w:val="center"/>
          </w:tcPr>
          <w:p w14:paraId="30EC423E" w14:textId="77777777" w:rsidR="00A17D4D" w:rsidRPr="00A17D4D" w:rsidRDefault="00A17D4D" w:rsidP="00A17D4D">
            <w:pPr>
              <w:spacing w:before="80" w:after="80" w:line="240" w:lineRule="auto"/>
              <w:jc w:val="center"/>
              <w:rPr>
                <w:rFonts w:ascii="Söhne" w:eastAsia="Times New Roman" w:hAnsi="Söhne" w:cs="Arial"/>
                <w:bCs/>
                <w:i/>
                <w:sz w:val="16"/>
                <w:szCs w:val="16"/>
                <w:lang w:val="en-IE" w:bidi="en-US"/>
              </w:rPr>
            </w:pPr>
          </w:p>
        </w:tc>
        <w:tc>
          <w:tcPr>
            <w:tcW w:w="1134" w:type="dxa"/>
            <w:shd w:val="clear" w:color="auto" w:fill="D9D9D9"/>
            <w:vAlign w:val="center"/>
          </w:tcPr>
          <w:p w14:paraId="72B5FFCA" w14:textId="77777777" w:rsidR="00A17D4D" w:rsidRPr="00A17D4D" w:rsidRDefault="00A17D4D" w:rsidP="00A17D4D">
            <w:pPr>
              <w:spacing w:before="80" w:after="80" w:line="240" w:lineRule="auto"/>
              <w:jc w:val="center"/>
              <w:rPr>
                <w:rFonts w:ascii="Söhne" w:eastAsia="Times New Roman" w:hAnsi="Söhne" w:cs="Arial"/>
                <w:bCs/>
                <w:i/>
                <w:sz w:val="16"/>
                <w:szCs w:val="16"/>
                <w:lang w:val="en-IE" w:bidi="en-US"/>
              </w:rPr>
            </w:pPr>
          </w:p>
        </w:tc>
        <w:tc>
          <w:tcPr>
            <w:tcW w:w="709" w:type="dxa"/>
            <w:shd w:val="clear" w:color="auto" w:fill="D9D9D9"/>
            <w:vAlign w:val="center"/>
          </w:tcPr>
          <w:p w14:paraId="4B22DC3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136749A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7C81686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0B9018D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32165BC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1ECADEE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67D6B51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32EEE7E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1243AF56"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49AA39F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6E99AFC0" w14:textId="77777777">
        <w:trPr>
          <w:trHeight w:val="402"/>
          <w:jc w:val="center"/>
        </w:trPr>
        <w:tc>
          <w:tcPr>
            <w:tcW w:w="2399" w:type="dxa"/>
            <w:vAlign w:val="center"/>
          </w:tcPr>
          <w:p w14:paraId="7F33E89D"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Bioassay</w:t>
            </w:r>
          </w:p>
        </w:tc>
        <w:tc>
          <w:tcPr>
            <w:tcW w:w="995" w:type="dxa"/>
            <w:shd w:val="clear" w:color="auto" w:fill="D9D9D9"/>
            <w:vAlign w:val="center"/>
          </w:tcPr>
          <w:p w14:paraId="056FC83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2C5FF51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78494AE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2ECBE6A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5F5B461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B9CC28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57DEF37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1F2F91F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7F00B515"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592FD17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1A84101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5768E80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36E4DC48" w14:textId="77777777">
        <w:trPr>
          <w:trHeight w:val="402"/>
          <w:jc w:val="center"/>
        </w:trPr>
        <w:tc>
          <w:tcPr>
            <w:tcW w:w="2399" w:type="dxa"/>
            <w:vAlign w:val="center"/>
          </w:tcPr>
          <w:p w14:paraId="18F851D6"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LAMP</w:t>
            </w:r>
          </w:p>
        </w:tc>
        <w:tc>
          <w:tcPr>
            <w:tcW w:w="995" w:type="dxa"/>
            <w:shd w:val="clear" w:color="auto" w:fill="D9D9D9"/>
            <w:vAlign w:val="center"/>
          </w:tcPr>
          <w:p w14:paraId="0968469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00693CD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04FD51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71AF2DD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687EB92B"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609290A5"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vAlign w:val="center"/>
          </w:tcPr>
          <w:p w14:paraId="71C3E49A"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634" w:type="dxa"/>
            <w:shd w:val="clear" w:color="auto" w:fill="D9D9D9"/>
            <w:vAlign w:val="center"/>
          </w:tcPr>
          <w:p w14:paraId="0325DFE9"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960" w:type="dxa"/>
            <w:shd w:val="clear" w:color="auto" w:fill="D9D9D9"/>
            <w:vAlign w:val="center"/>
          </w:tcPr>
          <w:p w14:paraId="5F0B99C7"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vAlign w:val="center"/>
          </w:tcPr>
          <w:p w14:paraId="5B17409C"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26167EEF"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48105DA2"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r>
      <w:tr w:rsidR="00A17D4D" w:rsidRPr="00A17D4D" w14:paraId="0C5A8C69" w14:textId="77777777">
        <w:trPr>
          <w:trHeight w:val="402"/>
          <w:jc w:val="center"/>
        </w:trPr>
        <w:tc>
          <w:tcPr>
            <w:tcW w:w="2399" w:type="dxa"/>
            <w:vAlign w:val="center"/>
          </w:tcPr>
          <w:p w14:paraId="04E37420"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Ab-ELISA</w:t>
            </w:r>
          </w:p>
        </w:tc>
        <w:tc>
          <w:tcPr>
            <w:tcW w:w="995" w:type="dxa"/>
            <w:shd w:val="clear" w:color="auto" w:fill="D9D9D9"/>
            <w:vAlign w:val="center"/>
          </w:tcPr>
          <w:p w14:paraId="24EAAB6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59BEFFC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0F66B82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72B3819D"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6B804EE1"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345F0ED7"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850" w:type="dxa"/>
            <w:shd w:val="clear" w:color="auto" w:fill="D9D9D9"/>
            <w:vAlign w:val="center"/>
          </w:tcPr>
          <w:p w14:paraId="3DC926BF"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634" w:type="dxa"/>
            <w:shd w:val="clear" w:color="auto" w:fill="D9D9D9"/>
            <w:vAlign w:val="center"/>
          </w:tcPr>
          <w:p w14:paraId="68E042A7"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960" w:type="dxa"/>
            <w:shd w:val="clear" w:color="auto" w:fill="D9D9D9"/>
            <w:vAlign w:val="center"/>
          </w:tcPr>
          <w:p w14:paraId="7E69F5A1"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vAlign w:val="center"/>
          </w:tcPr>
          <w:p w14:paraId="42011015"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vAlign w:val="center"/>
          </w:tcPr>
          <w:p w14:paraId="3DD2D35D"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vAlign w:val="center"/>
          </w:tcPr>
          <w:p w14:paraId="5C03798A" w14:textId="77777777" w:rsidR="00A17D4D" w:rsidRPr="00A17D4D" w:rsidRDefault="00A17D4D" w:rsidP="00A17D4D">
            <w:pPr>
              <w:spacing w:before="80" w:after="80" w:line="240" w:lineRule="auto"/>
              <w:jc w:val="center"/>
              <w:rPr>
                <w:rFonts w:ascii="Söhne" w:eastAsia="Times New Roman" w:hAnsi="Söhne" w:cs="Arial"/>
                <w:bCs/>
                <w:strike/>
                <w:sz w:val="16"/>
                <w:szCs w:val="16"/>
                <w:lang w:val="en-IE" w:bidi="en-US"/>
              </w:rPr>
            </w:pPr>
          </w:p>
        </w:tc>
      </w:tr>
      <w:tr w:rsidR="00A17D4D" w:rsidRPr="00A17D4D" w14:paraId="10DD8CD3" w14:textId="77777777">
        <w:trPr>
          <w:trHeight w:val="402"/>
          <w:jc w:val="center"/>
        </w:trPr>
        <w:tc>
          <w:tcPr>
            <w:tcW w:w="2399" w:type="dxa"/>
            <w:vAlign w:val="center"/>
          </w:tcPr>
          <w:p w14:paraId="08C9537E"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Ag-ELISA</w:t>
            </w:r>
          </w:p>
        </w:tc>
        <w:tc>
          <w:tcPr>
            <w:tcW w:w="995" w:type="dxa"/>
            <w:shd w:val="clear" w:color="auto" w:fill="D9D9D9"/>
            <w:vAlign w:val="center"/>
          </w:tcPr>
          <w:p w14:paraId="2E94B6D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1A37BE3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789D2F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2D705A4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4A432C6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0E0A6AF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40B75F6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55D2BC3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108A873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2D72BDB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25E438A5"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3F5DE9C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13D7540B" w14:textId="77777777">
        <w:trPr>
          <w:trHeight w:val="402"/>
          <w:jc w:val="center"/>
        </w:trPr>
        <w:tc>
          <w:tcPr>
            <w:tcW w:w="2399" w:type="dxa"/>
            <w:vAlign w:val="center"/>
          </w:tcPr>
          <w:p w14:paraId="1E7029DC"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Other antigen detection methods</w:t>
            </w:r>
            <w:r w:rsidRPr="00A17D4D">
              <w:rPr>
                <w:rFonts w:ascii="Söhne Kräftig" w:eastAsia="Times New Roman" w:hAnsi="Söhne Kräftig" w:cs="Arial"/>
                <w:bCs/>
                <w:sz w:val="16"/>
                <w:szCs w:val="16"/>
                <w:vertAlign w:val="superscript"/>
                <w:lang w:val="en-IE" w:bidi="en-US"/>
              </w:rPr>
              <w:t>3</w:t>
            </w:r>
          </w:p>
        </w:tc>
        <w:tc>
          <w:tcPr>
            <w:tcW w:w="995" w:type="dxa"/>
            <w:shd w:val="clear" w:color="auto" w:fill="D9D9D9"/>
            <w:vAlign w:val="center"/>
          </w:tcPr>
          <w:p w14:paraId="5002A10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0FE88E05"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679D0EAF"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0F494A9C"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09BFFFE4"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25C890A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1A62A480"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554D74B3"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1782EBB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1498B806"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41D88609"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A9AE88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r w:rsidR="00A17D4D" w:rsidRPr="00A17D4D" w14:paraId="5161B491" w14:textId="77777777">
        <w:trPr>
          <w:trHeight w:val="269"/>
          <w:jc w:val="center"/>
        </w:trPr>
        <w:tc>
          <w:tcPr>
            <w:tcW w:w="2399" w:type="dxa"/>
            <w:vAlign w:val="center"/>
          </w:tcPr>
          <w:p w14:paraId="46BFEB09" w14:textId="77777777" w:rsidR="00A17D4D" w:rsidRPr="00A17D4D" w:rsidRDefault="00A17D4D" w:rsidP="00A17D4D">
            <w:pPr>
              <w:spacing w:before="80" w:after="80" w:line="240" w:lineRule="auto"/>
              <w:jc w:val="center"/>
              <w:rPr>
                <w:rFonts w:ascii="Söhne Kräftig" w:eastAsia="Times New Roman" w:hAnsi="Söhne Kräftig" w:cs="Arial"/>
                <w:bCs/>
                <w:sz w:val="16"/>
                <w:szCs w:val="16"/>
                <w:lang w:val="en-IE" w:bidi="en-US"/>
              </w:rPr>
            </w:pPr>
            <w:r w:rsidRPr="00A17D4D">
              <w:rPr>
                <w:rFonts w:ascii="Söhne Kräftig" w:eastAsia="Times New Roman" w:hAnsi="Söhne Kräftig" w:cs="Arial"/>
                <w:bCs/>
                <w:sz w:val="16"/>
                <w:szCs w:val="16"/>
                <w:lang w:val="en-IE" w:bidi="en-US"/>
              </w:rPr>
              <w:t>Other methods</w:t>
            </w:r>
            <w:r w:rsidRPr="00A17D4D">
              <w:rPr>
                <w:rFonts w:ascii="Söhne Kräftig" w:eastAsia="Times New Roman" w:hAnsi="Söhne Kräftig" w:cs="Arial"/>
                <w:bCs/>
                <w:sz w:val="16"/>
                <w:szCs w:val="16"/>
                <w:vertAlign w:val="superscript"/>
                <w:lang w:val="en-IE" w:bidi="en-US"/>
              </w:rPr>
              <w:t>3</w:t>
            </w:r>
          </w:p>
        </w:tc>
        <w:tc>
          <w:tcPr>
            <w:tcW w:w="995" w:type="dxa"/>
            <w:shd w:val="clear" w:color="auto" w:fill="D9D9D9"/>
            <w:vAlign w:val="center"/>
          </w:tcPr>
          <w:p w14:paraId="4BA8853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vAlign w:val="center"/>
          </w:tcPr>
          <w:p w14:paraId="1B0BA41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28A2CBAA"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vAlign w:val="center"/>
          </w:tcPr>
          <w:p w14:paraId="086C1346"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vAlign w:val="center"/>
          </w:tcPr>
          <w:p w14:paraId="352C281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7A0AD504"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850" w:type="dxa"/>
            <w:shd w:val="clear" w:color="auto" w:fill="D9D9D9"/>
            <w:vAlign w:val="center"/>
          </w:tcPr>
          <w:p w14:paraId="0C9AF26B"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634" w:type="dxa"/>
            <w:shd w:val="clear" w:color="auto" w:fill="D9D9D9"/>
            <w:vAlign w:val="center"/>
          </w:tcPr>
          <w:p w14:paraId="2F529F01"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vAlign w:val="center"/>
          </w:tcPr>
          <w:p w14:paraId="0FAAC2AE"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vAlign w:val="center"/>
          </w:tcPr>
          <w:p w14:paraId="24FB5478"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vAlign w:val="center"/>
          </w:tcPr>
          <w:p w14:paraId="58E44F77"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vAlign w:val="center"/>
          </w:tcPr>
          <w:p w14:paraId="49C97A32" w14:textId="77777777" w:rsidR="00A17D4D" w:rsidRPr="00A17D4D" w:rsidRDefault="00A17D4D" w:rsidP="00A17D4D">
            <w:pPr>
              <w:spacing w:before="80" w:after="80" w:line="240" w:lineRule="auto"/>
              <w:jc w:val="center"/>
              <w:rPr>
                <w:rFonts w:ascii="Söhne" w:eastAsia="Times New Roman" w:hAnsi="Söhne" w:cs="Arial"/>
                <w:bCs/>
                <w:sz w:val="16"/>
                <w:szCs w:val="16"/>
                <w:lang w:val="en-IE" w:bidi="en-US"/>
              </w:rPr>
            </w:pPr>
          </w:p>
        </w:tc>
      </w:tr>
    </w:tbl>
    <w:p w14:paraId="2C5907CD" w14:textId="77777777" w:rsidR="00A17D4D" w:rsidRPr="00A17D4D" w:rsidRDefault="00A17D4D" w:rsidP="00A17D4D">
      <w:pPr>
        <w:tabs>
          <w:tab w:val="left" w:pos="-720"/>
        </w:tabs>
        <w:spacing w:before="120" w:after="0" w:line="240" w:lineRule="auto"/>
        <w:jc w:val="center"/>
        <w:rPr>
          <w:rFonts w:ascii="Söhne" w:eastAsia="Times New Roman" w:hAnsi="Söhne" w:cs="Arial"/>
          <w:sz w:val="16"/>
          <w:szCs w:val="16"/>
          <w:vertAlign w:val="superscript"/>
          <w:lang w:val="en-IE" w:eastAsia="fr-FR"/>
        </w:rPr>
        <w:sectPr w:rsidR="00A17D4D" w:rsidRPr="00A17D4D" w:rsidSect="007D59C1">
          <w:headerReference w:type="even" r:id="rId12"/>
          <w:headerReference w:type="first" r:id="rId13"/>
          <w:footerReference w:type="first" r:id="rId14"/>
          <w:footnotePr>
            <w:numRestart w:val="eachSect"/>
          </w:footnotePr>
          <w:pgSz w:w="16834" w:h="11909" w:orient="landscape" w:code="9"/>
          <w:pgMar w:top="720" w:right="720" w:bottom="720" w:left="720" w:header="706" w:footer="562" w:gutter="0"/>
          <w:cols w:space="708"/>
          <w:docGrid w:linePitch="360"/>
        </w:sectPr>
      </w:pPr>
      <w:r w:rsidRPr="00A17D4D">
        <w:rPr>
          <w:rFonts w:ascii="Söhne" w:eastAsia="Times New Roman" w:hAnsi="Söhne" w:cs="Arial"/>
          <w:sz w:val="16"/>
          <w:szCs w:val="16"/>
          <w:lang w:val="en-IE" w:eastAsia="fr-FR"/>
        </w:rPr>
        <w:t>LV = level of validation, refers to the stage of validation in the WOAH Pathway (chapter 1.1.2)</w:t>
      </w:r>
      <w:r w:rsidRPr="00A17D4D">
        <w:rPr>
          <w:rFonts w:ascii="Söhne" w:eastAsia="Times New Roman" w:hAnsi="Söhne" w:cs="Times New Roman"/>
          <w:sz w:val="16"/>
          <w:szCs w:val="16"/>
          <w:lang w:val="en-IE" w:bidi="en-US"/>
        </w:rPr>
        <w:t xml:space="preserve">; </w:t>
      </w:r>
      <w:r w:rsidRPr="00A17D4D">
        <w:rPr>
          <w:rFonts w:ascii="Söhne" w:eastAsia="Times New Roman" w:hAnsi="Söhne" w:cs="Arial"/>
          <w:sz w:val="16"/>
          <w:szCs w:val="16"/>
          <w:lang w:val="en-IE" w:eastAsia="fr-FR"/>
        </w:rPr>
        <w:t xml:space="preserve">NA = not available. PCR = polymerase chain reaction; </w:t>
      </w:r>
      <w:r w:rsidRPr="00A17D4D">
        <w:rPr>
          <w:rFonts w:ascii="Söhne" w:eastAsia="Times New Roman" w:hAnsi="Söhne" w:cs="Arial"/>
          <w:sz w:val="16"/>
          <w:szCs w:val="16"/>
          <w:lang w:val="en-IE" w:eastAsia="fr-FR" w:bidi="en-US"/>
        </w:rPr>
        <w:t xml:space="preserve">LAMP = loop-mediated isothermal amplification; </w:t>
      </w:r>
      <w:r w:rsidRPr="00A17D4D">
        <w:rPr>
          <w:rFonts w:ascii="Söhne" w:eastAsia="Times New Roman" w:hAnsi="Söhne" w:cs="Arial"/>
          <w:sz w:val="16"/>
          <w:szCs w:val="16"/>
          <w:lang w:val="en-IE" w:eastAsia="fr-FR" w:bidi="en-US"/>
        </w:rPr>
        <w:br/>
      </w:r>
      <w:r w:rsidRPr="00A17D4D">
        <w:rPr>
          <w:rFonts w:ascii="Söhne" w:eastAsia="Times New Roman" w:hAnsi="Söhne" w:cs="Arial"/>
          <w:sz w:val="16"/>
          <w:szCs w:val="16"/>
          <w:lang w:val="en-IE" w:eastAsia="fr-FR"/>
        </w:rPr>
        <w:t xml:space="preserve">Ab- or Ag-ELISA = antibody or antigen enzyme-linked immunosorbent assay, respectively; </w:t>
      </w:r>
      <w:r w:rsidRPr="00A17D4D">
        <w:rPr>
          <w:rFonts w:ascii="Söhne" w:eastAsia="Calibri" w:hAnsi="Söhne" w:cs="Arial"/>
          <w:sz w:val="16"/>
          <w:szCs w:val="16"/>
          <w:lang w:val="en-IE" w:eastAsia="fr-FR"/>
        </w:rPr>
        <w:t xml:space="preserve">IFAT = </w:t>
      </w:r>
      <w:r w:rsidRPr="00A17D4D">
        <w:rPr>
          <w:rFonts w:ascii="Söhne" w:eastAsia="Times New Roman" w:hAnsi="Söhne" w:cs="Arial"/>
          <w:sz w:val="16"/>
          <w:szCs w:val="16"/>
          <w:lang w:val="en-IE" w:eastAsia="fr-FR"/>
        </w:rPr>
        <w:t xml:space="preserve">indirect fluorescent antibody test. </w:t>
      </w:r>
      <w:r w:rsidRPr="00A17D4D">
        <w:rPr>
          <w:rFonts w:ascii="Söhne" w:eastAsia="Times New Roman" w:hAnsi="Söhne" w:cs="Arial"/>
          <w:sz w:val="16"/>
          <w:szCs w:val="16"/>
          <w:lang w:val="en-IE" w:eastAsia="fr-FR" w:bidi="en-US"/>
        </w:rPr>
        <w:br/>
      </w:r>
      <w:r w:rsidRPr="00A17D4D">
        <w:rPr>
          <w:rFonts w:ascii="Söhne" w:eastAsia="Times New Roman" w:hAnsi="Söhne" w:cs="Arial"/>
          <w:sz w:val="16"/>
          <w:szCs w:val="16"/>
          <w:vertAlign w:val="superscript"/>
          <w:lang w:val="en-IE" w:eastAsia="fr-FR" w:bidi="en-US"/>
        </w:rPr>
        <w:t>1</w:t>
      </w:r>
      <w:r w:rsidRPr="00A17D4D">
        <w:rPr>
          <w:rFonts w:ascii="Söhne" w:eastAsia="Times New Roman" w:hAnsi="Söhne" w:cs="Arial"/>
          <w:sz w:val="16"/>
          <w:szCs w:val="16"/>
          <w:lang w:val="en-IE" w:eastAsia="fr-FR"/>
        </w:rPr>
        <w:t xml:space="preserve">For confirmatory diagnoses, methods need to be carried out in combination (see Section 6). </w:t>
      </w:r>
      <w:r w:rsidRPr="00A17D4D">
        <w:rPr>
          <w:rFonts w:ascii="Söhne" w:eastAsia="Times New Roman" w:hAnsi="Söhne" w:cs="Arial"/>
          <w:sz w:val="16"/>
          <w:szCs w:val="16"/>
          <w:vertAlign w:val="superscript"/>
          <w:lang w:val="en-IE" w:eastAsia="fr-FR" w:bidi="en-US"/>
        </w:rPr>
        <w:t>2</w:t>
      </w:r>
      <w:r w:rsidRPr="00A17D4D">
        <w:rPr>
          <w:rFonts w:ascii="Söhne" w:eastAsia="Times New Roman" w:hAnsi="Söhne" w:cs="Arial"/>
          <w:sz w:val="16"/>
          <w:szCs w:val="16"/>
          <w:lang w:val="en-IE" w:eastAsia="fr-FR"/>
        </w:rPr>
        <w:t xml:space="preserve">Susceptibility of early and juvenile life stages is described in Section 2.2.3. </w:t>
      </w:r>
      <w:r w:rsidRPr="00A17D4D">
        <w:rPr>
          <w:rFonts w:ascii="Söhne" w:eastAsia="Times New Roman" w:hAnsi="Söhne" w:cs="Arial"/>
          <w:sz w:val="16"/>
          <w:szCs w:val="16"/>
          <w:lang w:val="en-IE" w:eastAsia="fr-FR"/>
        </w:rPr>
        <w:br/>
      </w:r>
      <w:r w:rsidRPr="00A17D4D">
        <w:rPr>
          <w:rFonts w:ascii="Söhne" w:eastAsia="Times New Roman" w:hAnsi="Söhne" w:cs="Arial"/>
          <w:sz w:val="16"/>
          <w:szCs w:val="16"/>
          <w:vertAlign w:val="superscript"/>
          <w:lang w:val="en-IE" w:eastAsia="fr-FR"/>
        </w:rPr>
        <w:t>3</w:t>
      </w:r>
      <w:r w:rsidRPr="00A17D4D">
        <w:rPr>
          <w:rFonts w:ascii="Söhne" w:eastAsia="Times New Roman" w:hAnsi="Söhne" w:cs="Arial"/>
          <w:sz w:val="16"/>
          <w:szCs w:val="16"/>
          <w:lang w:val="en-IE" w:eastAsia="fr-FR"/>
        </w:rPr>
        <w:t>Specify the test used. Shading indicates the test is inappropriate or should not be used for this purpose.</w:t>
      </w:r>
    </w:p>
    <w:p w14:paraId="6E8D173D"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lastRenderedPageBreak/>
        <w:t>4.1.</w:t>
      </w:r>
      <w:r w:rsidRPr="00A17D4D">
        <w:rPr>
          <w:rFonts w:ascii="Söhne Kräftig" w:eastAsia="MS Mincho" w:hAnsi="Söhne Kräftig" w:cs="Times New Roman"/>
          <w:sz w:val="21"/>
          <w:szCs w:val="20"/>
          <w:lang w:val="da-DK" w:eastAsia="da-DK"/>
        </w:rPr>
        <w:tab/>
        <w:t xml:space="preserve">Wet mounts </w:t>
      </w:r>
    </w:p>
    <w:p w14:paraId="35C18236"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Small pieces of soft cuticle excised from the regions mentioned above (Section 2.3.3 </w:t>
      </w:r>
      <w:r w:rsidRPr="00A17D4D">
        <w:rPr>
          <w:rFonts w:ascii="Söhne" w:eastAsia="Times New Roman" w:hAnsi="Söhne" w:cs="Times New Roman"/>
          <w:i/>
          <w:iCs/>
          <w:sz w:val="18"/>
          <w:lang w:val="en-IE"/>
        </w:rPr>
        <w:t>Gross pathology</w:t>
      </w:r>
      <w:r w:rsidRPr="00A17D4D">
        <w:rPr>
          <w:rFonts w:ascii="Söhne" w:eastAsia="Times New Roman" w:hAnsi="Söhne" w:cs="Times New Roman"/>
          <w:sz w:val="18"/>
          <w:lang w:val="en-IE"/>
        </w:rPr>
        <w:t xml:space="preserve">) and examined under a compound microscope using low-to-medium power will confirm the presence of aseptate fungal-like hyphae 7–9 </w:t>
      </w:r>
      <w:r w:rsidRPr="00A17D4D">
        <w:rPr>
          <w:rFonts w:ascii="Calibri" w:eastAsia="Times New Roman" w:hAnsi="Calibri" w:cs="Calibri"/>
          <w:sz w:val="18"/>
          <w:lang w:val="en-IE"/>
        </w:rPr>
        <w:t>µ</w:t>
      </w:r>
      <w:r w:rsidRPr="00A17D4D">
        <w:rPr>
          <w:rFonts w:ascii="Söhne" w:eastAsia="Times New Roman" w:hAnsi="Söhne" w:cs="Times New Roman"/>
          <w:sz w:val="18"/>
          <w:lang w:val="en-IE"/>
        </w:rPr>
        <w:t xml:space="preserve">m wide. The hyphae can usually be found pervading the whole thickness of the cuticle, forming a three-dimensional network of hyphae in heavily affected areas of the cuticle. The presence of host haemocytes and possibly some melanisation closely associated with and encapsulating the hyphae give good presumptive evidence that the hyphae represent a pathogen rather than a secondary opportunist invader. In some cases, examination of the surface of such mounted cuticles will demonstrate the presence of characteristic </w:t>
      </w:r>
      <w:r w:rsidRPr="00A17D4D">
        <w:rPr>
          <w:rFonts w:ascii="Söhne" w:eastAsia="Times New Roman" w:hAnsi="Söhne" w:cs="Times New Roman"/>
          <w:i/>
          <w:sz w:val="18"/>
          <w:lang w:val="en-IE"/>
        </w:rPr>
        <w:t>A. astaci</w:t>
      </w:r>
      <w:r w:rsidRPr="00A17D4D">
        <w:rPr>
          <w:rFonts w:ascii="Söhne" w:eastAsia="Times New Roman" w:hAnsi="Söhne" w:cs="Times New Roman"/>
          <w:sz w:val="18"/>
          <w:lang w:val="en-IE"/>
        </w:rPr>
        <w:t xml:space="preserve"> sporangia with clusters of encysted primary spores</w:t>
      </w:r>
      <w:r w:rsidRPr="00A17D4D">
        <w:rPr>
          <w:rFonts w:ascii="Söhne" w:eastAsia="Times New Roman" w:hAnsi="Söhne" w:cs="Times New Roman"/>
          <w:strike/>
          <w:sz w:val="18"/>
          <w:lang w:val="en-IE"/>
        </w:rPr>
        <w:t xml:space="preserve"> (see Section 4.3 </w:t>
      </w:r>
      <w:r w:rsidRPr="00A17D4D">
        <w:rPr>
          <w:rFonts w:ascii="Söhne" w:eastAsia="Times New Roman" w:hAnsi="Söhne" w:cs="Times New Roman"/>
          <w:i/>
          <w:iCs/>
          <w:strike/>
          <w:sz w:val="18"/>
          <w:lang w:val="en-IE"/>
        </w:rPr>
        <w:t>Culture for isolation</w:t>
      </w:r>
      <w:r w:rsidRPr="00A17D4D">
        <w:rPr>
          <w:rFonts w:ascii="Söhne" w:eastAsia="Times New Roman" w:hAnsi="Söhne" w:cs="Times New Roman"/>
          <w:strike/>
          <w:sz w:val="18"/>
          <w:lang w:val="en-IE"/>
        </w:rPr>
        <w:t>)</w:t>
      </w:r>
      <w:r w:rsidRPr="00A17D4D">
        <w:rPr>
          <w:rFonts w:ascii="Söhne" w:eastAsia="Times New Roman" w:hAnsi="Söhne" w:cs="Times New Roman"/>
          <w:sz w:val="18"/>
          <w:lang w:val="en-IE"/>
        </w:rPr>
        <w:t>.</w:t>
      </w:r>
    </w:p>
    <w:p w14:paraId="5BAD1F9E"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4.2.</w:t>
      </w:r>
      <w:r w:rsidRPr="00A17D4D">
        <w:rPr>
          <w:rFonts w:ascii="Söhne Kräftig" w:eastAsia="MS Mincho" w:hAnsi="Söhne Kräftig" w:cs="Times New Roman"/>
          <w:sz w:val="21"/>
          <w:szCs w:val="20"/>
          <w:lang w:val="da-DK" w:eastAsia="da-DK"/>
        </w:rPr>
        <w:tab/>
        <w:t xml:space="preserve">Histopathology </w:t>
      </w:r>
    </w:p>
    <w:p w14:paraId="1BA2CD9D"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Unless the selection of tissue for fixation has been well chosen, </w:t>
      </w:r>
      <w:r w:rsidRPr="00A17D4D">
        <w:rPr>
          <w:rFonts w:ascii="Söhne" w:eastAsia="Times New Roman" w:hAnsi="Söhne" w:cs="Times New Roman"/>
          <w:i/>
          <w:sz w:val="18"/>
          <w:lang w:val="en-IE"/>
        </w:rPr>
        <w:t>A. astaci</w:t>
      </w:r>
      <w:r w:rsidRPr="00A17D4D">
        <w:rPr>
          <w:rFonts w:ascii="Söhne" w:eastAsia="Times New Roman" w:hAnsi="Söhne" w:cs="Times New Roman"/>
          <w:sz w:val="18"/>
          <w:lang w:val="en-IE"/>
        </w:rPr>
        <w:t xml:space="preserve"> hyphae can be difficult to find in stained preparations. A histological staining technique, such as the Grocott silver stain counterstained with conventional haematoxylin and eosin, can be used. However, such material does not prove that any hyphae observed are those of </w:t>
      </w:r>
      <w:r w:rsidRPr="00A17D4D">
        <w:rPr>
          <w:rFonts w:ascii="Söhne" w:eastAsia="Times New Roman" w:hAnsi="Söhne" w:cs="Times New Roman"/>
          <w:i/>
          <w:sz w:val="18"/>
          <w:lang w:val="en-IE"/>
        </w:rPr>
        <w:t>A. astaci</w:t>
      </w:r>
      <w:r w:rsidRPr="00A17D4D">
        <w:rPr>
          <w:rFonts w:ascii="Söhne" w:eastAsia="Times New Roman" w:hAnsi="Söhne" w:cs="Times New Roman"/>
          <w:sz w:val="18"/>
          <w:lang w:val="en-IE"/>
        </w:rPr>
        <w:t xml:space="preserve">, especially when the material comes from animals already dead by sampling. </w:t>
      </w:r>
    </w:p>
    <w:p w14:paraId="4FB6B203"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See also Section 4.1 </w:t>
      </w:r>
      <w:r w:rsidRPr="00A17D4D">
        <w:rPr>
          <w:rFonts w:ascii="Söhne" w:eastAsia="Times New Roman" w:hAnsi="Söhne" w:cs="Times New Roman"/>
          <w:i/>
          <w:iCs/>
          <w:sz w:val="18"/>
          <w:lang w:val="en-IE"/>
        </w:rPr>
        <w:t>Wet mounts</w:t>
      </w:r>
      <w:r w:rsidRPr="00A17D4D">
        <w:rPr>
          <w:rFonts w:ascii="Söhne" w:eastAsia="Times New Roman" w:hAnsi="Söhne" w:cs="Times New Roman"/>
          <w:sz w:val="18"/>
          <w:lang w:val="en-IE"/>
        </w:rPr>
        <w:t>.</w:t>
      </w:r>
    </w:p>
    <w:p w14:paraId="2ED7FCD9"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4.3.</w:t>
      </w:r>
      <w:r w:rsidRPr="00A17D4D">
        <w:rPr>
          <w:rFonts w:ascii="Söhne Kräftig" w:eastAsia="MS Mincho" w:hAnsi="Söhne Kräftig" w:cs="Times New Roman"/>
          <w:sz w:val="21"/>
          <w:szCs w:val="20"/>
          <w:lang w:val="da-DK" w:eastAsia="da-DK"/>
        </w:rPr>
        <w:tab/>
        <w:t>Culture for isolation</w:t>
      </w:r>
    </w:p>
    <w:p w14:paraId="2F0BEFEB"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Isolation is not recommended as a routine diagnostic method (Alderman &amp; Polglase, 1986; Cerenius </w:t>
      </w:r>
      <w:r w:rsidRPr="00A17D4D">
        <w:rPr>
          <w:rFonts w:ascii="Söhne" w:eastAsia="Times New Roman" w:hAnsi="Söhne" w:cs="Times New Roman"/>
          <w:i/>
          <w:iCs/>
          <w:sz w:val="18"/>
          <w:lang w:val="en-IE"/>
        </w:rPr>
        <w:t>et al</w:t>
      </w:r>
      <w:r w:rsidRPr="00A17D4D">
        <w:rPr>
          <w:rFonts w:ascii="Söhne" w:eastAsia="Times New Roman" w:hAnsi="Söhne" w:cs="Times New Roman"/>
          <w:sz w:val="18"/>
          <w:lang w:val="en-IE"/>
        </w:rPr>
        <w:t xml:space="preserve">., 1987; Viljamaa-Dirks, 2006). Test sensitivity and specificity of the cultivation method can be very variable depending on the experience of the examiner, but in general will be lower than the PCR. Isolation of </w:t>
      </w:r>
      <w:r w:rsidRPr="00A17D4D">
        <w:rPr>
          <w:rFonts w:ascii="Söhne" w:eastAsia="Times New Roman" w:hAnsi="Söhne" w:cs="Times New Roman"/>
          <w:i/>
          <w:sz w:val="18"/>
          <w:lang w:val="en-IE"/>
        </w:rPr>
        <w:t>A. astaci</w:t>
      </w:r>
      <w:r w:rsidRPr="00A17D4D">
        <w:rPr>
          <w:rFonts w:ascii="Söhne" w:eastAsia="Times New Roman" w:hAnsi="Söhne" w:cs="Times New Roman"/>
          <w:sz w:val="18"/>
          <w:lang w:val="en-IE"/>
        </w:rPr>
        <w:t xml:space="preserve"> by culture from apparently healthy crayfish is challenging and molecular methods are recommended. A detailed description of this test is available from the Reference Laboratory</w:t>
      </w:r>
      <w:r w:rsidRPr="00A17D4D">
        <w:rPr>
          <w:rFonts w:ascii="ZWAdobeF" w:eastAsia="Times New Roman" w:hAnsi="ZWAdobeF" w:cs="ZWAdobeF"/>
          <w:sz w:val="2"/>
          <w:szCs w:val="2"/>
          <w:lang w:val="en-IE"/>
        </w:rPr>
        <w:t>4F4F</w:t>
      </w:r>
      <w:r w:rsidRPr="00A17D4D">
        <w:rPr>
          <w:rFonts w:ascii="Söhne" w:eastAsia="Times New Roman" w:hAnsi="Söhne" w:cs="Arial"/>
          <w:sz w:val="18"/>
          <w:vertAlign w:val="superscript"/>
          <w:lang w:val="en-IE"/>
        </w:rPr>
        <w:footnoteReference w:id="1"/>
      </w:r>
      <w:r w:rsidRPr="00A17D4D">
        <w:rPr>
          <w:rFonts w:ascii="Söhne" w:eastAsia="Times New Roman" w:hAnsi="Söhne" w:cs="Times New Roman"/>
          <w:sz w:val="18"/>
          <w:lang w:val="en-IE"/>
        </w:rPr>
        <w:t>.</w:t>
      </w:r>
    </w:p>
    <w:p w14:paraId="77FFD11A"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4.4.</w:t>
      </w:r>
      <w:r w:rsidRPr="00A17D4D">
        <w:rPr>
          <w:rFonts w:ascii="Söhne Kräftig" w:eastAsia="MS Mincho" w:hAnsi="Söhne Kräftig" w:cs="Times New Roman"/>
          <w:sz w:val="21"/>
          <w:szCs w:val="20"/>
          <w:lang w:val="da-DK" w:eastAsia="da-DK"/>
        </w:rPr>
        <w:tab/>
        <w:t xml:space="preserve">Nucleic acid amplification </w:t>
      </w:r>
    </w:p>
    <w:p w14:paraId="2C05BE45"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bookmarkStart w:id="2" w:name="_Hlk115339462"/>
      <w:r w:rsidRPr="00A17D4D">
        <w:rPr>
          <w:rFonts w:ascii="Söhne" w:eastAsia="Times New Roman" w:hAnsi="Söhne" w:cs="Times New Roman"/>
          <w:sz w:val="18"/>
          <w:lang w:val="en-IE"/>
        </w:rPr>
        <w:t xml:space="preserve">PCR assays should always be run with the controls specified in Section 5.5 </w:t>
      </w:r>
      <w:r w:rsidRPr="00A17D4D">
        <w:rPr>
          <w:rFonts w:ascii="Söhne" w:eastAsia="Times New Roman" w:hAnsi="Söhne" w:cs="Times New Roman"/>
          <w:i/>
          <w:iCs/>
          <w:sz w:val="18"/>
          <w:lang w:val="en-IE"/>
        </w:rPr>
        <w:t>Use of molecular and antibody-based techniques for confirmatory testing and diagnosis</w:t>
      </w:r>
      <w:r w:rsidRPr="00A17D4D">
        <w:rPr>
          <w:rFonts w:ascii="Söhne" w:eastAsia="Times New Roman" w:hAnsi="Söhne" w:cs="Times New Roman"/>
          <w:sz w:val="18"/>
          <w:lang w:val="en-IE"/>
        </w:rPr>
        <w:t xml:space="preserve"> of Chapter 2.2.0 </w:t>
      </w:r>
      <w:r w:rsidRPr="00A17D4D">
        <w:rPr>
          <w:rFonts w:ascii="Söhne" w:eastAsia="Times New Roman" w:hAnsi="Söhne" w:cs="Times New Roman"/>
          <w:i/>
          <w:iCs/>
          <w:sz w:val="18"/>
          <w:lang w:val="en-IE"/>
        </w:rPr>
        <w:t>General information</w:t>
      </w:r>
      <w:r w:rsidRPr="00A17D4D">
        <w:rPr>
          <w:rFonts w:ascii="Söhne" w:eastAsia="Times New Roman" w:hAnsi="Söhne" w:cs="Times New Roman"/>
          <w:sz w:val="18"/>
          <w:lang w:val="en-IE"/>
        </w:rPr>
        <w:t xml:space="preserve"> (diseases of crustaceans). Each sample should be tested in duplicate. Shrimp tissues may be used as negative controls. </w:t>
      </w:r>
    </w:p>
    <w:bookmarkEnd w:id="2"/>
    <w:p w14:paraId="73611F3A" w14:textId="77777777" w:rsidR="00A17D4D" w:rsidRPr="00A17D4D" w:rsidRDefault="00A17D4D" w:rsidP="00A17D4D">
      <w:pPr>
        <w:spacing w:after="240" w:line="240" w:lineRule="auto"/>
        <w:ind w:left="284"/>
        <w:jc w:val="both"/>
        <w:rPr>
          <w:rFonts w:ascii="Söhne" w:eastAsia="Times New Roman" w:hAnsi="Söhne" w:cs="Arial"/>
          <w:sz w:val="18"/>
          <w:lang w:val="en-IE"/>
        </w:rPr>
      </w:pPr>
      <w:r w:rsidRPr="00A17D4D">
        <w:rPr>
          <w:rFonts w:ascii="Söhne" w:eastAsia="Times New Roman" w:hAnsi="Söhne" w:cs="Arial"/>
          <w:sz w:val="18"/>
          <w:szCs w:val="16"/>
          <w:lang w:val="en-IE"/>
        </w:rPr>
        <w:t xml:space="preserve">Live crayfish can be killed using </w:t>
      </w:r>
      <w:r w:rsidRPr="00A17D4D">
        <w:rPr>
          <w:rFonts w:ascii="Söhne" w:eastAsia="Times New Roman" w:hAnsi="Söhne" w:cs="Arial"/>
          <w:sz w:val="18"/>
          <w:lang w:val="en-IE"/>
        </w:rPr>
        <w:t>chloroform, electric current or by mechanical destroying the nerve cords. If live or moribund animals are not available, only recently dead animals should be used for DNA extraction. The soft abdominal cuticle is the preferred sample tissue for DNA extraction. Any superficial contamination should first be removed by thoroughly wiping the soft abdominal cuticle with wet (using autoclaved H</w:t>
      </w:r>
      <w:r w:rsidRPr="00A17D4D">
        <w:rPr>
          <w:rFonts w:ascii="Söhne" w:eastAsia="Times New Roman" w:hAnsi="Söhne" w:cs="Arial"/>
          <w:sz w:val="18"/>
          <w:vertAlign w:val="subscript"/>
          <w:lang w:val="en-IE"/>
        </w:rPr>
        <w:t>2</w:t>
      </w:r>
      <w:r w:rsidRPr="00A17D4D">
        <w:rPr>
          <w:rFonts w:ascii="Söhne" w:eastAsia="Times New Roman" w:hAnsi="Söhne" w:cs="Arial"/>
          <w:sz w:val="18"/>
          <w:lang w:val="en-IE"/>
        </w:rPr>
        <w:t>O) clean disposable swabs. The soft abdominal cuticle is then excised and 30–50 mg ground using a pestle and mortar.</w:t>
      </w:r>
    </w:p>
    <w:p w14:paraId="6FF7DCD1" w14:textId="77777777" w:rsidR="00A17D4D" w:rsidRPr="00A17D4D" w:rsidRDefault="00A17D4D" w:rsidP="00A17D4D">
      <w:pPr>
        <w:spacing w:after="240" w:line="240" w:lineRule="auto"/>
        <w:ind w:left="284"/>
        <w:jc w:val="both"/>
        <w:rPr>
          <w:rFonts w:ascii="Söhne" w:eastAsia="Times New Roman" w:hAnsi="Söhne" w:cs="Arial"/>
          <w:sz w:val="18"/>
          <w:lang w:val="en-IE"/>
        </w:rPr>
      </w:pPr>
      <w:r w:rsidRPr="00A17D4D">
        <w:rPr>
          <w:rFonts w:ascii="Söhne" w:eastAsia="Times New Roman" w:hAnsi="Söhne" w:cs="Times New Roman"/>
          <w:sz w:val="18"/>
          <w:szCs w:val="18"/>
          <w:lang w:val="en-IE"/>
        </w:rPr>
        <w:t xml:space="preserve">Several PCR assays have been developed with varying levels of sensitivity and specificity. Two assays are described here. Both assays target the ITS (internal transcribed spacer) region </w:t>
      </w:r>
      <w:r w:rsidRPr="00A17D4D">
        <w:rPr>
          <w:rFonts w:ascii="Söhne" w:eastAsia="Times New Roman" w:hAnsi="Söhne" w:cs="Arial"/>
          <w:sz w:val="18"/>
          <w:lang w:val="en-IE"/>
        </w:rPr>
        <w:t>of the nuclear ribosomal gene cluster</w:t>
      </w:r>
      <w:r w:rsidRPr="00A17D4D">
        <w:rPr>
          <w:rFonts w:ascii="Söhne" w:eastAsia="Times New Roman" w:hAnsi="Söhne" w:cs="Times New Roman"/>
          <w:sz w:val="18"/>
          <w:szCs w:val="18"/>
          <w:lang w:val="en-IE"/>
        </w:rPr>
        <w:t xml:space="preserve"> within the </w:t>
      </w:r>
      <w:r w:rsidRPr="00A17D4D">
        <w:rPr>
          <w:rFonts w:ascii="Söhne" w:eastAsia="Times New Roman" w:hAnsi="Söhne" w:cs="Times New Roman"/>
          <w:i/>
          <w:sz w:val="18"/>
          <w:szCs w:val="18"/>
          <w:lang w:val="en-IE"/>
        </w:rPr>
        <w:t>A. astaci</w:t>
      </w:r>
      <w:r w:rsidRPr="00A17D4D">
        <w:rPr>
          <w:rFonts w:ascii="Söhne" w:eastAsia="Times New Roman" w:hAnsi="Söhne" w:cs="Times New Roman"/>
          <w:sz w:val="18"/>
          <w:szCs w:val="18"/>
          <w:lang w:val="en-IE"/>
        </w:rPr>
        <w:t xml:space="preserve"> genome. </w:t>
      </w:r>
    </w:p>
    <w:p w14:paraId="12DF3BBC" w14:textId="77777777" w:rsidR="00A17D4D" w:rsidRPr="00A17D4D" w:rsidRDefault="00A17D4D" w:rsidP="00A17D4D">
      <w:pPr>
        <w:spacing w:after="120" w:line="240" w:lineRule="auto"/>
        <w:ind w:left="284"/>
        <w:jc w:val="both"/>
        <w:rPr>
          <w:rFonts w:ascii="Söhne" w:eastAsia="Calibri" w:hAnsi="Söhne" w:cs="Times New Roman"/>
          <w:i/>
          <w:iCs/>
          <w:sz w:val="18"/>
          <w:lang w:val="en-IE"/>
        </w:rPr>
      </w:pPr>
      <w:r w:rsidRPr="00A17D4D">
        <w:rPr>
          <w:rFonts w:ascii="Söhne" w:eastAsia="Calibri" w:hAnsi="Söhne" w:cs="Times New Roman"/>
          <w:i/>
          <w:iCs/>
          <w:sz w:val="18"/>
          <w:lang w:val="en-IE"/>
        </w:rPr>
        <w:t>Extraction of nucleic acids</w:t>
      </w:r>
    </w:p>
    <w:p w14:paraId="19034DE0" w14:textId="77777777" w:rsidR="00A17D4D" w:rsidRPr="00A17D4D" w:rsidRDefault="00A17D4D" w:rsidP="00A17D4D">
      <w:pPr>
        <w:spacing w:after="240" w:line="240" w:lineRule="auto"/>
        <w:ind w:left="284"/>
        <w:jc w:val="both"/>
        <w:rPr>
          <w:rFonts w:ascii="Söhne" w:eastAsia="Calibri" w:hAnsi="Söhne" w:cs="Times New Roman"/>
          <w:sz w:val="18"/>
          <w:u w:val="double"/>
          <w:lang w:val="en-IE"/>
        </w:rPr>
      </w:pPr>
      <w:r w:rsidRPr="00A17D4D">
        <w:rPr>
          <w:rFonts w:ascii="Söhne" w:eastAsia="Calibri" w:hAnsi="Söhne" w:cs="Times New Roman"/>
          <w:strike/>
          <w:sz w:val="18"/>
          <w:lang w:val="en-IE"/>
        </w:rPr>
        <w:t xml:space="preserve">Numerous </w:t>
      </w:r>
      <w:r w:rsidRPr="00A17D4D">
        <w:rPr>
          <w:rFonts w:ascii="Söhne" w:eastAsia="Calibri" w:hAnsi="Söhne" w:cs="Times New Roman"/>
          <w:sz w:val="18"/>
          <w:u w:val="double"/>
          <w:lang w:val="en-IE"/>
        </w:rPr>
        <w:t>Different kits and procedures can be used for nucleic acid extraction. The quality and concentration of the extracted nucleic acid is important and</w:t>
      </w:r>
      <w:r w:rsidRPr="00A17D4D">
        <w:rPr>
          <w:rFonts w:ascii="Söhne" w:eastAsia="Calibri" w:hAnsi="Söhne" w:cs="Times New Roman"/>
          <w:sz w:val="18"/>
          <w:lang w:val="en-IE"/>
        </w:rPr>
        <w:t xml:space="preserve"> </w:t>
      </w:r>
      <w:r w:rsidRPr="00A17D4D">
        <w:rPr>
          <w:rFonts w:ascii="Söhne" w:eastAsia="Calibri" w:hAnsi="Söhne" w:cs="Times New Roman"/>
          <w:strike/>
          <w:sz w:val="18"/>
          <w:lang w:val="en-IE"/>
        </w:rPr>
        <w:t xml:space="preserve">should </w:t>
      </w:r>
      <w:r w:rsidRPr="00A17D4D">
        <w:rPr>
          <w:rFonts w:ascii="Söhne" w:eastAsia="Calibri" w:hAnsi="Söhne" w:cs="Times New Roman"/>
          <w:sz w:val="18"/>
          <w:u w:val="double"/>
          <w:lang w:val="en-IE"/>
        </w:rPr>
        <w:t>can be checked using a suitable method as appropriate to the circumstances</w:t>
      </w:r>
      <w:r w:rsidRPr="00A17D4D">
        <w:rPr>
          <w:rFonts w:ascii="Söhne" w:eastAsia="Calibri" w:hAnsi="Söhne" w:cs="Times New Roman"/>
          <w:strike/>
          <w:sz w:val="18"/>
          <w:lang w:val="en-IE"/>
        </w:rPr>
        <w:t xml:space="preserve"> using optical density or running a gel</w:t>
      </w:r>
      <w:r w:rsidRPr="00A17D4D">
        <w:rPr>
          <w:rFonts w:ascii="Söhne" w:eastAsia="Calibri" w:hAnsi="Söhne" w:cs="Times New Roman"/>
          <w:sz w:val="18"/>
          <w:u w:val="double"/>
          <w:lang w:val="en-IE"/>
        </w:rPr>
        <w:t xml:space="preserve">. </w:t>
      </w:r>
    </w:p>
    <w:p w14:paraId="2ECF5528" w14:textId="77777777" w:rsidR="00A17D4D" w:rsidRPr="00A17D4D" w:rsidRDefault="00A17D4D" w:rsidP="00A17D4D">
      <w:pPr>
        <w:spacing w:after="120" w:line="240" w:lineRule="auto"/>
        <w:ind w:left="1134" w:hanging="567"/>
        <w:jc w:val="both"/>
        <w:rPr>
          <w:rFonts w:ascii="Söhne Kräftig" w:eastAsia="Times New Roman" w:hAnsi="Söhne Kräftig" w:cs="Times New Roman"/>
          <w:bCs/>
          <w:sz w:val="20"/>
          <w:lang w:val="en-IE" w:eastAsia="fr-FR"/>
        </w:rPr>
      </w:pPr>
      <w:r w:rsidRPr="00A17D4D">
        <w:rPr>
          <w:rFonts w:ascii="Söhne Kräftig" w:eastAsia="Times New Roman" w:hAnsi="Söhne Kräftig" w:cs="Times New Roman"/>
          <w:bCs/>
          <w:sz w:val="20"/>
          <w:lang w:val="en-IE" w:eastAsia="fr-FR"/>
        </w:rPr>
        <w:t>4.4.1.</w:t>
      </w:r>
      <w:r w:rsidRPr="00A17D4D">
        <w:rPr>
          <w:rFonts w:ascii="Söhne Kräftig" w:eastAsia="Times New Roman" w:hAnsi="Söhne Kräftig" w:cs="Times New Roman"/>
          <w:bCs/>
          <w:sz w:val="20"/>
          <w:lang w:val="en-GB" w:eastAsia="fr-FR"/>
        </w:rPr>
        <w:tab/>
      </w:r>
      <w:r w:rsidRPr="00A17D4D">
        <w:rPr>
          <w:rFonts w:ascii="Söhne Kräftig" w:eastAsia="Times New Roman" w:hAnsi="Söhne Kräftig" w:cs="Times New Roman"/>
          <w:bCs/>
          <w:sz w:val="20"/>
          <w:lang w:val="en-IE" w:eastAsia="fr-FR"/>
        </w:rPr>
        <w:t xml:space="preserve">Real-time PCR </w:t>
      </w:r>
    </w:p>
    <w:p w14:paraId="63029DA5"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The following controls should be run with each assay: negative extraction control; positive control; no template control; internal PCR control.</w:t>
      </w:r>
    </w:p>
    <w:tbl>
      <w:tblPr>
        <w:tblStyle w:val="TableGrid241"/>
        <w:tblW w:w="9060" w:type="dxa"/>
        <w:tblInd w:w="559" w:type="dxa"/>
        <w:tblLayout w:type="fixed"/>
        <w:tblLook w:val="0000" w:firstRow="0" w:lastRow="0" w:firstColumn="0" w:lastColumn="0" w:noHBand="0" w:noVBand="0"/>
      </w:tblPr>
      <w:tblGrid>
        <w:gridCol w:w="1270"/>
        <w:gridCol w:w="3967"/>
        <w:gridCol w:w="1418"/>
        <w:gridCol w:w="2405"/>
      </w:tblGrid>
      <w:tr w:rsidR="00A17D4D" w:rsidRPr="00A17D4D" w14:paraId="6F0F0C75" w14:textId="77777777">
        <w:trPr>
          <w:trHeight w:val="225"/>
        </w:trPr>
        <w:tc>
          <w:tcPr>
            <w:tcW w:w="1270" w:type="dxa"/>
            <w:tcBorders>
              <w:top w:val="single" w:sz="6" w:space="0" w:color="auto"/>
              <w:left w:val="single" w:sz="6" w:space="0" w:color="auto"/>
              <w:bottom w:val="single" w:sz="6" w:space="0" w:color="auto"/>
              <w:right w:val="single" w:sz="6" w:space="0" w:color="auto"/>
            </w:tcBorders>
            <w:shd w:val="clear" w:color="auto" w:fill="BFBFBF"/>
            <w:vAlign w:val="center"/>
          </w:tcPr>
          <w:p w14:paraId="7666B308"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lastRenderedPageBreak/>
              <w:t xml:space="preserve">Pathogen/ </w:t>
            </w:r>
            <w:r w:rsidRPr="00A17D4D">
              <w:rPr>
                <w:rFonts w:ascii="Söhne Kräftig" w:eastAsia="Times New Roman" w:hAnsi="Söhne Kräftig" w:cs="Arial"/>
                <w:sz w:val="18"/>
                <w:szCs w:val="18"/>
              </w:rPr>
              <w:br/>
            </w:r>
            <w:r w:rsidRPr="00A17D4D">
              <w:rPr>
                <w:rFonts w:ascii="Söhne Kräftig" w:eastAsia="Calibri" w:hAnsi="Söhne Kräftig" w:cs="Calibri"/>
                <w:sz w:val="18"/>
                <w:szCs w:val="18"/>
              </w:rPr>
              <w:t>target gene</w:t>
            </w:r>
          </w:p>
        </w:tc>
        <w:tc>
          <w:tcPr>
            <w:tcW w:w="3967" w:type="dxa"/>
            <w:tcBorders>
              <w:top w:val="single" w:sz="6" w:space="0" w:color="auto"/>
              <w:left w:val="single" w:sz="6" w:space="0" w:color="auto"/>
              <w:bottom w:val="single" w:sz="6" w:space="0" w:color="auto"/>
              <w:right w:val="single" w:sz="6" w:space="0" w:color="auto"/>
            </w:tcBorders>
            <w:shd w:val="clear" w:color="auto" w:fill="BFBFBF"/>
            <w:vAlign w:val="center"/>
          </w:tcPr>
          <w:p w14:paraId="5CEF2FEB"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Primer/probe (5’–3’)</w:t>
            </w:r>
          </w:p>
        </w:tc>
        <w:tc>
          <w:tcPr>
            <w:tcW w:w="1418" w:type="dxa"/>
            <w:tcBorders>
              <w:top w:val="single" w:sz="6" w:space="0" w:color="auto"/>
              <w:left w:val="single" w:sz="6" w:space="0" w:color="auto"/>
              <w:bottom w:val="single" w:sz="6" w:space="0" w:color="auto"/>
              <w:right w:val="single" w:sz="6" w:space="0" w:color="auto"/>
            </w:tcBorders>
            <w:shd w:val="clear" w:color="auto" w:fill="BFBFBF"/>
            <w:vAlign w:val="center"/>
          </w:tcPr>
          <w:p w14:paraId="5F0E2781"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Concentration</w:t>
            </w:r>
          </w:p>
        </w:tc>
        <w:tc>
          <w:tcPr>
            <w:tcW w:w="2405" w:type="dxa"/>
            <w:tcBorders>
              <w:top w:val="single" w:sz="6" w:space="0" w:color="auto"/>
              <w:left w:val="single" w:sz="6" w:space="0" w:color="auto"/>
              <w:bottom w:val="single" w:sz="6" w:space="0" w:color="auto"/>
              <w:right w:val="single" w:sz="6" w:space="0" w:color="auto"/>
            </w:tcBorders>
            <w:shd w:val="clear" w:color="auto" w:fill="BFBFBF"/>
            <w:vAlign w:val="center"/>
          </w:tcPr>
          <w:p w14:paraId="3D0E7799"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Cycling conditions</w:t>
            </w:r>
          </w:p>
        </w:tc>
      </w:tr>
      <w:tr w:rsidR="00A17D4D" w:rsidRPr="00A17D4D" w14:paraId="40D69D05" w14:textId="77777777">
        <w:trPr>
          <w:trHeight w:val="225"/>
        </w:trPr>
        <w:tc>
          <w:tcPr>
            <w:tcW w:w="9060" w:type="dxa"/>
            <w:gridSpan w:val="4"/>
            <w:tcBorders>
              <w:top w:val="single" w:sz="6" w:space="0" w:color="auto"/>
              <w:left w:val="single" w:sz="6" w:space="0" w:color="000000"/>
              <w:bottom w:val="single" w:sz="6" w:space="0" w:color="000000"/>
              <w:right w:val="single" w:sz="6" w:space="0" w:color="000000"/>
            </w:tcBorders>
            <w:shd w:val="clear" w:color="auto" w:fill="BFBFBF"/>
            <w:vAlign w:val="center"/>
          </w:tcPr>
          <w:p w14:paraId="2F5DE994" w14:textId="77777777" w:rsidR="00A17D4D" w:rsidRPr="00A17D4D" w:rsidRDefault="00A17D4D" w:rsidP="00A17D4D">
            <w:pPr>
              <w:spacing w:before="120" w:after="120"/>
              <w:jc w:val="center"/>
              <w:rPr>
                <w:rFonts w:ascii="Söhne" w:eastAsia="Calibri" w:hAnsi="Söhne" w:cs="Calibri"/>
                <w:sz w:val="16"/>
                <w:szCs w:val="16"/>
                <w:lang w:val="nl-NL"/>
              </w:rPr>
            </w:pPr>
            <w:r w:rsidRPr="00A17D4D">
              <w:rPr>
                <w:rFonts w:ascii="Söhne" w:eastAsia="Calibri" w:hAnsi="Söhne" w:cs="Calibri"/>
                <w:sz w:val="16"/>
                <w:szCs w:val="16"/>
                <w:lang w:val="nl-NL"/>
              </w:rPr>
              <w:t xml:space="preserve">Method 1*: Vralstad </w:t>
            </w:r>
            <w:r w:rsidRPr="00A17D4D">
              <w:rPr>
                <w:rFonts w:ascii="Söhne" w:eastAsia="Calibri" w:hAnsi="Söhne" w:cs="Calibri"/>
                <w:i/>
                <w:iCs/>
                <w:sz w:val="16"/>
                <w:szCs w:val="16"/>
                <w:lang w:val="nl-NL"/>
              </w:rPr>
              <w:t>et al.,</w:t>
            </w:r>
            <w:r w:rsidRPr="00A17D4D">
              <w:rPr>
                <w:rFonts w:ascii="Söhne" w:eastAsia="Calibri" w:hAnsi="Söhne" w:cs="Calibri"/>
                <w:sz w:val="16"/>
                <w:szCs w:val="16"/>
                <w:lang w:val="nl-NL"/>
              </w:rPr>
              <w:t xml:space="preserve"> 2009, Strand, 2013</w:t>
            </w:r>
            <w:r w:rsidRPr="00A17D4D">
              <w:rPr>
                <w:rFonts w:ascii="Söhne" w:eastAsia="Calibri" w:hAnsi="Söhne" w:cs="Arial"/>
                <w:sz w:val="16"/>
                <w:szCs w:val="16"/>
                <w:lang w:val="nl-NL"/>
              </w:rPr>
              <w:t>; GenBank Accession No.</w:t>
            </w:r>
            <w:r w:rsidRPr="00A17D4D">
              <w:rPr>
                <w:rFonts w:ascii="Söhne" w:eastAsia="Calibri" w:hAnsi="Söhne" w:cs="Arial"/>
                <w:sz w:val="16"/>
                <w:szCs w:val="16"/>
                <w:u w:val="double"/>
                <w:lang w:val="nl-NL"/>
              </w:rPr>
              <w:t>:</w:t>
            </w:r>
            <w:r w:rsidRPr="00A17D4D">
              <w:rPr>
                <w:rFonts w:ascii="Söhne" w:eastAsia="Calibri" w:hAnsi="Söhne" w:cs="Arial"/>
                <w:sz w:val="16"/>
                <w:szCs w:val="16"/>
                <w:lang w:val="nl-NL"/>
              </w:rPr>
              <w:t xml:space="preserve"> AM947024</w:t>
            </w:r>
          </w:p>
        </w:tc>
      </w:tr>
      <w:tr w:rsidR="00A17D4D" w:rsidRPr="00A17D4D" w14:paraId="641F37F6" w14:textId="77777777">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0452A2E2" w14:textId="77777777" w:rsidR="00A17D4D" w:rsidRPr="00A17D4D" w:rsidRDefault="00A17D4D" w:rsidP="00A17D4D">
            <w:pPr>
              <w:spacing w:before="120" w:after="120"/>
              <w:jc w:val="center"/>
              <w:rPr>
                <w:rFonts w:ascii="Söhne" w:eastAsia="Calibri" w:hAnsi="Söhne" w:cs="Calibri"/>
                <w:sz w:val="16"/>
                <w:szCs w:val="16"/>
                <w:lang w:val="es-ES"/>
              </w:rPr>
            </w:pPr>
            <w:r w:rsidRPr="00A17D4D">
              <w:rPr>
                <w:rFonts w:ascii="Söhne" w:eastAsia="Calibri" w:hAnsi="Söhne" w:cs="Calibri"/>
                <w:i/>
                <w:iCs/>
                <w:sz w:val="16"/>
                <w:szCs w:val="16"/>
                <w:lang w:val="es-ES"/>
              </w:rPr>
              <w:t xml:space="preserve">Aphanomyces </w:t>
            </w:r>
            <w:r w:rsidRPr="00A17D4D">
              <w:rPr>
                <w:rFonts w:ascii="Söhne" w:eastAsia="Calibri" w:hAnsi="Söhne" w:cs="Calibri"/>
                <w:i/>
                <w:iCs/>
                <w:strike/>
                <w:sz w:val="16"/>
                <w:szCs w:val="16"/>
                <w:lang w:val="es-ES"/>
              </w:rPr>
              <w:t xml:space="preserve">astacus </w:t>
            </w:r>
            <w:r w:rsidRPr="00A17D4D">
              <w:rPr>
                <w:rFonts w:ascii="Söhne" w:eastAsia="Calibri" w:hAnsi="Söhne" w:cs="Calibri"/>
                <w:i/>
                <w:iCs/>
                <w:sz w:val="16"/>
                <w:szCs w:val="16"/>
                <w:u w:val="double"/>
                <w:lang w:val="es-ES"/>
              </w:rPr>
              <w:t xml:space="preserve">astaci </w:t>
            </w:r>
            <w:r w:rsidRPr="00A17D4D">
              <w:rPr>
                <w:rFonts w:ascii="Söhne" w:eastAsia="Calibri" w:hAnsi="Söhne" w:cs="Calibri"/>
                <w:sz w:val="16"/>
                <w:szCs w:val="16"/>
                <w:lang w:val="es-ES"/>
              </w:rPr>
              <w:t>&amp;</w:t>
            </w:r>
            <w:r w:rsidRPr="00A17D4D">
              <w:rPr>
                <w:rFonts w:ascii="Söhne" w:eastAsia="Calibri" w:hAnsi="Söhne" w:cs="Calibri"/>
                <w:i/>
                <w:iCs/>
                <w:sz w:val="16"/>
                <w:szCs w:val="16"/>
                <w:lang w:val="es-ES"/>
              </w:rPr>
              <w:t xml:space="preserve"> A. fennicus</w:t>
            </w:r>
            <w:r w:rsidRPr="00A17D4D">
              <w:rPr>
                <w:rFonts w:ascii="Söhne" w:eastAsia="Calibri" w:hAnsi="Söhne" w:cs="Calibri"/>
                <w:i/>
                <w:iCs/>
                <w:sz w:val="16"/>
                <w:szCs w:val="16"/>
                <w:u w:val="double"/>
                <w:lang w:val="es-ES"/>
              </w:rPr>
              <w:t>/</w:t>
            </w:r>
            <w:r w:rsidRPr="00A17D4D">
              <w:rPr>
                <w:rFonts w:ascii="Söhne" w:eastAsia="Calibri" w:hAnsi="Söhne" w:cs="Calibri"/>
                <w:sz w:val="16"/>
                <w:szCs w:val="16"/>
                <w:lang w:val="es-ES"/>
              </w:rPr>
              <w:br/>
              <w:t>ITS</w:t>
            </w:r>
          </w:p>
        </w:tc>
        <w:tc>
          <w:tcPr>
            <w:tcW w:w="3967" w:type="dxa"/>
            <w:tcBorders>
              <w:top w:val="single" w:sz="6" w:space="0" w:color="auto"/>
              <w:left w:val="single" w:sz="6" w:space="0" w:color="auto"/>
              <w:bottom w:val="single" w:sz="6" w:space="0" w:color="auto"/>
              <w:right w:val="single" w:sz="6" w:space="0" w:color="auto"/>
            </w:tcBorders>
            <w:vAlign w:val="center"/>
          </w:tcPr>
          <w:p w14:paraId="713F7850" w14:textId="77777777" w:rsidR="00A17D4D" w:rsidRPr="00A17D4D" w:rsidRDefault="00A17D4D" w:rsidP="00A17D4D">
            <w:pPr>
              <w:spacing w:before="120" w:after="120"/>
              <w:jc w:val="center"/>
              <w:rPr>
                <w:rFonts w:ascii="Söhne" w:eastAsia="Calibri" w:hAnsi="Söhne" w:cs="Calibri"/>
                <w:sz w:val="16"/>
                <w:szCs w:val="16"/>
                <w:lang w:val="es-ES"/>
              </w:rPr>
            </w:pPr>
            <w:r w:rsidRPr="00A17D4D">
              <w:rPr>
                <w:rFonts w:ascii="Söhne" w:eastAsia="Calibri" w:hAnsi="Söhne" w:cs="Calibri"/>
                <w:sz w:val="16"/>
                <w:szCs w:val="16"/>
                <w:lang w:val="es-ES"/>
              </w:rPr>
              <w:t>Fwd: AAG-GCT-TGT-GCT-GGG-ATG-TT</w:t>
            </w:r>
            <w:r w:rsidRPr="00A17D4D">
              <w:rPr>
                <w:rFonts w:ascii="Söhne" w:eastAsia="Calibri" w:hAnsi="Söhne" w:cs="Calibri"/>
                <w:b/>
                <w:sz w:val="16"/>
                <w:szCs w:val="16"/>
                <w:lang w:val="es-ES"/>
              </w:rPr>
              <w:br/>
            </w:r>
            <w:r w:rsidRPr="00A17D4D">
              <w:rPr>
                <w:rFonts w:ascii="Söhne" w:eastAsia="Calibri" w:hAnsi="Söhne" w:cs="Calibri"/>
                <w:sz w:val="16"/>
                <w:szCs w:val="16"/>
                <w:lang w:val="es-ES"/>
              </w:rPr>
              <w:t>Rev: CTT-CTT-GCG-AAA-CCT-TCT-GCT-A</w:t>
            </w:r>
            <w:r w:rsidRPr="00A17D4D">
              <w:rPr>
                <w:rFonts w:ascii="Söhne" w:eastAsia="Calibri" w:hAnsi="Söhne" w:cs="Calibri"/>
                <w:b/>
                <w:sz w:val="16"/>
                <w:szCs w:val="16"/>
                <w:lang w:val="es-ES"/>
              </w:rPr>
              <w:br/>
            </w:r>
            <w:r w:rsidRPr="00A17D4D">
              <w:rPr>
                <w:rFonts w:ascii="Söhne" w:eastAsia="Calibri" w:hAnsi="Söhne" w:cs="Calibri"/>
                <w:sz w:val="16"/>
                <w:szCs w:val="16"/>
                <w:lang w:val="es-ES"/>
              </w:rPr>
              <w:t>Probe: 6-FAM-TTC-GGG-ACG-ACC-C-MGBNFQ</w:t>
            </w:r>
          </w:p>
        </w:tc>
        <w:tc>
          <w:tcPr>
            <w:tcW w:w="1418" w:type="dxa"/>
            <w:tcBorders>
              <w:top w:val="single" w:sz="6" w:space="0" w:color="auto"/>
              <w:left w:val="single" w:sz="6" w:space="0" w:color="auto"/>
              <w:bottom w:val="single" w:sz="6" w:space="0" w:color="auto"/>
              <w:right w:val="single" w:sz="6" w:space="0" w:color="auto"/>
            </w:tcBorders>
            <w:vAlign w:val="center"/>
          </w:tcPr>
          <w:p w14:paraId="2AF78874" w14:textId="77777777" w:rsidR="00A17D4D" w:rsidRPr="00A17D4D" w:rsidRDefault="00A17D4D" w:rsidP="00A17D4D">
            <w:pPr>
              <w:spacing w:before="120" w:after="120"/>
              <w:jc w:val="center"/>
              <w:rPr>
                <w:rFonts w:ascii="Söhne" w:eastAsia="Calibri" w:hAnsi="Söhne" w:cs="Calibri"/>
                <w:b/>
                <w:bCs/>
                <w:sz w:val="16"/>
                <w:szCs w:val="16"/>
              </w:rPr>
            </w:pPr>
            <w:r w:rsidRPr="00A17D4D">
              <w:rPr>
                <w:rFonts w:ascii="Söhne" w:eastAsia="Calibri" w:hAnsi="Söhne" w:cs="Calibri"/>
                <w:sz w:val="16"/>
                <w:szCs w:val="16"/>
              </w:rPr>
              <w:t>500 nM</w:t>
            </w:r>
            <w:r w:rsidRPr="00A17D4D">
              <w:rPr>
                <w:rFonts w:ascii="Söhne" w:eastAsia="Calibri" w:hAnsi="Söhne" w:cs="Calibri"/>
                <w:sz w:val="16"/>
                <w:szCs w:val="16"/>
              </w:rPr>
              <w:br/>
            </w:r>
            <w:r w:rsidRPr="00A17D4D">
              <w:rPr>
                <w:rFonts w:ascii="Söhne" w:eastAsia="Calibri" w:hAnsi="Söhne" w:cs="Calibri"/>
                <w:sz w:val="16"/>
                <w:szCs w:val="16"/>
                <w:u w:val="double"/>
              </w:rPr>
              <w:t>500 nM</w:t>
            </w:r>
            <w:r w:rsidRPr="00A17D4D">
              <w:rPr>
                <w:rFonts w:ascii="Söhne" w:eastAsia="Calibri" w:hAnsi="Söhne" w:cs="Calibri"/>
                <w:b/>
                <w:bCs/>
                <w:sz w:val="16"/>
                <w:szCs w:val="16"/>
              </w:rPr>
              <w:br/>
            </w:r>
            <w:r w:rsidRPr="00A17D4D">
              <w:rPr>
                <w:rFonts w:ascii="Söhne" w:eastAsia="Calibri" w:hAnsi="Söhne" w:cs="Calibri"/>
                <w:sz w:val="16"/>
                <w:szCs w:val="16"/>
              </w:rPr>
              <w:t>200 nM</w:t>
            </w:r>
          </w:p>
        </w:tc>
        <w:tc>
          <w:tcPr>
            <w:tcW w:w="2405" w:type="dxa"/>
            <w:tcBorders>
              <w:top w:val="single" w:sz="6" w:space="0" w:color="auto"/>
              <w:left w:val="single" w:sz="6" w:space="0" w:color="auto"/>
              <w:bottom w:val="single" w:sz="6" w:space="0" w:color="auto"/>
              <w:right w:val="single" w:sz="6" w:space="0" w:color="auto"/>
            </w:tcBorders>
            <w:vAlign w:val="center"/>
          </w:tcPr>
          <w:p w14:paraId="753A997D" w14:textId="77777777" w:rsidR="00A17D4D" w:rsidRPr="00A17D4D" w:rsidRDefault="00A17D4D" w:rsidP="00A17D4D">
            <w:pPr>
              <w:spacing w:before="120" w:after="120" w:line="257" w:lineRule="auto"/>
              <w:rPr>
                <w:rFonts w:eastAsia="Times New Roman" w:cs="Arial"/>
                <w:sz w:val="24"/>
                <w:szCs w:val="24"/>
              </w:rPr>
            </w:pPr>
            <w:r w:rsidRPr="00A17D4D">
              <w:rPr>
                <w:rFonts w:ascii="Söhne" w:eastAsia="Arial" w:hAnsi="Söhne" w:cs="Arial"/>
                <w:color w:val="000000"/>
                <w:sz w:val="16"/>
                <w:szCs w:val="16"/>
                <w:lang w:val="en-IE"/>
              </w:rPr>
              <w:t>50 cycles</w:t>
            </w:r>
            <w:r w:rsidRPr="00A17D4D">
              <w:rPr>
                <w:rFonts w:ascii="Söhne" w:eastAsia="Calibri" w:hAnsi="Söhne" w:cs="Calibri"/>
                <w:sz w:val="16"/>
                <w:szCs w:val="16"/>
                <w:lang w:val="en-IE"/>
              </w:rPr>
              <w:t xml:space="preserve"> of: </w:t>
            </w:r>
            <w:r w:rsidRPr="00A17D4D">
              <w:rPr>
                <w:rFonts w:ascii="Söhne" w:eastAsia="Calibri" w:hAnsi="Söhne" w:cs="Calibri"/>
                <w:sz w:val="16"/>
                <w:szCs w:val="16"/>
                <w:lang w:val="en-IE"/>
              </w:rPr>
              <w:br/>
              <w:t>95°C/15 sec and 60</w:t>
            </w:r>
            <w:r w:rsidRPr="00A17D4D">
              <w:rPr>
                <w:rFonts w:ascii="Söhne" w:eastAsia="Segoe UI" w:hAnsi="Söhne" w:cs="Segoe UI"/>
                <w:color w:val="000000"/>
                <w:sz w:val="16"/>
                <w:szCs w:val="16"/>
                <w:lang w:val="en-IE"/>
              </w:rPr>
              <w:t>°C/30 sec</w:t>
            </w:r>
            <w:r w:rsidRPr="00A17D4D">
              <w:rPr>
                <w:rFonts w:ascii="Söhne" w:eastAsia="Arial" w:hAnsi="Söhne" w:cs="Arial"/>
                <w:color w:val="000000"/>
                <w:sz w:val="16"/>
                <w:szCs w:val="16"/>
              </w:rPr>
              <w:t xml:space="preserve"> </w:t>
            </w:r>
          </w:p>
        </w:tc>
      </w:tr>
      <w:tr w:rsidR="00A17D4D" w:rsidRPr="00A17D4D" w14:paraId="0E996ADC" w14:textId="77777777">
        <w:trPr>
          <w:trHeight w:val="480"/>
        </w:trPr>
        <w:tc>
          <w:tcPr>
            <w:tcW w:w="9060" w:type="dxa"/>
            <w:gridSpan w:val="4"/>
            <w:tcBorders>
              <w:top w:val="single" w:sz="6" w:space="0" w:color="auto"/>
              <w:left w:val="single" w:sz="6" w:space="0" w:color="000000"/>
              <w:bottom w:val="single" w:sz="6" w:space="0" w:color="000000"/>
              <w:right w:val="single" w:sz="6" w:space="0" w:color="000000"/>
            </w:tcBorders>
            <w:shd w:val="clear" w:color="auto" w:fill="BFBFBF"/>
            <w:vAlign w:val="center"/>
          </w:tcPr>
          <w:p w14:paraId="1CB2B368" w14:textId="77777777" w:rsidR="00A17D4D" w:rsidRPr="00A17D4D" w:rsidRDefault="00A17D4D" w:rsidP="00A17D4D">
            <w:pPr>
              <w:spacing w:before="120" w:after="120"/>
              <w:jc w:val="center"/>
              <w:rPr>
                <w:rFonts w:ascii="Söhne" w:eastAsia="Calibri" w:hAnsi="Söhne" w:cs="Calibri"/>
                <w:sz w:val="16"/>
                <w:szCs w:val="16"/>
              </w:rPr>
            </w:pPr>
            <w:r w:rsidRPr="00A17D4D">
              <w:rPr>
                <w:rFonts w:ascii="Söhne" w:eastAsia="Calibri" w:hAnsi="Söhne" w:cs="Calibri"/>
                <w:sz w:val="16"/>
                <w:szCs w:val="16"/>
              </w:rPr>
              <w:t xml:space="preserve">Alternative method 2: Strand </w:t>
            </w:r>
            <w:r w:rsidRPr="00A17D4D">
              <w:rPr>
                <w:rFonts w:ascii="Söhne" w:eastAsia="Calibri" w:hAnsi="Söhne" w:cs="Calibri"/>
                <w:i/>
                <w:sz w:val="16"/>
                <w:szCs w:val="16"/>
              </w:rPr>
              <w:t>et al</w:t>
            </w:r>
            <w:r w:rsidRPr="00A17D4D">
              <w:rPr>
                <w:rFonts w:ascii="Söhne" w:eastAsia="Calibri" w:hAnsi="Söhne" w:cs="Calibri"/>
                <w:sz w:val="16"/>
                <w:szCs w:val="16"/>
              </w:rPr>
              <w:t>. to be published</w:t>
            </w:r>
            <w:r w:rsidRPr="00A17D4D">
              <w:rPr>
                <w:rFonts w:ascii="Söhne" w:eastAsia="Calibri" w:hAnsi="Söhne" w:cs="Arial"/>
                <w:sz w:val="16"/>
                <w:szCs w:val="16"/>
                <w:lang w:val="en-IE"/>
              </w:rPr>
              <w:t>; GenBank Accession No.</w:t>
            </w:r>
            <w:r w:rsidRPr="00A17D4D">
              <w:rPr>
                <w:rFonts w:ascii="Söhne" w:eastAsia="Calibri" w:hAnsi="Söhne" w:cs="Arial"/>
                <w:sz w:val="16"/>
                <w:szCs w:val="16"/>
                <w:u w:val="double"/>
                <w:lang w:val="en-IE"/>
              </w:rPr>
              <w:t>:</w:t>
            </w:r>
            <w:r w:rsidRPr="00A17D4D">
              <w:rPr>
                <w:rFonts w:ascii="Söhne" w:eastAsia="Calibri" w:hAnsi="Söhne" w:cs="Arial"/>
                <w:sz w:val="16"/>
                <w:szCs w:val="16"/>
                <w:lang w:val="en-IE"/>
              </w:rPr>
              <w:t xml:space="preserve"> AM947024</w:t>
            </w:r>
          </w:p>
        </w:tc>
      </w:tr>
      <w:tr w:rsidR="00A17D4D" w:rsidRPr="00A17D4D" w14:paraId="2CE681E5" w14:textId="77777777">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2EA537BD" w14:textId="77777777" w:rsidR="00A17D4D" w:rsidRPr="00A17D4D" w:rsidRDefault="00A17D4D" w:rsidP="00A17D4D">
            <w:pPr>
              <w:spacing w:before="120" w:after="120"/>
              <w:jc w:val="center"/>
              <w:rPr>
                <w:rFonts w:ascii="Söhne" w:eastAsia="Calibri" w:hAnsi="Söhne" w:cs="Calibri"/>
                <w:sz w:val="16"/>
                <w:szCs w:val="16"/>
              </w:rPr>
            </w:pPr>
            <w:r w:rsidRPr="00A17D4D">
              <w:rPr>
                <w:rFonts w:ascii="Söhne" w:eastAsia="Calibri" w:hAnsi="Söhne" w:cs="Calibri"/>
                <w:i/>
                <w:iCs/>
                <w:sz w:val="16"/>
                <w:szCs w:val="16"/>
              </w:rPr>
              <w:t xml:space="preserve">Aphanomyces </w:t>
            </w:r>
            <w:r w:rsidRPr="00A17D4D">
              <w:rPr>
                <w:rFonts w:ascii="Söhne" w:eastAsia="Calibri" w:hAnsi="Söhne" w:cs="Calibri"/>
                <w:i/>
                <w:iCs/>
                <w:strike/>
                <w:sz w:val="16"/>
                <w:szCs w:val="16"/>
                <w:lang w:val="es-ES"/>
              </w:rPr>
              <w:t xml:space="preserve">astacus </w:t>
            </w:r>
            <w:r w:rsidRPr="00A17D4D">
              <w:rPr>
                <w:rFonts w:ascii="Söhne" w:eastAsia="Calibri" w:hAnsi="Söhne" w:cs="Calibri"/>
                <w:i/>
                <w:iCs/>
                <w:sz w:val="16"/>
                <w:szCs w:val="16"/>
                <w:u w:val="double"/>
                <w:lang w:val="es-ES"/>
              </w:rPr>
              <w:t>astaci/</w:t>
            </w:r>
            <w:r w:rsidRPr="00A17D4D">
              <w:rPr>
                <w:rFonts w:ascii="Söhne" w:eastAsia="Calibri" w:hAnsi="Söhne" w:cs="Calibri"/>
                <w:sz w:val="16"/>
                <w:szCs w:val="16"/>
              </w:rPr>
              <w:t xml:space="preserve">ITS </w:t>
            </w:r>
          </w:p>
        </w:tc>
        <w:tc>
          <w:tcPr>
            <w:tcW w:w="3967" w:type="dxa"/>
            <w:tcBorders>
              <w:top w:val="single" w:sz="6" w:space="0" w:color="auto"/>
              <w:left w:val="single" w:sz="6" w:space="0" w:color="auto"/>
              <w:bottom w:val="single" w:sz="6" w:space="0" w:color="auto"/>
              <w:right w:val="single" w:sz="6" w:space="0" w:color="auto"/>
            </w:tcBorders>
            <w:vAlign w:val="center"/>
          </w:tcPr>
          <w:p w14:paraId="135821E2" w14:textId="77777777" w:rsidR="00A17D4D" w:rsidRPr="00A17D4D" w:rsidRDefault="00A17D4D" w:rsidP="00A17D4D">
            <w:pPr>
              <w:spacing w:before="120" w:after="120"/>
              <w:jc w:val="center"/>
              <w:rPr>
                <w:rFonts w:ascii="Söhne" w:eastAsia="Calibri" w:hAnsi="Söhne" w:cs="Calibri"/>
                <w:sz w:val="16"/>
                <w:szCs w:val="16"/>
              </w:rPr>
            </w:pPr>
            <w:r w:rsidRPr="00A17D4D">
              <w:rPr>
                <w:rFonts w:ascii="Söhne" w:eastAsia="Calibri" w:hAnsi="Söhne" w:cs="Calibri"/>
                <w:sz w:val="16"/>
                <w:szCs w:val="16"/>
              </w:rPr>
              <w:t>Fwd: TAT-CCA-CGT-GAA-TGT-ATT-CTT-TAT</w:t>
            </w:r>
            <w:r w:rsidRPr="00A17D4D">
              <w:rPr>
                <w:rFonts w:ascii="Söhne" w:eastAsia="Calibri" w:hAnsi="Söhne" w:cs="Calibri"/>
                <w:b/>
                <w:bCs/>
                <w:sz w:val="16"/>
                <w:szCs w:val="16"/>
              </w:rPr>
              <w:br/>
            </w:r>
            <w:r w:rsidRPr="00A17D4D">
              <w:rPr>
                <w:rFonts w:ascii="Söhne" w:eastAsia="Calibri" w:hAnsi="Söhne" w:cs="Calibri"/>
                <w:sz w:val="16"/>
                <w:szCs w:val="16"/>
              </w:rPr>
              <w:t>Rev: GCT-AAG-TTT-ATC-AGT-ATG-TTA-TTT-A</w:t>
            </w:r>
            <w:r w:rsidRPr="00A17D4D">
              <w:rPr>
                <w:rFonts w:ascii="Söhne" w:eastAsia="Calibri" w:hAnsi="Söhne" w:cs="Calibri"/>
                <w:b/>
                <w:bCs/>
                <w:sz w:val="16"/>
                <w:szCs w:val="16"/>
              </w:rPr>
              <w:br/>
            </w:r>
            <w:r w:rsidRPr="00A17D4D">
              <w:rPr>
                <w:rFonts w:ascii="Söhne" w:eastAsia="Calibri" w:hAnsi="Söhne" w:cs="Calibri"/>
                <w:sz w:val="16"/>
                <w:szCs w:val="16"/>
              </w:rPr>
              <w:t>Probe: FAM-AAG-AAC-ATC-CCA-GCA-C-MGBNFQ</w:t>
            </w:r>
          </w:p>
        </w:tc>
        <w:tc>
          <w:tcPr>
            <w:tcW w:w="1418" w:type="dxa"/>
            <w:tcBorders>
              <w:top w:val="single" w:sz="6" w:space="0" w:color="auto"/>
              <w:left w:val="single" w:sz="6" w:space="0" w:color="auto"/>
              <w:bottom w:val="single" w:sz="6" w:space="0" w:color="auto"/>
              <w:right w:val="single" w:sz="6" w:space="0" w:color="auto"/>
            </w:tcBorders>
            <w:vAlign w:val="center"/>
          </w:tcPr>
          <w:p w14:paraId="371894DF" w14:textId="77777777" w:rsidR="00A17D4D" w:rsidRPr="00A17D4D" w:rsidRDefault="00A17D4D" w:rsidP="00A17D4D">
            <w:pPr>
              <w:spacing w:before="120" w:after="120"/>
              <w:jc w:val="center"/>
              <w:rPr>
                <w:rFonts w:ascii="Söhne" w:eastAsia="Calibri" w:hAnsi="Söhne" w:cs="Calibri"/>
                <w:sz w:val="16"/>
                <w:szCs w:val="16"/>
              </w:rPr>
            </w:pPr>
            <w:r w:rsidRPr="00A17D4D">
              <w:rPr>
                <w:rFonts w:ascii="Söhne" w:eastAsia="Calibri" w:hAnsi="Söhne" w:cs="Calibri"/>
                <w:sz w:val="16"/>
                <w:szCs w:val="16"/>
              </w:rPr>
              <w:t>500 nM</w:t>
            </w:r>
            <w:r w:rsidRPr="00A17D4D">
              <w:rPr>
                <w:rFonts w:ascii="Söhne" w:eastAsia="Calibri" w:hAnsi="Söhne" w:cs="Calibri"/>
                <w:sz w:val="16"/>
                <w:szCs w:val="16"/>
              </w:rPr>
              <w:br/>
            </w:r>
            <w:r w:rsidRPr="00A17D4D">
              <w:rPr>
                <w:rFonts w:ascii="Söhne" w:eastAsia="Calibri" w:hAnsi="Söhne" w:cs="Calibri"/>
                <w:sz w:val="16"/>
                <w:szCs w:val="16"/>
                <w:u w:val="double"/>
              </w:rPr>
              <w:t>500 nM</w:t>
            </w:r>
            <w:r w:rsidRPr="00A17D4D">
              <w:rPr>
                <w:rFonts w:ascii="Söhne" w:eastAsia="Calibri" w:hAnsi="Söhne" w:cs="Calibri"/>
                <w:b/>
                <w:bCs/>
                <w:sz w:val="16"/>
                <w:szCs w:val="16"/>
              </w:rPr>
              <w:br/>
            </w:r>
            <w:r w:rsidRPr="00A17D4D">
              <w:rPr>
                <w:rFonts w:ascii="Söhne" w:eastAsia="Calibri" w:hAnsi="Söhne" w:cs="Calibri"/>
                <w:sz w:val="16"/>
                <w:szCs w:val="16"/>
              </w:rPr>
              <w:t>200 nM</w:t>
            </w:r>
          </w:p>
        </w:tc>
        <w:tc>
          <w:tcPr>
            <w:tcW w:w="2405" w:type="dxa"/>
            <w:tcBorders>
              <w:top w:val="single" w:sz="6" w:space="0" w:color="auto"/>
              <w:left w:val="single" w:sz="6" w:space="0" w:color="auto"/>
              <w:bottom w:val="single" w:sz="6" w:space="0" w:color="auto"/>
              <w:right w:val="single" w:sz="6" w:space="0" w:color="auto"/>
            </w:tcBorders>
            <w:vAlign w:val="center"/>
          </w:tcPr>
          <w:p w14:paraId="45140A93" w14:textId="77777777" w:rsidR="00A17D4D" w:rsidRPr="00A17D4D" w:rsidRDefault="00A17D4D" w:rsidP="00A17D4D">
            <w:pPr>
              <w:spacing w:before="120" w:after="120" w:line="257" w:lineRule="auto"/>
              <w:rPr>
                <w:rFonts w:ascii="Söhne" w:eastAsia="Times New Roman" w:hAnsi="Söhne" w:cs="Arial"/>
                <w:sz w:val="16"/>
                <w:szCs w:val="16"/>
              </w:rPr>
            </w:pPr>
            <w:r w:rsidRPr="00A17D4D">
              <w:rPr>
                <w:rFonts w:ascii="Söhne" w:eastAsia="Arial" w:hAnsi="Söhne" w:cs="Arial"/>
                <w:color w:val="000000"/>
                <w:sz w:val="16"/>
                <w:szCs w:val="16"/>
                <w:lang w:val="en-IE"/>
              </w:rPr>
              <w:t>50 cycles</w:t>
            </w:r>
            <w:r w:rsidRPr="00A17D4D">
              <w:rPr>
                <w:rFonts w:ascii="Söhne" w:eastAsia="Calibri" w:hAnsi="Söhne" w:cs="Calibri"/>
                <w:sz w:val="16"/>
                <w:szCs w:val="16"/>
                <w:lang w:val="en-IE"/>
              </w:rPr>
              <w:t xml:space="preserve"> of: </w:t>
            </w:r>
            <w:r w:rsidRPr="00A17D4D">
              <w:rPr>
                <w:rFonts w:ascii="Söhne" w:eastAsia="Calibri" w:hAnsi="Söhne" w:cs="Calibri"/>
                <w:sz w:val="16"/>
                <w:szCs w:val="16"/>
                <w:lang w:val="en-IE"/>
              </w:rPr>
              <w:br/>
              <w:t>95°C/15 sec and 60</w:t>
            </w:r>
            <w:r w:rsidRPr="00A17D4D">
              <w:rPr>
                <w:rFonts w:ascii="Söhne" w:eastAsia="Segoe UI" w:hAnsi="Söhne" w:cs="Segoe UI"/>
                <w:color w:val="000000"/>
                <w:sz w:val="16"/>
                <w:szCs w:val="16"/>
                <w:lang w:val="en-IE"/>
              </w:rPr>
              <w:t>°C/30 sec</w:t>
            </w:r>
            <w:r w:rsidRPr="00A17D4D">
              <w:rPr>
                <w:rFonts w:ascii="Söhne" w:eastAsia="Arial" w:hAnsi="Söhne" w:cs="Arial"/>
                <w:color w:val="000000"/>
                <w:sz w:val="16"/>
                <w:szCs w:val="16"/>
              </w:rPr>
              <w:t xml:space="preserve"> </w:t>
            </w:r>
          </w:p>
        </w:tc>
      </w:tr>
    </w:tbl>
    <w:p w14:paraId="2211F586" w14:textId="77777777" w:rsidR="00A17D4D" w:rsidRPr="00A17D4D" w:rsidRDefault="00A17D4D" w:rsidP="00A17D4D">
      <w:pPr>
        <w:spacing w:before="120" w:after="240" w:line="240" w:lineRule="auto"/>
        <w:jc w:val="center"/>
        <w:rPr>
          <w:rFonts w:ascii="Söhne" w:eastAsia="Calibri" w:hAnsi="Söhne" w:cs="Calibri"/>
          <w:sz w:val="16"/>
          <w:szCs w:val="16"/>
          <w:lang w:val="en-IE"/>
        </w:rPr>
      </w:pPr>
      <w:r w:rsidRPr="00A17D4D">
        <w:rPr>
          <w:rFonts w:ascii="Söhne" w:eastAsia="Calibri" w:hAnsi="Söhne" w:cs="Calibri"/>
          <w:sz w:val="16"/>
          <w:szCs w:val="16"/>
          <w:lang w:val="en-GB"/>
        </w:rPr>
        <w:t xml:space="preserve">*These ITS-based methods have been found to give positive results for the species </w:t>
      </w:r>
      <w:r w:rsidRPr="00A17D4D">
        <w:rPr>
          <w:rFonts w:ascii="Söhne" w:eastAsia="Calibri" w:hAnsi="Söhne" w:cs="Calibri"/>
          <w:i/>
          <w:iCs/>
          <w:sz w:val="16"/>
          <w:szCs w:val="16"/>
          <w:lang w:val="en-GB"/>
        </w:rPr>
        <w:t>Aphanomyces fennicus</w:t>
      </w:r>
      <w:r w:rsidRPr="00A17D4D">
        <w:rPr>
          <w:rFonts w:ascii="Söhne" w:eastAsia="Calibri" w:hAnsi="Söhne" w:cs="Calibri"/>
          <w:sz w:val="16"/>
          <w:szCs w:val="16"/>
          <w:lang w:val="en-GB"/>
        </w:rPr>
        <w:t xml:space="preserve"> </w:t>
      </w:r>
      <w:r w:rsidRPr="00A17D4D">
        <w:rPr>
          <w:rFonts w:ascii="Söhne" w:eastAsia="Calibri" w:hAnsi="Söhne" w:cs="Calibri"/>
          <w:sz w:val="16"/>
          <w:szCs w:val="16"/>
          <w:lang w:val="en-GB"/>
        </w:rPr>
        <w:br/>
        <w:t>(Viljamaa-Dirks &amp; Heinikainen 2019).</w:t>
      </w:r>
    </w:p>
    <w:p w14:paraId="2604EC86"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The absolute limit of detection of method 1 was reported as approximately 5 PCR forming units (= target template copies)</w:t>
      </w:r>
      <w:r w:rsidRPr="00A17D4D">
        <w:rPr>
          <w:rFonts w:ascii="Söhne" w:eastAsia="Times New Roman" w:hAnsi="Söhne" w:cs="Times New Roman"/>
          <w:bCs/>
          <w:strike/>
          <w:sz w:val="18"/>
          <w:lang w:val="en-IE"/>
        </w:rPr>
        <w:t xml:space="preserve">, which is equivalent to less than one </w:t>
      </w:r>
      <w:r w:rsidRPr="00A17D4D">
        <w:rPr>
          <w:rFonts w:ascii="Söhne" w:eastAsia="Times New Roman" w:hAnsi="Söhne" w:cs="Times New Roman"/>
          <w:bCs/>
          <w:i/>
          <w:strike/>
          <w:sz w:val="18"/>
          <w:lang w:val="en-IE"/>
        </w:rPr>
        <w:t>A. astaci</w:t>
      </w:r>
      <w:r w:rsidRPr="00A17D4D">
        <w:rPr>
          <w:rFonts w:ascii="Söhne" w:eastAsia="Times New Roman" w:hAnsi="Söhne" w:cs="Times New Roman"/>
          <w:bCs/>
          <w:strike/>
          <w:sz w:val="18"/>
          <w:lang w:val="en-IE"/>
        </w:rPr>
        <w:t xml:space="preserve"> genome</w:t>
      </w:r>
      <w:r w:rsidRPr="00A17D4D">
        <w:rPr>
          <w:rFonts w:ascii="Söhne" w:eastAsia="Times New Roman" w:hAnsi="Söhne" w:cs="Times New Roman"/>
          <w:bCs/>
          <w:sz w:val="18"/>
          <w:lang w:val="en-IE"/>
        </w:rPr>
        <w:t xml:space="preserve"> (Vralstad </w:t>
      </w:r>
      <w:r w:rsidRPr="00A17D4D">
        <w:rPr>
          <w:rFonts w:ascii="Söhne" w:eastAsia="Times New Roman" w:hAnsi="Söhne" w:cs="Times New Roman"/>
          <w:bCs/>
          <w:i/>
          <w:sz w:val="18"/>
          <w:lang w:val="en-IE"/>
        </w:rPr>
        <w:t>et al</w:t>
      </w:r>
      <w:r w:rsidRPr="00A17D4D">
        <w:rPr>
          <w:rFonts w:ascii="Söhne" w:eastAsia="Times New Roman" w:hAnsi="Söhne" w:cs="Times New Roman"/>
          <w:bCs/>
          <w:sz w:val="18"/>
          <w:lang w:val="en-IE"/>
        </w:rPr>
        <w:t>., 2009). Another study reported consistent detection down to 50 fg DNA using this assay (Tuffs &amp; Oidtmann, 2011).</w:t>
      </w:r>
    </w:p>
    <w:p w14:paraId="25F2982A" w14:textId="77777777" w:rsidR="00A17D4D" w:rsidRPr="00A17D4D" w:rsidRDefault="00A17D4D" w:rsidP="00A17D4D">
      <w:pPr>
        <w:spacing w:after="240" w:line="240" w:lineRule="auto"/>
        <w:ind w:left="851"/>
        <w:jc w:val="both"/>
        <w:rPr>
          <w:rFonts w:ascii="Söhne" w:eastAsia="Times New Roman" w:hAnsi="Söhne" w:cs="Arial"/>
          <w:bCs/>
          <w:sz w:val="18"/>
          <w:lang w:val="en-IE"/>
        </w:rPr>
      </w:pPr>
      <w:r w:rsidRPr="00A17D4D">
        <w:rPr>
          <w:rFonts w:ascii="Söhne" w:eastAsia="Times New Roman" w:hAnsi="Söhne" w:cs="Arial"/>
          <w:bCs/>
          <w:sz w:val="18"/>
          <w:lang w:val="en-IE"/>
        </w:rPr>
        <w:t>Analytical test specificity has been investigated (</w:t>
      </w:r>
      <w:r w:rsidRPr="00A17D4D">
        <w:rPr>
          <w:rFonts w:ascii="Söhne" w:eastAsia="Times New Roman" w:hAnsi="Söhne" w:cs="Times New Roman"/>
          <w:bCs/>
          <w:sz w:val="18"/>
          <w:lang w:val="en-IE"/>
        </w:rPr>
        <w:t>Tuffs &amp; Oidtmann, 2011</w:t>
      </w:r>
      <w:r w:rsidRPr="00A17D4D">
        <w:rPr>
          <w:rFonts w:ascii="Söhne" w:eastAsia="Times New Roman" w:hAnsi="Söhne" w:cs="Arial"/>
          <w:bCs/>
          <w:sz w:val="18"/>
          <w:lang w:val="en-IE"/>
        </w:rPr>
        <w:t xml:space="preserve">; </w:t>
      </w:r>
      <w:r w:rsidRPr="00A17D4D">
        <w:rPr>
          <w:rFonts w:ascii="Söhne" w:eastAsia="Times New Roman" w:hAnsi="Söhne" w:cs="Times New Roman"/>
          <w:bCs/>
          <w:sz w:val="18"/>
          <w:lang w:val="en-IE"/>
        </w:rPr>
        <w:t xml:space="preserve">Vralstad </w:t>
      </w:r>
      <w:r w:rsidRPr="00A17D4D">
        <w:rPr>
          <w:rFonts w:ascii="Söhne" w:eastAsia="Times New Roman" w:hAnsi="Söhne" w:cs="Times New Roman"/>
          <w:bCs/>
          <w:i/>
          <w:sz w:val="18"/>
          <w:lang w:val="en-IE"/>
        </w:rPr>
        <w:t>et al</w:t>
      </w:r>
      <w:r w:rsidRPr="00A17D4D">
        <w:rPr>
          <w:rFonts w:ascii="Söhne" w:eastAsia="Times New Roman" w:hAnsi="Söhne" w:cs="Times New Roman"/>
          <w:bCs/>
          <w:sz w:val="18"/>
          <w:lang w:val="en-IE"/>
        </w:rPr>
        <w:t>., 2009</w:t>
      </w:r>
      <w:r w:rsidRPr="00A17D4D">
        <w:rPr>
          <w:rFonts w:ascii="Söhne" w:eastAsia="Times New Roman" w:hAnsi="Söhne" w:cs="Arial"/>
          <w:bCs/>
          <w:sz w:val="18"/>
          <w:lang w:val="en-IE"/>
        </w:rPr>
        <w:t xml:space="preserve">) and no cross-reaction was observed in these studies. However, </w:t>
      </w:r>
      <w:bookmarkStart w:id="3" w:name="_Hlk93499910"/>
      <w:r w:rsidRPr="00A17D4D">
        <w:rPr>
          <w:rFonts w:ascii="Söhne" w:eastAsia="Times New Roman" w:hAnsi="Söhne" w:cs="Arial"/>
          <w:bCs/>
          <w:sz w:val="18"/>
          <w:lang w:val="en-IE"/>
        </w:rPr>
        <w:t xml:space="preserve">a novel species, </w:t>
      </w:r>
      <w:r w:rsidRPr="00A17D4D">
        <w:rPr>
          <w:rFonts w:ascii="Söhne" w:eastAsia="Times New Roman" w:hAnsi="Söhne" w:cs="Arial"/>
          <w:bCs/>
          <w:i/>
          <w:iCs/>
          <w:sz w:val="18"/>
          <w:lang w:val="en-IE"/>
        </w:rPr>
        <w:t>Aphanomyces fennicus</w:t>
      </w:r>
      <w:r w:rsidRPr="00A17D4D">
        <w:rPr>
          <w:rFonts w:ascii="Söhne" w:eastAsia="Times New Roman" w:hAnsi="Söhne" w:cs="Arial"/>
          <w:bCs/>
          <w:sz w:val="18"/>
          <w:lang w:val="en-IE"/>
        </w:rPr>
        <w:t xml:space="preserve">, isolated from noble crayfish was reported in 2019 (Viljamaa-Dirks &amp; Heinikainen, 2019) that gave a positive reaction in this test at the same level as </w:t>
      </w:r>
      <w:r w:rsidRPr="00A17D4D">
        <w:rPr>
          <w:rFonts w:ascii="Söhne" w:eastAsia="Times New Roman" w:hAnsi="Söhne" w:cs="Arial"/>
          <w:bCs/>
          <w:i/>
          <w:iCs/>
          <w:sz w:val="18"/>
          <w:lang w:val="en-IE"/>
        </w:rPr>
        <w:t>A. astaci</w:t>
      </w:r>
      <w:r w:rsidRPr="00A17D4D">
        <w:rPr>
          <w:rFonts w:ascii="Söhne" w:eastAsia="Times New Roman" w:hAnsi="Söhne" w:cs="Arial"/>
          <w:bCs/>
          <w:sz w:val="18"/>
          <w:lang w:val="en-IE"/>
        </w:rPr>
        <w:t>.</w:t>
      </w:r>
      <w:bookmarkEnd w:id="3"/>
      <w:r w:rsidRPr="00A17D4D">
        <w:rPr>
          <w:rFonts w:ascii="Söhne" w:eastAsia="Times New Roman" w:hAnsi="Söhne" w:cs="Arial"/>
          <w:bCs/>
          <w:sz w:val="18"/>
          <w:lang w:val="en-IE"/>
        </w:rPr>
        <w:t xml:space="preserve"> Due to this problem in specificity, the assay has been modified according to the alternative method 2 (Strand </w:t>
      </w:r>
      <w:r w:rsidRPr="00A17D4D">
        <w:rPr>
          <w:rFonts w:ascii="Söhne" w:eastAsia="Times New Roman" w:hAnsi="Söhne" w:cs="Arial"/>
          <w:bCs/>
          <w:i/>
          <w:iCs/>
          <w:sz w:val="18"/>
          <w:lang w:val="en-IE"/>
        </w:rPr>
        <w:t>et al</w:t>
      </w:r>
      <w:r w:rsidRPr="00A17D4D">
        <w:rPr>
          <w:rFonts w:ascii="Söhne" w:eastAsia="Times New Roman" w:hAnsi="Söhne" w:cs="Arial"/>
          <w:bCs/>
          <w:sz w:val="18"/>
          <w:lang w:val="en-IE"/>
        </w:rPr>
        <w:t>., manuscript in preparation):</w:t>
      </w:r>
    </w:p>
    <w:p w14:paraId="66C441AC"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Arial"/>
          <w:bCs/>
          <w:sz w:val="18"/>
          <w:lang w:val="en-IE"/>
        </w:rPr>
        <w:t xml:space="preserve">Owing to the repeated discovery of new </w:t>
      </w:r>
      <w:r w:rsidRPr="00A17D4D">
        <w:rPr>
          <w:rFonts w:ascii="Söhne" w:eastAsia="Times New Roman" w:hAnsi="Söhne" w:cs="Arial"/>
          <w:bCs/>
          <w:i/>
          <w:sz w:val="18"/>
          <w:lang w:val="en-IE"/>
        </w:rPr>
        <w:t>Aphanomyces</w:t>
      </w:r>
      <w:r w:rsidRPr="00A17D4D">
        <w:rPr>
          <w:rFonts w:ascii="Söhne" w:eastAsia="Times New Roman" w:hAnsi="Söhne" w:cs="Arial"/>
          <w:bCs/>
          <w:sz w:val="18"/>
          <w:lang w:val="en-IE"/>
        </w:rPr>
        <w:t xml:space="preserve"> strains, sequencing is required to determine the species of </w:t>
      </w:r>
      <w:r w:rsidRPr="00A17D4D">
        <w:rPr>
          <w:rFonts w:ascii="Söhne" w:eastAsia="Times New Roman" w:hAnsi="Söhne" w:cs="Arial"/>
          <w:bCs/>
          <w:i/>
          <w:iCs/>
          <w:sz w:val="18"/>
          <w:lang w:val="en-IE"/>
        </w:rPr>
        <w:t>Aphanomyces</w:t>
      </w:r>
      <w:r w:rsidRPr="00A17D4D">
        <w:rPr>
          <w:rFonts w:ascii="Söhne" w:eastAsia="Times New Roman" w:hAnsi="Söhne" w:cs="Arial"/>
          <w:bCs/>
          <w:sz w:val="18"/>
          <w:lang w:val="en-IE"/>
        </w:rPr>
        <w:t xml:space="preserve">. In the case of the real-time PCR assay, this requires separate amplification of a PCR product using primers ITS-1 and ITS-4 (see Section </w:t>
      </w:r>
      <w:r w:rsidRPr="00A17D4D">
        <w:rPr>
          <w:rFonts w:ascii="Söhne" w:eastAsia="Times New Roman" w:hAnsi="Söhne" w:cs="Times New Roman"/>
          <w:bCs/>
          <w:sz w:val="18"/>
          <w:lang w:val="en-IE"/>
        </w:rPr>
        <w:t xml:space="preserve">4.5 </w:t>
      </w:r>
      <w:r w:rsidRPr="00A17D4D">
        <w:rPr>
          <w:rFonts w:ascii="Söhne" w:eastAsia="Times New Roman" w:hAnsi="Söhne" w:cs="Times New Roman"/>
          <w:bCs/>
          <w:i/>
          <w:iCs/>
          <w:sz w:val="18"/>
          <w:lang w:val="en-IE"/>
        </w:rPr>
        <w:t>Amplicon sequencing</w:t>
      </w:r>
      <w:r w:rsidRPr="00A17D4D">
        <w:rPr>
          <w:rFonts w:ascii="Söhne" w:eastAsia="Times New Roman" w:hAnsi="Söhne" w:cs="Arial"/>
          <w:bCs/>
          <w:sz w:val="18"/>
          <w:lang w:val="en-IE"/>
        </w:rPr>
        <w:t>).</w:t>
      </w:r>
    </w:p>
    <w:p w14:paraId="12184917"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4.4.2.</w:t>
      </w:r>
      <w:r w:rsidRPr="00A17D4D">
        <w:rPr>
          <w:rFonts w:ascii="Söhne Kräftig" w:eastAsia="Times New Roman" w:hAnsi="Söhne Kräftig" w:cs="Times New Roman"/>
          <w:bCs/>
          <w:sz w:val="20"/>
          <w:lang w:val="en-GB" w:eastAsia="fr-FR"/>
        </w:rPr>
        <w:tab/>
        <w:t>Conventional PCR</w:t>
      </w:r>
    </w:p>
    <w:tbl>
      <w:tblPr>
        <w:tblStyle w:val="TableGrid241"/>
        <w:tblW w:w="9060" w:type="dxa"/>
        <w:tblInd w:w="559" w:type="dxa"/>
        <w:tblLayout w:type="fixed"/>
        <w:tblLook w:val="0000" w:firstRow="0" w:lastRow="0" w:firstColumn="0" w:lastColumn="0" w:noHBand="0" w:noVBand="0"/>
      </w:tblPr>
      <w:tblGrid>
        <w:gridCol w:w="1270"/>
        <w:gridCol w:w="3967"/>
        <w:gridCol w:w="1418"/>
        <w:gridCol w:w="2405"/>
      </w:tblGrid>
      <w:tr w:rsidR="00A17D4D" w:rsidRPr="00A17D4D" w14:paraId="12F99708" w14:textId="77777777">
        <w:trPr>
          <w:trHeight w:val="225"/>
        </w:trPr>
        <w:tc>
          <w:tcPr>
            <w:tcW w:w="12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8B8B685"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 xml:space="preserve">Pathogen/ </w:t>
            </w:r>
            <w:r w:rsidRPr="00A17D4D">
              <w:rPr>
                <w:rFonts w:ascii="Söhne Kräftig" w:eastAsia="Times New Roman" w:hAnsi="Söhne Kräftig" w:cs="Arial"/>
                <w:sz w:val="18"/>
                <w:szCs w:val="18"/>
              </w:rPr>
              <w:br/>
            </w:r>
            <w:r w:rsidRPr="00A17D4D">
              <w:rPr>
                <w:rFonts w:ascii="Söhne Kräftig" w:eastAsia="Calibri" w:hAnsi="Söhne Kräftig" w:cs="Calibri"/>
                <w:sz w:val="18"/>
                <w:szCs w:val="18"/>
              </w:rPr>
              <w:t>target gene</w:t>
            </w:r>
          </w:p>
        </w:tc>
        <w:tc>
          <w:tcPr>
            <w:tcW w:w="396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3EEAE0"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Primer</w:t>
            </w:r>
            <w:r w:rsidRPr="00A17D4D">
              <w:rPr>
                <w:rFonts w:ascii="Söhne Kräftig" w:eastAsia="Calibri" w:hAnsi="Söhne Kräftig" w:cs="Calibri"/>
                <w:strike/>
                <w:sz w:val="18"/>
                <w:szCs w:val="18"/>
              </w:rPr>
              <w:t>/probe</w:t>
            </w:r>
            <w:r w:rsidRPr="00A17D4D">
              <w:rPr>
                <w:rFonts w:ascii="Söhne Kräftig" w:eastAsia="Calibri" w:hAnsi="Söhne Kräftig" w:cs="Calibri"/>
                <w:sz w:val="18"/>
                <w:szCs w:val="18"/>
              </w:rPr>
              <w:t xml:space="preserve"> (5’–3’)</w:t>
            </w:r>
          </w:p>
        </w:tc>
        <w:tc>
          <w:tcPr>
            <w:tcW w:w="141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C5760F"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Concentration</w:t>
            </w:r>
          </w:p>
        </w:tc>
        <w:tc>
          <w:tcPr>
            <w:tcW w:w="240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34ED977" w14:textId="77777777" w:rsidR="00A17D4D" w:rsidRPr="00A17D4D" w:rsidRDefault="00A17D4D" w:rsidP="00A17D4D">
            <w:pPr>
              <w:spacing w:before="120" w:after="120"/>
              <w:jc w:val="center"/>
              <w:rPr>
                <w:rFonts w:ascii="Söhne Kräftig" w:eastAsia="Calibri" w:hAnsi="Söhne Kräftig" w:cs="Calibri"/>
                <w:sz w:val="18"/>
                <w:szCs w:val="18"/>
              </w:rPr>
            </w:pPr>
            <w:r w:rsidRPr="00A17D4D">
              <w:rPr>
                <w:rFonts w:ascii="Söhne Kräftig" w:eastAsia="Calibri" w:hAnsi="Söhne Kräftig" w:cs="Calibri"/>
                <w:sz w:val="18"/>
                <w:szCs w:val="18"/>
              </w:rPr>
              <w:t>Cycling conditions</w:t>
            </w:r>
          </w:p>
        </w:tc>
      </w:tr>
      <w:tr w:rsidR="00A17D4D" w:rsidRPr="00A17D4D" w14:paraId="51432F58" w14:textId="77777777">
        <w:trPr>
          <w:trHeight w:val="480"/>
        </w:trPr>
        <w:tc>
          <w:tcPr>
            <w:tcW w:w="9060" w:type="dxa"/>
            <w:gridSpan w:val="4"/>
            <w:tcBorders>
              <w:top w:val="single" w:sz="6" w:space="0" w:color="auto"/>
              <w:left w:val="single" w:sz="6" w:space="0" w:color="000000" w:themeColor="text1"/>
              <w:bottom w:val="single" w:sz="6" w:space="0" w:color="000000" w:themeColor="text1"/>
              <w:right w:val="single" w:sz="6" w:space="0" w:color="000000" w:themeColor="text1"/>
            </w:tcBorders>
            <w:vAlign w:val="center"/>
          </w:tcPr>
          <w:p w14:paraId="0C23B77F" w14:textId="77777777" w:rsidR="00A17D4D" w:rsidRPr="00A17D4D" w:rsidRDefault="00A17D4D" w:rsidP="00A17D4D">
            <w:pPr>
              <w:spacing w:before="120" w:after="120"/>
              <w:jc w:val="center"/>
              <w:rPr>
                <w:rFonts w:ascii="Söhne" w:eastAsia="Calibri" w:hAnsi="Söhne" w:cs="Calibri"/>
                <w:b/>
                <w:bCs/>
                <w:sz w:val="16"/>
                <w:szCs w:val="16"/>
              </w:rPr>
            </w:pPr>
            <w:r w:rsidRPr="00A17D4D">
              <w:rPr>
                <w:rFonts w:ascii="Söhne" w:eastAsia="Calibri" w:hAnsi="Söhne" w:cs="Calibri"/>
                <w:sz w:val="16"/>
                <w:szCs w:val="16"/>
              </w:rPr>
              <w:t xml:space="preserve">Method 1*: Oidtmann </w:t>
            </w:r>
            <w:r w:rsidRPr="00A17D4D">
              <w:rPr>
                <w:rFonts w:ascii="Söhne" w:eastAsia="Calibri" w:hAnsi="Söhne" w:cs="Calibri"/>
                <w:i/>
                <w:iCs/>
                <w:sz w:val="16"/>
                <w:szCs w:val="16"/>
              </w:rPr>
              <w:t>et al.,</w:t>
            </w:r>
            <w:r w:rsidRPr="00A17D4D">
              <w:rPr>
                <w:rFonts w:ascii="Söhne" w:eastAsia="Calibri" w:hAnsi="Söhne" w:cs="Calibri"/>
                <w:sz w:val="16"/>
                <w:szCs w:val="16"/>
              </w:rPr>
              <w:t xml:space="preserve"> 2006</w:t>
            </w:r>
            <w:r w:rsidRPr="00A17D4D">
              <w:rPr>
                <w:rFonts w:ascii="Söhne" w:eastAsia="Calibri" w:hAnsi="Söhne" w:cs="Arial"/>
                <w:sz w:val="16"/>
                <w:szCs w:val="16"/>
                <w:lang w:val="en-IE"/>
              </w:rPr>
              <w:t>; GenBank Accession No.</w:t>
            </w:r>
            <w:r w:rsidRPr="00A17D4D">
              <w:rPr>
                <w:rFonts w:ascii="Söhne" w:eastAsia="Calibri" w:hAnsi="Söhne" w:cs="Arial"/>
                <w:sz w:val="16"/>
                <w:szCs w:val="16"/>
                <w:u w:val="double"/>
                <w:lang w:val="en-IE"/>
              </w:rPr>
              <w:t xml:space="preserve">: </w:t>
            </w:r>
            <w:r w:rsidRPr="00A17D4D">
              <w:rPr>
                <w:rFonts w:ascii="Söhne" w:eastAsia="Calibri" w:hAnsi="Söhne" w:cs="Arial"/>
                <w:sz w:val="16"/>
                <w:szCs w:val="16"/>
                <w:lang w:val="en-IE"/>
              </w:rPr>
              <w:t xml:space="preserve">AY310499; </w:t>
            </w:r>
            <w:r w:rsidRPr="00A17D4D">
              <w:rPr>
                <w:rFonts w:ascii="Söhne" w:eastAsia="Calibri" w:hAnsi="Söhne" w:cs="Arial"/>
                <w:strike/>
                <w:sz w:val="16"/>
                <w:szCs w:val="16"/>
                <w:lang w:val="en-IE"/>
              </w:rPr>
              <w:t xml:space="preserve">Product </w:t>
            </w:r>
            <w:r w:rsidRPr="00A17D4D">
              <w:rPr>
                <w:rFonts w:ascii="Söhne" w:eastAsia="Calibri" w:hAnsi="Söhne" w:cs="Arial"/>
                <w:sz w:val="16"/>
                <w:szCs w:val="16"/>
                <w:u w:val="double"/>
                <w:lang w:val="en-IE"/>
              </w:rPr>
              <w:t>amplicon</w:t>
            </w:r>
            <w:r w:rsidRPr="00A17D4D">
              <w:rPr>
                <w:rFonts w:ascii="Söhne" w:eastAsia="Calibri" w:hAnsi="Söhne" w:cs="Arial"/>
                <w:sz w:val="16"/>
                <w:szCs w:val="16"/>
                <w:lang w:val="en-IE"/>
              </w:rPr>
              <w:t xml:space="preserve"> size: 569 bp</w:t>
            </w:r>
          </w:p>
        </w:tc>
      </w:tr>
      <w:tr w:rsidR="00A17D4D" w:rsidRPr="00A17D4D" w14:paraId="01A7766F" w14:textId="77777777">
        <w:trPr>
          <w:trHeight w:val="480"/>
        </w:trPr>
        <w:tc>
          <w:tcPr>
            <w:tcW w:w="1270" w:type="dxa"/>
            <w:tcBorders>
              <w:top w:val="single" w:sz="6" w:space="0" w:color="auto"/>
              <w:left w:val="single" w:sz="6" w:space="0" w:color="auto"/>
              <w:bottom w:val="single" w:sz="6" w:space="0" w:color="auto"/>
              <w:right w:val="single" w:sz="6" w:space="0" w:color="auto"/>
            </w:tcBorders>
            <w:vAlign w:val="center"/>
          </w:tcPr>
          <w:p w14:paraId="197C2341" w14:textId="77777777" w:rsidR="00A17D4D" w:rsidRPr="00A17D4D" w:rsidRDefault="00A17D4D" w:rsidP="00A17D4D">
            <w:pPr>
              <w:spacing w:before="120" w:after="120"/>
              <w:jc w:val="center"/>
              <w:rPr>
                <w:rFonts w:ascii="Söhne" w:eastAsia="Calibri" w:hAnsi="Söhne" w:cs="Calibri"/>
                <w:sz w:val="16"/>
                <w:szCs w:val="16"/>
                <w:vertAlign w:val="superscript"/>
                <w:lang w:val="es-ES"/>
              </w:rPr>
            </w:pPr>
            <w:r w:rsidRPr="00A17D4D">
              <w:rPr>
                <w:rFonts w:ascii="Söhne" w:eastAsia="Calibri" w:hAnsi="Söhne" w:cs="Calibri"/>
                <w:i/>
                <w:iCs/>
                <w:sz w:val="16"/>
                <w:szCs w:val="16"/>
                <w:lang w:val="es-ES"/>
              </w:rPr>
              <w:t xml:space="preserve">Aphanomyces </w:t>
            </w:r>
            <w:r w:rsidRPr="00A17D4D">
              <w:rPr>
                <w:rFonts w:ascii="Söhne" w:eastAsia="Calibri" w:hAnsi="Söhne" w:cs="Calibri"/>
                <w:i/>
                <w:iCs/>
                <w:strike/>
                <w:sz w:val="16"/>
                <w:szCs w:val="16"/>
                <w:lang w:val="es-ES"/>
              </w:rPr>
              <w:t xml:space="preserve">astacus </w:t>
            </w:r>
            <w:r w:rsidRPr="00A17D4D">
              <w:rPr>
                <w:rFonts w:ascii="Söhne" w:eastAsia="Calibri" w:hAnsi="Söhne" w:cs="Calibri"/>
                <w:i/>
                <w:iCs/>
                <w:sz w:val="16"/>
                <w:szCs w:val="16"/>
                <w:u w:val="double"/>
                <w:lang w:val="es-ES"/>
              </w:rPr>
              <w:t xml:space="preserve">astaci </w:t>
            </w:r>
            <w:r w:rsidRPr="00A17D4D">
              <w:rPr>
                <w:rFonts w:ascii="Söhne" w:eastAsia="Calibri" w:hAnsi="Söhne" w:cs="Calibri"/>
                <w:sz w:val="16"/>
                <w:szCs w:val="16"/>
                <w:lang w:val="es-ES"/>
              </w:rPr>
              <w:t>&amp;</w:t>
            </w:r>
            <w:r w:rsidRPr="00A17D4D">
              <w:rPr>
                <w:rFonts w:ascii="Söhne" w:eastAsia="Calibri" w:hAnsi="Söhne" w:cs="Calibri"/>
                <w:i/>
                <w:iCs/>
                <w:sz w:val="16"/>
                <w:szCs w:val="16"/>
                <w:lang w:val="es-ES"/>
              </w:rPr>
              <w:t xml:space="preserve"> A. fennicus</w:t>
            </w:r>
            <w:r w:rsidRPr="00A17D4D">
              <w:rPr>
                <w:rFonts w:ascii="Söhne" w:eastAsia="Calibri" w:hAnsi="Söhne" w:cs="Calibri"/>
                <w:i/>
                <w:iCs/>
                <w:sz w:val="16"/>
                <w:szCs w:val="16"/>
                <w:u w:val="double"/>
                <w:lang w:val="es-ES"/>
              </w:rPr>
              <w:t>/</w:t>
            </w:r>
            <w:r w:rsidRPr="00A17D4D">
              <w:rPr>
                <w:lang w:val="es-ES"/>
              </w:rPr>
              <w:br/>
            </w:r>
            <w:r w:rsidRPr="00A17D4D">
              <w:rPr>
                <w:rFonts w:ascii="Söhne" w:eastAsia="Calibri" w:hAnsi="Söhne" w:cs="Calibri"/>
                <w:sz w:val="16"/>
                <w:szCs w:val="16"/>
                <w:lang w:val="es-ES"/>
              </w:rPr>
              <w:t>ITS</w:t>
            </w:r>
          </w:p>
        </w:tc>
        <w:tc>
          <w:tcPr>
            <w:tcW w:w="3967" w:type="dxa"/>
            <w:tcBorders>
              <w:top w:val="single" w:sz="6" w:space="0" w:color="auto"/>
              <w:left w:val="single" w:sz="6" w:space="0" w:color="auto"/>
              <w:bottom w:val="single" w:sz="6" w:space="0" w:color="auto"/>
              <w:right w:val="single" w:sz="6" w:space="0" w:color="auto"/>
            </w:tcBorders>
            <w:vAlign w:val="center"/>
          </w:tcPr>
          <w:p w14:paraId="4A6137C0" w14:textId="77777777" w:rsidR="00A17D4D" w:rsidRPr="00A17D4D" w:rsidRDefault="00A17D4D" w:rsidP="00A17D4D">
            <w:pPr>
              <w:spacing w:before="120" w:after="120"/>
              <w:jc w:val="center"/>
              <w:rPr>
                <w:rFonts w:ascii="Söhne" w:eastAsia="Calibri" w:hAnsi="Söhne" w:cs="Calibri"/>
                <w:sz w:val="16"/>
                <w:szCs w:val="16"/>
                <w:lang w:val="es-ES"/>
              </w:rPr>
            </w:pPr>
            <w:r w:rsidRPr="00A17D4D">
              <w:rPr>
                <w:rFonts w:ascii="Söhne" w:eastAsia="Calibri" w:hAnsi="Söhne" w:cs="Calibri"/>
                <w:sz w:val="16"/>
                <w:szCs w:val="16"/>
                <w:lang w:val="es-ES"/>
              </w:rPr>
              <w:t>Fwd: GCT-TGT-GCT-GAG-GAT-GTT-CT</w:t>
            </w:r>
            <w:r w:rsidRPr="00A17D4D">
              <w:rPr>
                <w:rFonts w:ascii="Söhne" w:eastAsia="Calibri" w:hAnsi="Söhne" w:cs="Calibri"/>
                <w:b/>
                <w:bCs/>
                <w:sz w:val="16"/>
                <w:szCs w:val="16"/>
                <w:lang w:val="es-ES"/>
              </w:rPr>
              <w:br/>
            </w:r>
            <w:r w:rsidRPr="00A17D4D">
              <w:rPr>
                <w:rFonts w:ascii="Söhne" w:eastAsia="Calibri" w:hAnsi="Söhne" w:cs="Calibri"/>
                <w:sz w:val="16"/>
                <w:szCs w:val="16"/>
                <w:lang w:val="es-ES"/>
              </w:rPr>
              <w:t>Rev: CTA-TCC-GAC-TCC-GCA-TTC-TG-</w:t>
            </w:r>
          </w:p>
        </w:tc>
        <w:tc>
          <w:tcPr>
            <w:tcW w:w="1418" w:type="dxa"/>
            <w:tcBorders>
              <w:top w:val="single" w:sz="6" w:space="0" w:color="auto"/>
              <w:left w:val="single" w:sz="6" w:space="0" w:color="auto"/>
              <w:bottom w:val="single" w:sz="6" w:space="0" w:color="auto"/>
              <w:right w:val="single" w:sz="6" w:space="0" w:color="auto"/>
            </w:tcBorders>
            <w:vAlign w:val="center"/>
          </w:tcPr>
          <w:p w14:paraId="0EA49100" w14:textId="77777777" w:rsidR="00A17D4D" w:rsidRPr="00A17D4D" w:rsidRDefault="00A17D4D" w:rsidP="00A17D4D">
            <w:pPr>
              <w:spacing w:before="120" w:after="120"/>
              <w:jc w:val="center"/>
              <w:rPr>
                <w:rFonts w:ascii="Söhne" w:eastAsia="Calibri" w:hAnsi="Söhne" w:cs="Calibri"/>
                <w:sz w:val="16"/>
                <w:szCs w:val="16"/>
              </w:rPr>
            </w:pPr>
            <w:r w:rsidRPr="00A17D4D">
              <w:rPr>
                <w:rFonts w:ascii="Söhne" w:eastAsia="Calibri" w:hAnsi="Söhne" w:cs="Calibri"/>
                <w:sz w:val="16"/>
                <w:szCs w:val="16"/>
              </w:rPr>
              <w:t>500 nM</w:t>
            </w:r>
            <w:r w:rsidRPr="00A17D4D">
              <w:rPr>
                <w:rFonts w:ascii="Söhne" w:eastAsia="Calibri" w:hAnsi="Söhne" w:cs="Calibri"/>
                <w:sz w:val="16"/>
                <w:szCs w:val="16"/>
              </w:rPr>
              <w:br/>
            </w:r>
            <w:r w:rsidRPr="00A17D4D">
              <w:rPr>
                <w:rFonts w:ascii="Söhne" w:eastAsia="Calibri" w:hAnsi="Söhne" w:cs="Calibri"/>
                <w:sz w:val="16"/>
                <w:szCs w:val="16"/>
                <w:u w:val="double"/>
              </w:rPr>
              <w:t>500 n</w:t>
            </w:r>
          </w:p>
        </w:tc>
        <w:tc>
          <w:tcPr>
            <w:tcW w:w="2405" w:type="dxa"/>
            <w:tcBorders>
              <w:top w:val="single" w:sz="6" w:space="0" w:color="auto"/>
              <w:left w:val="single" w:sz="6" w:space="0" w:color="auto"/>
              <w:bottom w:val="single" w:sz="6" w:space="0" w:color="auto"/>
              <w:right w:val="single" w:sz="6" w:space="0" w:color="auto"/>
            </w:tcBorders>
            <w:vAlign w:val="center"/>
          </w:tcPr>
          <w:p w14:paraId="5A5B7514" w14:textId="77777777" w:rsidR="00A17D4D" w:rsidRPr="00A17D4D" w:rsidRDefault="00A17D4D" w:rsidP="00A17D4D">
            <w:pPr>
              <w:spacing w:before="120" w:after="120"/>
              <w:jc w:val="center"/>
              <w:rPr>
                <w:rFonts w:ascii="Söhne" w:eastAsia="Calibri" w:hAnsi="Söhne" w:cs="Calibri"/>
                <w:b/>
                <w:bCs/>
                <w:sz w:val="16"/>
                <w:szCs w:val="16"/>
              </w:rPr>
            </w:pPr>
            <w:r w:rsidRPr="00A17D4D">
              <w:rPr>
                <w:rFonts w:ascii="Söhne" w:eastAsia="Times New Roman" w:hAnsi="Söhne" w:cs="Arial"/>
                <w:sz w:val="16"/>
                <w:szCs w:val="16"/>
              </w:rPr>
              <w:t>40 cycles of: 1 min/96°C, 1 min/59°C and 1 min/72°C</w:t>
            </w:r>
          </w:p>
        </w:tc>
      </w:tr>
    </w:tbl>
    <w:p w14:paraId="10771E99" w14:textId="77777777" w:rsidR="00A17D4D" w:rsidRPr="00A17D4D" w:rsidRDefault="00A17D4D" w:rsidP="00A17D4D">
      <w:pPr>
        <w:spacing w:before="120" w:after="240" w:line="240" w:lineRule="auto"/>
        <w:jc w:val="center"/>
        <w:rPr>
          <w:rFonts w:ascii="Söhne" w:eastAsia="Calibri" w:hAnsi="Söhne" w:cs="Calibri"/>
          <w:sz w:val="16"/>
          <w:szCs w:val="16"/>
          <w:lang w:val="en-IE"/>
        </w:rPr>
      </w:pPr>
      <w:r w:rsidRPr="00A17D4D">
        <w:rPr>
          <w:rFonts w:ascii="Söhne" w:eastAsia="Calibri" w:hAnsi="Söhne" w:cs="Calibri"/>
          <w:sz w:val="16"/>
          <w:szCs w:val="16"/>
          <w:lang w:val="en-GB"/>
        </w:rPr>
        <w:t xml:space="preserve">*This ITS-based method has been found to give positive results for the species </w:t>
      </w:r>
      <w:r w:rsidRPr="00A17D4D">
        <w:rPr>
          <w:rFonts w:ascii="Söhne" w:eastAsia="Calibri" w:hAnsi="Söhne" w:cs="Calibri"/>
          <w:i/>
          <w:iCs/>
          <w:sz w:val="16"/>
          <w:szCs w:val="16"/>
          <w:lang w:val="en-GB"/>
        </w:rPr>
        <w:t>Aphanomyces fennicus</w:t>
      </w:r>
      <w:r w:rsidRPr="00A17D4D">
        <w:rPr>
          <w:rFonts w:ascii="Söhne" w:eastAsia="Calibri" w:hAnsi="Söhne" w:cs="Calibri"/>
          <w:sz w:val="16"/>
          <w:szCs w:val="16"/>
          <w:lang w:val="en-GB"/>
        </w:rPr>
        <w:t xml:space="preserve"> </w:t>
      </w:r>
      <w:r w:rsidRPr="00A17D4D">
        <w:rPr>
          <w:rFonts w:ascii="Söhne" w:eastAsia="Calibri" w:hAnsi="Söhne" w:cs="Calibri"/>
          <w:sz w:val="16"/>
          <w:szCs w:val="16"/>
          <w:lang w:val="en-GB"/>
        </w:rPr>
        <w:br/>
        <w:t>(Viljamaa-Dirks &amp; Heinikainen 2019).</w:t>
      </w:r>
    </w:p>
    <w:p w14:paraId="44DD95BF"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Confirmation of the identity of the PCR product by sequencing is required as a novel species, </w:t>
      </w:r>
      <w:r w:rsidRPr="00A17D4D">
        <w:rPr>
          <w:rFonts w:ascii="Söhne" w:eastAsia="Times New Roman" w:hAnsi="Söhne" w:cs="Times New Roman"/>
          <w:bCs/>
          <w:i/>
          <w:iCs/>
          <w:sz w:val="18"/>
          <w:lang w:val="en-IE"/>
        </w:rPr>
        <w:t>A. fennicus</w:t>
      </w:r>
      <w:r w:rsidRPr="00A17D4D">
        <w:rPr>
          <w:rFonts w:ascii="Söhne" w:eastAsia="Times New Roman" w:hAnsi="Söhne" w:cs="Times New Roman"/>
          <w:bCs/>
          <w:sz w:val="18"/>
          <w:lang w:val="en-IE"/>
        </w:rPr>
        <w:t xml:space="preserve">, isolated from noble crayfish was reported in 2019 (Viljamaa-Dirks &amp; Heinikainen, 2019) that gave a positive reaction in this assay. </w:t>
      </w:r>
    </w:p>
    <w:p w14:paraId="03C68E47"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The assay consistently detects down to 500 fg of genomic target DNA or the equivalent amount of ten zoospores submitted to the PCR reaction (Tuffs &amp; Oidtmann, 2011).</w:t>
      </w:r>
    </w:p>
    <w:p w14:paraId="734CF954"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4.4.3.</w:t>
      </w:r>
      <w:r w:rsidRPr="00A17D4D">
        <w:rPr>
          <w:rFonts w:ascii="Söhne Kräftig" w:eastAsia="Times New Roman" w:hAnsi="Söhne Kräftig" w:cs="Times New Roman"/>
          <w:bCs/>
          <w:sz w:val="20"/>
          <w:lang w:val="en-GB" w:eastAsia="fr-FR"/>
        </w:rPr>
        <w:tab/>
        <w:t>Other nucleic acid amplification methods</w:t>
      </w:r>
    </w:p>
    <w:p w14:paraId="6B060CEA" w14:textId="77777777" w:rsidR="00A17D4D" w:rsidRPr="00A17D4D" w:rsidRDefault="00A17D4D" w:rsidP="00A17D4D">
      <w:pPr>
        <w:spacing w:after="240" w:line="240" w:lineRule="auto"/>
        <w:ind w:left="851"/>
        <w:jc w:val="both"/>
        <w:rPr>
          <w:rFonts w:ascii="Söhne" w:eastAsia="Times New Roman" w:hAnsi="Söhne" w:cs="Times New Roman"/>
          <w:b/>
          <w:bCs/>
          <w:sz w:val="18"/>
          <w:lang w:val="en-IE"/>
        </w:rPr>
      </w:pPr>
      <w:r w:rsidRPr="00A17D4D">
        <w:rPr>
          <w:rFonts w:ascii="Söhne" w:eastAsia="Times New Roman" w:hAnsi="Söhne" w:cs="Times New Roman"/>
          <w:bCs/>
          <w:sz w:val="18"/>
          <w:lang w:val="en-IE"/>
        </w:rPr>
        <w:lastRenderedPageBreak/>
        <w:t xml:space="preserve">Several genotype-specific molecular methods have been developed that, instead of requiring a pure growth as sample material like the RAPD-PCR assay, can be used to analyse crayfish tissue directly (Di Domenico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2021; Grandjean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2014; Makkonen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2018; Minardi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2018; 2019). Detection of a known genotype group combined with a positive result by a recommended conventional or real-time PCR can be used as a confirmative test in geographical areas where crayfish plague is known to be present. However, the current knowledge of the genotype variation is mostly limited to a few original host species and new genotypes or subtypes are expected to be found. Thus, the suitability of these methods is limited for initial excluding diagnosis or as confirmative tests in geographical areas not known to be infected.</w:t>
      </w:r>
    </w:p>
    <w:p w14:paraId="622A6185" w14:textId="77777777" w:rsidR="00A17D4D" w:rsidRPr="00A17D4D" w:rsidRDefault="00A17D4D" w:rsidP="00A17D4D">
      <w:pPr>
        <w:spacing w:after="24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PCR targeting mitochondrial DNA with </w:t>
      </w:r>
      <w:r w:rsidRPr="00A17D4D">
        <w:rPr>
          <w:rFonts w:ascii="Söhne" w:eastAsia="Times New Roman" w:hAnsi="Söhne" w:cs="Times New Roman"/>
          <w:bCs/>
          <w:i/>
          <w:iCs/>
          <w:sz w:val="18"/>
          <w:lang w:val="en-IE"/>
        </w:rPr>
        <w:t>A. astaci</w:t>
      </w:r>
      <w:r w:rsidRPr="00A17D4D">
        <w:rPr>
          <w:rFonts w:ascii="Söhne" w:eastAsia="Times New Roman" w:hAnsi="Söhne" w:cs="Times New Roman"/>
          <w:bCs/>
          <w:sz w:val="18"/>
          <w:lang w:val="en-IE"/>
        </w:rPr>
        <w:t xml:space="preserve"> genotype specific primers have been shown to detect the known genotypes of </w:t>
      </w:r>
      <w:r w:rsidRPr="00A17D4D">
        <w:rPr>
          <w:rFonts w:ascii="Söhne" w:eastAsia="Times New Roman" w:hAnsi="Söhne" w:cs="Times New Roman"/>
          <w:bCs/>
          <w:i/>
          <w:sz w:val="18"/>
          <w:lang w:val="en-IE"/>
        </w:rPr>
        <w:t>A. astaci</w:t>
      </w:r>
      <w:r w:rsidRPr="00A17D4D">
        <w:rPr>
          <w:rFonts w:ascii="Söhne" w:eastAsia="Times New Roman" w:hAnsi="Söhne" w:cs="Times New Roman"/>
          <w:bCs/>
          <w:sz w:val="18"/>
          <w:lang w:val="en-IE"/>
        </w:rPr>
        <w:t xml:space="preserve">, but these assays may also provide positive results for some other oomycete genera (Casabella-Herrero </w:t>
      </w:r>
      <w:r w:rsidRPr="00A17D4D">
        <w:rPr>
          <w:rFonts w:ascii="Söhne" w:eastAsia="Times New Roman" w:hAnsi="Söhne" w:cs="Times New Roman"/>
          <w:bCs/>
          <w:i/>
          <w:iCs/>
          <w:sz w:val="18"/>
          <w:lang w:val="en-IE"/>
        </w:rPr>
        <w:t>et al.,</w:t>
      </w:r>
      <w:r w:rsidRPr="00A17D4D">
        <w:rPr>
          <w:rFonts w:ascii="Söhne" w:eastAsia="Times New Roman" w:hAnsi="Söhne" w:cs="Times New Roman"/>
          <w:bCs/>
          <w:sz w:val="18"/>
          <w:lang w:val="en-IE"/>
        </w:rPr>
        <w:t xml:space="preserve"> 2021). </w:t>
      </w:r>
    </w:p>
    <w:p w14:paraId="0EEC168B"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4.5.</w:t>
      </w:r>
      <w:r w:rsidRPr="00A17D4D">
        <w:rPr>
          <w:rFonts w:ascii="Söhne Kräftig" w:eastAsia="MS Mincho" w:hAnsi="Söhne Kräftig" w:cs="Times New Roman"/>
          <w:sz w:val="21"/>
          <w:szCs w:val="20"/>
          <w:lang w:val="da-DK" w:eastAsia="da-DK"/>
        </w:rPr>
        <w:tab/>
        <w:t>Amplicon sequencing</w:t>
      </w:r>
    </w:p>
    <w:p w14:paraId="12298334"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trike/>
          <w:sz w:val="18"/>
          <w:lang w:val="en-IE"/>
        </w:rPr>
        <w:t>, and purified by excision from this gel</w:t>
      </w:r>
      <w:r w:rsidRPr="00A17D4D">
        <w:rPr>
          <w:rFonts w:ascii="Söhne" w:eastAsia="Times New Roman" w:hAnsi="Söhne" w:cs="Times New Roman"/>
          <w:sz w:val="18"/>
          <w:u w:val="double"/>
          <w:lang w:val="en-IE"/>
        </w:rPr>
        <w:t xml:space="preserve">. Both DNA strands of the PCR product must be sequenced and analysed </w:t>
      </w:r>
      <w:r w:rsidRPr="00A17D4D">
        <w:rPr>
          <w:rFonts w:ascii="Söhne" w:eastAsia="Times New Roman" w:hAnsi="Söhne" w:cs="Times New Roman"/>
          <w:strike/>
          <w:sz w:val="18"/>
          <w:lang w:val="en-IE"/>
        </w:rPr>
        <w:t>and compared</w:t>
      </w:r>
      <w:r w:rsidRPr="00A17D4D">
        <w:rPr>
          <w:rFonts w:ascii="Söhne" w:eastAsia="Times New Roman" w:hAnsi="Söhne" w:cs="Times New Roman"/>
          <w:sz w:val="18"/>
          <w:u w:val="double"/>
          <w:lang w:val="en-IE"/>
        </w:rPr>
        <w:t xml:space="preserve"> in comparison with </w:t>
      </w:r>
      <w:r w:rsidRPr="00A17D4D">
        <w:rPr>
          <w:rFonts w:ascii="Söhne" w:eastAsia="Times New Roman" w:hAnsi="Söhne" w:cs="Times New Roman"/>
          <w:strike/>
          <w:sz w:val="18"/>
          <w:lang w:val="en-IE"/>
        </w:rPr>
        <w:t xml:space="preserve">published </w:t>
      </w:r>
      <w:r w:rsidRPr="00A17D4D">
        <w:rPr>
          <w:rFonts w:ascii="Söhne" w:eastAsia="Times New Roman" w:hAnsi="Söhne" w:cs="Times New Roman"/>
          <w:sz w:val="18"/>
          <w:u w:val="double"/>
          <w:lang w:val="en-IE"/>
        </w:rPr>
        <w:t>reference sequences.</w:t>
      </w:r>
    </w:p>
    <w:p w14:paraId="5D9B17EA"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4.6.</w:t>
      </w:r>
      <w:r w:rsidRPr="00A17D4D">
        <w:rPr>
          <w:rFonts w:ascii="Söhne Kräftig" w:eastAsia="MS Mincho" w:hAnsi="Söhne Kräftig" w:cs="Times New Roman"/>
          <w:sz w:val="21"/>
          <w:szCs w:val="20"/>
          <w:lang w:val="da-DK" w:eastAsia="da-DK"/>
        </w:rPr>
        <w:tab/>
      </w:r>
      <w:r w:rsidRPr="00A17D4D">
        <w:rPr>
          <w:rFonts w:ascii="Söhne Kräftig" w:eastAsia="MS Mincho" w:hAnsi="Söhne Kräftig" w:cs="Times New Roman"/>
          <w:i/>
          <w:sz w:val="21"/>
          <w:szCs w:val="20"/>
          <w:lang w:val="da-DK" w:eastAsia="da-DK"/>
        </w:rPr>
        <w:t>In-situ</w:t>
      </w:r>
      <w:r w:rsidRPr="00A17D4D">
        <w:rPr>
          <w:rFonts w:ascii="Söhne Kräftig" w:eastAsia="MS Mincho" w:hAnsi="Söhne Kräftig" w:cs="Times New Roman"/>
          <w:sz w:val="21"/>
          <w:szCs w:val="20"/>
          <w:lang w:val="da-DK" w:eastAsia="da-DK"/>
        </w:rPr>
        <w:t xml:space="preserve"> hybridisation</w:t>
      </w:r>
    </w:p>
    <w:p w14:paraId="21F1446D"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Not available.</w:t>
      </w:r>
    </w:p>
    <w:p w14:paraId="3FDAC9F6"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4.7.</w:t>
      </w:r>
      <w:r w:rsidRPr="00A17D4D">
        <w:rPr>
          <w:rFonts w:ascii="Söhne Kräftig" w:eastAsia="MS Mincho" w:hAnsi="Söhne Kräftig" w:cs="Times New Roman"/>
          <w:sz w:val="21"/>
          <w:szCs w:val="20"/>
          <w:lang w:val="da-DK" w:eastAsia="da-DK"/>
        </w:rPr>
        <w:tab/>
        <w:t>Immunohistochemistry</w:t>
      </w:r>
    </w:p>
    <w:p w14:paraId="4782BD54"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Not available</w:t>
      </w:r>
    </w:p>
    <w:p w14:paraId="7DA62CFB"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4.8.</w:t>
      </w:r>
      <w:r w:rsidRPr="00A17D4D">
        <w:rPr>
          <w:rFonts w:ascii="Söhne Kräftig" w:eastAsia="MS Mincho" w:hAnsi="Söhne Kräftig" w:cs="Times New Roman"/>
          <w:sz w:val="21"/>
          <w:szCs w:val="20"/>
          <w:lang w:val="da-DK" w:eastAsia="da-DK"/>
        </w:rPr>
        <w:tab/>
        <w:t>Bioassay</w:t>
      </w:r>
    </w:p>
    <w:p w14:paraId="6B18A7D8"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No longer used for diagnostic purposes (see Cerenius </w:t>
      </w:r>
      <w:r w:rsidRPr="00A17D4D">
        <w:rPr>
          <w:rFonts w:ascii="Söhne" w:eastAsia="Times New Roman" w:hAnsi="Söhne" w:cs="Times New Roman"/>
          <w:i/>
          <w:iCs/>
          <w:sz w:val="18"/>
          <w:lang w:val="en-IE"/>
        </w:rPr>
        <w:t>et al</w:t>
      </w:r>
      <w:r w:rsidRPr="00A17D4D">
        <w:rPr>
          <w:rFonts w:ascii="Söhne" w:eastAsia="Times New Roman" w:hAnsi="Söhne" w:cs="Times New Roman"/>
          <w:sz w:val="18"/>
          <w:lang w:val="en-IE"/>
        </w:rPr>
        <w:t xml:space="preserve">., 1988). </w:t>
      </w:r>
    </w:p>
    <w:p w14:paraId="2BEC03AE"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bidi="en-US"/>
        </w:rPr>
      </w:pPr>
      <w:r w:rsidRPr="00A17D4D">
        <w:rPr>
          <w:rFonts w:ascii="Söhne Kräftig" w:eastAsia="MS Mincho" w:hAnsi="Söhne Kräftig" w:cs="Times New Roman"/>
          <w:sz w:val="21"/>
          <w:szCs w:val="20"/>
          <w:lang w:val="da-DK" w:eastAsia="da-DK" w:bidi="en-US"/>
        </w:rPr>
        <w:t>4.9.</w:t>
      </w:r>
      <w:r w:rsidRPr="00A17D4D">
        <w:rPr>
          <w:rFonts w:ascii="Söhne Kräftig" w:eastAsia="MS Mincho" w:hAnsi="Söhne Kräftig" w:cs="Times New Roman"/>
          <w:sz w:val="21"/>
          <w:szCs w:val="20"/>
          <w:lang w:val="da-DK" w:eastAsia="da-DK" w:bidi="en-US"/>
        </w:rPr>
        <w:tab/>
        <w:t>Antibody</w:t>
      </w:r>
      <w:r w:rsidRPr="00A17D4D">
        <w:rPr>
          <w:rFonts w:ascii="Söhne Kräftig" w:eastAsia="MS Mincho" w:hAnsi="Söhne Kräftig" w:cs="Times New Roman"/>
          <w:strike/>
          <w:sz w:val="21"/>
          <w:szCs w:val="20"/>
          <w:lang w:val="da-DK" w:eastAsia="da-DK" w:bidi="en-US"/>
        </w:rPr>
        <w:t>-</w:t>
      </w:r>
      <w:r w:rsidRPr="00A17D4D">
        <w:rPr>
          <w:rFonts w:ascii="Söhne Kräftig" w:eastAsia="MS Mincho" w:hAnsi="Söhne Kräftig" w:cs="Times New Roman"/>
          <w:sz w:val="21"/>
          <w:szCs w:val="20"/>
          <w:lang w:val="da-DK" w:eastAsia="da-DK" w:bidi="en-US"/>
        </w:rPr>
        <w:t xml:space="preserve"> or antigen-based detection methods</w:t>
      </w:r>
    </w:p>
    <w:p w14:paraId="1855E794"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Not available.</w:t>
      </w:r>
    </w:p>
    <w:p w14:paraId="32A1E98A" w14:textId="77777777" w:rsidR="00A17D4D" w:rsidRPr="00A17D4D" w:rsidRDefault="00A17D4D" w:rsidP="00A17D4D">
      <w:pPr>
        <w:spacing w:after="240" w:line="240" w:lineRule="auto"/>
        <w:ind w:left="284" w:hanging="284"/>
        <w:jc w:val="both"/>
        <w:rPr>
          <w:rFonts w:ascii="Söhne Halbfett" w:eastAsia="MS Mincho" w:hAnsi="Söhne Halbfett" w:cs="Times New Roman"/>
          <w:szCs w:val="20"/>
          <w:lang w:val="en-IE" w:eastAsia="fr-FR"/>
        </w:rPr>
      </w:pPr>
      <w:r w:rsidRPr="00A17D4D">
        <w:rPr>
          <w:rFonts w:ascii="Söhne Halbfett" w:eastAsia="MS Mincho" w:hAnsi="Söhne Halbfett" w:cs="Times New Roman"/>
          <w:szCs w:val="20"/>
          <w:lang w:val="en-IE" w:eastAsia="fr-FR"/>
        </w:rPr>
        <w:t>5.</w:t>
      </w:r>
      <w:r w:rsidRPr="00A17D4D">
        <w:rPr>
          <w:rFonts w:ascii="Söhne Halbfett" w:eastAsia="MS Mincho" w:hAnsi="Söhne Halbfett" w:cs="Times New Roman"/>
          <w:szCs w:val="20"/>
          <w:lang w:val="en-IE" w:eastAsia="fr-FR"/>
        </w:rPr>
        <w:tab/>
        <w:t>Test(s) recommended for surveillance to demonstrate freedom in apparently healthy populations</w:t>
      </w:r>
    </w:p>
    <w:p w14:paraId="088925A2" w14:textId="77777777" w:rsidR="00A17D4D" w:rsidRPr="00A17D4D" w:rsidRDefault="00A17D4D" w:rsidP="00A17D4D">
      <w:pPr>
        <w:spacing w:after="240" w:line="240" w:lineRule="auto"/>
        <w:jc w:val="both"/>
        <w:rPr>
          <w:rFonts w:ascii="Söhne" w:eastAsia="Times New Roman" w:hAnsi="Söhne" w:cs="Times New Roman"/>
          <w:sz w:val="18"/>
          <w:lang w:val="en-IE" w:bidi="en-US"/>
        </w:rPr>
      </w:pPr>
      <w:r w:rsidRPr="00A17D4D">
        <w:rPr>
          <w:rFonts w:ascii="Söhne" w:eastAsia="Times New Roman" w:hAnsi="Söhne" w:cs="Arial"/>
          <w:sz w:val="18"/>
          <w:lang w:val="en-IE" w:bidi="en-US"/>
        </w:rPr>
        <w:t xml:space="preserve">The recommended method for surveillance is real-time PCR, the modified assay by Strand </w:t>
      </w:r>
      <w:r w:rsidRPr="00A17D4D">
        <w:rPr>
          <w:rFonts w:ascii="Söhne" w:eastAsia="Times New Roman" w:hAnsi="Söhne" w:cs="Arial"/>
          <w:i/>
          <w:iCs/>
          <w:sz w:val="18"/>
          <w:lang w:val="en-IE" w:bidi="en-US"/>
        </w:rPr>
        <w:t>et al</w:t>
      </w:r>
      <w:r w:rsidRPr="00A17D4D">
        <w:rPr>
          <w:rFonts w:ascii="Söhne" w:eastAsia="Times New Roman" w:hAnsi="Söhne" w:cs="Arial"/>
          <w:sz w:val="18"/>
          <w:lang w:val="en-IE" w:bidi="en-US"/>
        </w:rPr>
        <w:t xml:space="preserve">. (manuscript in preparation). </w:t>
      </w:r>
    </w:p>
    <w:p w14:paraId="10756ACE" w14:textId="77777777" w:rsidR="00A17D4D" w:rsidRPr="00A17D4D" w:rsidRDefault="00A17D4D" w:rsidP="00A17D4D">
      <w:pPr>
        <w:spacing w:after="240" w:line="240" w:lineRule="auto"/>
        <w:ind w:left="284" w:hanging="284"/>
        <w:jc w:val="both"/>
        <w:rPr>
          <w:rFonts w:ascii="Söhne Halbfett" w:eastAsia="MS Mincho" w:hAnsi="Söhne Halbfett" w:cs="Times New Roman"/>
          <w:szCs w:val="20"/>
          <w:lang w:val="en-IE" w:eastAsia="fr-FR"/>
        </w:rPr>
      </w:pPr>
      <w:r w:rsidRPr="00A17D4D">
        <w:rPr>
          <w:rFonts w:ascii="Söhne Halbfett" w:eastAsia="MS Mincho" w:hAnsi="Söhne Halbfett" w:cs="Times New Roman"/>
          <w:szCs w:val="20"/>
          <w:lang w:val="en-IE" w:eastAsia="fr-FR"/>
        </w:rPr>
        <w:t>6.</w:t>
      </w:r>
      <w:r w:rsidRPr="00A17D4D">
        <w:rPr>
          <w:rFonts w:ascii="Söhne Halbfett" w:eastAsia="MS Mincho" w:hAnsi="Söhne Halbfett" w:cs="Times New Roman"/>
          <w:szCs w:val="20"/>
          <w:lang w:val="en-IE" w:eastAsia="fr-FR"/>
        </w:rPr>
        <w:tab/>
        <w:t>Corroborative diagnostic criteria</w:t>
      </w:r>
    </w:p>
    <w:p w14:paraId="038F2819" w14:textId="77777777" w:rsidR="00A17D4D" w:rsidRPr="00A17D4D" w:rsidRDefault="00A17D4D" w:rsidP="00A17D4D">
      <w:pPr>
        <w:spacing w:after="240" w:line="240" w:lineRule="auto"/>
        <w:jc w:val="both"/>
        <w:rPr>
          <w:rFonts w:ascii="Söhne" w:eastAsia="Times New Roman" w:hAnsi="Söhne" w:cs="Arial"/>
          <w:sz w:val="18"/>
          <w:lang w:val="en-IE" w:bidi="en-US"/>
        </w:rPr>
      </w:pPr>
      <w:r w:rsidRPr="00A17D4D">
        <w:rPr>
          <w:rFonts w:ascii="Söhne" w:eastAsia="Times New Roman" w:hAnsi="Söhne"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2601F098"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Times New Roman"/>
          <w:sz w:val="18"/>
          <w:szCs w:val="18"/>
          <w:lang w:val="en-IE" w:bidi="en-US"/>
        </w:rPr>
        <w:t xml:space="preserve">The case definitions for suspect and confirmed cases have been developed to support decision-making related to trade and confirmation of disease status at the country, zone or compartment level. Case definitions for disease confirmation in endemically affected areas may be less stringent. </w:t>
      </w:r>
      <w:r w:rsidRPr="00A17D4D">
        <w:rPr>
          <w:rFonts w:ascii="Söhne" w:eastAsia="Times New Roman" w:hAnsi="Söhne" w:cs="Times New Roman"/>
          <w:strike/>
          <w:sz w:val="18"/>
          <w:lang w:val="en-IE" w:bidi="en-US"/>
        </w:rPr>
        <w:t>It is recommended that all samples that yield suspect positive test results in an otherwise pathogen-free country or zone or compartment should be referred immediately to the WOAH Reference Laboratory for confirmation, whether or not clinical signs are associated with the case.</w:t>
      </w:r>
      <w:r w:rsidRPr="00A17D4D">
        <w:rPr>
          <w:rFonts w:ascii="Söhne" w:eastAsia="Times New Roman" w:hAnsi="Söhne" w:cs="Times New Roman"/>
          <w:sz w:val="18"/>
          <w:lang w:val="en-IE" w:bidi="en-US"/>
        </w:rPr>
        <w:t xml:space="preserve"> If a </w:t>
      </w:r>
      <w:r w:rsidRPr="00A17D4D">
        <w:rPr>
          <w:rFonts w:ascii="Söhne" w:eastAsia="Times New Roman" w:hAnsi="Söhne" w:cs="Times New Roman"/>
          <w:strike/>
          <w:sz w:val="18"/>
          <w:lang w:val="en-IE" w:bidi="en-US"/>
        </w:rPr>
        <w:t xml:space="preserve">laboratory </w:t>
      </w:r>
      <w:r w:rsidRPr="00A17D4D">
        <w:rPr>
          <w:rFonts w:ascii="Söhne" w:eastAsia="Times New Roman" w:hAnsi="Söhne" w:cs="Times New Roman"/>
          <w:sz w:val="18"/>
          <w:u w:val="double"/>
          <w:lang w:val="en-IE" w:bidi="en-US"/>
        </w:rPr>
        <w:t>Competent Authority</w:t>
      </w:r>
      <w:r w:rsidRPr="00A17D4D">
        <w:rPr>
          <w:rFonts w:ascii="Söhne" w:eastAsia="Times New Roman" w:hAnsi="Söhne" w:cs="Times New Roman"/>
          <w:sz w:val="18"/>
          <w:lang w:val="en-IE" w:bidi="en-US"/>
        </w:rPr>
        <w:t xml:space="preserve"> does not have the </w:t>
      </w:r>
      <w:r w:rsidRPr="00A17D4D">
        <w:rPr>
          <w:rFonts w:ascii="Söhne" w:eastAsia="Times New Roman" w:hAnsi="Söhne" w:cs="Times New Roman"/>
          <w:strike/>
          <w:sz w:val="18"/>
          <w:lang w:val="en-IE" w:bidi="en-US"/>
        </w:rPr>
        <w:t xml:space="preserve">capacity </w:t>
      </w:r>
      <w:r w:rsidRPr="00A17D4D">
        <w:rPr>
          <w:rFonts w:ascii="Söhne" w:eastAsia="Times New Roman" w:hAnsi="Söhne" w:cs="Times New Roman"/>
          <w:sz w:val="18"/>
          <w:u w:val="double"/>
          <w:lang w:val="en-IE" w:bidi="en-US"/>
        </w:rPr>
        <w:t>capability</w:t>
      </w:r>
      <w:r w:rsidRPr="00A17D4D">
        <w:rPr>
          <w:rFonts w:ascii="Söhne" w:eastAsia="Times New Roman" w:hAnsi="Söhne" w:cs="Times New Roman"/>
          <w:sz w:val="18"/>
          <w:lang w:val="en-IE" w:bidi="en-US"/>
        </w:rPr>
        <w:t xml:space="preserve"> to undertake the necessary diagnostic tests it should seek advice from the appropriate WOAH Reference Laboratory</w:t>
      </w:r>
      <w:r w:rsidRPr="00A17D4D">
        <w:rPr>
          <w:rFonts w:ascii="Söhne" w:eastAsia="Times New Roman" w:hAnsi="Söhne" w:cs="Times New Roman"/>
          <w:sz w:val="18"/>
          <w:szCs w:val="18"/>
          <w:u w:val="double"/>
          <w:lang w:val="en-IE" w:bidi="en-US"/>
        </w:rPr>
        <w:t>, and if necessary, refer samples to that laboratory for confirmatory testing of samples from the index case in a country,</w:t>
      </w:r>
      <w:r w:rsidRPr="00A17D4D" w:rsidDel="00B642F6">
        <w:rPr>
          <w:rFonts w:ascii="Söhne" w:eastAsia="Times New Roman" w:hAnsi="Söhne" w:cs="Times New Roman"/>
          <w:sz w:val="18"/>
          <w:szCs w:val="18"/>
          <w:u w:val="double"/>
          <w:lang w:val="en-IE" w:bidi="en-US"/>
        </w:rPr>
        <w:t xml:space="preserve"> </w:t>
      </w:r>
      <w:r w:rsidRPr="00A17D4D">
        <w:rPr>
          <w:rFonts w:ascii="Söhne" w:eastAsia="Times New Roman" w:hAnsi="Söhne" w:cs="Times New Roman"/>
          <w:sz w:val="18"/>
          <w:szCs w:val="18"/>
          <w:u w:val="double"/>
          <w:lang w:val="en-IE" w:bidi="en-US"/>
        </w:rPr>
        <w:t>zone or compartment considered free</w:t>
      </w:r>
      <w:r w:rsidRPr="00A17D4D">
        <w:rPr>
          <w:rFonts w:ascii="Söhne" w:eastAsia="Times New Roman" w:hAnsi="Söhne" w:cs="Times New Roman"/>
          <w:sz w:val="18"/>
          <w:lang w:val="en-IE" w:bidi="en-US"/>
        </w:rPr>
        <w:t>.</w:t>
      </w:r>
    </w:p>
    <w:p w14:paraId="3377C2D3"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lastRenderedPageBreak/>
        <w:t>6.1.</w:t>
      </w:r>
      <w:r w:rsidRPr="00A17D4D">
        <w:rPr>
          <w:rFonts w:ascii="Söhne Kräftig" w:eastAsia="MS Mincho" w:hAnsi="Söhne Kräftig" w:cs="Times New Roman"/>
          <w:sz w:val="21"/>
          <w:szCs w:val="20"/>
          <w:lang w:val="da-DK" w:eastAsia="da-DK"/>
        </w:rPr>
        <w:tab/>
        <w:t>Apparently healthy animals or animals of unknown health status</w:t>
      </w:r>
      <w:r w:rsidRPr="00A17D4D">
        <w:rPr>
          <w:rFonts w:ascii="ZWAdobeF" w:eastAsia="MS Mincho" w:hAnsi="ZWAdobeF" w:cs="ZWAdobeF"/>
          <w:sz w:val="2"/>
          <w:szCs w:val="2"/>
          <w:lang w:val="da-DK" w:eastAsia="da-DK"/>
        </w:rPr>
        <w:t>5F5F</w:t>
      </w:r>
      <w:r w:rsidRPr="00A17D4D">
        <w:rPr>
          <w:rFonts w:ascii="Söhne Kräftig" w:eastAsia="MS Mincho" w:hAnsi="Söhne Kräftig" w:cs="Arial"/>
          <w:sz w:val="18"/>
          <w:szCs w:val="18"/>
          <w:vertAlign w:val="superscript"/>
          <w:lang w:val="da-DK" w:eastAsia="da-DK"/>
        </w:rPr>
        <w:footnoteReference w:id="2"/>
      </w:r>
    </w:p>
    <w:p w14:paraId="1479D6B2"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bookmarkStart w:id="4" w:name="_Hlk123890268"/>
      <w:r w:rsidRPr="00A17D4D">
        <w:rPr>
          <w:rFonts w:ascii="Söhne" w:eastAsia="Times New Roman" w:hAnsi="Söhne" w:cs="Times New Roman"/>
          <w:sz w:val="18"/>
          <w:lang w:val="en-IE"/>
        </w:rPr>
        <w:t xml:space="preserve">Apparently healthy populations may fall under suspicion, and therefore be sampled, if there is an epidemiological link(s) to an infected population. Geographic proximity to, or movement of animals or animal products or equipment, etc., from a known infected population equate to an epidemiological link. Alternatively, healthy populations are sampled in surveys to demonstrate disease freedom. </w:t>
      </w:r>
    </w:p>
    <w:bookmarkEnd w:id="4"/>
    <w:p w14:paraId="212E2D6D"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6.1.1.</w:t>
      </w:r>
      <w:r w:rsidRPr="00A17D4D">
        <w:rPr>
          <w:rFonts w:ascii="Söhne Kräftig" w:eastAsia="Times New Roman" w:hAnsi="Söhne Kräftig" w:cs="Times New Roman"/>
          <w:bCs/>
          <w:sz w:val="20"/>
          <w:lang w:val="en-GB" w:eastAsia="fr-FR"/>
        </w:rPr>
        <w:tab/>
        <w:t>Definition of suspect case in apparently healthy animals</w:t>
      </w:r>
    </w:p>
    <w:p w14:paraId="0391825F" w14:textId="77777777" w:rsidR="00A17D4D" w:rsidRPr="00A17D4D" w:rsidRDefault="00A17D4D" w:rsidP="00A17D4D">
      <w:pPr>
        <w:spacing w:after="12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The presence of infection with </w:t>
      </w: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shall be suspected if at least the following criterion is met:</w:t>
      </w:r>
    </w:p>
    <w:p w14:paraId="00432CD7" w14:textId="77777777" w:rsidR="00A17D4D" w:rsidRPr="00A17D4D" w:rsidRDefault="00A17D4D" w:rsidP="00A17D4D">
      <w:pPr>
        <w:numPr>
          <w:ilvl w:val="2"/>
          <w:numId w:val="70"/>
        </w:numPr>
        <w:spacing w:before="120" w:after="120" w:line="240" w:lineRule="auto"/>
        <w:ind w:left="1276" w:hanging="283"/>
        <w:contextualSpacing/>
        <w:jc w:val="both"/>
        <w:rPr>
          <w:rFonts w:ascii="Söhne" w:eastAsia="Calibri" w:hAnsi="Söhne" w:cs="Arial"/>
          <w:sz w:val="18"/>
          <w:lang w:val="en-CA"/>
        </w:rPr>
      </w:pPr>
      <w:r w:rsidRPr="00A17D4D">
        <w:rPr>
          <w:rFonts w:ascii="Söhne" w:eastAsia="MS Mincho" w:hAnsi="Söhne" w:cs="Arial"/>
          <w:sz w:val="18"/>
          <w:szCs w:val="18"/>
          <w:lang w:val="en-IE"/>
        </w:rPr>
        <w:t>Positive result by real-time PCR</w:t>
      </w:r>
    </w:p>
    <w:p w14:paraId="2C1BDBAB" w14:textId="77777777" w:rsidR="00A17D4D" w:rsidRPr="00A17D4D" w:rsidRDefault="00A17D4D" w:rsidP="00A17D4D">
      <w:pPr>
        <w:numPr>
          <w:ilvl w:val="2"/>
          <w:numId w:val="70"/>
        </w:numPr>
        <w:spacing w:after="240" w:line="240" w:lineRule="auto"/>
        <w:ind w:left="1276" w:hanging="284"/>
        <w:jc w:val="both"/>
        <w:rPr>
          <w:rFonts w:ascii="Söhne" w:eastAsia="Calibri" w:hAnsi="Söhne" w:cs="Arial"/>
          <w:sz w:val="18"/>
          <w:lang w:val="en-CA"/>
        </w:rPr>
      </w:pPr>
      <w:r w:rsidRPr="00A17D4D">
        <w:rPr>
          <w:rFonts w:ascii="Söhne" w:eastAsia="MS Mincho" w:hAnsi="Söhne" w:cs="Arial"/>
          <w:sz w:val="18"/>
          <w:szCs w:val="18"/>
          <w:lang w:val="en-IE"/>
        </w:rPr>
        <w:t xml:space="preserve">Positive result by conventional PCR </w:t>
      </w:r>
    </w:p>
    <w:p w14:paraId="43C7055D"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6.1.2.</w:t>
      </w:r>
      <w:r w:rsidRPr="00A17D4D">
        <w:rPr>
          <w:rFonts w:ascii="Söhne Kräftig" w:eastAsia="Times New Roman" w:hAnsi="Söhne Kräftig" w:cs="Times New Roman"/>
          <w:bCs/>
          <w:sz w:val="20"/>
          <w:lang w:val="en-GB" w:eastAsia="fr-FR"/>
        </w:rPr>
        <w:tab/>
        <w:t>Definition of confirmed case in apparently healthy animals</w:t>
      </w:r>
    </w:p>
    <w:p w14:paraId="4525ABA2" w14:textId="77777777" w:rsidR="00A17D4D" w:rsidRPr="00A17D4D" w:rsidRDefault="00A17D4D" w:rsidP="00A17D4D">
      <w:pPr>
        <w:spacing w:after="12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The presence of infection with </w:t>
      </w: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is considered to be confirmed if the following criterion is met:</w:t>
      </w:r>
    </w:p>
    <w:p w14:paraId="51364070"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i)</w:t>
      </w:r>
      <w:r w:rsidRPr="00A17D4D">
        <w:rPr>
          <w:rFonts w:ascii="Söhne" w:eastAsia="MS Mincho" w:hAnsi="Söhne" w:cs="Arial"/>
          <w:sz w:val="18"/>
          <w:szCs w:val="18"/>
          <w:lang w:val="en-IE"/>
        </w:rPr>
        <w:tab/>
        <w:t xml:space="preserve">Positive result by real-time PCR and positive result by conventional PCR followed by amplicon sequencing </w:t>
      </w:r>
    </w:p>
    <w:p w14:paraId="2952F9AE"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6.2</w:t>
      </w:r>
      <w:r w:rsidRPr="00A17D4D">
        <w:rPr>
          <w:rFonts w:ascii="Söhne Kräftig" w:eastAsia="MS Mincho" w:hAnsi="Söhne Kräftig" w:cs="Times New Roman"/>
          <w:sz w:val="21"/>
          <w:szCs w:val="20"/>
          <w:lang w:val="da-DK" w:eastAsia="da-DK"/>
        </w:rPr>
        <w:tab/>
        <w:t>Clinically affected animals</w:t>
      </w:r>
    </w:p>
    <w:p w14:paraId="6F415EC0" w14:textId="77777777" w:rsidR="00A17D4D" w:rsidRPr="00A17D4D" w:rsidRDefault="00A17D4D" w:rsidP="00A17D4D">
      <w:pPr>
        <w:spacing w:after="240" w:line="240" w:lineRule="auto"/>
        <w:ind w:left="284"/>
        <w:jc w:val="both"/>
        <w:rPr>
          <w:rFonts w:ascii="Söhne" w:eastAsia="Times New Roman" w:hAnsi="Söhne" w:cs="Times New Roman"/>
          <w:sz w:val="18"/>
          <w:lang w:val="en-IE"/>
        </w:rPr>
      </w:pPr>
      <w:r w:rsidRPr="00A17D4D">
        <w:rPr>
          <w:rFonts w:ascii="Söhne" w:eastAsia="Times New Roman" w:hAnsi="Söhne" w:cs="Times New Roman"/>
          <w:sz w:val="18"/>
          <w:lang w:val="en-IE"/>
        </w:rPr>
        <w:t xml:space="preserve">Clinical signs are not pathognomonic for a single disease; however, they may narrow the range of possible diagnoses. </w:t>
      </w:r>
    </w:p>
    <w:p w14:paraId="39DCE416"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6.2.1. Definition of suspect case in clinically affected animals</w:t>
      </w:r>
    </w:p>
    <w:p w14:paraId="6A26EF0A" w14:textId="77777777" w:rsidR="00A17D4D" w:rsidRPr="00A17D4D" w:rsidRDefault="00A17D4D" w:rsidP="00A17D4D">
      <w:pPr>
        <w:spacing w:after="12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The presence of infection with </w:t>
      </w: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shall be suspected if at least one of the following criteria is met:</w:t>
      </w:r>
    </w:p>
    <w:p w14:paraId="72AD44AC" w14:textId="77777777" w:rsidR="00A17D4D" w:rsidRPr="00A17D4D" w:rsidRDefault="00A17D4D" w:rsidP="00A17D4D">
      <w:pPr>
        <w:spacing w:after="12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i)</w:t>
      </w:r>
      <w:r w:rsidRPr="00A17D4D">
        <w:rPr>
          <w:rFonts w:ascii="Söhne" w:eastAsia="MS Mincho" w:hAnsi="Söhne" w:cs="Arial"/>
          <w:sz w:val="18"/>
          <w:szCs w:val="18"/>
          <w:lang w:val="en-IE"/>
        </w:rPr>
        <w:tab/>
      </w:r>
      <w:r w:rsidRPr="00A17D4D">
        <w:rPr>
          <w:rFonts w:ascii="Söhne" w:eastAsia="MS Mincho" w:hAnsi="Söhne" w:cs="Arial"/>
          <w:sz w:val="18"/>
          <w:szCs w:val="18"/>
          <w:lang w:val="en-IE" w:bidi="en-US"/>
        </w:rPr>
        <w:t>Gross pathology or clinical signs associated with the disease as described in this chapter, with or without elevated mortality</w:t>
      </w:r>
    </w:p>
    <w:p w14:paraId="7C3065DA" w14:textId="77777777" w:rsidR="00A17D4D" w:rsidRPr="00A17D4D" w:rsidRDefault="00A17D4D" w:rsidP="00A17D4D">
      <w:pPr>
        <w:spacing w:after="12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ii)</w:t>
      </w:r>
      <w:r w:rsidRPr="00A17D4D">
        <w:rPr>
          <w:lang w:val="en-CA"/>
        </w:rPr>
        <w:tab/>
      </w:r>
      <w:r w:rsidRPr="00A17D4D">
        <w:rPr>
          <w:rFonts w:ascii="Söhne" w:eastAsia="MS Mincho" w:hAnsi="Söhne" w:cs="Arial"/>
          <w:sz w:val="18"/>
          <w:szCs w:val="18"/>
          <w:lang w:val="en-IE"/>
        </w:rPr>
        <w:t xml:space="preserve">Visual observation of hyphae indicative of </w:t>
      </w:r>
      <w:r w:rsidRPr="00A17D4D">
        <w:rPr>
          <w:rFonts w:ascii="Söhne" w:eastAsia="MS Mincho" w:hAnsi="Söhne" w:cs="Arial"/>
          <w:i/>
          <w:iCs/>
          <w:sz w:val="18"/>
          <w:szCs w:val="18"/>
          <w:lang w:val="en-IE"/>
        </w:rPr>
        <w:t>A. astaci</w:t>
      </w:r>
      <w:r w:rsidRPr="00A17D4D">
        <w:rPr>
          <w:rFonts w:ascii="Söhne" w:eastAsia="MS Mincho" w:hAnsi="Söhne" w:cs="Arial"/>
          <w:sz w:val="18"/>
          <w:szCs w:val="18"/>
          <w:lang w:val="en-IE"/>
        </w:rPr>
        <w:t xml:space="preserve"> </w:t>
      </w:r>
      <w:r w:rsidRPr="00A17D4D">
        <w:rPr>
          <w:rFonts w:ascii="Söhne" w:eastAsia="MS Mincho" w:hAnsi="Söhne" w:cs="Arial"/>
          <w:sz w:val="18"/>
          <w:szCs w:val="18"/>
          <w:u w:val="double"/>
          <w:lang w:val="en-IE"/>
        </w:rPr>
        <w:t>in wet mounts</w:t>
      </w:r>
      <w:r w:rsidRPr="00A17D4D">
        <w:rPr>
          <w:rFonts w:ascii="Söhne" w:eastAsia="MS Mincho" w:hAnsi="Söhne" w:cs="Arial"/>
          <w:sz w:val="18"/>
          <w:szCs w:val="18"/>
          <w:lang w:val="en-IE"/>
        </w:rPr>
        <w:t xml:space="preserve"> </w:t>
      </w:r>
    </w:p>
    <w:p w14:paraId="67C067A2" w14:textId="77777777" w:rsidR="00A17D4D" w:rsidRPr="00A17D4D" w:rsidRDefault="00A17D4D" w:rsidP="00A17D4D">
      <w:pPr>
        <w:spacing w:after="12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iii)</w:t>
      </w:r>
      <w:r w:rsidRPr="00A17D4D">
        <w:rPr>
          <w:rFonts w:ascii="Söhne" w:eastAsia="MS Mincho" w:hAnsi="Söhne" w:cs="Arial"/>
          <w:sz w:val="18"/>
          <w:szCs w:val="18"/>
          <w:lang w:val="en-IE"/>
        </w:rPr>
        <w:tab/>
        <w:t xml:space="preserve">Observation of hyphae indicative of </w:t>
      </w:r>
      <w:r w:rsidRPr="00A17D4D">
        <w:rPr>
          <w:rFonts w:ascii="Söhne" w:eastAsia="MS Mincho" w:hAnsi="Söhne" w:cs="Arial"/>
          <w:i/>
          <w:iCs/>
          <w:sz w:val="18"/>
          <w:szCs w:val="18"/>
          <w:lang w:val="en-IE"/>
        </w:rPr>
        <w:t>A. astaci</w:t>
      </w:r>
      <w:r w:rsidRPr="00A17D4D">
        <w:rPr>
          <w:rFonts w:ascii="Söhne" w:eastAsia="MS Mincho" w:hAnsi="Söhne" w:cs="Arial"/>
          <w:sz w:val="18"/>
          <w:szCs w:val="18"/>
          <w:lang w:val="en-IE"/>
        </w:rPr>
        <w:t xml:space="preserve">  in stained histological sections</w:t>
      </w:r>
    </w:p>
    <w:p w14:paraId="5B54B367" w14:textId="77777777" w:rsidR="00A17D4D" w:rsidRPr="00A17D4D" w:rsidRDefault="00A17D4D" w:rsidP="00A17D4D">
      <w:pPr>
        <w:spacing w:after="12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iv)</w:t>
      </w:r>
      <w:r w:rsidRPr="00A17D4D">
        <w:rPr>
          <w:rFonts w:ascii="Söhne" w:eastAsia="MS Mincho" w:hAnsi="Söhne" w:cs="Arial"/>
          <w:sz w:val="18"/>
          <w:szCs w:val="18"/>
          <w:lang w:val="en-IE"/>
        </w:rPr>
        <w:tab/>
        <w:t xml:space="preserve">Culture and isolation of the pathogen </w:t>
      </w:r>
    </w:p>
    <w:p w14:paraId="5B73526E" w14:textId="77777777" w:rsidR="00A17D4D" w:rsidRPr="00A17D4D" w:rsidRDefault="00A17D4D" w:rsidP="00A17D4D">
      <w:pPr>
        <w:spacing w:after="12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v)</w:t>
      </w:r>
      <w:r w:rsidRPr="00A17D4D">
        <w:rPr>
          <w:rFonts w:ascii="Söhne" w:eastAsia="MS Mincho" w:hAnsi="Söhne" w:cs="Arial"/>
          <w:sz w:val="18"/>
          <w:szCs w:val="18"/>
          <w:lang w:val="en-IE"/>
        </w:rPr>
        <w:tab/>
        <w:t>Positive result by real-time PCR</w:t>
      </w:r>
    </w:p>
    <w:p w14:paraId="722E21E5"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vi)</w:t>
      </w:r>
      <w:r w:rsidRPr="00A17D4D">
        <w:rPr>
          <w:rFonts w:ascii="Söhne" w:eastAsia="MS Mincho" w:hAnsi="Söhne" w:cs="Arial"/>
          <w:sz w:val="18"/>
          <w:szCs w:val="18"/>
          <w:lang w:val="en-IE"/>
        </w:rPr>
        <w:tab/>
        <w:t>Positive result by conventional PCR</w:t>
      </w:r>
    </w:p>
    <w:p w14:paraId="6ED74985"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6.2.2.</w:t>
      </w:r>
      <w:r w:rsidRPr="00A17D4D">
        <w:rPr>
          <w:rFonts w:ascii="Söhne Kräftig" w:eastAsia="Times New Roman" w:hAnsi="Söhne Kräftig" w:cs="Times New Roman"/>
          <w:bCs/>
          <w:sz w:val="20"/>
          <w:lang w:val="en-GB" w:eastAsia="fr-FR"/>
        </w:rPr>
        <w:tab/>
        <w:t>Definition of confirmed case in clinically affected animals</w:t>
      </w:r>
    </w:p>
    <w:p w14:paraId="542C72EB" w14:textId="77777777" w:rsidR="00A17D4D" w:rsidRPr="00A17D4D" w:rsidRDefault="00A17D4D" w:rsidP="00A17D4D">
      <w:pPr>
        <w:spacing w:after="120" w:line="240" w:lineRule="auto"/>
        <w:ind w:left="851"/>
        <w:jc w:val="both"/>
        <w:rPr>
          <w:rFonts w:ascii="Söhne" w:eastAsia="Times New Roman" w:hAnsi="Söhne" w:cs="Times New Roman"/>
          <w:bCs/>
          <w:sz w:val="18"/>
          <w:lang w:val="en-IE"/>
        </w:rPr>
      </w:pPr>
      <w:r w:rsidRPr="00A17D4D">
        <w:rPr>
          <w:rFonts w:ascii="Söhne" w:eastAsia="Times New Roman" w:hAnsi="Söhne" w:cs="Times New Roman"/>
          <w:bCs/>
          <w:sz w:val="18"/>
          <w:lang w:val="en-IE"/>
        </w:rPr>
        <w:t xml:space="preserve">The presence of infection with </w:t>
      </w:r>
      <w:r w:rsidRPr="00A17D4D">
        <w:rPr>
          <w:rFonts w:ascii="Söhne" w:eastAsia="Times New Roman" w:hAnsi="Söhne" w:cs="Times New Roman"/>
          <w:bCs/>
          <w:i/>
          <w:iCs/>
          <w:sz w:val="18"/>
          <w:lang w:val="en-IE"/>
        </w:rPr>
        <w:t>Aphanomyces astaci</w:t>
      </w:r>
      <w:r w:rsidRPr="00A17D4D">
        <w:rPr>
          <w:rFonts w:ascii="Söhne" w:eastAsia="Times New Roman" w:hAnsi="Söhne" w:cs="Times New Roman"/>
          <w:bCs/>
          <w:sz w:val="18"/>
          <w:lang w:val="en-IE"/>
        </w:rPr>
        <w:t xml:space="preserve"> is confirmed if the following criterion is met:</w:t>
      </w:r>
    </w:p>
    <w:p w14:paraId="48418819" w14:textId="77777777" w:rsidR="00A17D4D" w:rsidRPr="00A17D4D" w:rsidRDefault="00A17D4D" w:rsidP="00A17D4D">
      <w:pPr>
        <w:spacing w:after="240" w:line="240" w:lineRule="auto"/>
        <w:ind w:left="1276" w:hanging="425"/>
        <w:jc w:val="both"/>
        <w:rPr>
          <w:rFonts w:ascii="Söhne" w:eastAsia="MS Mincho" w:hAnsi="Söhne" w:cs="Arial"/>
          <w:sz w:val="18"/>
          <w:szCs w:val="18"/>
          <w:lang w:val="en-IE"/>
        </w:rPr>
      </w:pPr>
      <w:r w:rsidRPr="00A17D4D">
        <w:rPr>
          <w:rFonts w:ascii="Söhne" w:eastAsia="MS Mincho" w:hAnsi="Söhne" w:cs="Arial"/>
          <w:sz w:val="18"/>
          <w:szCs w:val="18"/>
          <w:lang w:val="en-IE"/>
        </w:rPr>
        <w:t>i)</w:t>
      </w:r>
      <w:r w:rsidRPr="00A17D4D">
        <w:rPr>
          <w:rFonts w:ascii="Söhne" w:eastAsia="MS Mincho" w:hAnsi="Söhne" w:cs="Arial"/>
          <w:sz w:val="18"/>
          <w:szCs w:val="18"/>
          <w:lang w:val="en-IE"/>
        </w:rPr>
        <w:tab/>
        <w:t xml:space="preserve">Positive result by real-time PCR and positive result by conventional PCR and amplicon sequencing </w:t>
      </w:r>
    </w:p>
    <w:p w14:paraId="150F020C" w14:textId="77777777" w:rsidR="00A17D4D" w:rsidRPr="00A17D4D" w:rsidRDefault="00A17D4D" w:rsidP="00A17D4D">
      <w:pPr>
        <w:spacing w:after="240" w:line="240" w:lineRule="auto"/>
        <w:ind w:left="851" w:hanging="567"/>
        <w:jc w:val="both"/>
        <w:rPr>
          <w:rFonts w:ascii="Söhne Kräftig" w:eastAsia="MS Mincho" w:hAnsi="Söhne Kräftig" w:cs="Times New Roman"/>
          <w:sz w:val="21"/>
          <w:szCs w:val="20"/>
          <w:lang w:val="da-DK" w:eastAsia="da-DK"/>
        </w:rPr>
      </w:pPr>
      <w:r w:rsidRPr="00A17D4D">
        <w:rPr>
          <w:rFonts w:ascii="Söhne Kräftig" w:eastAsia="MS Mincho" w:hAnsi="Söhne Kräftig" w:cs="Times New Roman"/>
          <w:sz w:val="21"/>
          <w:szCs w:val="20"/>
          <w:lang w:val="da-DK" w:eastAsia="da-DK"/>
        </w:rPr>
        <w:t>6.3.</w:t>
      </w:r>
      <w:r w:rsidRPr="00A17D4D">
        <w:rPr>
          <w:rFonts w:ascii="Söhne Kräftig" w:eastAsia="MS Mincho" w:hAnsi="Söhne Kräftig" w:cs="Times New Roman"/>
          <w:sz w:val="21"/>
          <w:szCs w:val="20"/>
          <w:lang w:val="da-DK" w:eastAsia="da-DK"/>
        </w:rPr>
        <w:tab/>
        <w:t>Diagnostic sensitivity and specificity for diagnostic tests</w:t>
      </w:r>
    </w:p>
    <w:p w14:paraId="7BCE4D77" w14:textId="77777777" w:rsidR="00A17D4D" w:rsidRPr="00A17D4D" w:rsidRDefault="00A17D4D" w:rsidP="00A17D4D">
      <w:pPr>
        <w:spacing w:after="240" w:line="240" w:lineRule="auto"/>
        <w:ind w:left="284"/>
        <w:jc w:val="both"/>
        <w:rPr>
          <w:rFonts w:ascii="Söhne" w:eastAsia="MS Mincho" w:hAnsi="Söhne" w:cs="Times New Roman"/>
          <w:sz w:val="18"/>
          <w:u w:color="000000"/>
          <w:bdr w:val="nil"/>
          <w:lang w:val="en-IE"/>
        </w:rPr>
      </w:pPr>
      <w:r w:rsidRPr="00A17D4D">
        <w:rPr>
          <w:rFonts w:ascii="Söhne" w:eastAsia="MS Mincho" w:hAnsi="Söhne" w:cs="Times New Roman"/>
          <w:sz w:val="18"/>
          <w:u w:color="000000"/>
          <w:bdr w:val="nil"/>
          <w:lang w:val="en-IE"/>
        </w:rPr>
        <w:t xml:space="preserve">The diagnostic performance of tests recommended for surveillance or diagnosis of </w:t>
      </w:r>
      <w:r w:rsidRPr="00A17D4D">
        <w:rPr>
          <w:rFonts w:ascii="Söhne" w:eastAsia="Times New Roman" w:hAnsi="Söhne" w:cs="Times New Roman"/>
          <w:sz w:val="18"/>
          <w:lang w:val="en-IE"/>
        </w:rPr>
        <w:t xml:space="preserve">infection with </w:t>
      </w:r>
      <w:r w:rsidRPr="00A17D4D">
        <w:rPr>
          <w:rFonts w:ascii="Söhne" w:eastAsia="Times New Roman" w:hAnsi="Söhne" w:cs="Times New Roman"/>
          <w:i/>
          <w:iCs/>
          <w:sz w:val="18"/>
          <w:lang w:val="en-IE"/>
        </w:rPr>
        <w:t>Aphanomyces astaci</w:t>
      </w:r>
      <w:r w:rsidRPr="00A17D4D">
        <w:rPr>
          <w:rFonts w:ascii="Söhne" w:eastAsia="MS Mincho" w:hAnsi="Söhne" w:cs="Times New Roman"/>
          <w:sz w:val="18"/>
          <w:u w:color="000000"/>
          <w:bdr w:val="nil"/>
          <w:lang w:val="en-IE"/>
        </w:rPr>
        <w:t xml:space="preserve"> are provided in Tables 6.3.1. and 6.3.2 (</w:t>
      </w:r>
      <w:r w:rsidRPr="00A17D4D">
        <w:rPr>
          <w:rFonts w:ascii="Söhne" w:eastAsia="MS Mincho" w:hAnsi="Söhne" w:cs="Times New Roman"/>
          <w:strike/>
          <w:sz w:val="18"/>
          <w:u w:color="000000"/>
          <w:bdr w:val="nil"/>
          <w:lang w:val="en-IE"/>
        </w:rPr>
        <w:t xml:space="preserve">none </w:t>
      </w:r>
      <w:r w:rsidRPr="00A17D4D">
        <w:rPr>
          <w:rFonts w:ascii="Söhne" w:eastAsia="MS Mincho" w:hAnsi="Söhne" w:cs="Times New Roman"/>
          <w:sz w:val="18"/>
          <w:u w:val="double" w:color="000000"/>
          <w:bdr w:val="nil"/>
          <w:lang w:val="en-IE"/>
        </w:rPr>
        <w:t>no data are currently</w:t>
      </w:r>
      <w:r w:rsidRPr="00A17D4D">
        <w:rPr>
          <w:rFonts w:ascii="Söhne" w:eastAsia="MS Mincho" w:hAnsi="Söhne" w:cs="Times New Roman"/>
          <w:sz w:val="18"/>
          <w:u w:color="000000"/>
          <w:bdr w:val="nil"/>
          <w:lang w:val="en-IE"/>
        </w:rPr>
        <w:t xml:space="preserve"> available </w:t>
      </w:r>
      <w:r w:rsidRPr="00A17D4D">
        <w:rPr>
          <w:rFonts w:ascii="Söhne" w:eastAsia="MS Mincho" w:hAnsi="Söhne" w:cs="Times New Roman"/>
          <w:sz w:val="18"/>
          <w:u w:val="double" w:color="000000"/>
          <w:bdr w:val="nil"/>
          <w:lang w:val="en-IE"/>
        </w:rPr>
        <w:t>for either</w:t>
      </w:r>
      <w:r w:rsidRPr="00A17D4D">
        <w:rPr>
          <w:rFonts w:ascii="Söhne" w:eastAsia="MS Mincho" w:hAnsi="Söhne" w:cs="Times New Roman"/>
          <w:sz w:val="18"/>
          <w:u w:color="000000"/>
          <w:bdr w:val="nil"/>
          <w:lang w:val="en-IE"/>
        </w:rPr>
        <w:t xml:space="preserve">). This information can be used for the design of surveys for infection with </w:t>
      </w:r>
      <w:r w:rsidRPr="00A17D4D">
        <w:rPr>
          <w:rFonts w:ascii="Söhne" w:eastAsia="Times New Roman" w:hAnsi="Söhne" w:cs="Times New Roman"/>
          <w:i/>
          <w:iCs/>
          <w:sz w:val="18"/>
          <w:lang w:val="en-IE"/>
        </w:rPr>
        <w:t>Aphanomyces astaci</w:t>
      </w:r>
      <w:r w:rsidRPr="00A17D4D">
        <w:rPr>
          <w:rFonts w:ascii="Söhne" w:eastAsia="MS Mincho" w:hAnsi="Söhne" w:cs="Times New Roman"/>
          <w:sz w:val="18"/>
          <w:u w:color="000000"/>
          <w:bdr w:val="nil"/>
          <w:lang w:val="en-IE"/>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347EB688"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6.3.1.</w:t>
      </w:r>
      <w:r w:rsidRPr="00A17D4D">
        <w:rPr>
          <w:rFonts w:ascii="Söhne Kräftig" w:eastAsia="Times New Roman" w:hAnsi="Söhne Kräftig" w:cs="Times New Roman"/>
          <w:bCs/>
          <w:sz w:val="20"/>
          <w:lang w:val="en-GB" w:eastAsia="fr-FR"/>
        </w:rPr>
        <w:tab/>
        <w:t>For presumptive diagnosis of clinically affected animals</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3"/>
        <w:gridCol w:w="804"/>
        <w:gridCol w:w="1162"/>
        <w:gridCol w:w="1300"/>
        <w:gridCol w:w="1010"/>
        <w:gridCol w:w="633"/>
        <w:gridCol w:w="635"/>
        <w:gridCol w:w="1241"/>
        <w:gridCol w:w="960"/>
      </w:tblGrid>
      <w:tr w:rsidR="00A17D4D" w:rsidRPr="00A17D4D" w14:paraId="65B98467" w14:textId="77777777">
        <w:tc>
          <w:tcPr>
            <w:tcW w:w="1163" w:type="dxa"/>
            <w:tcMar>
              <w:top w:w="0" w:type="dxa"/>
              <w:left w:w="108" w:type="dxa"/>
              <w:bottom w:w="0" w:type="dxa"/>
              <w:right w:w="108" w:type="dxa"/>
            </w:tcMar>
            <w:vAlign w:val="center"/>
            <w:hideMark/>
          </w:tcPr>
          <w:p w14:paraId="7C2D533F"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lastRenderedPageBreak/>
              <w:t>Test type</w:t>
            </w:r>
          </w:p>
        </w:tc>
        <w:tc>
          <w:tcPr>
            <w:tcW w:w="804" w:type="dxa"/>
            <w:tcMar>
              <w:top w:w="0" w:type="dxa"/>
              <w:left w:w="108" w:type="dxa"/>
              <w:bottom w:w="0" w:type="dxa"/>
              <w:right w:w="108" w:type="dxa"/>
            </w:tcMar>
            <w:vAlign w:val="center"/>
            <w:hideMark/>
          </w:tcPr>
          <w:p w14:paraId="71DFA1E7"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Test purpose</w:t>
            </w:r>
          </w:p>
        </w:tc>
        <w:tc>
          <w:tcPr>
            <w:tcW w:w="1162" w:type="dxa"/>
            <w:tcMar>
              <w:top w:w="0" w:type="dxa"/>
              <w:left w:w="108" w:type="dxa"/>
              <w:bottom w:w="0" w:type="dxa"/>
              <w:right w:w="108" w:type="dxa"/>
            </w:tcMar>
            <w:vAlign w:val="center"/>
            <w:hideMark/>
          </w:tcPr>
          <w:p w14:paraId="2B530B3D"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Source populations</w:t>
            </w:r>
          </w:p>
        </w:tc>
        <w:tc>
          <w:tcPr>
            <w:tcW w:w="1300" w:type="dxa"/>
            <w:tcMar>
              <w:top w:w="0" w:type="dxa"/>
              <w:left w:w="108" w:type="dxa"/>
              <w:bottom w:w="0" w:type="dxa"/>
              <w:right w:w="108" w:type="dxa"/>
            </w:tcMar>
            <w:vAlign w:val="center"/>
            <w:hideMark/>
          </w:tcPr>
          <w:p w14:paraId="2BE2E16D"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Tissue or sample types</w:t>
            </w:r>
          </w:p>
        </w:tc>
        <w:tc>
          <w:tcPr>
            <w:tcW w:w="1010" w:type="dxa"/>
            <w:tcMar>
              <w:top w:w="0" w:type="dxa"/>
              <w:left w:w="108" w:type="dxa"/>
              <w:bottom w:w="0" w:type="dxa"/>
              <w:right w:w="108" w:type="dxa"/>
            </w:tcMar>
            <w:vAlign w:val="center"/>
            <w:hideMark/>
          </w:tcPr>
          <w:p w14:paraId="39EEEA44"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Species</w:t>
            </w:r>
          </w:p>
        </w:tc>
        <w:tc>
          <w:tcPr>
            <w:tcW w:w="633" w:type="dxa"/>
            <w:tcMar>
              <w:top w:w="0" w:type="dxa"/>
              <w:left w:w="108" w:type="dxa"/>
              <w:bottom w:w="0" w:type="dxa"/>
              <w:right w:w="108" w:type="dxa"/>
            </w:tcMar>
            <w:vAlign w:val="center"/>
            <w:hideMark/>
          </w:tcPr>
          <w:p w14:paraId="1D9DFA1D"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DSe (</w:t>
            </w:r>
            <w:r w:rsidRPr="00A17D4D">
              <w:rPr>
                <w:rFonts w:ascii="Söhne Kräftig" w:eastAsia="Times New Roman" w:hAnsi="Söhne Kräftig" w:cs="Times New Roman"/>
                <w:bCs/>
                <w:i/>
                <w:sz w:val="16"/>
                <w:szCs w:val="16"/>
                <w:lang w:val="en-IE" w:eastAsia="fr-FR"/>
              </w:rPr>
              <w:t>n</w:t>
            </w:r>
            <w:r w:rsidRPr="00A17D4D">
              <w:rPr>
                <w:rFonts w:ascii="Söhne Kräftig" w:eastAsia="Times New Roman" w:hAnsi="Söhne Kräftig" w:cs="Times New Roman"/>
                <w:bCs/>
                <w:sz w:val="16"/>
                <w:szCs w:val="16"/>
                <w:lang w:val="en-IE" w:eastAsia="fr-FR"/>
              </w:rPr>
              <w:t>)</w:t>
            </w:r>
          </w:p>
        </w:tc>
        <w:tc>
          <w:tcPr>
            <w:tcW w:w="635" w:type="dxa"/>
            <w:tcMar>
              <w:top w:w="0" w:type="dxa"/>
              <w:left w:w="108" w:type="dxa"/>
              <w:bottom w:w="0" w:type="dxa"/>
              <w:right w:w="108" w:type="dxa"/>
            </w:tcMar>
            <w:vAlign w:val="center"/>
            <w:hideMark/>
          </w:tcPr>
          <w:p w14:paraId="5090E1FB"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DSp (</w:t>
            </w:r>
            <w:r w:rsidRPr="00A17D4D">
              <w:rPr>
                <w:rFonts w:ascii="Söhne Kräftig" w:eastAsia="Times New Roman" w:hAnsi="Söhne Kräftig" w:cs="Times New Roman"/>
                <w:bCs/>
                <w:i/>
                <w:sz w:val="16"/>
                <w:szCs w:val="16"/>
                <w:lang w:val="en-IE" w:eastAsia="fr-FR"/>
              </w:rPr>
              <w:t>n</w:t>
            </w:r>
            <w:r w:rsidRPr="00A17D4D">
              <w:rPr>
                <w:rFonts w:ascii="Söhne Kräftig" w:eastAsia="Times New Roman" w:hAnsi="Söhne Kräftig" w:cs="Times New Roman"/>
                <w:bCs/>
                <w:sz w:val="16"/>
                <w:szCs w:val="16"/>
                <w:lang w:val="en-IE" w:eastAsia="fr-FR"/>
              </w:rPr>
              <w:t>)</w:t>
            </w:r>
          </w:p>
        </w:tc>
        <w:tc>
          <w:tcPr>
            <w:tcW w:w="1241" w:type="dxa"/>
            <w:tcMar>
              <w:top w:w="0" w:type="dxa"/>
              <w:left w:w="108" w:type="dxa"/>
              <w:bottom w:w="0" w:type="dxa"/>
              <w:right w:w="108" w:type="dxa"/>
            </w:tcMar>
            <w:vAlign w:val="center"/>
            <w:hideMark/>
          </w:tcPr>
          <w:p w14:paraId="613A43E8"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Reference test</w:t>
            </w:r>
          </w:p>
        </w:tc>
        <w:tc>
          <w:tcPr>
            <w:tcW w:w="960" w:type="dxa"/>
            <w:tcMar>
              <w:top w:w="0" w:type="dxa"/>
              <w:left w:w="108" w:type="dxa"/>
              <w:bottom w:w="0" w:type="dxa"/>
              <w:right w:w="108" w:type="dxa"/>
            </w:tcMar>
            <w:vAlign w:val="center"/>
            <w:hideMark/>
          </w:tcPr>
          <w:p w14:paraId="134C0070" w14:textId="77777777" w:rsidR="00A17D4D" w:rsidRPr="00A17D4D" w:rsidRDefault="00A17D4D" w:rsidP="00A17D4D">
            <w:pPr>
              <w:spacing w:before="120" w:after="120" w:line="240" w:lineRule="auto"/>
              <w:ind w:left="-57"/>
              <w:jc w:val="center"/>
              <w:rPr>
                <w:rFonts w:ascii="Söhne Kräftig" w:eastAsia="Calibri" w:hAnsi="Söhne Kräftig" w:cs="Times New Roman"/>
                <w:bCs/>
                <w:sz w:val="16"/>
                <w:szCs w:val="16"/>
                <w:lang w:val="en-IE"/>
              </w:rPr>
            </w:pPr>
            <w:r w:rsidRPr="00A17D4D">
              <w:rPr>
                <w:rFonts w:ascii="Söhne Kräftig" w:eastAsia="Times New Roman" w:hAnsi="Söhne Kräftig" w:cs="Times New Roman"/>
                <w:bCs/>
                <w:sz w:val="16"/>
                <w:szCs w:val="16"/>
                <w:lang w:val="en-IE" w:eastAsia="fr-FR"/>
              </w:rPr>
              <w:t>Citation</w:t>
            </w:r>
          </w:p>
        </w:tc>
      </w:tr>
      <w:tr w:rsidR="00A17D4D" w:rsidRPr="00A17D4D" w14:paraId="02C1781B" w14:textId="77777777">
        <w:tc>
          <w:tcPr>
            <w:tcW w:w="1163" w:type="dxa"/>
            <w:tcMar>
              <w:top w:w="0" w:type="dxa"/>
              <w:left w:w="108" w:type="dxa"/>
              <w:bottom w:w="0" w:type="dxa"/>
              <w:right w:w="108" w:type="dxa"/>
            </w:tcMar>
            <w:vAlign w:val="center"/>
          </w:tcPr>
          <w:p w14:paraId="19195AB5"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804" w:type="dxa"/>
            <w:tcMar>
              <w:top w:w="0" w:type="dxa"/>
              <w:left w:w="108" w:type="dxa"/>
              <w:bottom w:w="0" w:type="dxa"/>
              <w:right w:w="108" w:type="dxa"/>
            </w:tcMar>
            <w:vAlign w:val="center"/>
          </w:tcPr>
          <w:p w14:paraId="7CB98BD2"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1162" w:type="dxa"/>
            <w:tcMar>
              <w:top w:w="0" w:type="dxa"/>
              <w:left w:w="108" w:type="dxa"/>
              <w:bottom w:w="0" w:type="dxa"/>
              <w:right w:w="108" w:type="dxa"/>
            </w:tcMar>
            <w:vAlign w:val="center"/>
          </w:tcPr>
          <w:p w14:paraId="7535EEB9"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1300" w:type="dxa"/>
            <w:tcMar>
              <w:top w:w="0" w:type="dxa"/>
              <w:left w:w="108" w:type="dxa"/>
              <w:bottom w:w="0" w:type="dxa"/>
              <w:right w:w="108" w:type="dxa"/>
            </w:tcMar>
            <w:vAlign w:val="center"/>
          </w:tcPr>
          <w:p w14:paraId="31141DBA"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1010" w:type="dxa"/>
            <w:tcMar>
              <w:top w:w="0" w:type="dxa"/>
              <w:left w:w="108" w:type="dxa"/>
              <w:bottom w:w="0" w:type="dxa"/>
              <w:right w:w="108" w:type="dxa"/>
            </w:tcMar>
            <w:vAlign w:val="center"/>
          </w:tcPr>
          <w:p w14:paraId="6BC53F69"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633" w:type="dxa"/>
            <w:tcMar>
              <w:top w:w="0" w:type="dxa"/>
              <w:left w:w="108" w:type="dxa"/>
              <w:bottom w:w="0" w:type="dxa"/>
              <w:right w:w="108" w:type="dxa"/>
            </w:tcMar>
            <w:vAlign w:val="center"/>
          </w:tcPr>
          <w:p w14:paraId="091E8CFE"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635" w:type="dxa"/>
            <w:tcMar>
              <w:top w:w="0" w:type="dxa"/>
              <w:left w:w="108" w:type="dxa"/>
              <w:bottom w:w="0" w:type="dxa"/>
              <w:right w:w="108" w:type="dxa"/>
            </w:tcMar>
            <w:vAlign w:val="center"/>
          </w:tcPr>
          <w:p w14:paraId="7413AAD6"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1241" w:type="dxa"/>
            <w:tcMar>
              <w:top w:w="0" w:type="dxa"/>
              <w:left w:w="108" w:type="dxa"/>
              <w:bottom w:w="0" w:type="dxa"/>
              <w:right w:w="108" w:type="dxa"/>
            </w:tcMar>
            <w:vAlign w:val="center"/>
          </w:tcPr>
          <w:p w14:paraId="318DC748"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c>
          <w:tcPr>
            <w:tcW w:w="960" w:type="dxa"/>
            <w:tcMar>
              <w:top w:w="0" w:type="dxa"/>
              <w:left w:w="108" w:type="dxa"/>
              <w:bottom w:w="0" w:type="dxa"/>
              <w:right w:w="108" w:type="dxa"/>
            </w:tcMar>
            <w:vAlign w:val="center"/>
          </w:tcPr>
          <w:p w14:paraId="2722F298" w14:textId="77777777" w:rsidR="00A17D4D" w:rsidRPr="00A17D4D" w:rsidRDefault="00A17D4D" w:rsidP="00A17D4D">
            <w:pPr>
              <w:spacing w:before="120" w:after="120" w:line="240" w:lineRule="auto"/>
              <w:jc w:val="center"/>
              <w:rPr>
                <w:rFonts w:ascii="Söhne" w:eastAsia="Times New Roman" w:hAnsi="Söhne" w:cs="Times New Roman"/>
                <w:sz w:val="16"/>
                <w:szCs w:val="16"/>
                <w:lang w:val="en-IE" w:eastAsia="fr-FR"/>
              </w:rPr>
            </w:pPr>
          </w:p>
        </w:tc>
      </w:tr>
    </w:tbl>
    <w:p w14:paraId="532950D7" w14:textId="77777777" w:rsidR="00A17D4D" w:rsidRPr="00A17D4D" w:rsidRDefault="00A17D4D" w:rsidP="00A17D4D">
      <w:pPr>
        <w:spacing w:before="120" w:after="240" w:line="240" w:lineRule="auto"/>
        <w:jc w:val="center"/>
        <w:rPr>
          <w:rFonts w:ascii="Söhne" w:eastAsia="Calibri" w:hAnsi="Söhne" w:cs="Times New Roman"/>
          <w:sz w:val="16"/>
          <w:szCs w:val="16"/>
          <w:lang w:val="en-IE"/>
        </w:rPr>
      </w:pPr>
      <w:r w:rsidRPr="00A17D4D">
        <w:rPr>
          <w:rFonts w:ascii="Söhne" w:eastAsia="Calibri" w:hAnsi="Söhne" w:cs="Arial"/>
          <w:sz w:val="16"/>
          <w:szCs w:val="16"/>
          <w:lang w:val="en-IE"/>
        </w:rPr>
        <w:t xml:space="preserve">DSe = diagnostic sensitivity, DSp = diagnostic specificity, </w:t>
      </w:r>
      <w:r w:rsidRPr="00A17D4D">
        <w:rPr>
          <w:rFonts w:ascii="Söhne" w:eastAsia="Calibri" w:hAnsi="Söhne" w:cs="Arial"/>
          <w:i/>
          <w:sz w:val="16"/>
          <w:szCs w:val="16"/>
          <w:lang w:val="en-IE"/>
        </w:rPr>
        <w:t>n</w:t>
      </w:r>
      <w:r w:rsidRPr="00A17D4D">
        <w:rPr>
          <w:rFonts w:ascii="Söhne" w:eastAsia="Calibri" w:hAnsi="Söhne" w:cs="Arial"/>
          <w:sz w:val="16"/>
          <w:szCs w:val="16"/>
          <w:lang w:val="en-IE"/>
        </w:rPr>
        <w:t xml:space="preserve"> = number of samples used in the study.</w:t>
      </w:r>
    </w:p>
    <w:p w14:paraId="730F2850" w14:textId="77777777" w:rsidR="00A17D4D" w:rsidRPr="00A17D4D" w:rsidRDefault="00A17D4D" w:rsidP="00A17D4D">
      <w:pPr>
        <w:spacing w:after="120" w:line="240" w:lineRule="auto"/>
        <w:ind w:left="1418" w:hanging="567"/>
        <w:jc w:val="both"/>
        <w:rPr>
          <w:rFonts w:ascii="Söhne Kräftig" w:eastAsia="Times New Roman" w:hAnsi="Söhne Kräftig" w:cs="Times New Roman"/>
          <w:bCs/>
          <w:sz w:val="20"/>
          <w:lang w:val="en-GB" w:eastAsia="fr-FR"/>
        </w:rPr>
      </w:pPr>
      <w:r w:rsidRPr="00A17D4D">
        <w:rPr>
          <w:rFonts w:ascii="Söhne Kräftig" w:eastAsia="Times New Roman" w:hAnsi="Söhne Kräftig" w:cs="Times New Roman"/>
          <w:bCs/>
          <w:sz w:val="20"/>
          <w:lang w:val="en-GB" w:eastAsia="fr-FR"/>
        </w:rPr>
        <w:t>6.3.2.</w:t>
      </w:r>
      <w:r w:rsidRPr="00A17D4D">
        <w:rPr>
          <w:rFonts w:ascii="Söhne Kräftig" w:eastAsia="Times New Roman" w:hAnsi="Söhne Kräftig" w:cs="Times New Roman"/>
          <w:bCs/>
          <w:sz w:val="20"/>
          <w:lang w:val="en-GB"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7"/>
        <w:gridCol w:w="1000"/>
        <w:gridCol w:w="1066"/>
        <w:gridCol w:w="1352"/>
        <w:gridCol w:w="992"/>
        <w:gridCol w:w="536"/>
        <w:gridCol w:w="638"/>
        <w:gridCol w:w="1221"/>
        <w:gridCol w:w="946"/>
      </w:tblGrid>
      <w:tr w:rsidR="00A17D4D" w:rsidRPr="00A17D4D" w14:paraId="22AA4FF2" w14:textId="77777777">
        <w:tc>
          <w:tcPr>
            <w:tcW w:w="1147" w:type="dxa"/>
            <w:tcMar>
              <w:top w:w="0" w:type="dxa"/>
              <w:left w:w="108" w:type="dxa"/>
              <w:bottom w:w="0" w:type="dxa"/>
              <w:right w:w="108" w:type="dxa"/>
            </w:tcMar>
            <w:vAlign w:val="center"/>
            <w:hideMark/>
          </w:tcPr>
          <w:p w14:paraId="278A7E99"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Test type</w:t>
            </w:r>
          </w:p>
        </w:tc>
        <w:tc>
          <w:tcPr>
            <w:tcW w:w="1000" w:type="dxa"/>
            <w:tcMar>
              <w:top w:w="0" w:type="dxa"/>
              <w:left w:w="108" w:type="dxa"/>
              <w:bottom w:w="0" w:type="dxa"/>
              <w:right w:w="108" w:type="dxa"/>
            </w:tcMar>
            <w:vAlign w:val="center"/>
            <w:hideMark/>
          </w:tcPr>
          <w:p w14:paraId="07277F0A"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Test purpose</w:t>
            </w:r>
          </w:p>
        </w:tc>
        <w:tc>
          <w:tcPr>
            <w:tcW w:w="1066" w:type="dxa"/>
            <w:tcMar>
              <w:top w:w="0" w:type="dxa"/>
              <w:left w:w="108" w:type="dxa"/>
              <w:bottom w:w="0" w:type="dxa"/>
              <w:right w:w="108" w:type="dxa"/>
            </w:tcMar>
            <w:vAlign w:val="center"/>
            <w:hideMark/>
          </w:tcPr>
          <w:p w14:paraId="114152BD"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Source populations</w:t>
            </w:r>
          </w:p>
        </w:tc>
        <w:tc>
          <w:tcPr>
            <w:tcW w:w="1352" w:type="dxa"/>
            <w:tcMar>
              <w:top w:w="0" w:type="dxa"/>
              <w:left w:w="108" w:type="dxa"/>
              <w:bottom w:w="0" w:type="dxa"/>
              <w:right w:w="108" w:type="dxa"/>
            </w:tcMar>
            <w:vAlign w:val="center"/>
            <w:hideMark/>
          </w:tcPr>
          <w:p w14:paraId="120FE7AB"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Tissue or sample types</w:t>
            </w:r>
          </w:p>
        </w:tc>
        <w:tc>
          <w:tcPr>
            <w:tcW w:w="992" w:type="dxa"/>
            <w:tcMar>
              <w:top w:w="0" w:type="dxa"/>
              <w:left w:w="108" w:type="dxa"/>
              <w:bottom w:w="0" w:type="dxa"/>
              <w:right w:w="108" w:type="dxa"/>
            </w:tcMar>
            <w:vAlign w:val="center"/>
            <w:hideMark/>
          </w:tcPr>
          <w:p w14:paraId="073737C8"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Species</w:t>
            </w:r>
          </w:p>
        </w:tc>
        <w:tc>
          <w:tcPr>
            <w:tcW w:w="536" w:type="dxa"/>
            <w:tcMar>
              <w:top w:w="0" w:type="dxa"/>
              <w:left w:w="108" w:type="dxa"/>
              <w:bottom w:w="0" w:type="dxa"/>
              <w:right w:w="108" w:type="dxa"/>
            </w:tcMar>
            <w:vAlign w:val="center"/>
            <w:hideMark/>
          </w:tcPr>
          <w:p w14:paraId="6C63B105"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DSe (</w:t>
            </w:r>
            <w:r w:rsidRPr="00A17D4D">
              <w:rPr>
                <w:rFonts w:ascii="Söhne Kräftig" w:eastAsia="Times New Roman" w:hAnsi="Söhne Kräftig" w:cs="Times New Roman"/>
                <w:i/>
                <w:sz w:val="16"/>
                <w:szCs w:val="16"/>
                <w:lang w:val="en-IE" w:eastAsia="fr-FR"/>
              </w:rPr>
              <w:t>n</w:t>
            </w:r>
            <w:r w:rsidRPr="00A17D4D">
              <w:rPr>
                <w:rFonts w:ascii="Söhne Kräftig" w:eastAsia="Times New Roman" w:hAnsi="Söhne Kräftig" w:cs="Times New Roman"/>
                <w:sz w:val="16"/>
                <w:szCs w:val="16"/>
                <w:lang w:val="en-IE" w:eastAsia="fr-FR"/>
              </w:rPr>
              <w:t>)</w:t>
            </w:r>
          </w:p>
        </w:tc>
        <w:tc>
          <w:tcPr>
            <w:tcW w:w="638" w:type="dxa"/>
            <w:tcMar>
              <w:top w:w="0" w:type="dxa"/>
              <w:left w:w="108" w:type="dxa"/>
              <w:bottom w:w="0" w:type="dxa"/>
              <w:right w:w="108" w:type="dxa"/>
            </w:tcMar>
            <w:vAlign w:val="center"/>
            <w:hideMark/>
          </w:tcPr>
          <w:p w14:paraId="478B03F4"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DSp (</w:t>
            </w:r>
            <w:r w:rsidRPr="00A17D4D">
              <w:rPr>
                <w:rFonts w:ascii="Söhne Kräftig" w:eastAsia="Times New Roman" w:hAnsi="Söhne Kräftig" w:cs="Times New Roman"/>
                <w:i/>
                <w:sz w:val="16"/>
                <w:szCs w:val="16"/>
                <w:lang w:val="en-IE" w:eastAsia="fr-FR"/>
              </w:rPr>
              <w:t>n</w:t>
            </w:r>
            <w:r w:rsidRPr="00A17D4D">
              <w:rPr>
                <w:rFonts w:ascii="Söhne Kräftig" w:eastAsia="Times New Roman" w:hAnsi="Söhne Kräftig" w:cs="Times New Roman"/>
                <w:sz w:val="16"/>
                <w:szCs w:val="16"/>
                <w:lang w:val="en-IE" w:eastAsia="fr-FR"/>
              </w:rPr>
              <w:t>)</w:t>
            </w:r>
          </w:p>
        </w:tc>
        <w:tc>
          <w:tcPr>
            <w:tcW w:w="1221" w:type="dxa"/>
            <w:tcMar>
              <w:top w:w="0" w:type="dxa"/>
              <w:left w:w="108" w:type="dxa"/>
              <w:bottom w:w="0" w:type="dxa"/>
              <w:right w:w="108" w:type="dxa"/>
            </w:tcMar>
            <w:vAlign w:val="center"/>
            <w:hideMark/>
          </w:tcPr>
          <w:p w14:paraId="3B237A4A"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Reference test</w:t>
            </w:r>
          </w:p>
        </w:tc>
        <w:tc>
          <w:tcPr>
            <w:tcW w:w="946" w:type="dxa"/>
            <w:tcMar>
              <w:top w:w="0" w:type="dxa"/>
              <w:left w:w="108" w:type="dxa"/>
              <w:bottom w:w="0" w:type="dxa"/>
              <w:right w:w="108" w:type="dxa"/>
            </w:tcMar>
            <w:vAlign w:val="center"/>
            <w:hideMark/>
          </w:tcPr>
          <w:p w14:paraId="5B1729C5" w14:textId="77777777" w:rsidR="00A17D4D" w:rsidRPr="00A17D4D" w:rsidRDefault="00A17D4D" w:rsidP="00A17D4D">
            <w:pPr>
              <w:spacing w:before="120" w:after="120" w:line="240" w:lineRule="auto"/>
              <w:ind w:left="-57"/>
              <w:jc w:val="center"/>
              <w:rPr>
                <w:rFonts w:ascii="Söhne Kräftig" w:eastAsia="Calibri" w:hAnsi="Söhne Kräftig" w:cs="Times New Roman"/>
                <w:sz w:val="16"/>
                <w:szCs w:val="16"/>
                <w:lang w:val="en-IE"/>
              </w:rPr>
            </w:pPr>
            <w:r w:rsidRPr="00A17D4D">
              <w:rPr>
                <w:rFonts w:ascii="Söhne Kräftig" w:eastAsia="Times New Roman" w:hAnsi="Söhne Kräftig" w:cs="Times New Roman"/>
                <w:sz w:val="16"/>
                <w:szCs w:val="16"/>
                <w:lang w:val="en-IE" w:eastAsia="fr-FR"/>
              </w:rPr>
              <w:t>Citation</w:t>
            </w:r>
          </w:p>
        </w:tc>
      </w:tr>
      <w:tr w:rsidR="00A17D4D" w:rsidRPr="00A17D4D" w14:paraId="0FBC20BC" w14:textId="77777777">
        <w:tc>
          <w:tcPr>
            <w:tcW w:w="1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C9C789"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F8BDB2"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10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9210EF"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13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06E4C"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B452C4"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D81E77"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159F56"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12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8E737F"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F18D07" w14:textId="77777777" w:rsidR="00A17D4D" w:rsidRPr="00A17D4D" w:rsidRDefault="00A17D4D" w:rsidP="00A17D4D">
            <w:pPr>
              <w:spacing w:before="120" w:after="120" w:line="240" w:lineRule="auto"/>
              <w:ind w:left="-57"/>
              <w:jc w:val="center"/>
              <w:rPr>
                <w:rFonts w:ascii="Söhne" w:eastAsia="Times New Roman" w:hAnsi="Söhne" w:cs="Times New Roman"/>
                <w:sz w:val="16"/>
                <w:szCs w:val="16"/>
                <w:lang w:val="en-IE" w:eastAsia="fr-FR"/>
              </w:rPr>
            </w:pPr>
          </w:p>
        </w:tc>
      </w:tr>
    </w:tbl>
    <w:p w14:paraId="3F4081F2" w14:textId="77777777" w:rsidR="00A17D4D" w:rsidRPr="00A17D4D" w:rsidRDefault="00A17D4D" w:rsidP="00A17D4D">
      <w:pPr>
        <w:spacing w:before="120" w:after="240" w:line="240" w:lineRule="auto"/>
        <w:jc w:val="center"/>
        <w:rPr>
          <w:rFonts w:ascii="Söhne" w:eastAsia="Calibri" w:hAnsi="Söhne" w:cs="Arial"/>
          <w:sz w:val="16"/>
          <w:szCs w:val="16"/>
          <w:lang w:val="en-IE"/>
        </w:rPr>
      </w:pPr>
      <w:r w:rsidRPr="00A17D4D">
        <w:rPr>
          <w:rFonts w:ascii="Söhne" w:eastAsia="Calibri" w:hAnsi="Söhne" w:cs="Arial"/>
          <w:sz w:val="16"/>
          <w:szCs w:val="16"/>
          <w:lang w:val="en-IE"/>
        </w:rPr>
        <w:t xml:space="preserve">DSe = diagnostic sensitivity, DSp = diagnostic specificity, </w:t>
      </w:r>
      <w:bookmarkStart w:id="5" w:name="_Hlk34065189"/>
      <w:r w:rsidRPr="00A17D4D">
        <w:rPr>
          <w:rFonts w:ascii="Söhne" w:eastAsia="Calibri" w:hAnsi="Söhne" w:cs="Arial"/>
          <w:i/>
          <w:sz w:val="16"/>
          <w:szCs w:val="16"/>
          <w:lang w:val="en-IE"/>
        </w:rPr>
        <w:t>n</w:t>
      </w:r>
      <w:r w:rsidRPr="00A17D4D">
        <w:rPr>
          <w:rFonts w:ascii="Söhne" w:eastAsia="Calibri" w:hAnsi="Söhne" w:cs="Arial"/>
          <w:sz w:val="16"/>
          <w:szCs w:val="16"/>
          <w:lang w:val="en-IE"/>
        </w:rPr>
        <w:t xml:space="preserve"> = number of samples used in the study</w:t>
      </w:r>
      <w:bookmarkEnd w:id="5"/>
      <w:r w:rsidRPr="00A17D4D">
        <w:rPr>
          <w:rFonts w:ascii="Söhne" w:eastAsia="Calibri" w:hAnsi="Söhne" w:cs="Arial"/>
          <w:sz w:val="16"/>
          <w:szCs w:val="16"/>
          <w:lang w:val="en-IE"/>
        </w:rPr>
        <w:t>.</w:t>
      </w:r>
    </w:p>
    <w:p w14:paraId="28C5FCDA" w14:textId="77777777" w:rsidR="00A17D4D" w:rsidRPr="00A17D4D" w:rsidRDefault="00A17D4D" w:rsidP="00A17D4D">
      <w:pPr>
        <w:spacing w:after="240" w:line="240" w:lineRule="auto"/>
        <w:ind w:left="284" w:hanging="284"/>
        <w:jc w:val="both"/>
        <w:rPr>
          <w:rFonts w:ascii="Söhne Halbfett" w:eastAsia="MS Mincho" w:hAnsi="Söhne Halbfett" w:cs="Times New Roman"/>
          <w:szCs w:val="20"/>
          <w:lang w:val="en-IE" w:eastAsia="fr-FR" w:bidi="en-US"/>
        </w:rPr>
      </w:pPr>
      <w:r w:rsidRPr="00A17D4D">
        <w:rPr>
          <w:rFonts w:ascii="Söhne Halbfett" w:eastAsia="MS Mincho" w:hAnsi="Söhne Halbfett" w:cs="Times New Roman"/>
          <w:szCs w:val="20"/>
          <w:lang w:val="en-IE" w:eastAsia="fr-FR" w:bidi="en-US"/>
        </w:rPr>
        <w:t>7.</w:t>
      </w:r>
      <w:r w:rsidRPr="00A17D4D">
        <w:rPr>
          <w:rFonts w:ascii="Söhne Halbfett" w:eastAsia="MS Mincho" w:hAnsi="Söhne Halbfett" w:cs="Times New Roman"/>
          <w:szCs w:val="20"/>
          <w:lang w:val="en-IE" w:eastAsia="fr-FR" w:bidi="en-US"/>
        </w:rPr>
        <w:tab/>
        <w:t>References</w:t>
      </w:r>
    </w:p>
    <w:p w14:paraId="4E820C2A"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bookmarkStart w:id="6" w:name="_Hlk54961932"/>
      <w:r w:rsidRPr="00A17D4D">
        <w:rPr>
          <w:rFonts w:ascii="Söhne" w:eastAsia="Times New Roman" w:hAnsi="Söhne" w:cs="Arial"/>
          <w:smallCaps/>
          <w:sz w:val="18"/>
          <w:szCs w:val="18"/>
          <w:lang w:val="en-IE" w:bidi="en-US"/>
        </w:rPr>
        <w:t>Alderman D.J.</w:t>
      </w:r>
      <w:r w:rsidRPr="00A17D4D">
        <w:rPr>
          <w:rFonts w:ascii="Söhne" w:eastAsia="Times New Roman" w:hAnsi="Söhne" w:cs="Arial"/>
          <w:sz w:val="18"/>
          <w:szCs w:val="18"/>
          <w:lang w:val="en-IE" w:bidi="en-US"/>
        </w:rPr>
        <w:t xml:space="preserve"> (1996). Geographical spread of bacterial and fungal diseases of crustaceans. </w:t>
      </w:r>
      <w:r w:rsidRPr="00A17D4D">
        <w:rPr>
          <w:rFonts w:ascii="Söhne" w:eastAsia="Times New Roman" w:hAnsi="Söhne" w:cs="Arial"/>
          <w:i/>
          <w:sz w:val="18"/>
          <w:szCs w:val="18"/>
          <w:lang w:val="en-IE" w:bidi="en-US"/>
        </w:rPr>
        <w:t>Rev sci. tech. Off. int. Epiz.,</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15</w:t>
      </w:r>
      <w:r w:rsidRPr="00A17D4D">
        <w:rPr>
          <w:rFonts w:ascii="Söhne" w:eastAsia="Times New Roman" w:hAnsi="Söhne" w:cs="Arial"/>
          <w:sz w:val="18"/>
          <w:szCs w:val="18"/>
          <w:lang w:val="en-IE" w:bidi="en-US"/>
        </w:rPr>
        <w:t>, 603–632.</w:t>
      </w:r>
    </w:p>
    <w:p w14:paraId="6E198058"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GB" w:bidi="en-US"/>
        </w:rPr>
        <w:t>Alderman D.J. &amp; Polglase J.L.</w:t>
      </w:r>
      <w:r w:rsidRPr="00A17D4D">
        <w:rPr>
          <w:rFonts w:ascii="Söhne" w:eastAsia="Times New Roman" w:hAnsi="Söhne" w:cs="Arial"/>
          <w:sz w:val="18"/>
          <w:szCs w:val="18"/>
          <w:lang w:val="en-GB" w:bidi="en-US"/>
        </w:rPr>
        <w:t xml:space="preserve"> (1985). </w:t>
      </w:r>
      <w:r w:rsidRPr="00A17D4D">
        <w:rPr>
          <w:rFonts w:ascii="Söhne" w:eastAsia="Times New Roman" w:hAnsi="Söhne" w:cs="Arial"/>
          <w:sz w:val="18"/>
          <w:szCs w:val="18"/>
          <w:lang w:val="en-IE" w:bidi="en-US"/>
        </w:rPr>
        <w:t xml:space="preserve">Disinfection for crayfish plague. </w:t>
      </w:r>
      <w:r w:rsidRPr="00A17D4D">
        <w:rPr>
          <w:rFonts w:ascii="Söhne" w:eastAsia="Times New Roman" w:hAnsi="Söhne" w:cs="Arial"/>
          <w:i/>
          <w:sz w:val="18"/>
          <w:szCs w:val="18"/>
          <w:lang w:val="en-IE" w:bidi="en-US"/>
        </w:rPr>
        <w:t>Aquacult. Fish. Manage.,</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16</w:t>
      </w:r>
      <w:r w:rsidRPr="00A17D4D">
        <w:rPr>
          <w:rFonts w:ascii="Söhne" w:eastAsia="Times New Roman" w:hAnsi="Söhne" w:cs="Arial"/>
          <w:sz w:val="18"/>
          <w:szCs w:val="18"/>
          <w:lang w:val="en-IE" w:bidi="en-US"/>
        </w:rPr>
        <w:t>, 203–205.</w:t>
      </w:r>
    </w:p>
    <w:p w14:paraId="635DAF0C"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r w:rsidRPr="00A17D4D">
        <w:rPr>
          <w:rFonts w:ascii="Söhne" w:eastAsia="Times New Roman" w:hAnsi="Söhne" w:cs="Arial"/>
          <w:smallCaps/>
          <w:sz w:val="18"/>
          <w:szCs w:val="18"/>
          <w:lang w:val="en-IE" w:bidi="en-US"/>
        </w:rPr>
        <w:t xml:space="preserve">Alderman D.J. &amp; Polglase J.L. </w:t>
      </w:r>
      <w:r w:rsidRPr="00A17D4D">
        <w:rPr>
          <w:rFonts w:ascii="Söhne" w:eastAsia="Times New Roman" w:hAnsi="Söhne" w:cs="Arial"/>
          <w:sz w:val="18"/>
          <w:szCs w:val="18"/>
          <w:lang w:val="en-IE" w:bidi="en-US"/>
        </w:rPr>
        <w:t xml:space="preserve">(1986).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isolation and culture. </w:t>
      </w:r>
      <w:r w:rsidRPr="00A17D4D">
        <w:rPr>
          <w:rFonts w:ascii="Söhne" w:eastAsia="Times New Roman" w:hAnsi="Söhne" w:cs="Arial"/>
          <w:i/>
          <w:sz w:val="18"/>
          <w:szCs w:val="18"/>
          <w:lang w:val="nb-NO" w:bidi="en-US"/>
        </w:rPr>
        <w:t>J. Fish Dis</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9</w:t>
      </w:r>
      <w:r w:rsidRPr="00A17D4D">
        <w:rPr>
          <w:rFonts w:ascii="Söhne" w:eastAsia="Times New Roman" w:hAnsi="Söhne" w:cs="Arial"/>
          <w:sz w:val="18"/>
          <w:szCs w:val="18"/>
          <w:lang w:val="nb-NO" w:bidi="en-US"/>
        </w:rPr>
        <w:t>, 367–379.</w:t>
      </w:r>
    </w:p>
    <w:p w14:paraId="1C113B99" w14:textId="77777777" w:rsidR="00A17D4D" w:rsidRPr="00A17D4D" w:rsidRDefault="00A17D4D" w:rsidP="00A17D4D">
      <w:pPr>
        <w:spacing w:after="240" w:line="240" w:lineRule="auto"/>
        <w:jc w:val="both"/>
        <w:rPr>
          <w:rFonts w:ascii="Söhne" w:eastAsia="Times New Roman" w:hAnsi="Söhne" w:cs="Arial"/>
          <w:sz w:val="18"/>
          <w:szCs w:val="18"/>
          <w:lang w:val="es-ES" w:bidi="en-US"/>
        </w:rPr>
      </w:pPr>
      <w:r w:rsidRPr="00A17D4D">
        <w:rPr>
          <w:rFonts w:ascii="Söhne" w:eastAsia="Times New Roman" w:hAnsi="Söhne" w:cs="Arial"/>
          <w:smallCaps/>
          <w:sz w:val="18"/>
          <w:szCs w:val="18"/>
          <w:lang w:val="nb-NO" w:bidi="en-US"/>
        </w:rPr>
        <w:t xml:space="preserve">Alderman D.J., Polglase J.L. &amp; Frayling M. </w:t>
      </w:r>
      <w:r w:rsidRPr="00A17D4D">
        <w:rPr>
          <w:rFonts w:ascii="Söhne" w:eastAsia="Times New Roman" w:hAnsi="Söhne" w:cs="Arial"/>
          <w:sz w:val="18"/>
          <w:szCs w:val="18"/>
          <w:lang w:val="nb-NO" w:bidi="en-US"/>
        </w:rPr>
        <w:t xml:space="preserve">(1987).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pathogenicity under laboratory and field conditions. </w:t>
      </w:r>
      <w:r w:rsidRPr="00A17D4D">
        <w:rPr>
          <w:rFonts w:ascii="Söhne" w:eastAsia="Times New Roman" w:hAnsi="Söhne" w:cs="Arial"/>
          <w:i/>
          <w:sz w:val="18"/>
          <w:szCs w:val="18"/>
          <w:lang w:val="es-ES" w:bidi="en-US"/>
        </w:rPr>
        <w:t>J. Fish Dis</w:t>
      </w:r>
      <w:r w:rsidRPr="00A17D4D">
        <w:rPr>
          <w:rFonts w:ascii="Söhne" w:eastAsia="Times New Roman" w:hAnsi="Söhne" w:cs="Arial"/>
          <w:sz w:val="18"/>
          <w:szCs w:val="18"/>
          <w:lang w:val="es-ES" w:bidi="en-US"/>
        </w:rPr>
        <w:t xml:space="preserve">., </w:t>
      </w:r>
      <w:r w:rsidRPr="00A17D4D">
        <w:rPr>
          <w:rFonts w:ascii="Söhne" w:eastAsia="Times New Roman" w:hAnsi="Söhne" w:cs="Arial"/>
          <w:b/>
          <w:sz w:val="18"/>
          <w:szCs w:val="18"/>
          <w:lang w:val="es-ES" w:bidi="en-US"/>
        </w:rPr>
        <w:t>10</w:t>
      </w:r>
      <w:r w:rsidRPr="00A17D4D">
        <w:rPr>
          <w:rFonts w:ascii="Söhne" w:eastAsia="Times New Roman" w:hAnsi="Söhne" w:cs="Arial"/>
          <w:sz w:val="18"/>
          <w:szCs w:val="18"/>
          <w:lang w:val="es-ES" w:bidi="en-US"/>
        </w:rPr>
        <w:t>, 385–393.</w:t>
      </w:r>
    </w:p>
    <w:p w14:paraId="5C28270F" w14:textId="77777777" w:rsidR="00A17D4D" w:rsidRPr="00A17D4D" w:rsidRDefault="00A17D4D" w:rsidP="00A17D4D">
      <w:pPr>
        <w:spacing w:after="240" w:line="240" w:lineRule="auto"/>
        <w:jc w:val="both"/>
        <w:rPr>
          <w:rFonts w:ascii="Söhne" w:eastAsia="Times New Roman" w:hAnsi="Söhne" w:cs="Segoe UI"/>
          <w:sz w:val="18"/>
          <w:lang w:val="en-IE" w:bidi="en-US"/>
        </w:rPr>
      </w:pPr>
      <w:r w:rsidRPr="00A17D4D">
        <w:rPr>
          <w:rFonts w:ascii="Söhne" w:eastAsia="Times New Roman" w:hAnsi="Söhne" w:cs="Segoe UI"/>
          <w:smallCaps/>
          <w:sz w:val="18"/>
          <w:szCs w:val="18"/>
          <w:lang w:val="es-ES" w:bidi="en-US"/>
        </w:rPr>
        <w:t>Casabella-Herrero</w:t>
      </w:r>
      <w:r w:rsidRPr="00A17D4D">
        <w:rPr>
          <w:rFonts w:ascii="Söhne" w:eastAsia="Times New Roman" w:hAnsi="Söhne" w:cs="Times New Roman"/>
          <w:smallCaps/>
          <w:sz w:val="18"/>
          <w:lang w:val="es-ES" w:bidi="en-US"/>
        </w:rPr>
        <w:t xml:space="preserve"> </w:t>
      </w:r>
      <w:r w:rsidRPr="00A17D4D">
        <w:rPr>
          <w:rFonts w:ascii="Söhne" w:eastAsia="Times New Roman" w:hAnsi="Söhne" w:cs="Segoe UI"/>
          <w:smallCaps/>
          <w:sz w:val="18"/>
          <w:szCs w:val="18"/>
          <w:lang w:val="es-ES" w:bidi="en-US"/>
        </w:rPr>
        <w:t>G., Martínez-Ríos</w:t>
      </w:r>
      <w:r w:rsidRPr="00A17D4D">
        <w:rPr>
          <w:rFonts w:ascii="Söhne" w:eastAsia="Times New Roman" w:hAnsi="Söhne" w:cs="Times New Roman"/>
          <w:smallCaps/>
          <w:sz w:val="18"/>
          <w:lang w:val="es-ES" w:bidi="en-US"/>
        </w:rPr>
        <w:t xml:space="preserve"> </w:t>
      </w:r>
      <w:r w:rsidRPr="00A17D4D">
        <w:rPr>
          <w:rFonts w:ascii="Söhne" w:eastAsia="Times New Roman" w:hAnsi="Söhne" w:cs="Segoe UI"/>
          <w:smallCaps/>
          <w:sz w:val="18"/>
          <w:szCs w:val="18"/>
          <w:lang w:val="es-ES" w:bidi="en-US"/>
        </w:rPr>
        <w:t>M., Viljamaa-Dirks</w:t>
      </w:r>
      <w:r w:rsidRPr="00A17D4D">
        <w:rPr>
          <w:rFonts w:ascii="Söhne" w:eastAsia="Times New Roman" w:hAnsi="Söhne" w:cs="Times New Roman"/>
          <w:smallCaps/>
          <w:sz w:val="18"/>
          <w:lang w:val="es-ES" w:bidi="en-US"/>
        </w:rPr>
        <w:t xml:space="preserve"> </w:t>
      </w:r>
      <w:r w:rsidRPr="00A17D4D">
        <w:rPr>
          <w:rFonts w:ascii="Söhne" w:eastAsia="Times New Roman" w:hAnsi="Söhne" w:cs="Segoe UI"/>
          <w:smallCaps/>
          <w:sz w:val="18"/>
          <w:szCs w:val="18"/>
          <w:lang w:val="es-ES" w:bidi="en-US"/>
        </w:rPr>
        <w:t>S., Martín-Torrijos</w:t>
      </w:r>
      <w:r w:rsidRPr="00A17D4D">
        <w:rPr>
          <w:rFonts w:ascii="Söhne" w:eastAsia="Times New Roman" w:hAnsi="Söhne" w:cs="Times New Roman"/>
          <w:smallCaps/>
          <w:sz w:val="18"/>
          <w:lang w:val="es-ES" w:bidi="en-US"/>
        </w:rPr>
        <w:t xml:space="preserve"> </w:t>
      </w:r>
      <w:r w:rsidRPr="00A17D4D">
        <w:rPr>
          <w:rFonts w:ascii="Söhne" w:eastAsia="Times New Roman" w:hAnsi="Söhne" w:cs="Segoe UI"/>
          <w:smallCaps/>
          <w:sz w:val="18"/>
          <w:szCs w:val="18"/>
          <w:lang w:val="es-ES" w:bidi="en-US"/>
        </w:rPr>
        <w:t>L. &amp; Diéguez-Uribeondo</w:t>
      </w:r>
      <w:r w:rsidRPr="00A17D4D">
        <w:rPr>
          <w:rFonts w:ascii="Söhne" w:eastAsia="Times New Roman" w:hAnsi="Söhne" w:cs="Times New Roman"/>
          <w:smallCaps/>
          <w:sz w:val="18"/>
          <w:lang w:val="es-ES" w:bidi="en-US"/>
        </w:rPr>
        <w:t xml:space="preserve"> </w:t>
      </w:r>
      <w:r w:rsidRPr="00A17D4D">
        <w:rPr>
          <w:rFonts w:ascii="Söhne" w:eastAsia="Times New Roman" w:hAnsi="Söhne" w:cs="Segoe UI"/>
          <w:smallCaps/>
          <w:sz w:val="18"/>
          <w:szCs w:val="18"/>
          <w:lang w:val="es-ES" w:bidi="en-US"/>
        </w:rPr>
        <w:t>J</w:t>
      </w:r>
      <w:r w:rsidRPr="00A17D4D">
        <w:rPr>
          <w:rFonts w:ascii="Söhne" w:eastAsia="Times New Roman" w:hAnsi="Söhne" w:cs="Segoe UI"/>
          <w:sz w:val="18"/>
          <w:szCs w:val="18"/>
          <w:lang w:val="es-ES" w:bidi="en-US"/>
        </w:rPr>
        <w:t xml:space="preserve">. (2021). </w:t>
      </w:r>
      <w:r w:rsidRPr="00A17D4D">
        <w:rPr>
          <w:rFonts w:ascii="Söhne" w:eastAsia="Times New Roman" w:hAnsi="Söhne" w:cs="Times New Roman"/>
          <w:i/>
          <w:iCs/>
          <w:sz w:val="18"/>
          <w:lang w:val="en-IE" w:bidi="en-US"/>
        </w:rPr>
        <w:t>Aphanomyces astaci</w:t>
      </w:r>
      <w:r w:rsidRPr="00A17D4D">
        <w:rPr>
          <w:rFonts w:ascii="Söhne" w:eastAsia="Times New Roman" w:hAnsi="Söhne" w:cs="Times New Roman"/>
          <w:sz w:val="18"/>
          <w:lang w:val="en-IE" w:bidi="en-US"/>
        </w:rPr>
        <w:t xml:space="preserve"> mtDNA: insights into the pathogen’s differentiation and its genetic diversity from other closely related oomycetes.</w:t>
      </w:r>
      <w:r w:rsidRPr="00A17D4D">
        <w:rPr>
          <w:rFonts w:ascii="Söhne" w:eastAsia="Times New Roman" w:hAnsi="Söhne" w:cs="Segoe UI"/>
          <w:sz w:val="18"/>
          <w:lang w:val="en-IE" w:bidi="en-US"/>
        </w:rPr>
        <w:t xml:space="preserve"> </w:t>
      </w:r>
      <w:r w:rsidRPr="00A17D4D">
        <w:rPr>
          <w:rFonts w:ascii="Söhne" w:eastAsia="Times New Roman" w:hAnsi="Söhne" w:cs="Segoe UI"/>
          <w:i/>
          <w:iCs/>
          <w:sz w:val="18"/>
          <w:lang w:val="en-IE" w:bidi="en-US"/>
        </w:rPr>
        <w:t>Fungal Biol.,</w:t>
      </w:r>
      <w:r w:rsidRPr="00A17D4D">
        <w:rPr>
          <w:rFonts w:ascii="Söhne" w:eastAsia="Times New Roman" w:hAnsi="Söhne" w:cs="Segoe UI"/>
          <w:sz w:val="18"/>
          <w:lang w:val="en-IE" w:bidi="en-US"/>
        </w:rPr>
        <w:t xml:space="preserve"> </w:t>
      </w:r>
      <w:r w:rsidRPr="00A17D4D">
        <w:rPr>
          <w:rFonts w:ascii="Söhne" w:eastAsia="Times New Roman" w:hAnsi="Söhne" w:cs="Segoe UI"/>
          <w:b/>
          <w:bCs/>
          <w:sz w:val="18"/>
          <w:szCs w:val="18"/>
          <w:lang w:val="en-IE" w:bidi="en-US"/>
        </w:rPr>
        <w:t>125</w:t>
      </w:r>
      <w:r w:rsidRPr="00A17D4D">
        <w:rPr>
          <w:rFonts w:ascii="Söhne" w:eastAsia="Times New Roman" w:hAnsi="Söhne" w:cs="Segoe UI"/>
          <w:sz w:val="18"/>
          <w:szCs w:val="18"/>
          <w:lang w:val="en-IE" w:bidi="en-US"/>
        </w:rPr>
        <w:t xml:space="preserve">, 316–325. </w:t>
      </w:r>
      <w:r w:rsidRPr="00A17D4D">
        <w:rPr>
          <w:rFonts w:ascii="Söhne" w:eastAsia="Times New Roman" w:hAnsi="Söhne" w:cs="Segoe UI"/>
          <w:sz w:val="18"/>
          <w:lang w:val="en-IE" w:bidi="en-US"/>
        </w:rPr>
        <w:t> </w:t>
      </w:r>
      <w:r w:rsidRPr="00A17D4D">
        <w:rPr>
          <w:rFonts w:ascii="Söhne" w:eastAsia="MS Mincho" w:hAnsi="Söhne" w:cs="Segoe UI"/>
          <w:sz w:val="18"/>
          <w:szCs w:val="18"/>
          <w:lang w:val="en-IE" w:bidi="en-US"/>
        </w:rPr>
        <w:t>doi: 10.1016/j.funbio.2020.11.010.</w:t>
      </w:r>
      <w:r w:rsidRPr="00A17D4D">
        <w:rPr>
          <w:rFonts w:ascii="Söhne" w:eastAsia="Times New Roman" w:hAnsi="Söhne" w:cs="Segoe UI"/>
          <w:sz w:val="18"/>
          <w:lang w:val="en-IE" w:bidi="en-US"/>
        </w:rPr>
        <w:t> </w:t>
      </w:r>
      <w:r w:rsidRPr="00A17D4D">
        <w:rPr>
          <w:rFonts w:ascii="Söhne" w:eastAsia="Times New Roman" w:hAnsi="Söhne" w:cs="Segoe UI"/>
          <w:sz w:val="18"/>
          <w:szCs w:val="18"/>
          <w:lang w:val="en-IE" w:bidi="en-US"/>
        </w:rPr>
        <w:t>Epub 2020 Dec 2.</w:t>
      </w:r>
    </w:p>
    <w:p w14:paraId="0B6F596C" w14:textId="77777777" w:rsidR="00A17D4D" w:rsidRPr="00A17D4D" w:rsidRDefault="00A17D4D" w:rsidP="00A17D4D">
      <w:pPr>
        <w:spacing w:after="240" w:line="240" w:lineRule="auto"/>
        <w:jc w:val="both"/>
        <w:rPr>
          <w:rFonts w:ascii="Söhne" w:eastAsia="Times New Roman" w:hAnsi="Söhne" w:cs="Segoe UI"/>
          <w:sz w:val="18"/>
          <w:lang w:bidi="en-US"/>
        </w:rPr>
      </w:pPr>
      <w:r w:rsidRPr="00A17D4D">
        <w:rPr>
          <w:rFonts w:ascii="Söhne" w:eastAsia="Times New Roman" w:hAnsi="Söhne" w:cs="Segoe UI"/>
          <w:smallCaps/>
          <w:sz w:val="18"/>
          <w:szCs w:val="18"/>
          <w:lang w:val="en-IE" w:bidi="en-US"/>
        </w:rPr>
        <w:t>Cerenius L. &amp; Söderhäll</w:t>
      </w:r>
      <w:r w:rsidRPr="00A17D4D">
        <w:rPr>
          <w:rFonts w:ascii="Söhne" w:eastAsia="Times New Roman" w:hAnsi="Söhne" w:cs="Segoe UI"/>
          <w:sz w:val="18"/>
          <w:szCs w:val="18"/>
          <w:lang w:val="en-IE" w:bidi="en-US"/>
        </w:rPr>
        <w:t xml:space="preserve"> K. (1984). </w:t>
      </w:r>
      <w:r w:rsidRPr="00A17D4D">
        <w:rPr>
          <w:rFonts w:ascii="Söhne" w:eastAsia="Times New Roman" w:hAnsi="Söhne" w:cs="Segoe UI"/>
          <w:sz w:val="18"/>
          <w:szCs w:val="18"/>
          <w:lang w:bidi="en-US"/>
        </w:rPr>
        <w:t xml:space="preserve">Chemotaxis in </w:t>
      </w:r>
      <w:r w:rsidRPr="00A17D4D">
        <w:rPr>
          <w:rFonts w:ascii="Söhne" w:eastAsia="Times New Roman" w:hAnsi="Söhne" w:cs="Segoe UI"/>
          <w:i/>
          <w:iCs/>
          <w:sz w:val="18"/>
          <w:szCs w:val="18"/>
          <w:lang w:bidi="en-US"/>
        </w:rPr>
        <w:t>Aphanomyces astaci</w:t>
      </w:r>
      <w:r w:rsidRPr="00A17D4D">
        <w:rPr>
          <w:rFonts w:ascii="Söhne" w:eastAsia="Times New Roman" w:hAnsi="Söhne" w:cs="Segoe UI"/>
          <w:sz w:val="18"/>
          <w:szCs w:val="18"/>
          <w:lang w:bidi="en-US"/>
        </w:rPr>
        <w:t xml:space="preserve">, an arthropodparasitic fungus. </w:t>
      </w:r>
      <w:r w:rsidRPr="00A17D4D">
        <w:rPr>
          <w:rFonts w:ascii="Söhne" w:eastAsia="Times New Roman" w:hAnsi="Söhne" w:cs="Segoe UI"/>
          <w:i/>
          <w:iCs/>
          <w:sz w:val="18"/>
          <w:szCs w:val="18"/>
          <w:lang w:bidi="en-US"/>
        </w:rPr>
        <w:t>J. Invertabr. Pathol.,</w:t>
      </w:r>
      <w:r w:rsidRPr="00A17D4D">
        <w:rPr>
          <w:rFonts w:ascii="Söhne" w:eastAsia="Times New Roman" w:hAnsi="Söhne" w:cs="Segoe UI"/>
          <w:sz w:val="18"/>
          <w:szCs w:val="18"/>
          <w:lang w:bidi="en-US"/>
        </w:rPr>
        <w:t xml:space="preserve"> </w:t>
      </w:r>
      <w:r w:rsidRPr="00A17D4D">
        <w:rPr>
          <w:rFonts w:ascii="Söhne" w:eastAsia="Times New Roman" w:hAnsi="Söhne" w:cs="Segoe UI"/>
          <w:b/>
          <w:bCs/>
          <w:sz w:val="18"/>
          <w:szCs w:val="18"/>
          <w:lang w:bidi="en-US"/>
        </w:rPr>
        <w:t>43</w:t>
      </w:r>
      <w:r w:rsidRPr="00A17D4D">
        <w:rPr>
          <w:rFonts w:ascii="Söhne" w:eastAsia="Times New Roman" w:hAnsi="Söhne" w:cs="Segoe UI"/>
          <w:sz w:val="18"/>
          <w:szCs w:val="18"/>
          <w:lang w:bidi="en-US"/>
        </w:rPr>
        <w:t>, 278–281.</w:t>
      </w:r>
    </w:p>
    <w:p w14:paraId="49C63816" w14:textId="77777777" w:rsidR="00A17D4D" w:rsidRPr="00A17D4D" w:rsidRDefault="00A17D4D" w:rsidP="00A17D4D">
      <w:pPr>
        <w:spacing w:after="240" w:line="240" w:lineRule="auto"/>
        <w:jc w:val="both"/>
        <w:rPr>
          <w:rFonts w:ascii="Söhne" w:eastAsia="Times New Roman" w:hAnsi="Söhne" w:cs="Arial"/>
          <w:sz w:val="18"/>
          <w:szCs w:val="18"/>
          <w:lang w:val="en-IE"/>
        </w:rPr>
      </w:pPr>
      <w:r w:rsidRPr="00A17D4D">
        <w:rPr>
          <w:rFonts w:ascii="Söhne" w:eastAsia="Times New Roman" w:hAnsi="Söhne" w:cs="Arial"/>
          <w:smallCaps/>
          <w:sz w:val="18"/>
          <w:szCs w:val="18"/>
          <w:lang w:val="en-IE"/>
        </w:rPr>
        <w:t>Cerenius L., Söderhäll K. &amp; Fuller M.S.</w:t>
      </w:r>
      <w:r w:rsidRPr="00A17D4D">
        <w:rPr>
          <w:rFonts w:ascii="Söhne" w:eastAsia="Times New Roman" w:hAnsi="Söhne" w:cs="Arial"/>
          <w:sz w:val="18"/>
          <w:szCs w:val="18"/>
          <w:lang w:val="en-IE"/>
        </w:rPr>
        <w:t xml:space="preserve"> (1987). </w:t>
      </w:r>
      <w:r w:rsidRPr="00A17D4D">
        <w:rPr>
          <w:rFonts w:ascii="Söhne" w:eastAsia="Times New Roman" w:hAnsi="Söhne" w:cs="Arial"/>
          <w:i/>
          <w:sz w:val="18"/>
          <w:szCs w:val="18"/>
          <w:lang w:val="en-IE"/>
        </w:rPr>
        <w:t>Aphanomyces astaci</w:t>
      </w:r>
      <w:r w:rsidRPr="00A17D4D">
        <w:rPr>
          <w:rFonts w:ascii="Söhne" w:eastAsia="Times New Roman" w:hAnsi="Söhne" w:cs="Arial"/>
          <w:sz w:val="18"/>
          <w:szCs w:val="18"/>
          <w:lang w:val="en-IE"/>
        </w:rPr>
        <w:t xml:space="preserve"> and </w:t>
      </w:r>
      <w:r w:rsidRPr="00A17D4D">
        <w:rPr>
          <w:rFonts w:ascii="Söhne" w:eastAsia="Times New Roman" w:hAnsi="Söhne" w:cs="Arial"/>
          <w:i/>
          <w:sz w:val="18"/>
          <w:szCs w:val="18"/>
          <w:lang w:val="en-IE"/>
        </w:rPr>
        <w:t xml:space="preserve">Aphanomyces </w:t>
      </w:r>
      <w:r w:rsidRPr="00A17D4D">
        <w:rPr>
          <w:rFonts w:ascii="Söhne" w:eastAsia="Times New Roman" w:hAnsi="Söhne" w:cs="Arial"/>
          <w:iCs/>
          <w:sz w:val="18"/>
          <w:szCs w:val="18"/>
          <w:lang w:val="en-IE"/>
        </w:rPr>
        <w:t>spp</w:t>
      </w:r>
      <w:r w:rsidRPr="00A17D4D">
        <w:rPr>
          <w:rFonts w:ascii="Söhne" w:eastAsia="Times New Roman" w:hAnsi="Söhne" w:cs="Arial"/>
          <w:sz w:val="18"/>
          <w:szCs w:val="18"/>
          <w:lang w:val="en-IE"/>
        </w:rPr>
        <w:t xml:space="preserve">. </w:t>
      </w:r>
      <w:r w:rsidRPr="00A17D4D">
        <w:rPr>
          <w:rFonts w:ascii="Söhne" w:eastAsia="Times New Roman" w:hAnsi="Söhne" w:cs="Arial"/>
          <w:i/>
          <w:iCs/>
          <w:sz w:val="18"/>
          <w:szCs w:val="18"/>
          <w:lang w:val="en-IE"/>
        </w:rPr>
        <w:t>In:</w:t>
      </w:r>
      <w:r w:rsidRPr="00A17D4D">
        <w:rPr>
          <w:rFonts w:ascii="Söhne" w:eastAsia="Times New Roman" w:hAnsi="Söhne" w:cs="Arial"/>
          <w:sz w:val="18"/>
          <w:szCs w:val="18"/>
          <w:lang w:val="en-IE"/>
        </w:rPr>
        <w:t xml:space="preserve"> Zoosporic fungi in teaching and research, Fuller M.S. &amp; Jaworski A., eds. South-Eastern Publishing Corp., Athens, Georgia, USA. pp 64–65.</w:t>
      </w:r>
    </w:p>
    <w:p w14:paraId="54627224" w14:textId="77777777" w:rsidR="00A17D4D" w:rsidRPr="00A17D4D" w:rsidRDefault="00A17D4D" w:rsidP="00A17D4D">
      <w:pPr>
        <w:spacing w:after="240" w:line="240" w:lineRule="auto"/>
        <w:jc w:val="both"/>
        <w:rPr>
          <w:rFonts w:ascii="Söhne" w:eastAsia="Times New Roman" w:hAnsi="Söhne" w:cs="Arial"/>
          <w:sz w:val="18"/>
          <w:szCs w:val="18"/>
          <w:lang w:val="it-IT" w:bidi="en-US"/>
        </w:rPr>
      </w:pPr>
      <w:r w:rsidRPr="00A17D4D">
        <w:rPr>
          <w:rFonts w:ascii="Söhne" w:eastAsia="Times New Roman" w:hAnsi="Söhne" w:cs="Arial"/>
          <w:smallCaps/>
          <w:sz w:val="18"/>
          <w:szCs w:val="18"/>
          <w:lang w:val="en-IE" w:bidi="en-US"/>
        </w:rPr>
        <w:t>Cerenius L., Söderhäll K., Persson M. &amp; Ajaxon R.</w:t>
      </w:r>
      <w:r w:rsidRPr="00A17D4D">
        <w:rPr>
          <w:rFonts w:ascii="Söhne" w:eastAsia="Times New Roman" w:hAnsi="Söhne" w:cs="Arial"/>
          <w:sz w:val="18"/>
          <w:szCs w:val="18"/>
          <w:lang w:val="en-IE" w:bidi="en-US"/>
        </w:rPr>
        <w:t xml:space="preserve"> (1988). The crayfish plague fungus,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 diagnosis, isolation and pathobiology. </w:t>
      </w:r>
      <w:r w:rsidRPr="00A17D4D">
        <w:rPr>
          <w:rFonts w:ascii="Söhne" w:eastAsia="Times New Roman" w:hAnsi="Söhne" w:cs="Arial"/>
          <w:i/>
          <w:sz w:val="18"/>
          <w:szCs w:val="18"/>
          <w:lang w:val="it-IT" w:bidi="en-US"/>
        </w:rPr>
        <w:t>Freshwater Crayfish</w:t>
      </w:r>
      <w:r w:rsidRPr="00A17D4D">
        <w:rPr>
          <w:rFonts w:ascii="Söhne" w:eastAsia="Times New Roman" w:hAnsi="Söhne" w:cs="Arial"/>
          <w:sz w:val="18"/>
          <w:szCs w:val="18"/>
          <w:lang w:val="it-IT" w:bidi="en-US"/>
        </w:rPr>
        <w:t xml:space="preserve">, </w:t>
      </w:r>
      <w:r w:rsidRPr="00A17D4D">
        <w:rPr>
          <w:rFonts w:ascii="Söhne" w:eastAsia="Times New Roman" w:hAnsi="Söhne" w:cs="Arial"/>
          <w:b/>
          <w:sz w:val="18"/>
          <w:szCs w:val="18"/>
          <w:lang w:val="it-IT" w:bidi="en-US"/>
        </w:rPr>
        <w:t>7</w:t>
      </w:r>
      <w:r w:rsidRPr="00A17D4D">
        <w:rPr>
          <w:rFonts w:ascii="Söhne" w:eastAsia="Times New Roman" w:hAnsi="Söhne" w:cs="Arial"/>
          <w:sz w:val="18"/>
          <w:szCs w:val="18"/>
          <w:lang w:val="it-IT" w:bidi="en-US"/>
        </w:rPr>
        <w:t>, 131–144.</w:t>
      </w:r>
    </w:p>
    <w:p w14:paraId="5FC1BA39"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it-IT" w:bidi="en-US"/>
        </w:rPr>
        <w:t>Di Domenico M., Curini V., Caprioli R., Giansante C., Mrugała</w:t>
      </w:r>
      <w:r w:rsidRPr="00A17D4D" w:rsidDel="00141723">
        <w:rPr>
          <w:rFonts w:ascii="Söhne" w:eastAsia="Times New Roman" w:hAnsi="Söhne" w:cs="Arial"/>
          <w:smallCaps/>
          <w:sz w:val="18"/>
          <w:szCs w:val="18"/>
          <w:lang w:val="it-IT" w:bidi="en-US"/>
        </w:rPr>
        <w:t xml:space="preserve"> </w:t>
      </w:r>
      <w:r w:rsidRPr="00A17D4D">
        <w:rPr>
          <w:rFonts w:ascii="Söhne" w:eastAsia="Times New Roman" w:hAnsi="Söhne" w:cs="Arial"/>
          <w:smallCaps/>
          <w:sz w:val="18"/>
          <w:szCs w:val="18"/>
          <w:lang w:val="it-IT" w:bidi="en-US"/>
        </w:rPr>
        <w:t>A., Mojžišová M., Camma C. &amp; Petrusek A</w:t>
      </w:r>
      <w:r w:rsidRPr="00A17D4D">
        <w:rPr>
          <w:rFonts w:ascii="Söhne" w:eastAsia="Times New Roman" w:hAnsi="Söhne" w:cs="Arial"/>
          <w:sz w:val="18"/>
          <w:szCs w:val="18"/>
          <w:lang w:val="it-IT" w:bidi="en-US"/>
        </w:rPr>
        <w:t xml:space="preserve">. (2021). </w:t>
      </w:r>
      <w:r w:rsidRPr="00A17D4D">
        <w:rPr>
          <w:rFonts w:ascii="Söhne" w:eastAsia="Times New Roman" w:hAnsi="Söhne" w:cs="Arial"/>
          <w:sz w:val="18"/>
          <w:szCs w:val="18"/>
          <w:lang w:val="en-IE" w:bidi="en-US"/>
        </w:rPr>
        <w:t xml:space="preserve">Real-Time PCR assays for rapid Identification of common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genotypes. </w:t>
      </w:r>
      <w:r w:rsidRPr="00A17D4D">
        <w:rPr>
          <w:rFonts w:ascii="Söhne" w:eastAsia="Times New Roman" w:hAnsi="Söhne" w:cs="Arial"/>
          <w:i/>
          <w:iCs/>
          <w:sz w:val="18"/>
          <w:szCs w:val="18"/>
          <w:lang w:val="en-IE" w:bidi="en-US"/>
        </w:rPr>
        <w:t>Front. Ecol. Evol.</w:t>
      </w:r>
      <w:r w:rsidRPr="00A17D4D">
        <w:rPr>
          <w:rFonts w:ascii="Söhne" w:eastAsia="Times New Roman" w:hAnsi="Söhne" w:cs="Arial"/>
          <w:sz w:val="18"/>
          <w:szCs w:val="18"/>
          <w:lang w:val="en-IE" w:bidi="en-US"/>
        </w:rPr>
        <w:t xml:space="preserve">, </w:t>
      </w:r>
      <w:r w:rsidRPr="00A17D4D">
        <w:rPr>
          <w:rFonts w:ascii="Söhne" w:eastAsia="Times New Roman" w:hAnsi="Söhne" w:cs="Arial"/>
          <w:b/>
          <w:bCs/>
          <w:sz w:val="18"/>
          <w:szCs w:val="18"/>
          <w:lang w:val="en-IE" w:bidi="en-US"/>
        </w:rPr>
        <w:t>9</w:t>
      </w:r>
      <w:r w:rsidRPr="00A17D4D">
        <w:rPr>
          <w:rFonts w:ascii="Söhne" w:eastAsia="Times New Roman" w:hAnsi="Söhne" w:cs="Arial"/>
          <w:sz w:val="18"/>
          <w:szCs w:val="18"/>
          <w:lang w:val="en-IE" w:bidi="en-US"/>
        </w:rPr>
        <w:t xml:space="preserve">, art 597585 </w:t>
      </w:r>
      <w:bookmarkStart w:id="7" w:name="_Hlk94279087"/>
      <w:r w:rsidRPr="00A17D4D">
        <w:rPr>
          <w:rFonts w:ascii="Söhne" w:eastAsia="Times New Roman" w:hAnsi="Söhne" w:cs="Arial"/>
          <w:sz w:val="18"/>
          <w:szCs w:val="18"/>
          <w:lang w:val="en-IE" w:bidi="en-US"/>
        </w:rPr>
        <w:t>doi:10.3389/fevo.2021.597585</w:t>
      </w:r>
      <w:bookmarkEnd w:id="7"/>
      <w:r w:rsidRPr="00A17D4D">
        <w:rPr>
          <w:rFonts w:ascii="Söhne" w:eastAsia="Times New Roman" w:hAnsi="Söhne" w:cs="Arial"/>
          <w:sz w:val="18"/>
          <w:szCs w:val="18"/>
          <w:lang w:val="en-IE" w:bidi="en-US"/>
        </w:rPr>
        <w:t>.</w:t>
      </w:r>
    </w:p>
    <w:p w14:paraId="2612132C"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napToGrid w:val="0"/>
          <w:sz w:val="18"/>
          <w:szCs w:val="18"/>
          <w:lang w:val="en-IE" w:bidi="en-US"/>
        </w:rPr>
        <w:t>Dieguez-Uribeondo J., Huang T.-S., Cerenius L. &amp; Söderhäll K.</w:t>
      </w:r>
      <w:r w:rsidRPr="00A17D4D">
        <w:rPr>
          <w:rFonts w:ascii="Söhne" w:eastAsia="Times New Roman" w:hAnsi="Söhne" w:cs="Arial"/>
          <w:snapToGrid w:val="0"/>
          <w:sz w:val="18"/>
          <w:szCs w:val="18"/>
          <w:lang w:val="en-IE" w:bidi="en-US"/>
        </w:rPr>
        <w:t xml:space="preserve"> (1995). Physiological adaptation of an </w:t>
      </w:r>
      <w:r w:rsidRPr="00A17D4D">
        <w:rPr>
          <w:rFonts w:ascii="Söhne" w:eastAsia="Times New Roman" w:hAnsi="Söhne" w:cs="Arial"/>
          <w:i/>
          <w:snapToGrid w:val="0"/>
          <w:sz w:val="18"/>
          <w:szCs w:val="18"/>
          <w:lang w:val="en-IE" w:bidi="en-US"/>
        </w:rPr>
        <w:t>Aphanomyces astaci</w:t>
      </w:r>
      <w:r w:rsidRPr="00A17D4D">
        <w:rPr>
          <w:rFonts w:ascii="Söhne" w:eastAsia="Times New Roman" w:hAnsi="Söhne" w:cs="Arial"/>
          <w:snapToGrid w:val="0"/>
          <w:sz w:val="18"/>
          <w:szCs w:val="18"/>
          <w:lang w:val="en-IE" w:bidi="en-US"/>
        </w:rPr>
        <w:t xml:space="preserve"> strain isolated from the freshwater crayfish </w:t>
      </w:r>
      <w:r w:rsidRPr="00A17D4D">
        <w:rPr>
          <w:rFonts w:ascii="Söhne" w:eastAsia="Times New Roman" w:hAnsi="Söhne" w:cs="Arial"/>
          <w:i/>
          <w:snapToGrid w:val="0"/>
          <w:sz w:val="18"/>
          <w:szCs w:val="18"/>
          <w:lang w:val="en-IE" w:bidi="en-US"/>
        </w:rPr>
        <w:t>Procambarus clarkii. Mycol. Res</w:t>
      </w:r>
      <w:r w:rsidRPr="00A17D4D">
        <w:rPr>
          <w:rFonts w:ascii="Söhne" w:eastAsia="Times New Roman" w:hAnsi="Söhne" w:cs="Arial"/>
          <w:snapToGrid w:val="0"/>
          <w:sz w:val="18"/>
          <w:szCs w:val="18"/>
          <w:lang w:val="en-IE" w:bidi="en-US"/>
        </w:rPr>
        <w:t xml:space="preserve">., </w:t>
      </w:r>
      <w:r w:rsidRPr="00A17D4D">
        <w:rPr>
          <w:rFonts w:ascii="Söhne" w:eastAsia="Times New Roman" w:hAnsi="Söhne" w:cs="Arial"/>
          <w:b/>
          <w:snapToGrid w:val="0"/>
          <w:sz w:val="18"/>
          <w:szCs w:val="18"/>
          <w:lang w:val="en-IE" w:bidi="en-US"/>
        </w:rPr>
        <w:t>99</w:t>
      </w:r>
      <w:r w:rsidRPr="00A17D4D">
        <w:rPr>
          <w:rFonts w:ascii="Söhne" w:eastAsia="Times New Roman" w:hAnsi="Söhne" w:cs="Arial"/>
          <w:snapToGrid w:val="0"/>
          <w:sz w:val="18"/>
          <w:szCs w:val="18"/>
          <w:lang w:val="en-IE" w:bidi="en-US"/>
        </w:rPr>
        <w:t>, 574–578.</w:t>
      </w:r>
    </w:p>
    <w:p w14:paraId="1E763922"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t xml:space="preserve">Grandjean F., Vrålstad T., Diéguez-Uribeondo J., Jelić M., Mangombi J., Delaunay C., Filipová L., Rezinciuc S., Kozubíková-Balcarova E., Gyonnet D., Viljamaa-Dirks S. &amp; Petrusek A. </w:t>
      </w:r>
      <w:r w:rsidRPr="00A17D4D">
        <w:rPr>
          <w:rFonts w:ascii="Söhne" w:eastAsia="Times New Roman" w:hAnsi="Söhne" w:cs="Arial"/>
          <w:sz w:val="18"/>
          <w:szCs w:val="18"/>
          <w:lang w:val="en-IE" w:bidi="en-US"/>
        </w:rPr>
        <w:t xml:space="preserve">(2014). Microsatellite markers for direct genotyping of the crayfish plague pathogen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(Oomycetes) from infected host tissues. </w:t>
      </w:r>
      <w:r w:rsidRPr="00A17D4D">
        <w:rPr>
          <w:rFonts w:ascii="Söhne" w:eastAsia="Times New Roman" w:hAnsi="Söhne" w:cs="Arial"/>
          <w:i/>
          <w:iCs/>
          <w:sz w:val="18"/>
          <w:szCs w:val="18"/>
          <w:lang w:val="en-IE" w:bidi="en-US"/>
        </w:rPr>
        <w:t>Vet. Microbiol</w:t>
      </w:r>
      <w:r w:rsidRPr="00A17D4D">
        <w:rPr>
          <w:rFonts w:ascii="Söhne" w:eastAsia="Times New Roman" w:hAnsi="Söhne" w:cs="Arial"/>
          <w:sz w:val="18"/>
          <w:szCs w:val="18"/>
          <w:lang w:val="en-IE" w:bidi="en-US"/>
        </w:rPr>
        <w:t xml:space="preserve">., </w:t>
      </w:r>
      <w:r w:rsidRPr="00A17D4D">
        <w:rPr>
          <w:rFonts w:ascii="Söhne" w:eastAsia="Times New Roman" w:hAnsi="Söhne" w:cs="Arial"/>
          <w:b/>
          <w:bCs/>
          <w:sz w:val="18"/>
          <w:szCs w:val="18"/>
          <w:lang w:val="en-IE" w:bidi="en-US"/>
        </w:rPr>
        <w:t>170</w:t>
      </w:r>
      <w:r w:rsidRPr="00A17D4D">
        <w:rPr>
          <w:rFonts w:ascii="Söhne" w:eastAsia="Times New Roman" w:hAnsi="Söhne" w:cs="Arial"/>
          <w:sz w:val="18"/>
          <w:szCs w:val="18"/>
          <w:lang w:val="en-IE" w:bidi="en-US"/>
        </w:rPr>
        <w:t>, 317–324.</w:t>
      </w:r>
    </w:p>
    <w:p w14:paraId="387A7F08" w14:textId="77777777" w:rsidR="00A17D4D" w:rsidRPr="00A17D4D" w:rsidRDefault="00A17D4D" w:rsidP="00A17D4D">
      <w:pPr>
        <w:spacing w:after="240" w:line="240" w:lineRule="auto"/>
        <w:jc w:val="both"/>
        <w:rPr>
          <w:rFonts w:ascii="Söhne" w:eastAsia="Times New Roman" w:hAnsi="Söhne" w:cs="Arial"/>
          <w:sz w:val="18"/>
          <w:szCs w:val="18"/>
          <w:lang w:val="en-IE"/>
        </w:rPr>
      </w:pPr>
      <w:r w:rsidRPr="00A17D4D">
        <w:rPr>
          <w:rFonts w:ascii="Söhne" w:eastAsia="Times New Roman" w:hAnsi="Söhne" w:cs="Arial"/>
          <w:smallCaps/>
          <w:sz w:val="18"/>
          <w:szCs w:val="18"/>
          <w:lang w:val="en-IE"/>
        </w:rPr>
        <w:t>Holdich D.M., Reynolds J.D., Souty-Grosset C. &amp; Sibley P.J</w:t>
      </w:r>
      <w:r w:rsidRPr="00A17D4D">
        <w:rPr>
          <w:rFonts w:ascii="Söhne" w:eastAsia="Times New Roman" w:hAnsi="Söhne" w:cs="Arial"/>
          <w:sz w:val="18"/>
          <w:szCs w:val="18"/>
          <w:lang w:val="en-IE"/>
        </w:rPr>
        <w:t xml:space="preserve">. (2009). A review of the ever increasing threat to European crayfish from non-indigenous crayfish species. </w:t>
      </w:r>
      <w:r w:rsidRPr="00A17D4D">
        <w:rPr>
          <w:rFonts w:ascii="Söhne" w:eastAsia="Times New Roman" w:hAnsi="Söhne" w:cs="Arial"/>
          <w:i/>
          <w:iCs/>
          <w:sz w:val="18"/>
          <w:szCs w:val="18"/>
          <w:lang w:val="en-IE"/>
        </w:rPr>
        <w:t>Knowl. Manag. Aquat. Ec.</w:t>
      </w:r>
      <w:r w:rsidRPr="00A17D4D">
        <w:rPr>
          <w:rFonts w:ascii="Söhne" w:eastAsia="Times New Roman" w:hAnsi="Söhne" w:cs="Arial"/>
          <w:sz w:val="18"/>
          <w:szCs w:val="18"/>
          <w:lang w:val="en-IE"/>
        </w:rPr>
        <w:t>,</w:t>
      </w:r>
      <w:r w:rsidRPr="00A17D4D">
        <w:rPr>
          <w:rFonts w:ascii="Söhne" w:eastAsia="Times New Roman" w:hAnsi="Söhne" w:cs="Arial"/>
          <w:i/>
          <w:iCs/>
          <w:sz w:val="18"/>
          <w:szCs w:val="18"/>
          <w:lang w:val="en-IE"/>
        </w:rPr>
        <w:t xml:space="preserve"> </w:t>
      </w:r>
      <w:r w:rsidRPr="00A17D4D">
        <w:rPr>
          <w:rFonts w:ascii="Söhne" w:eastAsia="Times New Roman" w:hAnsi="Söhne" w:cs="Arial"/>
          <w:b/>
          <w:bCs/>
          <w:sz w:val="18"/>
          <w:szCs w:val="18"/>
          <w:lang w:val="en-IE"/>
        </w:rPr>
        <w:t>394–395</w:t>
      </w:r>
      <w:r w:rsidRPr="00A17D4D">
        <w:rPr>
          <w:rFonts w:ascii="Söhne" w:eastAsia="Times New Roman" w:hAnsi="Söhne" w:cs="Arial"/>
          <w:sz w:val="18"/>
          <w:szCs w:val="18"/>
          <w:lang w:val="en-IE"/>
        </w:rPr>
        <w:t>, 1–46.</w:t>
      </w:r>
    </w:p>
    <w:p w14:paraId="4E6819CA"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r w:rsidRPr="00A17D4D">
        <w:rPr>
          <w:rFonts w:ascii="Söhne" w:eastAsia="Times New Roman" w:hAnsi="Söhne" w:cs="Arial"/>
          <w:smallCaps/>
          <w:sz w:val="18"/>
          <w:szCs w:val="18"/>
          <w:lang w:val="en-IE" w:bidi="en-US"/>
        </w:rPr>
        <w:lastRenderedPageBreak/>
        <w:t>Huang T.S., Cerenius L</w:t>
      </w:r>
      <w:bookmarkStart w:id="8" w:name="_Hlk93608700"/>
      <w:r w:rsidRPr="00A17D4D">
        <w:rPr>
          <w:rFonts w:ascii="Söhne" w:eastAsia="Times New Roman" w:hAnsi="Söhne" w:cs="Arial"/>
          <w:smallCaps/>
          <w:sz w:val="18"/>
          <w:szCs w:val="18"/>
          <w:lang w:val="en-IE" w:bidi="en-US"/>
        </w:rPr>
        <w:t>. &amp;</w:t>
      </w:r>
      <w:bookmarkEnd w:id="8"/>
      <w:r w:rsidRPr="00A17D4D">
        <w:rPr>
          <w:rFonts w:ascii="Söhne" w:eastAsia="Times New Roman" w:hAnsi="Söhne" w:cs="Arial"/>
          <w:smallCaps/>
          <w:sz w:val="18"/>
          <w:szCs w:val="18"/>
          <w:lang w:val="en-IE" w:bidi="en-US"/>
        </w:rPr>
        <w:t xml:space="preserve"> SÖderhäll K. (1994). </w:t>
      </w:r>
      <w:r w:rsidRPr="00A17D4D">
        <w:rPr>
          <w:rFonts w:ascii="Söhne" w:eastAsia="Times New Roman" w:hAnsi="Söhne" w:cs="Arial"/>
          <w:sz w:val="18"/>
          <w:szCs w:val="18"/>
          <w:lang w:val="en-IE" w:bidi="en-US"/>
        </w:rPr>
        <w:t xml:space="preserve">Analysis of genetic diversity in the crayfish plague fungus,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by random amplification of polymorphic DNA. </w:t>
      </w:r>
      <w:r w:rsidRPr="00A17D4D">
        <w:rPr>
          <w:rFonts w:ascii="Söhne" w:eastAsia="Times New Roman" w:hAnsi="Söhne" w:cs="Arial"/>
          <w:i/>
          <w:sz w:val="18"/>
          <w:szCs w:val="18"/>
          <w:lang w:val="nb-NO" w:bidi="en-US"/>
        </w:rPr>
        <w:t>Aquaculture</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126</w:t>
      </w:r>
      <w:r w:rsidRPr="00A17D4D">
        <w:rPr>
          <w:rFonts w:ascii="Söhne" w:eastAsia="Times New Roman" w:hAnsi="Söhne" w:cs="Arial"/>
          <w:sz w:val="18"/>
          <w:szCs w:val="18"/>
          <w:lang w:val="nb-NO" w:bidi="en-US"/>
        </w:rPr>
        <w:t>, 1–10.</w:t>
      </w:r>
    </w:p>
    <w:p w14:paraId="0AB249F4" w14:textId="77777777" w:rsidR="00A17D4D" w:rsidRPr="00A17D4D" w:rsidRDefault="00A17D4D" w:rsidP="00A17D4D">
      <w:pPr>
        <w:spacing w:after="240" w:line="240" w:lineRule="auto"/>
        <w:jc w:val="both"/>
        <w:rPr>
          <w:rFonts w:ascii="Söhne" w:eastAsia="Times New Roman" w:hAnsi="Söhne" w:cs="Arial"/>
          <w:sz w:val="18"/>
          <w:szCs w:val="18"/>
          <w:u w:val="double"/>
          <w:lang w:val="nb-NO" w:bidi="en-US"/>
        </w:rPr>
      </w:pPr>
      <w:r w:rsidRPr="00A17D4D">
        <w:rPr>
          <w:rFonts w:ascii="Söhne" w:hAnsi="Söhne" w:cs="Segoe UI"/>
          <w:smallCaps/>
          <w:color w:val="1C1D1E"/>
          <w:sz w:val="18"/>
          <w:szCs w:val="18"/>
          <w:u w:val="double"/>
          <w:lang w:val="nb-NO"/>
        </w:rPr>
        <w:t>Kozubíková E., Viljamaa-Dirks S., Heinikainen S. &amp; Petrusek A.</w:t>
      </w:r>
      <w:r w:rsidRPr="00A17D4D">
        <w:rPr>
          <w:rFonts w:ascii="Söhne" w:hAnsi="Söhne" w:cs="Segoe UI"/>
          <w:color w:val="1C1D1E"/>
          <w:sz w:val="18"/>
          <w:szCs w:val="18"/>
          <w:u w:val="double"/>
          <w:lang w:val="nb-NO"/>
        </w:rPr>
        <w:t xml:space="preserve"> (2011). Spiny-cheek crayfish </w:t>
      </w:r>
      <w:r w:rsidRPr="00A17D4D">
        <w:rPr>
          <w:rFonts w:ascii="Söhne" w:hAnsi="Söhne" w:cs="Segoe UI"/>
          <w:i/>
          <w:iCs/>
          <w:color w:val="1C1D1E"/>
          <w:sz w:val="18"/>
          <w:szCs w:val="18"/>
          <w:u w:val="double"/>
          <w:lang w:val="nb-NO"/>
        </w:rPr>
        <w:t>Orconectes limosus</w:t>
      </w:r>
      <w:r w:rsidRPr="00A17D4D">
        <w:rPr>
          <w:rFonts w:ascii="Söhne" w:hAnsi="Söhne" w:cs="Segoe UI"/>
          <w:color w:val="1C1D1E"/>
          <w:sz w:val="18"/>
          <w:szCs w:val="18"/>
          <w:u w:val="double"/>
          <w:lang w:val="nb-NO"/>
        </w:rPr>
        <w:t xml:space="preserve"> carry a novel genotype of the crayfish plague agent </w:t>
      </w:r>
      <w:r w:rsidRPr="00A17D4D">
        <w:rPr>
          <w:rFonts w:ascii="Söhne" w:hAnsi="Söhne" w:cs="Segoe UI"/>
          <w:i/>
          <w:iCs/>
          <w:color w:val="1C1D1E"/>
          <w:sz w:val="18"/>
          <w:szCs w:val="18"/>
          <w:u w:val="double"/>
          <w:lang w:val="nb-NO"/>
        </w:rPr>
        <w:t>Aphanomyces astaci</w:t>
      </w:r>
      <w:r w:rsidRPr="00A17D4D">
        <w:rPr>
          <w:rFonts w:ascii="Söhne" w:hAnsi="Söhne" w:cs="Segoe UI"/>
          <w:color w:val="1C1D1E"/>
          <w:sz w:val="18"/>
          <w:szCs w:val="18"/>
          <w:u w:val="double"/>
          <w:lang w:val="nb-NO"/>
        </w:rPr>
        <w:t xml:space="preserve">. </w:t>
      </w:r>
      <w:r w:rsidRPr="00A17D4D">
        <w:rPr>
          <w:rFonts w:ascii="Söhne" w:hAnsi="Söhne" w:cs="Segoe UI"/>
          <w:i/>
          <w:iCs/>
          <w:color w:val="1C1D1E"/>
          <w:sz w:val="18"/>
          <w:szCs w:val="18"/>
          <w:u w:val="double"/>
          <w:lang w:val="nb-NO"/>
        </w:rPr>
        <w:t>J. Invertebr. Pathol.,</w:t>
      </w:r>
      <w:r w:rsidRPr="00A17D4D">
        <w:rPr>
          <w:rFonts w:ascii="Söhne" w:hAnsi="Söhne" w:cs="Segoe UI"/>
          <w:color w:val="1C1D1E"/>
          <w:sz w:val="18"/>
          <w:szCs w:val="18"/>
          <w:u w:val="double"/>
          <w:lang w:val="nb-NO"/>
        </w:rPr>
        <w:t xml:space="preserve"> </w:t>
      </w:r>
      <w:r w:rsidRPr="00A17D4D">
        <w:rPr>
          <w:rFonts w:ascii="Söhne" w:hAnsi="Söhne" w:cs="Segoe UI"/>
          <w:b/>
          <w:bCs/>
          <w:color w:val="1C1D1E"/>
          <w:sz w:val="18"/>
          <w:szCs w:val="18"/>
          <w:u w:val="double"/>
          <w:lang w:val="nb-NO"/>
        </w:rPr>
        <w:t>108</w:t>
      </w:r>
      <w:r w:rsidRPr="00A17D4D">
        <w:rPr>
          <w:rFonts w:ascii="Söhne" w:hAnsi="Söhne" w:cs="Segoe UI"/>
          <w:color w:val="1C1D1E"/>
          <w:sz w:val="18"/>
          <w:szCs w:val="18"/>
          <w:u w:val="double"/>
          <w:lang w:val="nb-NO"/>
        </w:rPr>
        <w:t>, 214–216.</w:t>
      </w:r>
    </w:p>
    <w:p w14:paraId="74CBDADF"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nb-NO" w:bidi="en-US"/>
        </w:rPr>
        <w:t>Makkonen J., Jussila J., Panteleit J., Keller N.S., Schrimpf A., Theissinger K., Kortet R., Martín-Torrijos L., Sandoval-Sierra J.V., Diéguez-Uribeondo J. &amp; Kokko H.</w:t>
      </w:r>
      <w:r w:rsidRPr="00A17D4D">
        <w:rPr>
          <w:rFonts w:ascii="Söhne" w:eastAsia="Times New Roman" w:hAnsi="Söhne" w:cs="Arial"/>
          <w:sz w:val="18"/>
          <w:szCs w:val="18"/>
          <w:lang w:val="nb-NO" w:bidi="en-US"/>
        </w:rPr>
        <w:t xml:space="preserve"> (2018). </w:t>
      </w:r>
      <w:r w:rsidRPr="00A17D4D">
        <w:rPr>
          <w:rFonts w:ascii="Söhne" w:eastAsia="Times New Roman" w:hAnsi="Söhne" w:cs="Arial"/>
          <w:sz w:val="18"/>
          <w:szCs w:val="18"/>
          <w:lang w:val="en-IE" w:bidi="en-US"/>
        </w:rPr>
        <w:t xml:space="preserve">MtDNA allows the sensitive detection and haplotyping of the crayfish plague disease agent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showing clues about its origin and migration. </w:t>
      </w:r>
      <w:r w:rsidRPr="00A17D4D">
        <w:rPr>
          <w:rFonts w:ascii="Söhne" w:eastAsia="Times New Roman" w:hAnsi="Söhne" w:cs="Arial"/>
          <w:i/>
          <w:iCs/>
          <w:sz w:val="18"/>
          <w:szCs w:val="18"/>
          <w:lang w:val="en-IE" w:bidi="en-US"/>
        </w:rPr>
        <w:t>Parasitology,</w:t>
      </w:r>
      <w:r w:rsidRPr="00A17D4D">
        <w:rPr>
          <w:rFonts w:ascii="Söhne" w:eastAsia="Times New Roman" w:hAnsi="Söhne" w:cs="Arial"/>
          <w:sz w:val="18"/>
          <w:szCs w:val="18"/>
          <w:lang w:val="en-IE" w:bidi="en-US"/>
        </w:rPr>
        <w:t xml:space="preserve"> </w:t>
      </w:r>
      <w:r w:rsidRPr="00A17D4D">
        <w:rPr>
          <w:rFonts w:ascii="Söhne" w:eastAsia="Times New Roman" w:hAnsi="Söhne" w:cs="Arial"/>
          <w:b/>
          <w:bCs/>
          <w:sz w:val="18"/>
          <w:szCs w:val="18"/>
          <w:lang w:val="en-IE" w:bidi="en-US"/>
        </w:rPr>
        <w:t>145</w:t>
      </w:r>
      <w:r w:rsidRPr="00A17D4D">
        <w:rPr>
          <w:rFonts w:ascii="Söhne" w:eastAsia="Times New Roman" w:hAnsi="Söhne" w:cs="Arial"/>
          <w:sz w:val="18"/>
          <w:szCs w:val="18"/>
          <w:lang w:val="en-IE" w:bidi="en-US"/>
        </w:rPr>
        <w:t>, 1210–1218. https:// doi.org/10.1017/S0031182018000227.</w:t>
      </w:r>
    </w:p>
    <w:p w14:paraId="4B9896EB" w14:textId="77777777" w:rsidR="00A17D4D" w:rsidRPr="00A17D4D" w:rsidRDefault="00A17D4D" w:rsidP="00A17D4D">
      <w:pPr>
        <w:spacing w:after="240" w:line="240" w:lineRule="auto"/>
        <w:jc w:val="both"/>
        <w:rPr>
          <w:rFonts w:ascii="Söhne" w:eastAsia="Times New Roman" w:hAnsi="Söhne" w:cs="Arial"/>
          <w:smallCaps/>
          <w:sz w:val="18"/>
          <w:szCs w:val="18"/>
          <w:lang w:val="nb-NO" w:bidi="en-US"/>
        </w:rPr>
      </w:pPr>
      <w:r w:rsidRPr="00A17D4D">
        <w:rPr>
          <w:rFonts w:ascii="Söhne" w:eastAsia="Times New Roman" w:hAnsi="Söhne" w:cs="Arial"/>
          <w:smallCaps/>
          <w:sz w:val="18"/>
          <w:szCs w:val="18"/>
          <w:lang w:val="en-IE" w:bidi="en-US"/>
        </w:rPr>
        <w:t>Martin-Torrijos L., Campos Lach M., Pou Rovira Q. &amp; DiÉguez-Uribeondo J. (2017). R</w:t>
      </w:r>
      <w:r w:rsidRPr="00A17D4D">
        <w:rPr>
          <w:rFonts w:ascii="Arial" w:eastAsia="Arial" w:hAnsi="Arial" w:cs="Arial"/>
          <w:sz w:val="18"/>
          <w:szCs w:val="18"/>
          <w:lang w:val="en-IE" w:bidi="en-US"/>
        </w:rPr>
        <w:t xml:space="preserve">esistance to the crayfish plague, </w:t>
      </w:r>
      <w:r w:rsidRPr="00A17D4D">
        <w:rPr>
          <w:rFonts w:ascii="Arial" w:eastAsia="Arial" w:hAnsi="Arial" w:cs="Arial"/>
          <w:i/>
          <w:iCs/>
          <w:sz w:val="18"/>
          <w:szCs w:val="18"/>
          <w:lang w:val="en-IE" w:bidi="en-US"/>
        </w:rPr>
        <w:t>Aphanomyces astaci</w:t>
      </w:r>
      <w:r w:rsidRPr="00A17D4D">
        <w:rPr>
          <w:rFonts w:ascii="Arial" w:eastAsia="Arial" w:hAnsi="Arial" w:cs="Arial"/>
          <w:sz w:val="18"/>
          <w:szCs w:val="18"/>
          <w:lang w:val="en-IE" w:bidi="en-US"/>
        </w:rPr>
        <w:t xml:space="preserve"> (Oomycota) in the endangered freshwater crayfish species, </w:t>
      </w:r>
      <w:r w:rsidRPr="00A17D4D">
        <w:rPr>
          <w:rFonts w:ascii="Arial" w:eastAsia="Arial" w:hAnsi="Arial" w:cs="Arial"/>
          <w:i/>
          <w:iCs/>
          <w:sz w:val="18"/>
          <w:szCs w:val="18"/>
          <w:lang w:val="en-IE" w:bidi="en-US"/>
        </w:rPr>
        <w:t>Austropotamobius pallipes</w:t>
      </w:r>
      <w:r w:rsidRPr="00A17D4D">
        <w:rPr>
          <w:rFonts w:ascii="Arial" w:eastAsia="Arial" w:hAnsi="Arial" w:cs="Arial"/>
          <w:sz w:val="18"/>
          <w:szCs w:val="18"/>
          <w:lang w:val="en-IE" w:bidi="en-US"/>
        </w:rPr>
        <w:t>.</w:t>
      </w:r>
      <w:r w:rsidRPr="00A17D4D">
        <w:rPr>
          <w:rFonts w:ascii="Söhne" w:eastAsia="Times New Roman" w:hAnsi="Söhne" w:cs="Arial"/>
          <w:smallCaps/>
          <w:sz w:val="18"/>
          <w:szCs w:val="18"/>
          <w:lang w:val="en-IE" w:bidi="en-US"/>
        </w:rPr>
        <w:t xml:space="preserve"> </w:t>
      </w:r>
      <w:r w:rsidRPr="00A17D4D">
        <w:rPr>
          <w:rFonts w:ascii="Söhne" w:eastAsia="Times New Roman" w:hAnsi="Söhne" w:cs="Arial"/>
          <w:i/>
          <w:sz w:val="18"/>
          <w:szCs w:val="18"/>
          <w:lang w:val="nb-NO" w:bidi="en-US"/>
        </w:rPr>
        <w:t>PLoS ONE</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12</w:t>
      </w:r>
      <w:r w:rsidRPr="00A17D4D">
        <w:rPr>
          <w:rFonts w:ascii="Söhne" w:eastAsia="Times New Roman" w:hAnsi="Söhne" w:cs="Arial"/>
          <w:sz w:val="18"/>
          <w:szCs w:val="18"/>
          <w:lang w:val="nb-NO" w:bidi="en-US"/>
        </w:rPr>
        <w:t xml:space="preserve"> (7), e0181226. https://doi.org/10.1371/journal. pone.0181226</w:t>
      </w:r>
    </w:p>
    <w:p w14:paraId="37E2A397"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bookmarkStart w:id="9" w:name="_Hlk94083748"/>
      <w:r w:rsidRPr="00A17D4D">
        <w:rPr>
          <w:rFonts w:ascii="Söhne" w:eastAsia="Times New Roman" w:hAnsi="Söhne" w:cs="Arial"/>
          <w:smallCaps/>
          <w:sz w:val="18"/>
          <w:szCs w:val="18"/>
          <w:lang w:val="nb-NO" w:bidi="en-US"/>
        </w:rPr>
        <w:t>Minardi D., Studholme D.J., Oidtmann B., Pretto T. &amp; Van Der Giezen M.</w:t>
      </w:r>
      <w:r w:rsidRPr="00A17D4D">
        <w:rPr>
          <w:rFonts w:ascii="Söhne" w:eastAsia="Times New Roman" w:hAnsi="Söhne" w:cs="Arial"/>
          <w:sz w:val="18"/>
          <w:szCs w:val="18"/>
          <w:lang w:val="nb-NO" w:bidi="en-US"/>
        </w:rPr>
        <w:t xml:space="preserve"> (2019). </w:t>
      </w:r>
      <w:r w:rsidRPr="00A17D4D">
        <w:rPr>
          <w:rFonts w:ascii="Söhne" w:eastAsia="Times New Roman" w:hAnsi="Söhne" w:cs="Arial"/>
          <w:sz w:val="18"/>
          <w:szCs w:val="18"/>
          <w:lang w:val="en-IE" w:bidi="en-US"/>
        </w:rPr>
        <w:t>Improved method for genotyping the causative agent of crayfish plague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based on mitochondrial DNA. </w:t>
      </w:r>
      <w:r w:rsidRPr="00A17D4D">
        <w:rPr>
          <w:rFonts w:ascii="Söhne" w:eastAsia="Times New Roman" w:hAnsi="Söhne" w:cs="Arial"/>
          <w:i/>
          <w:sz w:val="18"/>
          <w:szCs w:val="18"/>
          <w:lang w:val="nb-NO" w:bidi="en-US"/>
        </w:rPr>
        <w:t>Parasitology</w:t>
      </w:r>
      <w:r w:rsidRPr="00A17D4D">
        <w:rPr>
          <w:rFonts w:ascii="Söhne" w:eastAsia="Times New Roman" w:hAnsi="Söhne" w:cs="Arial"/>
          <w:sz w:val="18"/>
          <w:szCs w:val="18"/>
          <w:lang w:val="nb-NO" w:bidi="en-US"/>
        </w:rPr>
        <w:t>, 146, 1022–1029, doi:</w:t>
      </w:r>
      <w:r w:rsidRPr="00A17D4D">
        <w:rPr>
          <w:rFonts w:ascii="Söhne" w:eastAsia="Times New Roman" w:hAnsi="Söhne" w:cs="Times New Roman"/>
          <w:color w:val="0000FF"/>
          <w:sz w:val="18"/>
          <w:u w:val="single"/>
          <w:lang w:val="nb-NO" w:bidi="en-US"/>
        </w:rPr>
        <w:t xml:space="preserve">10.1017/S0031182019000283 </w:t>
      </w:r>
    </w:p>
    <w:p w14:paraId="0CAAB91E" w14:textId="77777777" w:rsidR="00A17D4D" w:rsidRPr="00A17D4D" w:rsidRDefault="00A17D4D" w:rsidP="00A17D4D">
      <w:pPr>
        <w:spacing w:after="240" w:line="240" w:lineRule="auto"/>
        <w:jc w:val="both"/>
        <w:rPr>
          <w:rFonts w:ascii="Söhne" w:eastAsia="Times New Roman" w:hAnsi="Söhne" w:cs="Arial"/>
          <w:sz w:val="18"/>
          <w:szCs w:val="18"/>
          <w:lang w:val="de-DE" w:bidi="en-US"/>
        </w:rPr>
      </w:pPr>
      <w:r w:rsidRPr="00A17D4D">
        <w:rPr>
          <w:rFonts w:ascii="Söhne" w:eastAsia="Times New Roman" w:hAnsi="Söhne" w:cs="Arial"/>
          <w:smallCaps/>
          <w:sz w:val="18"/>
          <w:szCs w:val="18"/>
          <w:lang w:val="nb-NO" w:bidi="en-US"/>
        </w:rPr>
        <w:t>Minardi D., Studholme D.J., Van Der Giezen M., Pretto T. &amp; Oidtmann B.</w:t>
      </w:r>
      <w:r w:rsidRPr="00A17D4D">
        <w:rPr>
          <w:rFonts w:ascii="Söhne" w:eastAsia="Times New Roman" w:hAnsi="Söhne" w:cs="Arial"/>
          <w:sz w:val="18"/>
          <w:szCs w:val="18"/>
          <w:lang w:val="nb-NO" w:bidi="en-US"/>
        </w:rPr>
        <w:t xml:space="preserve"> (2018). </w:t>
      </w:r>
      <w:r w:rsidRPr="00A17D4D">
        <w:rPr>
          <w:rFonts w:ascii="Söhne" w:eastAsia="Times New Roman" w:hAnsi="Söhne" w:cs="Arial"/>
          <w:sz w:val="18"/>
          <w:szCs w:val="18"/>
          <w:lang w:val="en-IE" w:bidi="en-US"/>
        </w:rPr>
        <w:t>New genotyping method for the causative agent of crayfish plague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based on whole genome data. </w:t>
      </w:r>
      <w:r w:rsidRPr="00A17D4D">
        <w:rPr>
          <w:rFonts w:ascii="Söhne" w:eastAsia="Times New Roman" w:hAnsi="Söhne" w:cs="Arial"/>
          <w:i/>
          <w:iCs/>
          <w:sz w:val="18"/>
          <w:szCs w:val="18"/>
          <w:lang w:val="de-DE" w:bidi="en-US"/>
        </w:rPr>
        <w:t>J. Invertebr. Pathol.</w:t>
      </w:r>
      <w:r w:rsidRPr="00A17D4D">
        <w:rPr>
          <w:rFonts w:ascii="Söhne" w:eastAsia="Times New Roman" w:hAnsi="Söhne" w:cs="Arial"/>
          <w:sz w:val="18"/>
          <w:szCs w:val="18"/>
          <w:lang w:val="de-DE" w:bidi="en-US"/>
        </w:rPr>
        <w:t xml:space="preserve">, </w:t>
      </w:r>
      <w:r w:rsidRPr="00A17D4D">
        <w:rPr>
          <w:rFonts w:ascii="Söhne" w:eastAsia="Times New Roman" w:hAnsi="Söhne" w:cs="Arial"/>
          <w:b/>
          <w:bCs/>
          <w:sz w:val="18"/>
          <w:szCs w:val="18"/>
          <w:lang w:val="de-DE" w:bidi="en-US"/>
        </w:rPr>
        <w:t>156</w:t>
      </w:r>
      <w:r w:rsidRPr="00A17D4D">
        <w:rPr>
          <w:rFonts w:ascii="Söhne" w:eastAsia="Times New Roman" w:hAnsi="Söhne" w:cs="Arial"/>
          <w:sz w:val="18"/>
          <w:szCs w:val="18"/>
          <w:lang w:val="de-DE" w:bidi="en-US"/>
        </w:rPr>
        <w:t>, 6–13.</w:t>
      </w:r>
    </w:p>
    <w:bookmarkEnd w:id="9"/>
    <w:p w14:paraId="0C8C5E89"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r w:rsidRPr="00A17D4D">
        <w:rPr>
          <w:rFonts w:ascii="Söhne" w:eastAsia="Times New Roman" w:hAnsi="Söhne" w:cs="Arial"/>
          <w:smallCaps/>
          <w:sz w:val="18"/>
          <w:szCs w:val="18"/>
          <w:lang w:val="de-DE" w:bidi="en-US"/>
        </w:rPr>
        <w:t>Oidtmann B., Geiger S., Steinbauer P., Culas A. &amp; Hoffmann R.W.</w:t>
      </w:r>
      <w:r w:rsidRPr="00A17D4D">
        <w:rPr>
          <w:rFonts w:ascii="Söhne" w:eastAsia="Times New Roman" w:hAnsi="Söhne" w:cs="Arial"/>
          <w:sz w:val="18"/>
          <w:szCs w:val="18"/>
          <w:lang w:val="de-DE" w:bidi="en-US"/>
        </w:rPr>
        <w:t xml:space="preserve"> (2006). </w:t>
      </w:r>
      <w:r w:rsidRPr="00A17D4D">
        <w:rPr>
          <w:rFonts w:ascii="Söhne" w:eastAsia="Times New Roman" w:hAnsi="Söhne" w:cs="Arial"/>
          <w:sz w:val="18"/>
          <w:szCs w:val="18"/>
          <w:lang w:val="en-IE" w:bidi="en-US"/>
        </w:rPr>
        <w:t xml:space="preserve">Detection of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in North American crayfish by polymerase chain reaction. </w:t>
      </w:r>
      <w:r w:rsidRPr="00A17D4D">
        <w:rPr>
          <w:rFonts w:ascii="Söhne" w:eastAsia="Times New Roman" w:hAnsi="Söhne" w:cs="Arial"/>
          <w:i/>
          <w:sz w:val="18"/>
          <w:szCs w:val="18"/>
          <w:lang w:val="nb-NO" w:bidi="en-US"/>
        </w:rPr>
        <w:t>Dis. Aquat. Org.,</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72</w:t>
      </w:r>
      <w:r w:rsidRPr="00A17D4D">
        <w:rPr>
          <w:rFonts w:ascii="Söhne" w:eastAsia="Times New Roman" w:hAnsi="Söhne" w:cs="Arial"/>
          <w:sz w:val="18"/>
          <w:szCs w:val="18"/>
          <w:lang w:val="nb-NO" w:bidi="en-US"/>
        </w:rPr>
        <w:t>, 53–64.</w:t>
      </w:r>
    </w:p>
    <w:p w14:paraId="00136ED0"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nb-NO" w:bidi="en-US"/>
        </w:rPr>
        <w:t>Oidtmann B., Heitz E., Rogers D. &amp; Hoffmann R.W.</w:t>
      </w:r>
      <w:r w:rsidRPr="00A17D4D">
        <w:rPr>
          <w:rFonts w:ascii="Söhne" w:eastAsia="Times New Roman" w:hAnsi="Söhne" w:cs="Arial"/>
          <w:sz w:val="18"/>
          <w:szCs w:val="18"/>
          <w:lang w:val="nb-NO" w:bidi="en-US"/>
        </w:rPr>
        <w:t xml:space="preserve"> (2002). </w:t>
      </w:r>
      <w:r w:rsidRPr="00A17D4D">
        <w:rPr>
          <w:rFonts w:ascii="Söhne" w:eastAsia="Times New Roman" w:hAnsi="Söhne" w:cs="Arial"/>
          <w:sz w:val="18"/>
          <w:szCs w:val="18"/>
          <w:lang w:val="en-IE" w:bidi="en-US"/>
        </w:rPr>
        <w:t xml:space="preserve">Transmission of crayfish plague. </w:t>
      </w:r>
      <w:r w:rsidRPr="00A17D4D">
        <w:rPr>
          <w:rFonts w:ascii="Söhne" w:eastAsia="Times New Roman" w:hAnsi="Söhne" w:cs="Arial"/>
          <w:i/>
          <w:sz w:val="18"/>
          <w:szCs w:val="18"/>
          <w:lang w:val="en-IE" w:bidi="en-US"/>
        </w:rPr>
        <w:t>Dis. Aquat. Org.,</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52</w:t>
      </w:r>
      <w:r w:rsidRPr="00A17D4D">
        <w:rPr>
          <w:rFonts w:ascii="Söhne" w:eastAsia="Times New Roman" w:hAnsi="Söhne" w:cs="Arial"/>
          <w:sz w:val="18"/>
          <w:szCs w:val="18"/>
          <w:lang w:val="en-IE" w:bidi="en-US"/>
        </w:rPr>
        <w:t>, 159–167.</w:t>
      </w:r>
    </w:p>
    <w:p w14:paraId="048EC828" w14:textId="77777777" w:rsidR="00A17D4D" w:rsidRPr="00A17D4D" w:rsidRDefault="00A17D4D" w:rsidP="00A17D4D">
      <w:pPr>
        <w:spacing w:after="240" w:line="240" w:lineRule="auto"/>
        <w:jc w:val="both"/>
        <w:rPr>
          <w:rFonts w:ascii="Söhne" w:eastAsia="Times New Roman" w:hAnsi="Söhne" w:cs="Arial"/>
          <w:smallCaps/>
          <w:sz w:val="18"/>
          <w:szCs w:val="18"/>
          <w:lang w:val="nb-NO" w:bidi="en-US"/>
        </w:rPr>
      </w:pPr>
      <w:r w:rsidRPr="00A17D4D">
        <w:rPr>
          <w:rFonts w:ascii="Söhne" w:eastAsia="Times New Roman" w:hAnsi="Söhne" w:cs="Arial"/>
          <w:smallCaps/>
          <w:sz w:val="18"/>
          <w:szCs w:val="18"/>
          <w:lang w:val="en-IE" w:bidi="en-US"/>
        </w:rPr>
        <w:t>Pavic D., Čanković M., Petrić I., Makkonen J., Hudina S., Maguire I., Vladušića T., Šver L., Hrašćana R., Orlić K., Dragičević P. &amp; Bielen A.</w:t>
      </w:r>
      <w:r w:rsidRPr="00A17D4D">
        <w:rPr>
          <w:rFonts w:ascii="Söhne" w:eastAsia="Times New Roman" w:hAnsi="Söhne" w:cs="Arial"/>
          <w:sz w:val="18"/>
          <w:szCs w:val="18"/>
          <w:lang w:val="en-IE" w:bidi="en-US"/>
        </w:rPr>
        <w:t xml:space="preserve"> (2020) Non-destructive method for detecting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the causative agent of crayfish plague, on the individual level. </w:t>
      </w:r>
      <w:r w:rsidRPr="00A17D4D">
        <w:rPr>
          <w:rFonts w:ascii="Söhne" w:eastAsia="Times New Roman" w:hAnsi="Söhne" w:cs="Arial"/>
          <w:i/>
          <w:sz w:val="18"/>
          <w:szCs w:val="18"/>
          <w:lang w:val="nb-NO" w:bidi="en-US"/>
        </w:rPr>
        <w:t>J. Invertebr. Pathol</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169</w:t>
      </w:r>
      <w:r w:rsidRPr="00A17D4D">
        <w:rPr>
          <w:rFonts w:ascii="Söhne" w:eastAsia="Times New Roman" w:hAnsi="Söhne" w:cs="Arial"/>
          <w:sz w:val="18"/>
          <w:szCs w:val="18"/>
          <w:lang w:val="nb-NO" w:bidi="en-US"/>
        </w:rPr>
        <w:t xml:space="preserve">, 107274. </w:t>
      </w:r>
      <w:r w:rsidRPr="00A17D4D">
        <w:rPr>
          <w:rFonts w:ascii="Söhne" w:eastAsia="Times New Roman" w:hAnsi="Söhne" w:cs="Arial"/>
          <w:color w:val="0000FF"/>
          <w:sz w:val="18"/>
          <w:szCs w:val="18"/>
          <w:u w:val="single"/>
          <w:lang w:val="nb-NO" w:bidi="en-US"/>
        </w:rPr>
        <w:t>https://doi.org/10.1016/j.jip.2019.107274</w:t>
      </w:r>
      <w:r w:rsidRPr="00A17D4D">
        <w:rPr>
          <w:rFonts w:ascii="Söhne" w:eastAsia="Times New Roman" w:hAnsi="Söhne" w:cs="Arial"/>
          <w:sz w:val="18"/>
          <w:szCs w:val="18"/>
          <w:lang w:val="nb-NO" w:bidi="en-US"/>
        </w:rPr>
        <w:t xml:space="preserve"> </w:t>
      </w:r>
    </w:p>
    <w:p w14:paraId="74A1488C" w14:textId="77777777" w:rsidR="00A17D4D" w:rsidRPr="00A17D4D" w:rsidRDefault="00A17D4D" w:rsidP="00A17D4D">
      <w:pPr>
        <w:spacing w:after="240" w:line="240" w:lineRule="auto"/>
        <w:jc w:val="both"/>
        <w:rPr>
          <w:rFonts w:ascii="Söhne" w:eastAsia="Times New Roman" w:hAnsi="Söhne" w:cs="Times New Roman"/>
          <w:sz w:val="18"/>
          <w:lang w:val="en-CA" w:bidi="en-US"/>
        </w:rPr>
      </w:pPr>
      <w:r w:rsidRPr="00A17D4D">
        <w:rPr>
          <w:rFonts w:ascii="Söhne" w:eastAsia="Times New Roman" w:hAnsi="Söhne" w:cs="Times New Roman"/>
          <w:smallCaps/>
          <w:sz w:val="18"/>
          <w:lang w:val="nb-NO" w:bidi="en-US"/>
        </w:rPr>
        <w:t>Rennerfelt</w:t>
      </w:r>
      <w:r w:rsidRPr="00A17D4D">
        <w:rPr>
          <w:rFonts w:ascii="Söhne" w:eastAsia="Times New Roman" w:hAnsi="Söhne" w:cs="Times New Roman"/>
          <w:sz w:val="18"/>
          <w:lang w:val="nb-NO" w:bidi="en-US"/>
        </w:rPr>
        <w:t xml:space="preserve"> E. (1936). </w:t>
      </w:r>
      <w:r w:rsidRPr="00A17D4D">
        <w:rPr>
          <w:rFonts w:ascii="Söhne" w:eastAsia="Times New Roman" w:hAnsi="Söhne" w:cs="Times New Roman"/>
          <w:sz w:val="18"/>
          <w:lang w:val="de-DE" w:bidi="en-US"/>
        </w:rPr>
        <w:t xml:space="preserve">Untersuchungen uber die Entwicklung und Biologie des Krebspestpilzes Aphanomyces astaci Schikora. </w:t>
      </w:r>
      <w:r w:rsidRPr="00A17D4D">
        <w:rPr>
          <w:rFonts w:ascii="Söhne" w:eastAsia="Times New Roman" w:hAnsi="Söhne" w:cs="Times New Roman"/>
          <w:sz w:val="18"/>
          <w:lang w:val="en-CA" w:bidi="en-US"/>
        </w:rPr>
        <w:t>Report of the Institute of Freshwater Research (Drottningholm, Sweden),</w:t>
      </w:r>
      <w:r w:rsidRPr="00A17D4D">
        <w:rPr>
          <w:rFonts w:ascii="Söhne" w:eastAsia="Times New Roman" w:hAnsi="Söhne" w:cs="Times New Roman"/>
          <w:i/>
          <w:sz w:val="18"/>
          <w:lang w:val="en-CA" w:bidi="en-US"/>
        </w:rPr>
        <w:t xml:space="preserve"> </w:t>
      </w:r>
      <w:r w:rsidRPr="00A17D4D">
        <w:rPr>
          <w:rFonts w:ascii="Söhne" w:eastAsia="Times New Roman" w:hAnsi="Söhne" w:cs="Times New Roman"/>
          <w:b/>
          <w:sz w:val="18"/>
          <w:lang w:val="en-CA" w:bidi="en-US"/>
        </w:rPr>
        <w:t>10</w:t>
      </w:r>
      <w:r w:rsidRPr="00A17D4D">
        <w:rPr>
          <w:rFonts w:ascii="Söhne" w:eastAsia="Times New Roman" w:hAnsi="Söhne" w:cs="Times New Roman"/>
          <w:sz w:val="18"/>
          <w:lang w:val="en-CA" w:bidi="en-US"/>
        </w:rPr>
        <w:t>, 1–21.</w:t>
      </w:r>
    </w:p>
    <w:p w14:paraId="6A691C2F" w14:textId="77777777" w:rsidR="00A17D4D" w:rsidRPr="00A17D4D" w:rsidRDefault="00A17D4D" w:rsidP="00A17D4D">
      <w:pPr>
        <w:spacing w:after="240" w:line="240" w:lineRule="auto"/>
        <w:jc w:val="both"/>
        <w:rPr>
          <w:rFonts w:ascii="Söhne" w:eastAsia="Times New Roman" w:hAnsi="Söhne" w:cs="Arial"/>
          <w:sz w:val="18"/>
          <w:szCs w:val="18"/>
          <w:lang w:val="fr-FR" w:bidi="en-US"/>
        </w:rPr>
      </w:pPr>
      <w:r w:rsidRPr="00A17D4D">
        <w:rPr>
          <w:rFonts w:ascii="Söhne" w:eastAsia="Times New Roman" w:hAnsi="Söhne" w:cs="Arial"/>
          <w:smallCaps/>
          <w:sz w:val="18"/>
          <w:szCs w:val="18"/>
          <w:lang w:val="en-CA" w:bidi="en-US"/>
        </w:rPr>
        <w:t>Souty-Grosset C., Holdich D.M., Noel P.Y., Reynolds J.D. &amp; Haffner P.</w:t>
      </w:r>
      <w:r w:rsidRPr="00A17D4D">
        <w:rPr>
          <w:rFonts w:ascii="Söhne" w:eastAsia="Times New Roman" w:hAnsi="Söhne" w:cs="Arial"/>
          <w:sz w:val="18"/>
          <w:szCs w:val="18"/>
          <w:lang w:val="en-CA" w:bidi="en-US"/>
        </w:rPr>
        <w:t xml:space="preserve"> (eds) (2006). </w:t>
      </w:r>
      <w:r w:rsidRPr="00A17D4D">
        <w:rPr>
          <w:rFonts w:ascii="Söhne" w:eastAsia="Times New Roman" w:hAnsi="Söhne" w:cs="Arial"/>
          <w:sz w:val="18"/>
          <w:szCs w:val="18"/>
          <w:lang w:val="fr-FR" w:bidi="en-US"/>
        </w:rPr>
        <w:t xml:space="preserve">Atlas of Crayfish in Europe. Muséum National d’Histoire Naturelle, Paris (Patrimoines naturels, 64), 188 p. </w:t>
      </w:r>
    </w:p>
    <w:p w14:paraId="5D6B327B"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r w:rsidRPr="00A17D4D">
        <w:rPr>
          <w:rFonts w:ascii="Söhne" w:eastAsia="Times New Roman" w:hAnsi="Söhne" w:cs="Arial"/>
          <w:smallCaps/>
          <w:sz w:val="18"/>
          <w:szCs w:val="18"/>
          <w:lang w:val="nb-NO" w:bidi="en-US"/>
        </w:rPr>
        <w:t>Strand D.A., Holst-Jensen A., Viljugrein H., Edvardsen B., Klaveness D., Jussila J. &amp; Vrålstad T.</w:t>
      </w:r>
      <w:r w:rsidRPr="00A17D4D">
        <w:rPr>
          <w:rFonts w:ascii="Söhne" w:eastAsia="Times New Roman" w:hAnsi="Söhne" w:cs="Arial"/>
          <w:sz w:val="18"/>
          <w:szCs w:val="18"/>
          <w:lang w:val="nb-NO" w:bidi="en-US"/>
        </w:rPr>
        <w:t xml:space="preserve"> (2011). </w:t>
      </w:r>
      <w:r w:rsidRPr="00A17D4D">
        <w:rPr>
          <w:rFonts w:ascii="Söhne" w:eastAsia="Times New Roman" w:hAnsi="Söhne" w:cs="Arial"/>
          <w:sz w:val="18"/>
          <w:szCs w:val="18"/>
          <w:lang w:val="en-IE" w:bidi="en-US"/>
        </w:rPr>
        <w:t xml:space="preserve">Detection and quantification of the crayfish plague agent in natural waters: direct monitoring approach for aquatic environments. </w:t>
      </w:r>
      <w:r w:rsidRPr="00A17D4D">
        <w:rPr>
          <w:rFonts w:ascii="Söhne" w:eastAsia="Times New Roman" w:hAnsi="Söhne" w:cs="Arial"/>
          <w:i/>
          <w:sz w:val="18"/>
          <w:szCs w:val="18"/>
          <w:lang w:val="nb-NO" w:bidi="en-US"/>
        </w:rPr>
        <w:t>Dis. Aquat. Org</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95</w:t>
      </w:r>
      <w:r w:rsidRPr="00A17D4D">
        <w:rPr>
          <w:rFonts w:ascii="Söhne" w:eastAsia="Times New Roman" w:hAnsi="Söhne" w:cs="Arial"/>
          <w:sz w:val="18"/>
          <w:szCs w:val="18"/>
          <w:lang w:val="nb-NO" w:bidi="en-US"/>
        </w:rPr>
        <w:t>, 9–17.</w:t>
      </w:r>
    </w:p>
    <w:p w14:paraId="747C78BD"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nb-NO" w:bidi="en-US"/>
        </w:rPr>
        <w:t xml:space="preserve">Strand D.A., Jussila J., Viljamaa-Dirks S., Kokko H., Makkonen J., Holst-Jensen A., Viljugrein H. &amp; Vrålstad T. </w:t>
      </w:r>
      <w:r w:rsidRPr="00A17D4D">
        <w:rPr>
          <w:rFonts w:ascii="Söhne" w:eastAsia="Times New Roman" w:hAnsi="Söhne" w:cs="Arial"/>
          <w:sz w:val="18"/>
          <w:szCs w:val="18"/>
          <w:lang w:val="nb-NO" w:bidi="en-US"/>
        </w:rPr>
        <w:t xml:space="preserve">(2012). </w:t>
      </w:r>
      <w:r w:rsidRPr="00A17D4D">
        <w:rPr>
          <w:rFonts w:ascii="Söhne" w:eastAsia="Times New Roman" w:hAnsi="Söhne" w:cs="Arial"/>
          <w:sz w:val="18"/>
          <w:szCs w:val="18"/>
          <w:lang w:val="en-IE" w:bidi="en-US"/>
        </w:rPr>
        <w:t xml:space="preserve">Monitoring the spore dynamics of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in the ambient water of latent carrier crayfish. </w:t>
      </w:r>
      <w:r w:rsidRPr="00A17D4D">
        <w:rPr>
          <w:rFonts w:ascii="Söhne" w:eastAsia="Times New Roman" w:hAnsi="Söhne" w:cs="Arial"/>
          <w:i/>
          <w:sz w:val="18"/>
          <w:szCs w:val="18"/>
          <w:lang w:val="en-IE" w:bidi="en-US"/>
        </w:rPr>
        <w:t>Vet. Microbiol.,</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160</w:t>
      </w:r>
      <w:r w:rsidRPr="00A17D4D">
        <w:rPr>
          <w:rFonts w:ascii="Söhne" w:eastAsia="Times New Roman" w:hAnsi="Söhne" w:cs="Arial"/>
          <w:sz w:val="18"/>
          <w:szCs w:val="18"/>
          <w:lang w:val="en-IE" w:bidi="en-US"/>
        </w:rPr>
        <w:t xml:space="preserve">, 99–107. </w:t>
      </w:r>
    </w:p>
    <w:p w14:paraId="6630E59E"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t>Strand</w:t>
      </w:r>
      <w:r w:rsidRPr="00A17D4D">
        <w:rPr>
          <w:rFonts w:ascii="Söhne" w:eastAsia="Times New Roman" w:hAnsi="Söhne" w:cs="Arial"/>
          <w:sz w:val="18"/>
          <w:szCs w:val="18"/>
          <w:lang w:val="en-IE" w:bidi="en-US"/>
        </w:rPr>
        <w:t xml:space="preserve"> D.A. (2013) Environmental DNA monitoring of the alien crayfish plague pathogen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in freshwater systems – Sporulation dynamics, alternative hosts and improved management tools. </w:t>
      </w:r>
      <w:r w:rsidRPr="00A17D4D">
        <w:rPr>
          <w:rFonts w:ascii="Söhne" w:eastAsia="Times New Roman" w:hAnsi="Söhne" w:cs="Arial"/>
          <w:i/>
          <w:iCs/>
          <w:sz w:val="18"/>
          <w:szCs w:val="18"/>
          <w:lang w:val="en-IE" w:bidi="en-US"/>
        </w:rPr>
        <w:t>Dissertation book, University of Oslo Faculty of Mathematics and Natural Sciences Department of Biosciences, Oslo</w:t>
      </w:r>
      <w:r w:rsidRPr="00A17D4D">
        <w:rPr>
          <w:rFonts w:ascii="Söhne" w:eastAsia="Times New Roman" w:hAnsi="Söhne" w:cs="Arial"/>
          <w:sz w:val="18"/>
          <w:szCs w:val="18"/>
          <w:lang w:val="en-IE" w:bidi="en-US"/>
        </w:rPr>
        <w:t>, ISSN 1501-7710, 73 p.</w:t>
      </w:r>
    </w:p>
    <w:p w14:paraId="7CE5BB15"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t>Svoboda J., Mrugała A., Kozubíková-Balcarová E. &amp; Petrusek A. (</w:t>
      </w:r>
      <w:r w:rsidRPr="00A17D4D">
        <w:rPr>
          <w:rFonts w:ascii="Söhne" w:eastAsia="Times New Roman" w:hAnsi="Söhne" w:cs="Arial"/>
          <w:sz w:val="18"/>
          <w:szCs w:val="18"/>
          <w:lang w:val="en-IE" w:bidi="en-US"/>
        </w:rPr>
        <w:t xml:space="preserve">2017). Hosts and transmission of the crayfish plague pathogen </w:t>
      </w:r>
      <w:r w:rsidRPr="00A17D4D">
        <w:rPr>
          <w:rFonts w:ascii="Söhne" w:eastAsia="Times New Roman" w:hAnsi="Söhne" w:cs="Arial"/>
          <w:i/>
          <w:iCs/>
          <w:sz w:val="18"/>
          <w:szCs w:val="18"/>
          <w:lang w:val="en-IE" w:bidi="en-US"/>
        </w:rPr>
        <w:t>Aphanomyces astaci</w:t>
      </w:r>
      <w:r w:rsidRPr="00A17D4D">
        <w:rPr>
          <w:rFonts w:ascii="Söhne" w:eastAsia="Times New Roman" w:hAnsi="Söhne" w:cs="Arial"/>
          <w:sz w:val="18"/>
          <w:szCs w:val="18"/>
          <w:lang w:val="en-IE" w:bidi="en-US"/>
        </w:rPr>
        <w:t xml:space="preserve">: a review. </w:t>
      </w:r>
      <w:r w:rsidRPr="00A17D4D">
        <w:rPr>
          <w:rFonts w:ascii="Söhne" w:eastAsia="Times New Roman" w:hAnsi="Söhne" w:cs="Arial"/>
          <w:i/>
          <w:iCs/>
          <w:sz w:val="18"/>
          <w:szCs w:val="18"/>
          <w:lang w:val="en-IE" w:bidi="en-US"/>
        </w:rPr>
        <w:t>J. Fish Dis</w:t>
      </w:r>
      <w:r w:rsidRPr="00A17D4D">
        <w:rPr>
          <w:rFonts w:ascii="Söhne" w:eastAsia="Times New Roman" w:hAnsi="Söhne" w:cs="Arial"/>
          <w:sz w:val="18"/>
          <w:szCs w:val="18"/>
          <w:lang w:val="en-IE" w:bidi="en-US"/>
        </w:rPr>
        <w:t xml:space="preserve">., </w:t>
      </w:r>
      <w:r w:rsidRPr="00A17D4D">
        <w:rPr>
          <w:rFonts w:ascii="Söhne" w:eastAsia="Times New Roman" w:hAnsi="Söhne" w:cs="Arial"/>
          <w:b/>
          <w:bCs/>
          <w:sz w:val="18"/>
          <w:szCs w:val="18"/>
          <w:lang w:val="en-IE" w:bidi="en-US"/>
        </w:rPr>
        <w:t>40,</w:t>
      </w:r>
      <w:r w:rsidRPr="00A17D4D">
        <w:rPr>
          <w:rFonts w:ascii="Söhne" w:eastAsia="Times New Roman" w:hAnsi="Söhne" w:cs="Arial"/>
          <w:sz w:val="18"/>
          <w:szCs w:val="18"/>
          <w:lang w:val="en-IE" w:bidi="en-US"/>
        </w:rPr>
        <w:t xml:space="preserve">127–140. </w:t>
      </w:r>
      <w:r w:rsidRPr="00A17D4D">
        <w:rPr>
          <w:rFonts w:ascii="Söhne" w:eastAsia="Times New Roman" w:hAnsi="Söhne" w:cs="Arial"/>
          <w:color w:val="0000FF"/>
          <w:sz w:val="18"/>
          <w:szCs w:val="18"/>
          <w:u w:val="single"/>
          <w:lang w:val="en-IE" w:bidi="en-US"/>
        </w:rPr>
        <w:t>https://doi.org/10.1111/jfd.12472</w:t>
      </w:r>
    </w:p>
    <w:p w14:paraId="144708EC" w14:textId="77777777" w:rsidR="00A17D4D" w:rsidRPr="00A17D4D" w:rsidRDefault="00A17D4D" w:rsidP="00A17D4D">
      <w:pPr>
        <w:spacing w:after="240" w:line="240" w:lineRule="auto"/>
        <w:jc w:val="both"/>
        <w:rPr>
          <w:rFonts w:ascii="Söhne" w:eastAsia="Times New Roman" w:hAnsi="Söhne" w:cs="Times New Roman"/>
          <w:sz w:val="18"/>
          <w:lang w:val="en-IE" w:bidi="en-US"/>
        </w:rPr>
      </w:pPr>
      <w:r w:rsidRPr="00A17D4D">
        <w:rPr>
          <w:rFonts w:ascii="Söhne" w:eastAsia="Arial" w:hAnsi="Söhne" w:cs="Arial"/>
          <w:smallCaps/>
          <w:sz w:val="18"/>
          <w:szCs w:val="18"/>
          <w:lang w:val="en-IE" w:bidi="en-US"/>
        </w:rPr>
        <w:t>Soderhall K. &amp; Cerenius L.</w:t>
      </w:r>
      <w:r w:rsidRPr="00A17D4D">
        <w:rPr>
          <w:rFonts w:ascii="Söhne" w:eastAsia="Times New Roman" w:hAnsi="Söhne" w:cs="Times New Roman"/>
          <w:smallCaps/>
          <w:sz w:val="18"/>
          <w:lang w:val="en-IE" w:bidi="en-US"/>
        </w:rPr>
        <w:t xml:space="preserve"> </w:t>
      </w:r>
      <w:r w:rsidRPr="00A17D4D">
        <w:rPr>
          <w:rFonts w:ascii="Söhne" w:eastAsia="Times New Roman" w:hAnsi="Söhne" w:cs="Times New Roman"/>
          <w:sz w:val="18"/>
          <w:lang w:val="en-IE" w:bidi="en-US"/>
        </w:rPr>
        <w:t xml:space="preserve">(1999) The crayfish plague fungus: history and recent advances. </w:t>
      </w:r>
      <w:r w:rsidRPr="00A17D4D">
        <w:rPr>
          <w:rFonts w:ascii="Söhne" w:eastAsia="Times New Roman" w:hAnsi="Söhne" w:cs="Times New Roman"/>
          <w:i/>
          <w:iCs/>
          <w:sz w:val="18"/>
          <w:lang w:val="en-IE" w:bidi="en-US"/>
        </w:rPr>
        <w:t>Freshwater Crayfish</w:t>
      </w:r>
      <w:r w:rsidRPr="00A17D4D">
        <w:rPr>
          <w:rFonts w:ascii="Söhne" w:eastAsia="Times New Roman" w:hAnsi="Söhne" w:cs="Times New Roman"/>
          <w:sz w:val="18"/>
          <w:lang w:val="en-IE" w:bidi="en-US"/>
        </w:rPr>
        <w:t xml:space="preserve">, </w:t>
      </w:r>
      <w:r w:rsidRPr="00A17D4D">
        <w:rPr>
          <w:rFonts w:ascii="Söhne" w:eastAsia="Times New Roman" w:hAnsi="Söhne" w:cs="Times New Roman"/>
          <w:b/>
          <w:bCs/>
          <w:sz w:val="18"/>
          <w:lang w:val="en-IE" w:bidi="en-US"/>
        </w:rPr>
        <w:t>12</w:t>
      </w:r>
      <w:r w:rsidRPr="00A17D4D">
        <w:rPr>
          <w:rFonts w:ascii="Söhne" w:eastAsia="Times New Roman" w:hAnsi="Söhne" w:cs="Times New Roman"/>
          <w:sz w:val="18"/>
          <w:lang w:val="en-IE" w:bidi="en-US"/>
        </w:rPr>
        <w:t xml:space="preserve">, 11-34. </w:t>
      </w:r>
    </w:p>
    <w:p w14:paraId="042DF59E"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t>Thomas J.R., Robinson C.V., Mrugała A., Ellison A.R., Matthews E., Griffiths S.W., Consuegra S. &amp; Cable J.</w:t>
      </w:r>
      <w:r w:rsidRPr="00A17D4D">
        <w:rPr>
          <w:rFonts w:ascii="Söhne" w:eastAsia="Times New Roman" w:hAnsi="Söhne" w:cs="Arial"/>
          <w:sz w:val="18"/>
          <w:szCs w:val="18"/>
          <w:lang w:val="en-IE" w:bidi="en-US"/>
        </w:rPr>
        <w:t xml:space="preserve"> (2020). Crayfish plague affects juvenile survival and adult behaviour of invasive signal crayfish. </w:t>
      </w:r>
      <w:r w:rsidRPr="00A17D4D">
        <w:rPr>
          <w:rFonts w:ascii="Söhne" w:eastAsia="Times New Roman" w:hAnsi="Söhne" w:cs="Arial"/>
          <w:i/>
          <w:iCs/>
          <w:sz w:val="18"/>
          <w:szCs w:val="18"/>
          <w:lang w:val="en-IE" w:bidi="en-US"/>
        </w:rPr>
        <w:t>Parasitology</w:t>
      </w:r>
      <w:r w:rsidRPr="00A17D4D">
        <w:rPr>
          <w:rFonts w:ascii="Söhne" w:eastAsia="Times New Roman" w:hAnsi="Söhne" w:cs="Arial"/>
          <w:sz w:val="18"/>
          <w:szCs w:val="18"/>
          <w:lang w:val="en-IE" w:bidi="en-US"/>
        </w:rPr>
        <w:t xml:space="preserve">, </w:t>
      </w:r>
      <w:r w:rsidRPr="00A17D4D">
        <w:rPr>
          <w:rFonts w:ascii="Söhne" w:eastAsia="Times New Roman" w:hAnsi="Söhne" w:cs="Arial"/>
          <w:b/>
          <w:bCs/>
          <w:sz w:val="18"/>
          <w:szCs w:val="18"/>
          <w:lang w:val="en-IE" w:bidi="en-US"/>
        </w:rPr>
        <w:t>1–9</w:t>
      </w:r>
      <w:r w:rsidRPr="00A17D4D">
        <w:rPr>
          <w:rFonts w:ascii="Söhne" w:eastAsia="Times New Roman" w:hAnsi="Söhne" w:cs="Arial"/>
          <w:sz w:val="18"/>
          <w:szCs w:val="18"/>
          <w:lang w:val="en-IE" w:bidi="en-US"/>
        </w:rPr>
        <w:t>, https://doi.org/10.1017/S0031182020000165</w:t>
      </w:r>
    </w:p>
    <w:p w14:paraId="7234647E"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lastRenderedPageBreak/>
        <w:t>Tuffs S &amp; Oidtmann B</w:t>
      </w:r>
      <w:r w:rsidRPr="00A17D4D">
        <w:rPr>
          <w:rFonts w:ascii="Söhne" w:eastAsia="Times New Roman" w:hAnsi="Söhne" w:cs="Arial"/>
          <w:sz w:val="18"/>
          <w:szCs w:val="18"/>
          <w:lang w:val="en-IE" w:bidi="en-US"/>
        </w:rPr>
        <w:t xml:space="preserve"> (2011). A comparative study of molecular diagnostic methods designed to detect the crayfish plague pathogen,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w:t>
      </w:r>
      <w:r w:rsidRPr="00A17D4D">
        <w:rPr>
          <w:rFonts w:ascii="Söhne" w:eastAsia="Times New Roman" w:hAnsi="Söhne" w:cs="Arial"/>
          <w:i/>
          <w:sz w:val="18"/>
          <w:szCs w:val="18"/>
          <w:lang w:val="en-IE" w:bidi="en-US"/>
        </w:rPr>
        <w:t xml:space="preserve">Vet. Microbiol., </w:t>
      </w:r>
      <w:r w:rsidRPr="00A17D4D">
        <w:rPr>
          <w:rFonts w:ascii="Söhne" w:eastAsia="Times New Roman" w:hAnsi="Söhne" w:cs="Arial"/>
          <w:b/>
          <w:sz w:val="18"/>
          <w:szCs w:val="18"/>
          <w:lang w:val="en-IE" w:bidi="en-US"/>
        </w:rPr>
        <w:t>153</w:t>
      </w:r>
      <w:r w:rsidRPr="00A17D4D">
        <w:rPr>
          <w:rFonts w:ascii="Söhne" w:eastAsia="Times New Roman" w:hAnsi="Söhne" w:cs="Arial"/>
          <w:sz w:val="18"/>
          <w:szCs w:val="18"/>
          <w:lang w:val="en-IE" w:bidi="en-US"/>
        </w:rPr>
        <w:t>, 345–353.</w:t>
      </w:r>
    </w:p>
    <w:p w14:paraId="5F003B85"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t>Unestam T.</w:t>
      </w:r>
      <w:r w:rsidRPr="00A17D4D">
        <w:rPr>
          <w:rFonts w:ascii="Söhne" w:eastAsia="Times New Roman" w:hAnsi="Söhne" w:cs="Arial"/>
          <w:sz w:val="18"/>
          <w:szCs w:val="18"/>
          <w:lang w:val="en-IE" w:bidi="en-US"/>
        </w:rPr>
        <w:t xml:space="preserve"> (1966). Studies on the crayfish plague fungus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II. Factors affecting zoospores and zoospore production. </w:t>
      </w:r>
      <w:r w:rsidRPr="00A17D4D">
        <w:rPr>
          <w:rFonts w:ascii="Söhne" w:eastAsia="Times New Roman" w:hAnsi="Söhne" w:cs="Arial"/>
          <w:i/>
          <w:sz w:val="18"/>
          <w:szCs w:val="18"/>
          <w:lang w:val="en-IE" w:bidi="en-US"/>
        </w:rPr>
        <w:t>Physiol. Plant.</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19</w:t>
      </w:r>
      <w:r w:rsidRPr="00A17D4D">
        <w:rPr>
          <w:rFonts w:ascii="Söhne" w:eastAsia="Times New Roman" w:hAnsi="Söhne" w:cs="Arial"/>
          <w:sz w:val="18"/>
          <w:szCs w:val="18"/>
          <w:lang w:val="en-IE" w:bidi="en-US"/>
        </w:rPr>
        <w:t>, 1110–1119.</w:t>
      </w:r>
    </w:p>
    <w:p w14:paraId="26F84000" w14:textId="77777777" w:rsidR="00A17D4D" w:rsidRPr="00A17D4D" w:rsidRDefault="00A17D4D" w:rsidP="00A17D4D">
      <w:pPr>
        <w:spacing w:after="240" w:line="240" w:lineRule="auto"/>
        <w:jc w:val="both"/>
        <w:rPr>
          <w:rFonts w:ascii="Söhne" w:eastAsia="Times New Roman" w:hAnsi="Söhne" w:cs="Arial"/>
          <w:strike/>
          <w:sz w:val="18"/>
          <w:szCs w:val="18"/>
          <w:lang w:val="en-IE" w:bidi="en-US"/>
        </w:rPr>
      </w:pPr>
      <w:r w:rsidRPr="00A17D4D">
        <w:rPr>
          <w:rFonts w:ascii="Söhne" w:eastAsia="Times New Roman" w:hAnsi="Söhne" w:cs="Arial"/>
          <w:smallCaps/>
          <w:strike/>
          <w:sz w:val="18"/>
          <w:szCs w:val="18"/>
          <w:lang w:val="en-IE" w:bidi="en-US"/>
        </w:rPr>
        <w:t>Unestam T. &amp; Soderhall</w:t>
      </w:r>
      <w:r w:rsidRPr="00A17D4D">
        <w:rPr>
          <w:rFonts w:ascii="Söhne" w:eastAsia="Times New Roman" w:hAnsi="Söhne" w:cs="Arial"/>
          <w:strike/>
          <w:sz w:val="18"/>
          <w:szCs w:val="18"/>
          <w:lang w:val="en-IE" w:bidi="en-US"/>
        </w:rPr>
        <w:t xml:space="preserve"> K. (1977). Specialisation in crayfish defence and fungal aggressiveness upon crayfish plague infection. </w:t>
      </w:r>
      <w:r w:rsidRPr="00A17D4D">
        <w:rPr>
          <w:rFonts w:ascii="Söhne" w:eastAsia="Times New Roman" w:hAnsi="Söhne" w:cs="Arial"/>
          <w:i/>
          <w:strike/>
          <w:sz w:val="18"/>
          <w:szCs w:val="18"/>
          <w:lang w:val="en-IE" w:bidi="en-US"/>
        </w:rPr>
        <w:t>Freshwater Crayfish</w:t>
      </w:r>
      <w:r w:rsidRPr="00A17D4D">
        <w:rPr>
          <w:rFonts w:ascii="Söhne" w:eastAsia="Times New Roman" w:hAnsi="Söhne" w:cs="Arial"/>
          <w:strike/>
          <w:sz w:val="18"/>
          <w:szCs w:val="18"/>
          <w:lang w:val="en-IE" w:bidi="en-US"/>
        </w:rPr>
        <w:t xml:space="preserve">, </w:t>
      </w:r>
      <w:r w:rsidRPr="00A17D4D">
        <w:rPr>
          <w:rFonts w:ascii="Söhne" w:eastAsia="Times New Roman" w:hAnsi="Söhne" w:cs="Arial"/>
          <w:b/>
          <w:strike/>
          <w:sz w:val="18"/>
          <w:szCs w:val="18"/>
          <w:lang w:val="en-IE" w:bidi="en-US"/>
        </w:rPr>
        <w:t>3</w:t>
      </w:r>
      <w:r w:rsidRPr="00A17D4D">
        <w:rPr>
          <w:rFonts w:ascii="Söhne" w:eastAsia="Times New Roman" w:hAnsi="Söhne" w:cs="Arial"/>
          <w:strike/>
          <w:sz w:val="18"/>
          <w:szCs w:val="18"/>
          <w:lang w:val="en-IE" w:bidi="en-US"/>
        </w:rPr>
        <w:t>, 321–331.</w:t>
      </w:r>
    </w:p>
    <w:p w14:paraId="1CBBFBF2"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en-IE" w:bidi="en-US"/>
        </w:rPr>
        <w:t>Viljamaa-Dirks</w:t>
      </w:r>
      <w:r w:rsidRPr="00A17D4D">
        <w:rPr>
          <w:rFonts w:ascii="Söhne" w:eastAsia="Times New Roman" w:hAnsi="Söhne" w:cs="Arial"/>
          <w:sz w:val="18"/>
          <w:szCs w:val="18"/>
          <w:lang w:val="en-IE" w:bidi="en-US"/>
        </w:rPr>
        <w:t xml:space="preserve"> S. (2006). Improved detection of crayfish plague with a modified isolation method. </w:t>
      </w:r>
      <w:r w:rsidRPr="00A17D4D">
        <w:rPr>
          <w:rFonts w:ascii="Söhne" w:eastAsia="Times New Roman" w:hAnsi="Söhne" w:cs="Arial"/>
          <w:i/>
          <w:sz w:val="18"/>
          <w:szCs w:val="18"/>
          <w:lang w:val="en-IE" w:bidi="en-US"/>
        </w:rPr>
        <w:t>Freshwater Crayfish</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15</w:t>
      </w:r>
      <w:r w:rsidRPr="00A17D4D">
        <w:rPr>
          <w:rFonts w:ascii="Söhne" w:eastAsia="Times New Roman" w:hAnsi="Söhne" w:cs="Arial"/>
          <w:sz w:val="18"/>
          <w:szCs w:val="18"/>
          <w:lang w:val="en-IE" w:bidi="en-US"/>
        </w:rPr>
        <w:t>, 376–382.</w:t>
      </w:r>
    </w:p>
    <w:p w14:paraId="72BD3260" w14:textId="77777777" w:rsidR="00A17D4D" w:rsidRPr="00A17D4D" w:rsidRDefault="00A17D4D" w:rsidP="00A17D4D">
      <w:pPr>
        <w:spacing w:after="240" w:line="240" w:lineRule="auto"/>
        <w:jc w:val="both"/>
        <w:rPr>
          <w:rFonts w:ascii="Söhne" w:eastAsia="Times New Roman" w:hAnsi="Söhne" w:cs="Arial"/>
          <w:sz w:val="18"/>
          <w:szCs w:val="18"/>
          <w:lang w:val="de-DE" w:bidi="en-US"/>
        </w:rPr>
      </w:pPr>
      <w:r w:rsidRPr="00A17D4D">
        <w:rPr>
          <w:rFonts w:ascii="Söhne" w:eastAsia="Times New Roman" w:hAnsi="Söhne" w:cs="Arial"/>
          <w:sz w:val="18"/>
          <w:szCs w:val="18"/>
          <w:lang w:val="en-IE" w:bidi="en-US"/>
        </w:rPr>
        <w:t>V</w:t>
      </w:r>
      <w:r w:rsidRPr="00A17D4D">
        <w:rPr>
          <w:rFonts w:ascii="Söhne" w:eastAsia="Times New Roman" w:hAnsi="Söhne" w:cs="Arial"/>
          <w:smallCaps/>
          <w:sz w:val="18"/>
          <w:szCs w:val="18"/>
          <w:lang w:val="en-IE" w:bidi="en-US"/>
        </w:rPr>
        <w:t>iljamaa</w:t>
      </w:r>
      <w:r w:rsidRPr="00A17D4D">
        <w:rPr>
          <w:rFonts w:ascii="Cambria Math" w:eastAsia="Times New Roman" w:hAnsi="Cambria Math" w:cs="Cambria Math"/>
          <w:smallCaps/>
          <w:sz w:val="18"/>
          <w:szCs w:val="18"/>
          <w:lang w:val="en-IE" w:bidi="en-US"/>
        </w:rPr>
        <w:t>‐</w:t>
      </w:r>
      <w:r w:rsidRPr="00A17D4D">
        <w:rPr>
          <w:rFonts w:ascii="Söhne" w:eastAsia="Times New Roman" w:hAnsi="Söhne" w:cs="Arial"/>
          <w:smallCaps/>
          <w:sz w:val="18"/>
          <w:szCs w:val="18"/>
          <w:lang w:val="en-IE" w:bidi="en-US"/>
        </w:rPr>
        <w:t>Dirks S. &amp; Heinikainen S.</w:t>
      </w:r>
      <w:r w:rsidRPr="00A17D4D">
        <w:rPr>
          <w:rFonts w:ascii="Söhne" w:eastAsia="Times New Roman" w:hAnsi="Söhne" w:cs="Arial"/>
          <w:sz w:val="18"/>
          <w:szCs w:val="18"/>
          <w:lang w:val="en-IE" w:bidi="en-US"/>
        </w:rPr>
        <w:t xml:space="preserve"> (2019) A tentative new species </w:t>
      </w:r>
      <w:r w:rsidRPr="00A17D4D">
        <w:rPr>
          <w:rFonts w:ascii="Söhne" w:eastAsia="Times New Roman" w:hAnsi="Söhne" w:cs="Arial"/>
          <w:i/>
          <w:iCs/>
          <w:sz w:val="18"/>
          <w:szCs w:val="18"/>
          <w:lang w:val="en-IE" w:bidi="en-US"/>
        </w:rPr>
        <w:t>Aphanomyces fennicus</w:t>
      </w:r>
      <w:r w:rsidRPr="00A17D4D">
        <w:rPr>
          <w:rFonts w:ascii="Söhne" w:eastAsia="Times New Roman" w:hAnsi="Söhne" w:cs="Arial"/>
          <w:sz w:val="18"/>
          <w:szCs w:val="18"/>
          <w:lang w:val="en-IE" w:bidi="en-US"/>
        </w:rPr>
        <w:t xml:space="preserve"> sp. nov. interferes with molecular diagnostic methods for crayfish plague. </w:t>
      </w:r>
      <w:r w:rsidRPr="00A17D4D">
        <w:rPr>
          <w:rFonts w:ascii="Söhne" w:eastAsia="Times New Roman" w:hAnsi="Söhne" w:cs="Arial"/>
          <w:i/>
          <w:sz w:val="18"/>
          <w:szCs w:val="18"/>
          <w:lang w:val="de-DE" w:bidi="en-US"/>
        </w:rPr>
        <w:t>J. Fish Dis</w:t>
      </w:r>
      <w:r w:rsidRPr="00A17D4D">
        <w:rPr>
          <w:rFonts w:ascii="Söhne" w:eastAsia="Times New Roman" w:hAnsi="Söhne" w:cs="Arial"/>
          <w:sz w:val="18"/>
          <w:szCs w:val="18"/>
          <w:lang w:val="de-DE" w:bidi="en-US"/>
        </w:rPr>
        <w:t xml:space="preserve">., </w:t>
      </w:r>
      <w:r w:rsidRPr="00A17D4D">
        <w:rPr>
          <w:rFonts w:ascii="Söhne" w:eastAsia="Times New Roman" w:hAnsi="Söhne" w:cs="Arial"/>
          <w:b/>
          <w:sz w:val="18"/>
          <w:szCs w:val="18"/>
          <w:lang w:val="de-DE" w:bidi="en-US"/>
        </w:rPr>
        <w:t>42</w:t>
      </w:r>
      <w:r w:rsidRPr="00A17D4D">
        <w:rPr>
          <w:rFonts w:ascii="Söhne" w:eastAsia="Times New Roman" w:hAnsi="Söhne" w:cs="Arial"/>
          <w:sz w:val="18"/>
          <w:szCs w:val="18"/>
          <w:lang w:val="de-DE" w:bidi="en-US"/>
        </w:rPr>
        <w:t>, 413–422. https://doi.org/10.1111/jfd.12955</w:t>
      </w:r>
    </w:p>
    <w:p w14:paraId="5F42874E"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de-DE" w:bidi="en-US"/>
        </w:rPr>
        <w:t xml:space="preserve">Viljamaa-Dirks S., Heinikainen S., Nieminen M., Vennerström P. </w:t>
      </w:r>
      <w:bookmarkStart w:id="10" w:name="_Hlk94082445"/>
      <w:r w:rsidRPr="00A17D4D">
        <w:rPr>
          <w:rFonts w:ascii="Söhne" w:eastAsia="Times New Roman" w:hAnsi="Söhne" w:cs="Arial"/>
          <w:smallCaps/>
          <w:sz w:val="18"/>
          <w:szCs w:val="18"/>
          <w:lang w:val="de-DE" w:bidi="en-US"/>
        </w:rPr>
        <w:t xml:space="preserve">&amp; </w:t>
      </w:r>
      <w:bookmarkEnd w:id="10"/>
      <w:r w:rsidRPr="00A17D4D">
        <w:rPr>
          <w:rFonts w:ascii="Söhne" w:eastAsia="Times New Roman" w:hAnsi="Söhne" w:cs="Arial"/>
          <w:smallCaps/>
          <w:sz w:val="18"/>
          <w:szCs w:val="18"/>
          <w:lang w:val="de-DE" w:bidi="en-US"/>
        </w:rPr>
        <w:t>Pelkonen S</w:t>
      </w:r>
      <w:r w:rsidRPr="00A17D4D">
        <w:rPr>
          <w:rFonts w:ascii="Söhne" w:eastAsia="Times New Roman" w:hAnsi="Söhne" w:cs="Arial"/>
          <w:sz w:val="18"/>
          <w:szCs w:val="18"/>
          <w:lang w:val="de-DE" w:bidi="en-US"/>
        </w:rPr>
        <w:t xml:space="preserve">. (2011). </w:t>
      </w:r>
      <w:r w:rsidRPr="00A17D4D">
        <w:rPr>
          <w:rFonts w:ascii="Söhne" w:eastAsia="Times New Roman" w:hAnsi="Söhne" w:cs="Arial"/>
          <w:sz w:val="18"/>
          <w:szCs w:val="18"/>
          <w:lang w:val="en-IE" w:bidi="en-US"/>
        </w:rPr>
        <w:t xml:space="preserve">Persistent infection by crayfish plague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in a noble crayfish population – a case report. </w:t>
      </w:r>
      <w:r w:rsidRPr="00A17D4D">
        <w:rPr>
          <w:rFonts w:ascii="Söhne" w:eastAsia="Times New Roman" w:hAnsi="Söhne" w:cs="Arial"/>
          <w:i/>
          <w:sz w:val="18"/>
          <w:szCs w:val="18"/>
          <w:lang w:val="en-IE" w:bidi="en-US"/>
        </w:rPr>
        <w:t>Bull. Eur. Assoc. Fish Pathol</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31</w:t>
      </w:r>
      <w:r w:rsidRPr="00A17D4D">
        <w:rPr>
          <w:rFonts w:ascii="Söhne" w:eastAsia="Times New Roman" w:hAnsi="Söhne" w:cs="Arial"/>
          <w:sz w:val="18"/>
          <w:szCs w:val="18"/>
          <w:lang w:val="en-IE" w:bidi="en-US"/>
        </w:rPr>
        <w:t>, 182–188.</w:t>
      </w:r>
    </w:p>
    <w:p w14:paraId="164DB40C"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r w:rsidRPr="00A17D4D">
        <w:rPr>
          <w:rFonts w:ascii="Söhne" w:eastAsia="Times New Roman" w:hAnsi="Söhne" w:cs="Arial"/>
          <w:smallCaps/>
          <w:sz w:val="18"/>
          <w:szCs w:val="18"/>
          <w:lang w:val="en-IE" w:bidi="en-US"/>
        </w:rPr>
        <w:t>Viljamaa-Dirks S., Heinikainen S., Torssonen H., Pursiainen M., Mattila J. &amp; Pelkonen S.</w:t>
      </w:r>
      <w:r w:rsidRPr="00A17D4D">
        <w:rPr>
          <w:rFonts w:ascii="Söhne" w:eastAsia="Times New Roman" w:hAnsi="Söhne" w:cs="Arial"/>
          <w:sz w:val="18"/>
          <w:szCs w:val="18"/>
          <w:lang w:val="en-IE" w:bidi="en-US"/>
        </w:rPr>
        <w:t xml:space="preserve"> (2013). Distribution and epidemiology of genotypes of the crayfish plague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from noble crayfish </w:t>
      </w:r>
      <w:r w:rsidRPr="00A17D4D">
        <w:rPr>
          <w:rFonts w:ascii="Söhne" w:eastAsia="Times New Roman" w:hAnsi="Söhne" w:cs="Arial"/>
          <w:i/>
          <w:sz w:val="18"/>
          <w:szCs w:val="18"/>
          <w:lang w:val="en-IE" w:bidi="en-US"/>
        </w:rPr>
        <w:t>Astacus astacus</w:t>
      </w:r>
      <w:r w:rsidRPr="00A17D4D">
        <w:rPr>
          <w:rFonts w:ascii="Söhne" w:eastAsia="Times New Roman" w:hAnsi="Söhne" w:cs="Arial"/>
          <w:sz w:val="18"/>
          <w:szCs w:val="18"/>
          <w:lang w:val="en-IE" w:bidi="en-US"/>
        </w:rPr>
        <w:t xml:space="preserve"> in Finland. </w:t>
      </w:r>
      <w:r w:rsidRPr="00A17D4D">
        <w:rPr>
          <w:rFonts w:ascii="Söhne" w:eastAsia="Times New Roman" w:hAnsi="Söhne" w:cs="Arial"/>
          <w:i/>
          <w:sz w:val="18"/>
          <w:szCs w:val="18"/>
          <w:lang w:val="nb-NO" w:bidi="en-US"/>
        </w:rPr>
        <w:t>Dis. Aquat. Org</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103</w:t>
      </w:r>
      <w:r w:rsidRPr="00A17D4D">
        <w:rPr>
          <w:rFonts w:ascii="Söhne" w:eastAsia="Times New Roman" w:hAnsi="Söhne" w:cs="Arial"/>
          <w:sz w:val="18"/>
          <w:szCs w:val="18"/>
          <w:lang w:val="nb-NO" w:bidi="en-US"/>
        </w:rPr>
        <w:t>, 199–208.</w:t>
      </w:r>
    </w:p>
    <w:p w14:paraId="3E00FBBD" w14:textId="77777777" w:rsidR="00A17D4D" w:rsidRPr="00A17D4D" w:rsidRDefault="00A17D4D" w:rsidP="00A17D4D">
      <w:pPr>
        <w:spacing w:after="240" w:line="240" w:lineRule="auto"/>
        <w:jc w:val="both"/>
        <w:rPr>
          <w:rFonts w:ascii="Söhne" w:eastAsia="Times New Roman" w:hAnsi="Söhne" w:cs="Arial"/>
          <w:sz w:val="18"/>
          <w:szCs w:val="18"/>
          <w:lang w:val="nb-NO" w:bidi="en-US"/>
        </w:rPr>
      </w:pPr>
      <w:r w:rsidRPr="00A17D4D">
        <w:rPr>
          <w:rFonts w:ascii="Söhne" w:eastAsia="Times New Roman" w:hAnsi="Söhne" w:cs="Arial"/>
          <w:smallCaps/>
          <w:sz w:val="18"/>
          <w:szCs w:val="18"/>
          <w:lang w:val="nb-NO" w:bidi="en-US"/>
        </w:rPr>
        <w:t>Vralstad T., Johnsen S.I., Fristad R., Edsman L. &amp; Strand D.A.</w:t>
      </w:r>
      <w:r w:rsidRPr="00A17D4D">
        <w:rPr>
          <w:rFonts w:ascii="Söhne" w:eastAsia="Times New Roman" w:hAnsi="Söhne" w:cs="Arial"/>
          <w:sz w:val="18"/>
          <w:szCs w:val="18"/>
          <w:lang w:val="nb-NO" w:bidi="en-US"/>
        </w:rPr>
        <w:t xml:space="preserve"> (2011). </w:t>
      </w:r>
      <w:r w:rsidRPr="00A17D4D">
        <w:rPr>
          <w:rFonts w:ascii="Söhne" w:eastAsia="Times New Roman" w:hAnsi="Söhne" w:cs="Arial"/>
          <w:sz w:val="18"/>
          <w:szCs w:val="18"/>
          <w:lang w:val="en-IE" w:bidi="en-US"/>
        </w:rPr>
        <w:t xml:space="preserve">Potent infection reservoir of crayfish plague now permanently established in Norway. </w:t>
      </w:r>
      <w:r w:rsidRPr="00A17D4D">
        <w:rPr>
          <w:rFonts w:ascii="Söhne" w:eastAsia="Times New Roman" w:hAnsi="Söhne" w:cs="Arial"/>
          <w:i/>
          <w:sz w:val="18"/>
          <w:szCs w:val="18"/>
          <w:lang w:val="nb-NO" w:bidi="en-US"/>
        </w:rPr>
        <w:t>Dis. Aquat. Org.,</w:t>
      </w:r>
      <w:r w:rsidRPr="00A17D4D">
        <w:rPr>
          <w:rFonts w:ascii="Söhne" w:eastAsia="Times New Roman" w:hAnsi="Söhne" w:cs="Arial"/>
          <w:sz w:val="18"/>
          <w:szCs w:val="18"/>
          <w:lang w:val="nb-NO" w:bidi="en-US"/>
        </w:rPr>
        <w:t xml:space="preserve"> </w:t>
      </w:r>
      <w:r w:rsidRPr="00A17D4D">
        <w:rPr>
          <w:rFonts w:ascii="Söhne" w:eastAsia="Times New Roman" w:hAnsi="Söhne" w:cs="Arial"/>
          <w:b/>
          <w:sz w:val="18"/>
          <w:szCs w:val="18"/>
          <w:lang w:val="nb-NO" w:bidi="en-US"/>
        </w:rPr>
        <w:t>97</w:t>
      </w:r>
      <w:r w:rsidRPr="00A17D4D">
        <w:rPr>
          <w:rFonts w:ascii="Söhne" w:eastAsia="Times New Roman" w:hAnsi="Söhne" w:cs="Arial"/>
          <w:sz w:val="18"/>
          <w:szCs w:val="18"/>
          <w:lang w:val="nb-NO" w:bidi="en-US"/>
        </w:rPr>
        <w:t>, 75–83.</w:t>
      </w:r>
    </w:p>
    <w:p w14:paraId="46C65129" w14:textId="77777777" w:rsidR="00A17D4D" w:rsidRPr="00A17D4D" w:rsidRDefault="00A17D4D" w:rsidP="00A17D4D">
      <w:pPr>
        <w:spacing w:after="240" w:line="240" w:lineRule="auto"/>
        <w:jc w:val="both"/>
        <w:rPr>
          <w:rFonts w:ascii="Söhne" w:eastAsia="Times New Roman" w:hAnsi="Söhne" w:cs="Arial"/>
          <w:sz w:val="18"/>
          <w:szCs w:val="18"/>
          <w:lang w:val="en-IE" w:bidi="en-US"/>
        </w:rPr>
      </w:pPr>
      <w:r w:rsidRPr="00A17D4D">
        <w:rPr>
          <w:rFonts w:ascii="Söhne" w:eastAsia="Times New Roman" w:hAnsi="Söhne" w:cs="Arial"/>
          <w:smallCaps/>
          <w:sz w:val="18"/>
          <w:szCs w:val="18"/>
          <w:lang w:val="nb-NO" w:bidi="en-US"/>
        </w:rPr>
        <w:t>Vralstad T., Knutsen A.K., Tengs T. &amp; Holst-Jensen A</w:t>
      </w:r>
      <w:r w:rsidRPr="00A17D4D">
        <w:rPr>
          <w:rFonts w:ascii="Söhne" w:eastAsia="Times New Roman" w:hAnsi="Söhne" w:cs="Arial"/>
          <w:sz w:val="18"/>
          <w:szCs w:val="18"/>
          <w:lang w:val="nb-NO" w:bidi="en-US"/>
        </w:rPr>
        <w:t xml:space="preserve">. (2009). </w:t>
      </w:r>
      <w:r w:rsidRPr="00A17D4D">
        <w:rPr>
          <w:rFonts w:ascii="Söhne" w:eastAsia="Times New Roman" w:hAnsi="Söhne" w:cs="Arial"/>
          <w:sz w:val="18"/>
          <w:szCs w:val="18"/>
          <w:lang w:val="en-IE" w:bidi="en-US"/>
        </w:rPr>
        <w:t>A quantitative TaqMan</w:t>
      </w:r>
      <w:r w:rsidRPr="00A17D4D">
        <w:rPr>
          <w:rFonts w:ascii="Söhne" w:eastAsia="Times New Roman" w:hAnsi="Söhne" w:cs="Arial"/>
          <w:sz w:val="18"/>
          <w:szCs w:val="18"/>
          <w:vertAlign w:val="superscript"/>
          <w:lang w:val="en-IE" w:bidi="en-US"/>
        </w:rPr>
        <w:t>®</w:t>
      </w:r>
      <w:r w:rsidRPr="00A17D4D">
        <w:rPr>
          <w:rFonts w:ascii="Söhne" w:eastAsia="Times New Roman" w:hAnsi="Söhne" w:cs="Arial"/>
          <w:sz w:val="18"/>
          <w:szCs w:val="18"/>
          <w:lang w:val="en-IE" w:bidi="en-US"/>
        </w:rPr>
        <w:t xml:space="preserve"> MGB real-time polymerase chain reaction based assay for detection of the causative agent of crayfish plague </w:t>
      </w:r>
      <w:r w:rsidRPr="00A17D4D">
        <w:rPr>
          <w:rFonts w:ascii="Söhne" w:eastAsia="Times New Roman" w:hAnsi="Söhne" w:cs="Arial"/>
          <w:i/>
          <w:sz w:val="18"/>
          <w:szCs w:val="18"/>
          <w:lang w:val="en-IE" w:bidi="en-US"/>
        </w:rPr>
        <w:t>Aphanomyces astaci</w:t>
      </w:r>
      <w:r w:rsidRPr="00A17D4D">
        <w:rPr>
          <w:rFonts w:ascii="Söhne" w:eastAsia="Times New Roman" w:hAnsi="Söhne" w:cs="Arial"/>
          <w:sz w:val="18"/>
          <w:szCs w:val="18"/>
          <w:lang w:val="en-IE" w:bidi="en-US"/>
        </w:rPr>
        <w:t xml:space="preserve">. </w:t>
      </w:r>
      <w:r w:rsidRPr="00A17D4D">
        <w:rPr>
          <w:rFonts w:ascii="Söhne" w:eastAsia="Times New Roman" w:hAnsi="Söhne" w:cs="Arial"/>
          <w:i/>
          <w:sz w:val="18"/>
          <w:szCs w:val="18"/>
          <w:lang w:val="en-IE" w:bidi="en-US"/>
        </w:rPr>
        <w:t>Vet. Microbiol.,</w:t>
      </w:r>
      <w:r w:rsidRPr="00A17D4D">
        <w:rPr>
          <w:rFonts w:ascii="Söhne" w:eastAsia="Times New Roman" w:hAnsi="Söhne" w:cs="Arial"/>
          <w:sz w:val="18"/>
          <w:szCs w:val="18"/>
          <w:lang w:val="en-IE" w:bidi="en-US"/>
        </w:rPr>
        <w:t xml:space="preserve"> </w:t>
      </w:r>
      <w:r w:rsidRPr="00A17D4D">
        <w:rPr>
          <w:rFonts w:ascii="Söhne" w:eastAsia="Times New Roman" w:hAnsi="Söhne" w:cs="Arial"/>
          <w:b/>
          <w:sz w:val="18"/>
          <w:szCs w:val="18"/>
          <w:lang w:val="en-IE" w:bidi="en-US"/>
        </w:rPr>
        <w:t>137</w:t>
      </w:r>
      <w:r w:rsidRPr="00A17D4D">
        <w:rPr>
          <w:rFonts w:ascii="Söhne" w:eastAsia="Times New Roman" w:hAnsi="Söhne" w:cs="Arial"/>
          <w:sz w:val="18"/>
          <w:szCs w:val="18"/>
          <w:lang w:val="en-IE" w:bidi="en-US"/>
        </w:rPr>
        <w:t>, 146–155.</w:t>
      </w:r>
    </w:p>
    <w:p w14:paraId="41246105" w14:textId="77777777" w:rsidR="00A17D4D" w:rsidRPr="00A17D4D" w:rsidRDefault="00A17D4D" w:rsidP="00A17D4D">
      <w:pPr>
        <w:spacing w:after="240" w:line="240" w:lineRule="auto"/>
        <w:jc w:val="both"/>
        <w:rPr>
          <w:rFonts w:ascii="Söhne" w:eastAsia="Times New Roman" w:hAnsi="Söhne" w:cs="Arial"/>
          <w:strike/>
          <w:sz w:val="18"/>
          <w:szCs w:val="18"/>
          <w:lang w:val="en-IE" w:bidi="en-US"/>
        </w:rPr>
      </w:pPr>
      <w:r w:rsidRPr="00A17D4D">
        <w:rPr>
          <w:rFonts w:ascii="Söhne" w:eastAsia="Times New Roman" w:hAnsi="Söhne" w:cs="Arial"/>
          <w:smallCaps/>
          <w:strike/>
          <w:sz w:val="18"/>
          <w:szCs w:val="18"/>
          <w:lang w:val="en-IE" w:bidi="en-US"/>
        </w:rPr>
        <w:t>White T.J., Bruns T., Lee S. &amp; Taylor J.</w:t>
      </w:r>
      <w:r w:rsidRPr="00A17D4D">
        <w:rPr>
          <w:rFonts w:ascii="Söhne" w:eastAsia="Times New Roman" w:hAnsi="Söhne" w:cs="Arial"/>
          <w:strike/>
          <w:sz w:val="18"/>
          <w:szCs w:val="18"/>
          <w:lang w:val="en-IE" w:bidi="en-US"/>
        </w:rPr>
        <w:t xml:space="preserve"> (1990). Amplification and direct sequencing of fungal ribosomal RNA genes for phylogenetics. </w:t>
      </w:r>
      <w:r w:rsidRPr="00A17D4D">
        <w:rPr>
          <w:rFonts w:ascii="Söhne" w:eastAsia="Times New Roman" w:hAnsi="Söhne" w:cs="Arial"/>
          <w:i/>
          <w:strike/>
          <w:sz w:val="18"/>
          <w:szCs w:val="18"/>
          <w:lang w:val="en-IE" w:bidi="en-US"/>
        </w:rPr>
        <w:t>In:</w:t>
      </w:r>
      <w:r w:rsidRPr="00A17D4D">
        <w:rPr>
          <w:rFonts w:ascii="Söhne" w:eastAsia="Times New Roman" w:hAnsi="Söhne" w:cs="Arial"/>
          <w:strike/>
          <w:sz w:val="18"/>
          <w:szCs w:val="18"/>
          <w:lang w:val="en-IE" w:bidi="en-US"/>
        </w:rPr>
        <w:t xml:space="preserve"> PCR Protocols: A Guide to Methods and Applications, Innis M.A., Gelfand D.H., Sninsky J.J., White T.J., eds. Academic Press, San Diego, California, USA, pp. 315–322.</w:t>
      </w:r>
    </w:p>
    <w:bookmarkEnd w:id="6"/>
    <w:p w14:paraId="2BAACF77" w14:textId="77777777" w:rsidR="00A17D4D" w:rsidRPr="00A17D4D" w:rsidRDefault="00A17D4D" w:rsidP="00A17D4D">
      <w:pPr>
        <w:spacing w:after="240" w:line="240" w:lineRule="auto"/>
        <w:jc w:val="center"/>
        <w:rPr>
          <w:rFonts w:ascii="Söhne" w:eastAsia="Times New Roman" w:hAnsi="Söhne" w:cs="Times New Roman"/>
          <w:sz w:val="18"/>
          <w:szCs w:val="18"/>
          <w:lang w:val="en-IE" w:bidi="en-US"/>
        </w:rPr>
      </w:pPr>
      <w:r w:rsidRPr="00A17D4D">
        <w:rPr>
          <w:rFonts w:ascii="Söhne" w:eastAsia="Times New Roman" w:hAnsi="Söhne" w:cs="Times New Roman"/>
          <w:sz w:val="18"/>
          <w:szCs w:val="18"/>
          <w:lang w:val="en-IE" w:bidi="en-US"/>
        </w:rPr>
        <w:t>*</w:t>
      </w:r>
      <w:r w:rsidRPr="00A17D4D">
        <w:rPr>
          <w:rFonts w:ascii="Söhne" w:eastAsia="Times New Roman" w:hAnsi="Söhne" w:cs="Times New Roman"/>
          <w:sz w:val="18"/>
          <w:szCs w:val="18"/>
          <w:lang w:val="en-IE" w:bidi="en-US"/>
        </w:rPr>
        <w:br/>
        <w:t>*   *</w:t>
      </w:r>
    </w:p>
    <w:p w14:paraId="52E5C91E" w14:textId="77777777" w:rsidR="00A17D4D" w:rsidRPr="00A17D4D" w:rsidRDefault="00A17D4D" w:rsidP="00A17D4D">
      <w:pPr>
        <w:spacing w:before="120" w:after="240" w:line="240" w:lineRule="auto"/>
        <w:jc w:val="center"/>
        <w:rPr>
          <w:rFonts w:ascii="Söhne" w:eastAsia="Times New Roman" w:hAnsi="Söhne" w:cs="Arial"/>
          <w:sz w:val="18"/>
          <w:szCs w:val="18"/>
          <w:lang w:val="en-IE"/>
        </w:rPr>
      </w:pPr>
      <w:r w:rsidRPr="00A17D4D">
        <w:rPr>
          <w:rFonts w:ascii="Söhne" w:eastAsia="Times New Roman" w:hAnsi="Söhne" w:cs="Arial"/>
          <w:b/>
          <w:sz w:val="18"/>
          <w:szCs w:val="18"/>
          <w:lang w:val="en-IE"/>
        </w:rPr>
        <w:t>NB:</w:t>
      </w:r>
      <w:r w:rsidRPr="00A17D4D">
        <w:rPr>
          <w:rFonts w:ascii="Söhne" w:eastAsia="Times New Roman" w:hAnsi="Söhne" w:cs="Arial"/>
          <w:sz w:val="18"/>
          <w:szCs w:val="18"/>
          <w:lang w:val="en-IE"/>
        </w:rPr>
        <w:t xml:space="preserve"> There is a WOAH Reference Laboratory for infection with </w:t>
      </w:r>
      <w:r w:rsidRPr="00A17D4D">
        <w:rPr>
          <w:rFonts w:ascii="Söhne" w:eastAsia="Times New Roman" w:hAnsi="Söhne" w:cs="Arial"/>
          <w:i/>
          <w:sz w:val="18"/>
          <w:szCs w:val="18"/>
          <w:lang w:val="en-IE"/>
        </w:rPr>
        <w:t>Aphanomyces astaci</w:t>
      </w:r>
      <w:r w:rsidRPr="00A17D4D">
        <w:rPr>
          <w:rFonts w:ascii="Söhne" w:eastAsia="Times New Roman" w:hAnsi="Söhne" w:cs="Arial"/>
          <w:sz w:val="18"/>
          <w:szCs w:val="18"/>
          <w:lang w:val="en-IE"/>
        </w:rPr>
        <w:t xml:space="preserve"> (crayfish plague)</w:t>
      </w:r>
      <w:r w:rsidRPr="00A17D4D">
        <w:rPr>
          <w:rFonts w:ascii="Söhne" w:eastAsia="Times New Roman" w:hAnsi="Söhne" w:cs="Arial"/>
          <w:sz w:val="18"/>
          <w:szCs w:val="18"/>
          <w:lang w:val="en-IE"/>
        </w:rPr>
        <w:br/>
        <w:t xml:space="preserve">(please consult the WOAH web site for the most up-to-date list: </w:t>
      </w:r>
      <w:r w:rsidRPr="00A17D4D">
        <w:rPr>
          <w:rFonts w:ascii="Söhne" w:eastAsia="Times New Roman" w:hAnsi="Söhne" w:cs="Arial"/>
          <w:sz w:val="18"/>
          <w:szCs w:val="18"/>
          <w:lang w:val="en-IE"/>
        </w:rPr>
        <w:br/>
      </w:r>
      <w:r w:rsidRPr="00A17D4D">
        <w:rPr>
          <w:rFonts w:ascii="Söhne" w:eastAsia="Times New Roman" w:hAnsi="Söhne" w:cs="Arial"/>
          <w:color w:val="0000FF"/>
          <w:sz w:val="18"/>
          <w:szCs w:val="18"/>
          <w:u w:val="single"/>
          <w:lang w:val="en-IE"/>
        </w:rPr>
        <w:t>https://www.woah.org/en/what-we-offer/expertise-network/reference-laboratories/#ui-id-3</w:t>
      </w:r>
      <w:r w:rsidRPr="00A17D4D">
        <w:rPr>
          <w:rFonts w:ascii="Söhne" w:eastAsia="Times New Roman" w:hAnsi="Söhne" w:cs="Arial"/>
          <w:sz w:val="18"/>
          <w:szCs w:val="18"/>
          <w:lang w:val="en-IE" w:eastAsia="fr-FR"/>
        </w:rPr>
        <w:t xml:space="preserve">). </w:t>
      </w:r>
      <w:r w:rsidRPr="00A17D4D">
        <w:rPr>
          <w:rFonts w:ascii="Söhne" w:eastAsia="Times New Roman" w:hAnsi="Söhne" w:cs="Arial"/>
          <w:sz w:val="18"/>
          <w:szCs w:val="18"/>
          <w:lang w:val="en-IE" w:eastAsia="fr-FR"/>
        </w:rPr>
        <w:br/>
      </w:r>
      <w:r w:rsidRPr="00A17D4D">
        <w:rPr>
          <w:rFonts w:ascii="Söhne" w:eastAsia="Times New Roman" w:hAnsi="Söhne" w:cs="Arial"/>
          <w:sz w:val="18"/>
          <w:szCs w:val="18"/>
          <w:lang w:val="en-IE"/>
        </w:rPr>
        <w:t xml:space="preserve">Please contact the WOAH Reference Laboratories for any further information on </w:t>
      </w:r>
      <w:r w:rsidRPr="00A17D4D">
        <w:rPr>
          <w:rFonts w:ascii="Söhne" w:eastAsia="Times New Roman" w:hAnsi="Söhne" w:cs="Arial"/>
          <w:sz w:val="18"/>
          <w:szCs w:val="18"/>
          <w:lang w:val="en-IE"/>
        </w:rPr>
        <w:br/>
        <w:t xml:space="preserve">infection with </w:t>
      </w:r>
      <w:r w:rsidRPr="00A17D4D">
        <w:rPr>
          <w:rFonts w:ascii="Söhne" w:eastAsia="Times New Roman" w:hAnsi="Söhne" w:cs="Arial"/>
          <w:i/>
          <w:sz w:val="18"/>
          <w:szCs w:val="18"/>
          <w:lang w:val="en-IE"/>
        </w:rPr>
        <w:t>Aphanomyces astaci</w:t>
      </w:r>
      <w:r w:rsidRPr="00A17D4D">
        <w:rPr>
          <w:rFonts w:ascii="Söhne" w:eastAsia="Times New Roman" w:hAnsi="Söhne" w:cs="Arial"/>
          <w:sz w:val="18"/>
          <w:szCs w:val="18"/>
          <w:lang w:val="en-IE"/>
        </w:rPr>
        <w:t xml:space="preserve"> (crayfish plague)</w:t>
      </w:r>
    </w:p>
    <w:p w14:paraId="54616947" w14:textId="77777777" w:rsidR="00A17D4D" w:rsidRPr="00A17D4D" w:rsidRDefault="00A17D4D" w:rsidP="00A17D4D">
      <w:pPr>
        <w:spacing w:after="0" w:line="240" w:lineRule="auto"/>
        <w:jc w:val="center"/>
        <w:rPr>
          <w:lang w:val="en-GB" w:bidi="en-US"/>
        </w:rPr>
      </w:pPr>
      <w:r w:rsidRPr="00A17D4D">
        <w:rPr>
          <w:rFonts w:ascii="Söhne" w:eastAsia="Times New Roman" w:hAnsi="Söhne" w:cs="Arial"/>
          <w:b/>
          <w:smallCaps/>
          <w:sz w:val="18"/>
          <w:szCs w:val="18"/>
          <w:lang w:val="en-IE"/>
        </w:rPr>
        <w:t>NB:</w:t>
      </w:r>
      <w:r w:rsidRPr="00A17D4D">
        <w:rPr>
          <w:rFonts w:ascii="Söhne" w:eastAsia="Times New Roman" w:hAnsi="Söhne" w:cs="Arial"/>
          <w:smallCaps/>
          <w:sz w:val="18"/>
          <w:szCs w:val="18"/>
          <w:lang w:val="en-IE"/>
        </w:rPr>
        <w:t xml:space="preserve"> First adopted in 1995; Most recent updates adopted in 2017.</w:t>
      </w:r>
    </w:p>
    <w:p w14:paraId="71B69D9B" w14:textId="77777777" w:rsidR="00A17D4D" w:rsidRDefault="00A17D4D"/>
    <w:sectPr w:rsidR="00A17D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941B" w14:textId="77777777" w:rsidR="00A17D4D" w:rsidRDefault="00A17D4D" w:rsidP="00A17D4D">
      <w:pPr>
        <w:spacing w:after="0" w:line="240" w:lineRule="auto"/>
      </w:pPr>
      <w:r>
        <w:separator/>
      </w:r>
    </w:p>
  </w:endnote>
  <w:endnote w:type="continuationSeparator" w:id="0">
    <w:p w14:paraId="08DC33B3" w14:textId="77777777" w:rsidR="00A17D4D" w:rsidRDefault="00A17D4D" w:rsidP="00A1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8850" w14:textId="77777777" w:rsidR="00A17D4D" w:rsidRPr="00BB4110" w:rsidRDefault="00A17D4D">
    <w:pPr>
      <w:pStyle w:val="Footer"/>
      <w:tabs>
        <w:tab w:val="center" w:pos="9070"/>
      </w:tabs>
      <w:rPr>
        <w:lang w:val="en-CA"/>
      </w:rPr>
    </w:pPr>
    <w:r w:rsidRPr="00957612">
      <w:fldChar w:fldCharType="begin"/>
    </w:r>
    <w:r w:rsidRPr="00BB4110">
      <w:rPr>
        <w:lang w:val="en-CA"/>
      </w:rPr>
      <w:instrText xml:space="preserve"> PAGE </w:instrText>
    </w:r>
    <w:r w:rsidRPr="00957612">
      <w:fldChar w:fldCharType="separate"/>
    </w:r>
    <w:r w:rsidRPr="00BB4110">
      <w:rPr>
        <w:lang w:val="en-CA"/>
      </w:rPr>
      <w:t>1</w:t>
    </w:r>
    <w:r w:rsidRPr="00957612">
      <w:fldChar w:fldCharType="end"/>
    </w:r>
    <w:r w:rsidRPr="00BB4110">
      <w:rPr>
        <w:lang w:val="en-CA"/>
      </w:rPr>
      <w:tab/>
      <w:t>Manual of Diagnostic Tests for Aquatic Animals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17D4D" w:rsidRPr="00752D68" w14:paraId="0AF2D845" w14:textId="77777777">
      <w:trPr>
        <w:trHeight w:val="58"/>
        <w:jc w:val="center"/>
      </w:trPr>
      <w:tc>
        <w:tcPr>
          <w:tcW w:w="7939" w:type="dxa"/>
          <w:tcBorders>
            <w:right w:val="nil"/>
          </w:tcBorders>
        </w:tcPr>
        <w:p w14:paraId="74DCB4A4" w14:textId="77777777" w:rsidR="00A17D4D" w:rsidRPr="003D0593" w:rsidRDefault="00A17D4D">
          <w:pPr>
            <w:spacing w:after="240"/>
            <w:jc w:val="center"/>
            <w:rPr>
              <w:rFonts w:ascii="Franklin Gothic Demi Cond" w:hAnsi="Franklin Gothic Demi Cond"/>
              <w:color w:val="FF4815"/>
              <w:sz w:val="28"/>
              <w:szCs w:val="28"/>
            </w:rPr>
          </w:pPr>
        </w:p>
      </w:tc>
      <w:tc>
        <w:tcPr>
          <w:tcW w:w="2835" w:type="dxa"/>
          <w:tcBorders>
            <w:top w:val="nil"/>
            <w:left w:val="nil"/>
          </w:tcBorders>
        </w:tcPr>
        <w:p w14:paraId="520AFF59" w14:textId="77777777" w:rsidR="00A17D4D" w:rsidRPr="00752D68" w:rsidRDefault="00A17D4D">
          <w:pPr>
            <w:spacing w:after="240" w:line="259" w:lineRule="auto"/>
            <w:jc w:val="right"/>
            <w:rPr>
              <w:rFonts w:cs="Arial"/>
              <w:lang w:val="en-GB"/>
            </w:rPr>
          </w:pPr>
        </w:p>
      </w:tc>
    </w:tr>
  </w:tbl>
  <w:p w14:paraId="215F87DD" w14:textId="77777777" w:rsidR="00A17D4D" w:rsidRDefault="00A17D4D">
    <w:pPr>
      <w:pStyle w:val="Header"/>
    </w:pPr>
  </w:p>
  <w:p w14:paraId="68EBF6FC" w14:textId="77777777" w:rsidR="00A17D4D" w:rsidRPr="003B7790" w:rsidRDefault="00A17D4D">
    <w:pPr>
      <w:pStyle w:val="Footer"/>
      <w:tabs>
        <w:tab w:val="right" w:pos="9638"/>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600215">
      <w:rPr>
        <w:rFonts w:cs="Arial"/>
        <w:szCs w:val="18"/>
        <w:lang w:val="en-US"/>
      </w:rPr>
      <w:t>44</w:t>
    </w:r>
    <w:r w:rsidRPr="00E73EF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488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945"/>
    </w:tblGrid>
    <w:tr w:rsidR="00A17D4D" w:rsidRPr="00752D68" w14:paraId="68583CD0" w14:textId="77777777">
      <w:trPr>
        <w:trHeight w:val="58"/>
        <w:jc w:val="center"/>
      </w:trPr>
      <w:tc>
        <w:tcPr>
          <w:tcW w:w="7939" w:type="dxa"/>
          <w:tcBorders>
            <w:right w:val="nil"/>
          </w:tcBorders>
        </w:tcPr>
        <w:p w14:paraId="5C94BFB4" w14:textId="77777777" w:rsidR="00A17D4D" w:rsidRPr="003D0593" w:rsidRDefault="00A17D4D">
          <w:pPr>
            <w:spacing w:after="240"/>
            <w:jc w:val="center"/>
            <w:rPr>
              <w:rFonts w:ascii="Franklin Gothic Demi Cond" w:hAnsi="Franklin Gothic Demi Cond"/>
              <w:color w:val="FF4815"/>
              <w:sz w:val="28"/>
              <w:szCs w:val="28"/>
            </w:rPr>
          </w:pPr>
        </w:p>
      </w:tc>
      <w:tc>
        <w:tcPr>
          <w:tcW w:w="6945" w:type="dxa"/>
          <w:tcBorders>
            <w:top w:val="nil"/>
            <w:left w:val="nil"/>
          </w:tcBorders>
        </w:tcPr>
        <w:p w14:paraId="518B4EBB" w14:textId="77777777" w:rsidR="00A17D4D" w:rsidRPr="00752D68" w:rsidRDefault="00A17D4D">
          <w:pPr>
            <w:spacing w:after="240" w:line="259" w:lineRule="auto"/>
            <w:jc w:val="right"/>
            <w:rPr>
              <w:rFonts w:cs="Arial"/>
              <w:lang w:val="en-GB"/>
            </w:rPr>
          </w:pPr>
        </w:p>
      </w:tc>
    </w:tr>
  </w:tbl>
  <w:p w14:paraId="1C21F273" w14:textId="77777777" w:rsidR="00A17D4D" w:rsidRDefault="00A17D4D">
    <w:pPr>
      <w:pStyle w:val="Header"/>
    </w:pPr>
  </w:p>
  <w:p w14:paraId="5D5ED50E" w14:textId="77777777" w:rsidR="00A17D4D" w:rsidRPr="00F67BCC" w:rsidRDefault="00A17D4D">
    <w:pPr>
      <w:pStyle w:val="Footer"/>
      <w:tabs>
        <w:tab w:val="right" w:pos="13892"/>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0F1DAA">
      <w:rPr>
        <w:rFonts w:cs="Arial"/>
        <w:szCs w:val="18"/>
        <w:lang w:val="en-US"/>
      </w:rPr>
      <w:t>216</w:t>
    </w:r>
    <w:r w:rsidRPr="00E73EF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B7E8" w14:textId="77777777" w:rsidR="00A17D4D" w:rsidRDefault="00A17D4D" w:rsidP="00A17D4D">
      <w:pPr>
        <w:spacing w:after="0" w:line="240" w:lineRule="auto"/>
      </w:pPr>
      <w:r>
        <w:separator/>
      </w:r>
    </w:p>
  </w:footnote>
  <w:footnote w:type="continuationSeparator" w:id="0">
    <w:p w14:paraId="0CC09B59" w14:textId="77777777" w:rsidR="00A17D4D" w:rsidRDefault="00A17D4D" w:rsidP="00A17D4D">
      <w:pPr>
        <w:spacing w:after="0" w:line="240" w:lineRule="auto"/>
      </w:pPr>
      <w:r>
        <w:continuationSeparator/>
      </w:r>
    </w:p>
  </w:footnote>
  <w:footnote w:id="1">
    <w:p w14:paraId="3810996B" w14:textId="77777777" w:rsidR="00A17D4D" w:rsidRPr="00BE6EDB" w:rsidRDefault="00A17D4D" w:rsidP="00A17D4D">
      <w:pPr>
        <w:pStyle w:val="FootnoteText"/>
        <w:ind w:left="426" w:hanging="426"/>
        <w:rPr>
          <w:rFonts w:ascii="Söhne" w:hAnsi="Söhne"/>
          <w:sz w:val="16"/>
          <w:szCs w:val="16"/>
          <w:lang w:val="en-GB"/>
        </w:rPr>
      </w:pPr>
      <w:r w:rsidRPr="00E3185D">
        <w:rPr>
          <w:rStyle w:val="FootnoteReference"/>
          <w:rFonts w:ascii="Söhne" w:hAnsi="Söhne"/>
          <w:sz w:val="16"/>
          <w:szCs w:val="16"/>
        </w:rPr>
        <w:footnoteRef/>
      </w:r>
      <w:r w:rsidRPr="00E3185D">
        <w:rPr>
          <w:rFonts w:ascii="Söhne" w:hAnsi="Söhne"/>
          <w:sz w:val="16"/>
          <w:szCs w:val="16"/>
          <w:lang w:val="en-CA"/>
        </w:rPr>
        <w:t xml:space="preserve"> </w:t>
      </w:r>
      <w:r w:rsidRPr="00BE6EDB">
        <w:rPr>
          <w:rFonts w:ascii="Söhne" w:hAnsi="Söhne"/>
          <w:sz w:val="16"/>
          <w:szCs w:val="16"/>
          <w:lang w:val="en-GB"/>
        </w:rPr>
        <w:tab/>
      </w:r>
      <w:hyperlink r:id="rId1" w:anchor="ui-id-3" w:history="1">
        <w:r w:rsidRPr="00FD28F6">
          <w:rPr>
            <w:rStyle w:val="Hyperlink1"/>
            <w:rFonts w:ascii="Söhne" w:hAnsi="Söhne"/>
            <w:sz w:val="16"/>
            <w:szCs w:val="16"/>
            <w:lang w:val="en-GB"/>
          </w:rPr>
          <w:t>https://www.woah.org/en/what-we-offer/expertise-network/reference-laboratories/#ui-id-3</w:t>
        </w:r>
      </w:hyperlink>
      <w:r>
        <w:rPr>
          <w:rFonts w:ascii="Söhne" w:hAnsi="Söhne"/>
          <w:sz w:val="16"/>
          <w:szCs w:val="16"/>
          <w:lang w:val="en-GB"/>
        </w:rPr>
        <w:t xml:space="preserve"> </w:t>
      </w:r>
    </w:p>
  </w:footnote>
  <w:footnote w:id="2">
    <w:p w14:paraId="6FDA626E" w14:textId="77777777" w:rsidR="00A17D4D" w:rsidRPr="00244509" w:rsidRDefault="00A17D4D" w:rsidP="00A17D4D">
      <w:pPr>
        <w:pStyle w:val="FootnoteText"/>
        <w:ind w:left="425" w:hanging="425"/>
        <w:rPr>
          <w:rFonts w:ascii="Söhne" w:hAnsi="Söhne" w:cs="Arial"/>
          <w:sz w:val="16"/>
          <w:szCs w:val="16"/>
          <w:lang w:val="en-GB"/>
        </w:rPr>
      </w:pPr>
      <w:r w:rsidRPr="00D9546B">
        <w:rPr>
          <w:rStyle w:val="FootnoteReference"/>
          <w:rFonts w:ascii="Söhne" w:hAnsi="Söhne" w:cs="Arial"/>
          <w:sz w:val="16"/>
          <w:szCs w:val="16"/>
        </w:rPr>
        <w:footnoteRef/>
      </w:r>
      <w:r w:rsidRPr="00D9546B">
        <w:rPr>
          <w:rFonts w:ascii="Söhne" w:hAnsi="Söhne" w:cs="Arial"/>
          <w:sz w:val="16"/>
          <w:szCs w:val="16"/>
          <w:lang w:val="en-GB"/>
        </w:rPr>
        <w:t xml:space="preserve"> </w:t>
      </w:r>
      <w:r w:rsidRPr="00244509">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F785" w14:textId="77777777" w:rsidR="00A17D4D" w:rsidRPr="0084098D" w:rsidRDefault="00A17D4D">
    <w:pPr>
      <w:pBdr>
        <w:bottom w:val="single" w:sz="6" w:space="6" w:color="auto"/>
      </w:pBdr>
      <w:tabs>
        <w:tab w:val="center" w:pos="4649"/>
      </w:tabs>
      <w:spacing w:after="240"/>
      <w:jc w:val="center"/>
      <w:rPr>
        <w:rStyle w:val="HeaderChar"/>
        <w:lang w:val="en-CA"/>
      </w:rPr>
    </w:pPr>
    <w:r w:rsidRPr="0084098D">
      <w:rPr>
        <w:rStyle w:val="HeaderChar"/>
        <w:lang w:val="en-CA"/>
      </w:rPr>
      <w:t>Chapter 2.2.2. – Infection with Aphanomyces astaci (crayfish plague)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17D4D" w:rsidRPr="00752D68" w14:paraId="44CE7965" w14:textId="77777777">
      <w:trPr>
        <w:trHeight w:val="58"/>
        <w:jc w:val="center"/>
      </w:trPr>
      <w:tc>
        <w:tcPr>
          <w:tcW w:w="7939" w:type="dxa"/>
          <w:tcBorders>
            <w:right w:val="nil"/>
          </w:tcBorders>
        </w:tcPr>
        <w:p w14:paraId="23669737" w14:textId="77777777" w:rsidR="00A17D4D" w:rsidRPr="003D0593" w:rsidRDefault="00A17D4D">
          <w:pPr>
            <w:spacing w:after="240"/>
            <w:jc w:val="center"/>
            <w:rPr>
              <w:rFonts w:ascii="Franklin Gothic Demi Cond" w:hAnsi="Franklin Gothic Demi Cond"/>
              <w:color w:val="FF4815"/>
              <w:sz w:val="28"/>
              <w:szCs w:val="28"/>
            </w:rPr>
          </w:pPr>
        </w:p>
      </w:tc>
      <w:tc>
        <w:tcPr>
          <w:tcW w:w="2835" w:type="dxa"/>
          <w:tcBorders>
            <w:top w:val="nil"/>
            <w:left w:val="nil"/>
          </w:tcBorders>
        </w:tcPr>
        <w:p w14:paraId="31C3EFAC" w14:textId="77777777" w:rsidR="00A17D4D" w:rsidRPr="00752D68" w:rsidRDefault="00A17D4D">
          <w:pPr>
            <w:spacing w:after="240" w:line="259" w:lineRule="auto"/>
            <w:jc w:val="right"/>
            <w:rPr>
              <w:rFonts w:cs="Arial"/>
              <w:lang w:val="en-GB"/>
            </w:rPr>
          </w:pPr>
        </w:p>
      </w:tc>
    </w:tr>
  </w:tbl>
  <w:p w14:paraId="4013DE59" w14:textId="77777777" w:rsidR="00A17D4D" w:rsidRDefault="00A17D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9EB7" w14:textId="77777777" w:rsidR="00A17D4D" w:rsidRPr="00C4589D" w:rsidRDefault="00A17D4D">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A17D4D" w:rsidRPr="00752D68" w14:paraId="69E7BD59" w14:textId="77777777">
      <w:trPr>
        <w:trHeight w:val="58"/>
        <w:jc w:val="center"/>
      </w:trPr>
      <w:tc>
        <w:tcPr>
          <w:tcW w:w="7939" w:type="dxa"/>
          <w:tcBorders>
            <w:right w:val="nil"/>
          </w:tcBorders>
        </w:tcPr>
        <w:p w14:paraId="007C720D" w14:textId="77777777" w:rsidR="00A17D4D" w:rsidRPr="003D0593" w:rsidRDefault="00A17D4D">
          <w:pPr>
            <w:spacing w:after="240"/>
            <w:jc w:val="center"/>
            <w:rPr>
              <w:rFonts w:ascii="Franklin Gothic Demi Cond" w:hAnsi="Franklin Gothic Demi Cond"/>
              <w:color w:val="FF4815"/>
              <w:sz w:val="28"/>
              <w:szCs w:val="28"/>
            </w:rPr>
          </w:pPr>
        </w:p>
      </w:tc>
      <w:tc>
        <w:tcPr>
          <w:tcW w:w="2835" w:type="dxa"/>
          <w:tcBorders>
            <w:top w:val="nil"/>
            <w:left w:val="nil"/>
          </w:tcBorders>
        </w:tcPr>
        <w:p w14:paraId="413002C9" w14:textId="77777777" w:rsidR="00A17D4D" w:rsidRPr="00752D68" w:rsidRDefault="00A17D4D">
          <w:pPr>
            <w:spacing w:after="240" w:line="259" w:lineRule="auto"/>
            <w:jc w:val="right"/>
            <w:rPr>
              <w:rFonts w:cs="Arial"/>
              <w:lang w:val="en-GB"/>
            </w:rPr>
          </w:pPr>
        </w:p>
      </w:tc>
    </w:tr>
  </w:tbl>
  <w:p w14:paraId="7A57ECF3" w14:textId="77777777" w:rsidR="00A17D4D" w:rsidRDefault="00A17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6"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8"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0"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2"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3"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5"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7"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8"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9"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0"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8"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9"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1"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2"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3"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4"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5"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6"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0"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2"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3"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5"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6"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7"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3"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7"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6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3"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02130194">
    <w:abstractNumId w:val="42"/>
  </w:num>
  <w:num w:numId="2" w16cid:durableId="1880972075">
    <w:abstractNumId w:val="38"/>
  </w:num>
  <w:num w:numId="3" w16cid:durableId="1484543419">
    <w:abstractNumId w:val="41"/>
  </w:num>
  <w:num w:numId="4" w16cid:durableId="847137879">
    <w:abstractNumId w:val="24"/>
  </w:num>
  <w:num w:numId="5" w16cid:durableId="1898856544">
    <w:abstractNumId w:val="44"/>
  </w:num>
  <w:num w:numId="6" w16cid:durableId="1989285885">
    <w:abstractNumId w:val="49"/>
  </w:num>
  <w:num w:numId="7" w16cid:durableId="215288970">
    <w:abstractNumId w:val="15"/>
  </w:num>
  <w:num w:numId="8" w16cid:durableId="1080759586">
    <w:abstractNumId w:val="4"/>
  </w:num>
  <w:num w:numId="9" w16cid:durableId="2065565826">
    <w:abstractNumId w:val="19"/>
  </w:num>
  <w:num w:numId="10" w16cid:durableId="237329734">
    <w:abstractNumId w:val="31"/>
  </w:num>
  <w:num w:numId="11" w16cid:durableId="546600473">
    <w:abstractNumId w:val="73"/>
  </w:num>
  <w:num w:numId="12" w16cid:durableId="1754467816">
    <w:abstractNumId w:val="59"/>
  </w:num>
  <w:num w:numId="13" w16cid:durableId="1019627103">
    <w:abstractNumId w:val="70"/>
  </w:num>
  <w:num w:numId="14" w16cid:durableId="1563061486">
    <w:abstractNumId w:val="10"/>
  </w:num>
  <w:num w:numId="15" w16cid:durableId="830873179">
    <w:abstractNumId w:val="28"/>
  </w:num>
  <w:num w:numId="16" w16cid:durableId="938637995">
    <w:abstractNumId w:val="54"/>
  </w:num>
  <w:num w:numId="17" w16cid:durableId="1290667621">
    <w:abstractNumId w:val="25"/>
  </w:num>
  <w:num w:numId="18" w16cid:durableId="1893078964">
    <w:abstractNumId w:val="50"/>
  </w:num>
  <w:num w:numId="19" w16cid:durableId="294608874">
    <w:abstractNumId w:val="22"/>
  </w:num>
  <w:num w:numId="20" w16cid:durableId="1519201202">
    <w:abstractNumId w:val="29"/>
  </w:num>
  <w:num w:numId="21" w16cid:durableId="2120640593">
    <w:abstractNumId w:val="68"/>
  </w:num>
  <w:num w:numId="22" w16cid:durableId="658457320">
    <w:abstractNumId w:val="61"/>
  </w:num>
  <w:num w:numId="23" w16cid:durableId="123274430">
    <w:abstractNumId w:val="23"/>
  </w:num>
  <w:num w:numId="24" w16cid:durableId="304044512">
    <w:abstractNumId w:val="11"/>
  </w:num>
  <w:num w:numId="25" w16cid:durableId="1087460382">
    <w:abstractNumId w:val="9"/>
  </w:num>
  <w:num w:numId="26" w16cid:durableId="1242376827">
    <w:abstractNumId w:val="16"/>
  </w:num>
  <w:num w:numId="27" w16cid:durableId="1904095823">
    <w:abstractNumId w:val="39"/>
  </w:num>
  <w:num w:numId="28" w16cid:durableId="832767656">
    <w:abstractNumId w:val="27"/>
  </w:num>
  <w:num w:numId="29" w16cid:durableId="244804314">
    <w:abstractNumId w:val="46"/>
  </w:num>
  <w:num w:numId="30" w16cid:durableId="2078164652">
    <w:abstractNumId w:val="17"/>
  </w:num>
  <w:num w:numId="31" w16cid:durableId="1699113475">
    <w:abstractNumId w:val="51"/>
  </w:num>
  <w:num w:numId="32" w16cid:durableId="1226603486">
    <w:abstractNumId w:val="32"/>
  </w:num>
  <w:num w:numId="33" w16cid:durableId="937444884">
    <w:abstractNumId w:val="71"/>
  </w:num>
  <w:num w:numId="34" w16cid:durableId="1116019386">
    <w:abstractNumId w:val="69"/>
  </w:num>
  <w:num w:numId="35" w16cid:durableId="2051806600">
    <w:abstractNumId w:val="0"/>
  </w:num>
  <w:num w:numId="36" w16cid:durableId="931553556">
    <w:abstractNumId w:val="60"/>
  </w:num>
  <w:num w:numId="37" w16cid:durableId="25982311">
    <w:abstractNumId w:val="12"/>
  </w:num>
  <w:num w:numId="38" w16cid:durableId="845823150">
    <w:abstractNumId w:val="5"/>
  </w:num>
  <w:num w:numId="39" w16cid:durableId="247810345">
    <w:abstractNumId w:val="30"/>
  </w:num>
  <w:num w:numId="40" w16cid:durableId="1914850944">
    <w:abstractNumId w:val="26"/>
  </w:num>
  <w:num w:numId="41" w16cid:durableId="989482454">
    <w:abstractNumId w:val="43"/>
  </w:num>
  <w:num w:numId="42" w16cid:durableId="1124228526">
    <w:abstractNumId w:val="58"/>
  </w:num>
  <w:num w:numId="43" w16cid:durableId="820930344">
    <w:abstractNumId w:val="48"/>
  </w:num>
  <w:num w:numId="44" w16cid:durableId="887959247">
    <w:abstractNumId w:val="37"/>
  </w:num>
  <w:num w:numId="45" w16cid:durableId="91434533">
    <w:abstractNumId w:val="20"/>
  </w:num>
  <w:num w:numId="46" w16cid:durableId="1794514184">
    <w:abstractNumId w:val="66"/>
  </w:num>
  <w:num w:numId="47" w16cid:durableId="2082365524">
    <w:abstractNumId w:val="7"/>
  </w:num>
  <w:num w:numId="48" w16cid:durableId="997998539">
    <w:abstractNumId w:val="65"/>
  </w:num>
  <w:num w:numId="49" w16cid:durableId="583807249">
    <w:abstractNumId w:val="33"/>
  </w:num>
  <w:num w:numId="50" w16cid:durableId="287585575">
    <w:abstractNumId w:val="53"/>
  </w:num>
  <w:num w:numId="51" w16cid:durableId="1477450897">
    <w:abstractNumId w:val="3"/>
  </w:num>
  <w:num w:numId="52" w16cid:durableId="365838529">
    <w:abstractNumId w:val="35"/>
  </w:num>
  <w:num w:numId="53" w16cid:durableId="2026127507">
    <w:abstractNumId w:val="63"/>
  </w:num>
  <w:num w:numId="54" w16cid:durableId="2031637402">
    <w:abstractNumId w:val="34"/>
  </w:num>
  <w:num w:numId="55" w16cid:durableId="142746071">
    <w:abstractNumId w:val="52"/>
  </w:num>
  <w:num w:numId="56" w16cid:durableId="2095977753">
    <w:abstractNumId w:val="56"/>
  </w:num>
  <w:num w:numId="57" w16cid:durableId="538519139">
    <w:abstractNumId w:val="45"/>
  </w:num>
  <w:num w:numId="58" w16cid:durableId="1718817133">
    <w:abstractNumId w:val="8"/>
  </w:num>
  <w:num w:numId="59" w16cid:durableId="1098214945">
    <w:abstractNumId w:val="64"/>
  </w:num>
  <w:num w:numId="60" w16cid:durableId="928345521">
    <w:abstractNumId w:val="2"/>
  </w:num>
  <w:num w:numId="61" w16cid:durableId="1789658589">
    <w:abstractNumId w:val="1"/>
  </w:num>
  <w:num w:numId="62" w16cid:durableId="418796350">
    <w:abstractNumId w:val="36"/>
  </w:num>
  <w:num w:numId="63" w16cid:durableId="1204907920">
    <w:abstractNumId w:val="6"/>
  </w:num>
  <w:num w:numId="64" w16cid:durableId="710224210">
    <w:abstractNumId w:val="18"/>
  </w:num>
  <w:num w:numId="65" w16cid:durableId="1664772956">
    <w:abstractNumId w:val="67"/>
  </w:num>
  <w:num w:numId="66" w16cid:durableId="1893812595">
    <w:abstractNumId w:val="72"/>
  </w:num>
  <w:num w:numId="67" w16cid:durableId="2080664592">
    <w:abstractNumId w:val="62"/>
  </w:num>
  <w:num w:numId="68" w16cid:durableId="1955282950">
    <w:abstractNumId w:val="14"/>
  </w:num>
  <w:num w:numId="69" w16cid:durableId="1593005380">
    <w:abstractNumId w:val="47"/>
  </w:num>
  <w:num w:numId="70" w16cid:durableId="1300185533">
    <w:abstractNumId w:val="13"/>
  </w:num>
  <w:num w:numId="71" w16cid:durableId="746420189">
    <w:abstractNumId w:val="55"/>
  </w:num>
  <w:num w:numId="72" w16cid:durableId="607812128">
    <w:abstractNumId w:val="40"/>
  </w:num>
  <w:num w:numId="73" w16cid:durableId="1910071365">
    <w:abstractNumId w:val="57"/>
  </w:num>
  <w:num w:numId="74" w16cid:durableId="200943013">
    <w:abstractNumId w:val="2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4D"/>
    <w:rsid w:val="00A1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A4F6"/>
  <w15:chartTrackingRefBased/>
  <w15:docId w15:val="{ACB4B11B-B1ED-4868-8407-B047BBF2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A17D4D"/>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2"/>
    <w:uiPriority w:val="9"/>
    <w:unhideWhenUsed/>
    <w:qFormat/>
    <w:rsid w:val="00A17D4D"/>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unhideWhenUsed/>
    <w:qFormat/>
    <w:rsid w:val="00A17D4D"/>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lang w:val="en-CA"/>
    </w:rPr>
  </w:style>
  <w:style w:type="paragraph" w:styleId="Heading4">
    <w:name w:val="heading 4"/>
    <w:basedOn w:val="Normal"/>
    <w:link w:val="Heading4Char"/>
    <w:uiPriority w:val="9"/>
    <w:unhideWhenUsed/>
    <w:qFormat/>
    <w:rsid w:val="00A17D4D"/>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A17D4D"/>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A17D4D"/>
    <w:pPr>
      <w:keepNext/>
      <w:keepLines/>
      <w:numPr>
        <w:ilvl w:val="5"/>
        <w:numId w:val="28"/>
      </w:numPr>
      <w:spacing w:before="40" w:after="0"/>
      <w:outlineLvl w:val="5"/>
    </w:pPr>
    <w:rPr>
      <w:rFonts w:asciiTheme="majorHAnsi" w:eastAsiaTheme="majorEastAsia" w:hAnsiTheme="majorHAnsi" w:cstheme="majorBidi"/>
      <w:color w:val="1F3763" w:themeColor="accent1" w:themeShade="7F"/>
      <w:lang w:val="en-CA"/>
    </w:rPr>
  </w:style>
  <w:style w:type="paragraph" w:styleId="Heading7">
    <w:name w:val="heading 7"/>
    <w:basedOn w:val="Normal"/>
    <w:next w:val="Normal"/>
    <w:link w:val="Heading7Char"/>
    <w:unhideWhenUsed/>
    <w:qFormat/>
    <w:rsid w:val="00A17D4D"/>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lang w:val="en-CA"/>
    </w:rPr>
  </w:style>
  <w:style w:type="paragraph" w:styleId="Heading8">
    <w:name w:val="heading 8"/>
    <w:aliases w:val="figure"/>
    <w:basedOn w:val="Normal"/>
    <w:next w:val="Normal"/>
    <w:link w:val="Heading8Char"/>
    <w:unhideWhenUsed/>
    <w:qFormat/>
    <w:rsid w:val="00A17D4D"/>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A17D4D"/>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D4D"/>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0"/>
    <w:uiPriority w:val="9"/>
    <w:rsid w:val="00A17D4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17D4D"/>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A17D4D"/>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A17D4D"/>
    <w:rPr>
      <w:rFonts w:ascii="Ottawa" w:eastAsia="Ottawa" w:hAnsi="Ottawa" w:cs="Ottawa"/>
      <w:sz w:val="19"/>
      <w:szCs w:val="19"/>
    </w:rPr>
  </w:style>
  <w:style w:type="character" w:customStyle="1" w:styleId="Heading6Char">
    <w:name w:val="Heading 6 Char"/>
    <w:basedOn w:val="DefaultParagraphFont"/>
    <w:link w:val="Heading6"/>
    <w:rsid w:val="00A17D4D"/>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rsid w:val="00A17D4D"/>
    <w:rPr>
      <w:rFonts w:asciiTheme="majorHAnsi" w:eastAsiaTheme="majorEastAsia" w:hAnsiTheme="majorHAnsi" w:cstheme="majorBidi"/>
      <w:i/>
      <w:iCs/>
      <w:color w:val="1F3763" w:themeColor="accent1" w:themeShade="7F"/>
      <w:lang w:val="en-CA"/>
    </w:rPr>
  </w:style>
  <w:style w:type="character" w:customStyle="1" w:styleId="Heading8Char">
    <w:name w:val="Heading 8 Char"/>
    <w:aliases w:val="figure Char"/>
    <w:basedOn w:val="DefaultParagraphFont"/>
    <w:link w:val="Heading8"/>
    <w:rsid w:val="00A17D4D"/>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A17D4D"/>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A17D4D"/>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A17D4D"/>
  </w:style>
  <w:style w:type="numbering" w:customStyle="1" w:styleId="ImportedStyle58">
    <w:name w:val="Imported Style 58"/>
    <w:rsid w:val="00A17D4D"/>
    <w:pPr>
      <w:numPr>
        <w:numId w:val="1"/>
      </w:numPr>
    </w:pPr>
  </w:style>
  <w:style w:type="numbering" w:customStyle="1" w:styleId="ArticleSection254">
    <w:name w:val="Article / Section254"/>
    <w:basedOn w:val="NoList"/>
    <w:next w:val="NoList"/>
    <w:rsid w:val="00A17D4D"/>
    <w:pPr>
      <w:numPr>
        <w:numId w:val="2"/>
      </w:numPr>
    </w:pPr>
  </w:style>
  <w:style w:type="numbering" w:customStyle="1" w:styleId="List0154">
    <w:name w:val="List 0154"/>
    <w:basedOn w:val="NoList"/>
    <w:rsid w:val="00A17D4D"/>
  </w:style>
  <w:style w:type="numbering" w:customStyle="1" w:styleId="List1154">
    <w:name w:val="List 1154"/>
    <w:basedOn w:val="NoList"/>
    <w:rsid w:val="00A17D4D"/>
  </w:style>
  <w:style w:type="numbering" w:customStyle="1" w:styleId="List21154">
    <w:name w:val="List 21154"/>
    <w:basedOn w:val="NoList"/>
    <w:rsid w:val="00A17D4D"/>
  </w:style>
  <w:style w:type="paragraph" w:styleId="Revision">
    <w:name w:val="Revision"/>
    <w:hidden/>
    <w:uiPriority w:val="99"/>
    <w:semiHidden/>
    <w:rsid w:val="00A17D4D"/>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A17D4D"/>
    <w:rPr>
      <w:sz w:val="16"/>
      <w:szCs w:val="16"/>
    </w:rPr>
  </w:style>
  <w:style w:type="paragraph" w:styleId="CommentText">
    <w:name w:val="annotation text"/>
    <w:basedOn w:val="Normal"/>
    <w:link w:val="CommentTextChar"/>
    <w:uiPriority w:val="99"/>
    <w:unhideWhenUsed/>
    <w:rsid w:val="00A17D4D"/>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A17D4D"/>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A17D4D"/>
    <w:rPr>
      <w:b/>
      <w:bCs/>
    </w:rPr>
  </w:style>
  <w:style w:type="character" w:customStyle="1" w:styleId="CommentSubjectChar">
    <w:name w:val="Comment Subject Char"/>
    <w:basedOn w:val="CommentTextChar"/>
    <w:link w:val="CommentSubject"/>
    <w:uiPriority w:val="99"/>
    <w:rsid w:val="00A17D4D"/>
    <w:rPr>
      <w:rFonts w:ascii="Arial" w:hAnsi="Arial"/>
      <w:b/>
      <w:bCs/>
      <w:sz w:val="20"/>
      <w:szCs w:val="20"/>
      <w:lang w:val="fr-FR"/>
    </w:rPr>
  </w:style>
  <w:style w:type="numbering" w:customStyle="1" w:styleId="ArticleSection2324">
    <w:name w:val="Article / Section2324"/>
    <w:basedOn w:val="NoList"/>
    <w:next w:val="NoList"/>
    <w:rsid w:val="00A17D4D"/>
  </w:style>
  <w:style w:type="numbering" w:customStyle="1" w:styleId="ImportedStyle4624">
    <w:name w:val="Imported Style 4624"/>
    <w:rsid w:val="00A17D4D"/>
  </w:style>
  <w:style w:type="numbering" w:customStyle="1" w:styleId="ImportedStyle5624">
    <w:name w:val="Imported Style 5624"/>
    <w:rsid w:val="00A17D4D"/>
  </w:style>
  <w:style w:type="numbering" w:customStyle="1" w:styleId="ImportedStyle1624">
    <w:name w:val="Imported Style 1624"/>
    <w:rsid w:val="00A17D4D"/>
  </w:style>
  <w:style w:type="table" w:styleId="TableGrid">
    <w:name w:val="Table Grid"/>
    <w:basedOn w:val="TableNormal"/>
    <w:uiPriority w:val="59"/>
    <w:rsid w:val="00A17D4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A17D4D"/>
  </w:style>
  <w:style w:type="character" w:styleId="FootnoteReference">
    <w:name w:val="footnote reference"/>
    <w:basedOn w:val="DefaultParagraphFont"/>
    <w:uiPriority w:val="99"/>
    <w:unhideWhenUsed/>
    <w:rsid w:val="00A17D4D"/>
    <w:rPr>
      <w:vertAlign w:val="superscript"/>
    </w:rPr>
  </w:style>
  <w:style w:type="paragraph" w:styleId="FootnoteText">
    <w:name w:val="footnote text"/>
    <w:basedOn w:val="Normal"/>
    <w:link w:val="FootnoteTextChar"/>
    <w:uiPriority w:val="99"/>
    <w:unhideWhenUsed/>
    <w:rsid w:val="00A17D4D"/>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A17D4D"/>
    <w:rPr>
      <w:rFonts w:ascii="Arial" w:hAnsi="Arial"/>
      <w:sz w:val="20"/>
      <w:szCs w:val="20"/>
      <w:lang w:val="fr-FR"/>
    </w:rPr>
  </w:style>
  <w:style w:type="table" w:customStyle="1" w:styleId="TableGrid19">
    <w:name w:val="Table Grid19"/>
    <w:basedOn w:val="TableNormal"/>
    <w:next w:val="TableGrid"/>
    <w:uiPriority w:val="59"/>
    <w:rsid w:val="00A17D4D"/>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A17D4D"/>
  </w:style>
  <w:style w:type="paragraph" w:customStyle="1" w:styleId="paragraph">
    <w:name w:val="paragraph"/>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A17D4D"/>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A17D4D"/>
  </w:style>
  <w:style w:type="paragraph" w:styleId="BodyText">
    <w:name w:val="Body Text"/>
    <w:basedOn w:val="Normal"/>
    <w:link w:val="BodyTextChar"/>
    <w:uiPriority w:val="99"/>
    <w:qFormat/>
    <w:rsid w:val="00A17D4D"/>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A17D4D"/>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A17D4D"/>
    <w:pPr>
      <w:widowControl w:val="0"/>
      <w:autoSpaceDE w:val="0"/>
      <w:autoSpaceDN w:val="0"/>
      <w:spacing w:after="0" w:line="240" w:lineRule="auto"/>
      <w:ind w:left="977" w:hanging="425"/>
    </w:pPr>
    <w:rPr>
      <w:rFonts w:ascii="Arial" w:eastAsia="Arial" w:hAnsi="Arial" w:cs="Aria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A17D4D"/>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A17D4D"/>
    <w:rPr>
      <w:lang w:val="en-GB"/>
    </w:rPr>
  </w:style>
  <w:style w:type="paragraph" w:styleId="Footer">
    <w:name w:val="footer"/>
    <w:aliases w:val=" Car Car Car Car Car, Car Car Car Car,Car Car Car Car Car,Car Car Car Car,WOAH Footer"/>
    <w:basedOn w:val="Normal"/>
    <w:link w:val="FooterChar"/>
    <w:uiPriority w:val="99"/>
    <w:unhideWhenUsed/>
    <w:rsid w:val="00A17D4D"/>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A17D4D"/>
    <w:rPr>
      <w:lang w:val="en-GB"/>
    </w:rPr>
  </w:style>
  <w:style w:type="character" w:styleId="Hyperlink">
    <w:name w:val="Hyperlink"/>
    <w:basedOn w:val="DefaultParagraphFont"/>
    <w:uiPriority w:val="99"/>
    <w:unhideWhenUsed/>
    <w:rsid w:val="00A17D4D"/>
    <w:rPr>
      <w:color w:val="0563C1" w:themeColor="hyperlink"/>
      <w:u w:val="single"/>
    </w:rPr>
  </w:style>
  <w:style w:type="paragraph" w:customStyle="1" w:styleId="Chapternumber">
    <w:name w:val="Chapter number"/>
    <w:qFormat/>
    <w:rsid w:val="00A17D4D"/>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A17D4D"/>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A17D4D"/>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A17D4D"/>
    <w:pPr>
      <w:spacing w:after="240"/>
      <w:jc w:val="both"/>
    </w:pPr>
    <w:rPr>
      <w:rFonts w:ascii="Söhne" w:eastAsia="Arial" w:hAnsi="Söhne" w:cs="Arial"/>
      <w:sz w:val="18"/>
      <w:szCs w:val="18"/>
      <w:lang w:val="en-GB" w:bidi="en-US"/>
    </w:rPr>
  </w:style>
  <w:style w:type="paragraph" w:customStyle="1" w:styleId="Articlesubtitle">
    <w:name w:val="Article subtitle"/>
    <w:qFormat/>
    <w:rsid w:val="00A17D4D"/>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A17D4D"/>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A17D4D"/>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A17D4D"/>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A17D4D"/>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A17D4D"/>
  </w:style>
  <w:style w:type="character" w:customStyle="1" w:styleId="myfirststyleChar">
    <w:name w:val="my first style Char"/>
    <w:basedOn w:val="Heading8Char"/>
    <w:link w:val="myfirststyle"/>
    <w:rsid w:val="00A17D4D"/>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A17D4D"/>
    <w:rPr>
      <w:rFonts w:asciiTheme="majorHAnsi" w:eastAsiaTheme="majorEastAsia" w:hAnsiTheme="majorHAnsi" w:cstheme="majorBidi"/>
      <w:color w:val="2F5496" w:themeColor="accent1" w:themeShade="BF"/>
      <w:sz w:val="26"/>
      <w:szCs w:val="26"/>
      <w:lang w:val="en-CA"/>
    </w:rPr>
  </w:style>
  <w:style w:type="paragraph" w:customStyle="1" w:styleId="Heading11">
    <w:name w:val="Heading 11"/>
    <w:basedOn w:val="Normal"/>
    <w:next w:val="Normal"/>
    <w:uiPriority w:val="9"/>
    <w:qFormat/>
    <w:rsid w:val="00A17D4D"/>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A17D4D"/>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A17D4D"/>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A17D4D"/>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A17D4D"/>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A17D4D"/>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A17D4D"/>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A17D4D"/>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A17D4D"/>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A17D4D"/>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A17D4D"/>
    <w:rPr>
      <w:rFonts w:ascii="Segoe UI" w:hAnsi="Segoe UI" w:cs="Segoe UI"/>
      <w:sz w:val="18"/>
      <w:szCs w:val="18"/>
      <w:lang w:val="en-GB"/>
    </w:rPr>
  </w:style>
  <w:style w:type="character" w:customStyle="1" w:styleId="Hyperlink1">
    <w:name w:val="Hyperlink1"/>
    <w:basedOn w:val="DefaultParagraphFont"/>
    <w:unhideWhenUsed/>
    <w:rsid w:val="00A17D4D"/>
    <w:rPr>
      <w:color w:val="0563C1"/>
      <w:u w:val="single"/>
    </w:rPr>
  </w:style>
  <w:style w:type="paragraph" w:styleId="NormalWeb">
    <w:name w:val="Normal (Web)"/>
    <w:aliases w:val=" webb,webb"/>
    <w:basedOn w:val="Normal"/>
    <w:link w:val="NormalWebChar"/>
    <w:uiPriority w:val="34"/>
    <w:unhideWhenUsed/>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A17D4D"/>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A17D4D"/>
  </w:style>
  <w:style w:type="character" w:customStyle="1" w:styleId="eop">
    <w:name w:val="eop"/>
    <w:basedOn w:val="DefaultParagraphFont"/>
    <w:rsid w:val="00A17D4D"/>
  </w:style>
  <w:style w:type="paragraph" w:customStyle="1" w:styleId="para2">
    <w:name w:val="para 2."/>
    <w:link w:val="para2Car"/>
    <w:qFormat/>
    <w:rsid w:val="00A17D4D"/>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A17D4D"/>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A17D4D"/>
    <w:rPr>
      <w:color w:val="605E5C"/>
      <w:shd w:val="clear" w:color="auto" w:fill="E1DFDD"/>
    </w:rPr>
  </w:style>
  <w:style w:type="paragraph" w:customStyle="1" w:styleId="para11">
    <w:name w:val="para1.1."/>
    <w:basedOn w:val="Normal"/>
    <w:rsid w:val="00A17D4D"/>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A17D4D"/>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A17D4D"/>
    <w:rPr>
      <w:color w:val="954F72"/>
      <w:u w:val="single"/>
    </w:rPr>
  </w:style>
  <w:style w:type="numbering" w:customStyle="1" w:styleId="NoList2">
    <w:name w:val="No List2"/>
    <w:next w:val="NoList"/>
    <w:uiPriority w:val="99"/>
    <w:semiHidden/>
    <w:unhideWhenUsed/>
    <w:rsid w:val="00A17D4D"/>
  </w:style>
  <w:style w:type="numbering" w:customStyle="1" w:styleId="ImportedStyle4">
    <w:name w:val="Imported Style 4"/>
    <w:rsid w:val="00A17D4D"/>
  </w:style>
  <w:style w:type="table" w:customStyle="1" w:styleId="TableGrid1">
    <w:name w:val="Table Grid1"/>
    <w:basedOn w:val="TableNormal"/>
    <w:next w:val="TableGrid"/>
    <w:uiPriority w:val="5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A17D4D"/>
    <w:rPr>
      <w:color w:val="605E5C"/>
      <w:shd w:val="clear" w:color="auto" w:fill="E1DFDD"/>
    </w:rPr>
  </w:style>
  <w:style w:type="numbering" w:customStyle="1" w:styleId="NoList3">
    <w:name w:val="No List3"/>
    <w:next w:val="NoList"/>
    <w:uiPriority w:val="99"/>
    <w:semiHidden/>
    <w:unhideWhenUsed/>
    <w:rsid w:val="00A17D4D"/>
  </w:style>
  <w:style w:type="table" w:customStyle="1" w:styleId="TableGrid2">
    <w:name w:val="Table Grid2"/>
    <w:basedOn w:val="TableNormal"/>
    <w:next w:val="TableGrid"/>
    <w:uiPriority w:val="59"/>
    <w:rsid w:val="00A17D4D"/>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A17D4D"/>
  </w:style>
  <w:style w:type="paragraph" w:customStyle="1" w:styleId="document-article-intitule">
    <w:name w:val="document-article-intitule"/>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A17D4D"/>
  </w:style>
  <w:style w:type="numbering" w:customStyle="1" w:styleId="ImportedStyle41">
    <w:name w:val="Imported Style 41"/>
    <w:rsid w:val="00A17D4D"/>
  </w:style>
  <w:style w:type="table" w:customStyle="1" w:styleId="TableGrid3">
    <w:name w:val="Table Grid3"/>
    <w:basedOn w:val="TableNormal"/>
    <w:next w:val="TableGrid"/>
    <w:uiPriority w:val="5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A17D4D"/>
  </w:style>
  <w:style w:type="table" w:customStyle="1" w:styleId="TableGrid4">
    <w:name w:val="Table Grid4"/>
    <w:basedOn w:val="TableNormal"/>
    <w:next w:val="TableGrid"/>
    <w:rsid w:val="00A17D4D"/>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7D4D"/>
  </w:style>
  <w:style w:type="paragraph" w:customStyle="1" w:styleId="Title1">
    <w:name w:val="Title1"/>
    <w:basedOn w:val="Normal"/>
    <w:next w:val="Normal"/>
    <w:uiPriority w:val="10"/>
    <w:qFormat/>
    <w:rsid w:val="00A17D4D"/>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A17D4D"/>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A17D4D"/>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A17D4D"/>
  </w:style>
  <w:style w:type="character" w:customStyle="1" w:styleId="anchortext">
    <w:name w:val="anchortext"/>
    <w:basedOn w:val="DefaultParagraphFont"/>
    <w:rsid w:val="00A17D4D"/>
  </w:style>
  <w:style w:type="paragraph" w:styleId="z-TopofForm">
    <w:name w:val="HTML Top of Form"/>
    <w:basedOn w:val="Normal"/>
    <w:next w:val="Normal"/>
    <w:link w:val="z-TopofFormChar"/>
    <w:hidden/>
    <w:uiPriority w:val="99"/>
    <w:semiHidden/>
    <w:unhideWhenUsed/>
    <w:rsid w:val="00A17D4D"/>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A17D4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A17D4D"/>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A17D4D"/>
    <w:rPr>
      <w:rFonts w:ascii="Arial" w:eastAsia="Times New Roman" w:hAnsi="Arial" w:cs="Arial"/>
      <w:vanish/>
      <w:sz w:val="16"/>
      <w:szCs w:val="16"/>
      <w:lang w:val="en-GB" w:eastAsia="en-GB"/>
    </w:rPr>
  </w:style>
  <w:style w:type="character" w:customStyle="1" w:styleId="sr-only">
    <w:name w:val="sr-only"/>
    <w:basedOn w:val="DefaultParagraphFont"/>
    <w:rsid w:val="00A17D4D"/>
  </w:style>
  <w:style w:type="character" w:customStyle="1" w:styleId="cit">
    <w:name w:val="cit"/>
    <w:basedOn w:val="DefaultParagraphFont"/>
    <w:rsid w:val="00A17D4D"/>
  </w:style>
  <w:style w:type="paragraph" w:customStyle="1" w:styleId="dictionnaire-intitule-terme">
    <w:name w:val="dictionnaire-intitule-terme"/>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A17D4D"/>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A17D4D"/>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A17D4D"/>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A17D4D"/>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17D4D"/>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A17D4D"/>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A17D4D"/>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A17D4D"/>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A17D4D"/>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A17D4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17D4D"/>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A17D4D"/>
    <w:rPr>
      <w:color w:val="954F72" w:themeColor="followedHyperlink"/>
      <w:u w:val="single"/>
    </w:rPr>
  </w:style>
  <w:style w:type="numbering" w:customStyle="1" w:styleId="NoList7">
    <w:name w:val="No List7"/>
    <w:next w:val="NoList"/>
    <w:uiPriority w:val="99"/>
    <w:semiHidden/>
    <w:unhideWhenUsed/>
    <w:rsid w:val="00A17D4D"/>
  </w:style>
  <w:style w:type="paragraph" w:styleId="TOC1">
    <w:name w:val="toc 1"/>
    <w:basedOn w:val="Normal"/>
    <w:uiPriority w:val="39"/>
    <w:qFormat/>
    <w:rsid w:val="00A17D4D"/>
    <w:pPr>
      <w:spacing w:before="120" w:after="120"/>
    </w:pPr>
    <w:rPr>
      <w:rFonts w:cstheme="minorHAnsi"/>
      <w:b/>
      <w:bCs/>
      <w:caps/>
      <w:sz w:val="20"/>
      <w:szCs w:val="20"/>
      <w:lang w:val="en-CA"/>
    </w:rPr>
  </w:style>
  <w:style w:type="paragraph" w:styleId="TOC2">
    <w:name w:val="toc 2"/>
    <w:basedOn w:val="Normal"/>
    <w:uiPriority w:val="39"/>
    <w:qFormat/>
    <w:rsid w:val="00A17D4D"/>
    <w:pPr>
      <w:spacing w:after="0"/>
      <w:ind w:left="220"/>
    </w:pPr>
    <w:rPr>
      <w:rFonts w:cstheme="minorHAnsi"/>
      <w:smallCaps/>
      <w:sz w:val="20"/>
      <w:szCs w:val="20"/>
      <w:lang w:val="en-CA"/>
    </w:rPr>
  </w:style>
  <w:style w:type="paragraph" w:styleId="TOC3">
    <w:name w:val="toc 3"/>
    <w:basedOn w:val="Normal"/>
    <w:uiPriority w:val="39"/>
    <w:qFormat/>
    <w:rsid w:val="00A17D4D"/>
    <w:pPr>
      <w:spacing w:after="0"/>
      <w:ind w:left="440"/>
    </w:pPr>
    <w:rPr>
      <w:rFonts w:cstheme="minorHAnsi"/>
      <w:i/>
      <w:iCs/>
      <w:sz w:val="20"/>
      <w:szCs w:val="20"/>
      <w:lang w:val="en-CA"/>
    </w:rPr>
  </w:style>
  <w:style w:type="paragraph" w:styleId="TOC4">
    <w:name w:val="toc 4"/>
    <w:basedOn w:val="Normal"/>
    <w:uiPriority w:val="39"/>
    <w:qFormat/>
    <w:rsid w:val="00A17D4D"/>
    <w:pPr>
      <w:spacing w:after="0"/>
      <w:ind w:left="660"/>
    </w:pPr>
    <w:rPr>
      <w:rFonts w:cstheme="minorHAnsi"/>
      <w:sz w:val="18"/>
      <w:szCs w:val="18"/>
      <w:lang w:val="en-CA"/>
    </w:rPr>
  </w:style>
  <w:style w:type="paragraph" w:customStyle="1" w:styleId="TableParagraph">
    <w:name w:val="Table Paragraph"/>
    <w:basedOn w:val="Normal"/>
    <w:uiPriority w:val="1"/>
    <w:qFormat/>
    <w:rsid w:val="00A17D4D"/>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A17D4D"/>
  </w:style>
  <w:style w:type="numbering" w:customStyle="1" w:styleId="NoList11">
    <w:name w:val="No List11"/>
    <w:next w:val="NoList"/>
    <w:uiPriority w:val="99"/>
    <w:semiHidden/>
    <w:unhideWhenUsed/>
    <w:rsid w:val="00A17D4D"/>
  </w:style>
  <w:style w:type="paragraph" w:customStyle="1" w:styleId="parai3para">
    <w:name w:val="para i3para"/>
    <w:basedOn w:val="parai3"/>
    <w:qFormat/>
    <w:rsid w:val="00A17D4D"/>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A17D4D"/>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A17D4D"/>
    <w:rPr>
      <w:rFonts w:ascii="Segoe UI" w:hAnsi="Segoe UI" w:cs="Segoe UI"/>
      <w:sz w:val="18"/>
      <w:szCs w:val="18"/>
    </w:rPr>
  </w:style>
  <w:style w:type="character" w:customStyle="1" w:styleId="CommentSubjectChar1">
    <w:name w:val="Comment Subject Char1"/>
    <w:basedOn w:val="CommentTextChar"/>
    <w:uiPriority w:val="99"/>
    <w:semiHidden/>
    <w:rsid w:val="00A17D4D"/>
    <w:rPr>
      <w:rFonts w:ascii="Calibri" w:eastAsia="Calibri" w:hAnsi="Calibri" w:cs="Times New Roman"/>
      <w:b/>
      <w:bCs/>
      <w:sz w:val="20"/>
      <w:szCs w:val="20"/>
      <w:lang w:val="en-US"/>
    </w:rPr>
  </w:style>
  <w:style w:type="paragraph" w:customStyle="1" w:styleId="document-article-libelle">
    <w:name w:val="document-article-libelle"/>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A17D4D"/>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A17D4D"/>
    <w:rPr>
      <w:rFonts w:ascii="Arial" w:hAnsi="Arial" w:cs="Arial"/>
      <w:sz w:val="20"/>
      <w:szCs w:val="20"/>
    </w:rPr>
  </w:style>
  <w:style w:type="paragraph" w:styleId="EndnoteText">
    <w:name w:val="endnote text"/>
    <w:basedOn w:val="Normal"/>
    <w:link w:val="EndnoteTextChar"/>
    <w:uiPriority w:val="99"/>
    <w:semiHidden/>
    <w:unhideWhenUsed/>
    <w:rsid w:val="00A17D4D"/>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A17D4D"/>
    <w:rPr>
      <w:sz w:val="20"/>
      <w:szCs w:val="20"/>
    </w:rPr>
  </w:style>
  <w:style w:type="numbering" w:customStyle="1" w:styleId="Aucuneliste1">
    <w:name w:val="Aucune liste1"/>
    <w:next w:val="NoList"/>
    <w:uiPriority w:val="99"/>
    <w:semiHidden/>
    <w:unhideWhenUsed/>
    <w:rsid w:val="00A17D4D"/>
  </w:style>
  <w:style w:type="paragraph" w:customStyle="1" w:styleId="a">
    <w:name w:val="a"/>
    <w:basedOn w:val="Normal"/>
    <w:link w:val="aCar"/>
    <w:qFormat/>
    <w:rsid w:val="00A17D4D"/>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A17D4D"/>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A17D4D"/>
    <w:rPr>
      <w:rFonts w:ascii="Arial" w:eastAsia="Arial" w:hAnsi="Arial" w:cs="Arial"/>
      <w:sz w:val="18"/>
      <w:szCs w:val="18"/>
    </w:rPr>
  </w:style>
  <w:style w:type="paragraph" w:customStyle="1" w:styleId="i">
    <w:name w:val="i"/>
    <w:basedOn w:val="Normal"/>
    <w:link w:val="iCar"/>
    <w:autoRedefine/>
    <w:qFormat/>
    <w:rsid w:val="00A17D4D"/>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A17D4D"/>
    <w:rPr>
      <w:rFonts w:ascii="Arial" w:eastAsia="Arial" w:hAnsi="Arial" w:cs="Arial"/>
      <w:sz w:val="18"/>
      <w:szCs w:val="18"/>
    </w:rPr>
  </w:style>
  <w:style w:type="character" w:customStyle="1" w:styleId="iCar">
    <w:name w:val="i Car"/>
    <w:link w:val="i"/>
    <w:rsid w:val="00A17D4D"/>
    <w:rPr>
      <w:rFonts w:ascii="Arial" w:eastAsia="Arial" w:hAnsi="Arial" w:cs="Arial"/>
      <w:sz w:val="18"/>
      <w:szCs w:val="18"/>
    </w:rPr>
  </w:style>
  <w:style w:type="paragraph" w:styleId="PlainText">
    <w:name w:val="Plain Text"/>
    <w:basedOn w:val="Normal"/>
    <w:link w:val="PlainTextChar2"/>
    <w:uiPriority w:val="99"/>
    <w:unhideWhenUsed/>
    <w:rsid w:val="00A17D4D"/>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A17D4D"/>
    <w:rPr>
      <w:rFonts w:ascii="Consolas" w:hAnsi="Consolas"/>
      <w:sz w:val="21"/>
      <w:szCs w:val="21"/>
    </w:rPr>
  </w:style>
  <w:style w:type="character" w:customStyle="1" w:styleId="PlainTextChar2">
    <w:name w:val="Plain Text Char2"/>
    <w:link w:val="PlainText"/>
    <w:uiPriority w:val="99"/>
    <w:rsid w:val="00A17D4D"/>
    <w:rPr>
      <w:rFonts w:ascii="Calibri" w:eastAsia="Calibri" w:hAnsi="Calibri" w:cs="Consolas"/>
      <w:szCs w:val="21"/>
    </w:rPr>
  </w:style>
  <w:style w:type="paragraph" w:customStyle="1" w:styleId="10">
    <w:name w:val="1."/>
    <w:basedOn w:val="Normal"/>
    <w:link w:val="1Car0"/>
    <w:uiPriority w:val="99"/>
    <w:qFormat/>
    <w:rsid w:val="00A17D4D"/>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A17D4D"/>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A17D4D"/>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A17D4D"/>
  </w:style>
  <w:style w:type="paragraph" w:customStyle="1" w:styleId="Paramarge">
    <w:name w:val="Para marge"/>
    <w:basedOn w:val="Normal"/>
    <w:rsid w:val="00A17D4D"/>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A17D4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A17D4D"/>
  </w:style>
  <w:style w:type="numbering" w:customStyle="1" w:styleId="ImportedStyle5">
    <w:name w:val="Imported Style 5"/>
    <w:rsid w:val="00A17D4D"/>
  </w:style>
  <w:style w:type="numbering" w:customStyle="1" w:styleId="ImportedStyle1">
    <w:name w:val="Imported Style 1"/>
    <w:rsid w:val="00A17D4D"/>
  </w:style>
  <w:style w:type="table" w:customStyle="1" w:styleId="Grilledutableau1">
    <w:name w:val="Grille du tableau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A17D4D"/>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A17D4D"/>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A17D4D"/>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A17D4D"/>
  </w:style>
  <w:style w:type="character" w:customStyle="1" w:styleId="nom-revue">
    <w:name w:val="nom-revue"/>
    <w:basedOn w:val="DefaultParagraphFont"/>
    <w:rsid w:val="00A17D4D"/>
  </w:style>
  <w:style w:type="character" w:customStyle="1" w:styleId="num-revue">
    <w:name w:val="num-revue"/>
    <w:basedOn w:val="DefaultParagraphFont"/>
    <w:rsid w:val="00A17D4D"/>
  </w:style>
  <w:style w:type="paragraph" w:customStyle="1" w:styleId="csc-textpic-caption">
    <w:name w:val="csc-textpic-caption"/>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A17D4D"/>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A17D4D"/>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A17D4D"/>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A17D4D"/>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A17D4D"/>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A17D4D"/>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A17D4D"/>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A17D4D"/>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A17D4D"/>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A17D4D"/>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A17D4D"/>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A17D4D"/>
    <w:rPr>
      <w:rFonts w:ascii="Arial" w:hAnsi="Arial" w:cs="Arial" w:hint="default"/>
      <w:sz w:val="18"/>
      <w:szCs w:val="18"/>
    </w:rPr>
  </w:style>
  <w:style w:type="paragraph" w:customStyle="1" w:styleId="pBase">
    <w:name w:val="p_Base"/>
    <w:next w:val="Normal"/>
    <w:rsid w:val="00A17D4D"/>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A17D4D"/>
    <w:rPr>
      <w:b/>
      <w:bCs/>
    </w:rPr>
  </w:style>
  <w:style w:type="paragraph" w:customStyle="1" w:styleId="Para20">
    <w:name w:val="Para 2"/>
    <w:basedOn w:val="Normal"/>
    <w:link w:val="Para2Car0"/>
    <w:qFormat/>
    <w:rsid w:val="00A17D4D"/>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A17D4D"/>
    <w:rPr>
      <w:rFonts w:ascii="Söhne" w:eastAsia="Times New Roman" w:hAnsi="Söhne" w:cs="Times New Roman"/>
      <w:sz w:val="18"/>
      <w:lang w:val="en-IE"/>
    </w:rPr>
  </w:style>
  <w:style w:type="paragraph" w:customStyle="1" w:styleId="Parai2">
    <w:name w:val="Para i.2"/>
    <w:basedOn w:val="Normal"/>
    <w:link w:val="Parai2Car"/>
    <w:rsid w:val="00A17D4D"/>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A17D4D"/>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A17D4D"/>
    <w:rPr>
      <w:rFonts w:ascii="Arial" w:eastAsia="Times New Roman" w:hAnsi="Arial" w:cs="Times New Roman"/>
      <w:sz w:val="18"/>
      <w:lang w:val="en-IE" w:bidi="en-US"/>
    </w:rPr>
  </w:style>
  <w:style w:type="paragraph" w:customStyle="1" w:styleId="Parai1">
    <w:name w:val="Para i1"/>
    <w:basedOn w:val="Para12"/>
    <w:rsid w:val="00A17D4D"/>
    <w:pPr>
      <w:ind w:left="425" w:hanging="425"/>
    </w:pPr>
    <w:rPr>
      <w:lang w:eastAsia="es-ES"/>
    </w:rPr>
  </w:style>
  <w:style w:type="paragraph" w:styleId="BodyText3">
    <w:name w:val="Body Text 3"/>
    <w:basedOn w:val="Normal"/>
    <w:link w:val="BodyText3Char"/>
    <w:unhideWhenUsed/>
    <w:rsid w:val="00A17D4D"/>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A17D4D"/>
    <w:rPr>
      <w:rFonts w:ascii="Calibri" w:eastAsia="Calibri" w:hAnsi="Calibri" w:cs="Times New Roman"/>
      <w:sz w:val="16"/>
      <w:szCs w:val="16"/>
      <w:lang w:val="x-none"/>
    </w:rPr>
  </w:style>
  <w:style w:type="character" w:styleId="IntenseEmphasis">
    <w:name w:val="Intense Emphasis"/>
    <w:aliases w:val="WOAH ANNEX Emphasis"/>
    <w:uiPriority w:val="21"/>
    <w:qFormat/>
    <w:rsid w:val="00A17D4D"/>
    <w:rPr>
      <w:i/>
      <w:iCs/>
      <w:color w:val="auto"/>
      <w:sz w:val="24"/>
      <w:u w:val="single"/>
    </w:rPr>
  </w:style>
  <w:style w:type="paragraph" w:customStyle="1" w:styleId="Chaptertitle">
    <w:name w:val="Chapter title"/>
    <w:basedOn w:val="Normal"/>
    <w:link w:val="ChaptertitleCar"/>
    <w:rsid w:val="00A17D4D"/>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A17D4D"/>
  </w:style>
  <w:style w:type="paragraph" w:customStyle="1" w:styleId="Note">
    <w:name w:val="Note"/>
    <w:basedOn w:val="FootnoteText"/>
    <w:rsid w:val="00A17D4D"/>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A17D4D"/>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A17D4D"/>
    <w:rPr>
      <w:rFonts w:ascii="Arial" w:eastAsia="Times New Roman" w:hAnsi="Arial" w:cs="Times New Roman"/>
      <w:bCs/>
      <w:sz w:val="18"/>
      <w:lang w:val="en-IE"/>
    </w:rPr>
  </w:style>
  <w:style w:type="paragraph" w:customStyle="1" w:styleId="Para4">
    <w:name w:val="Para 4"/>
    <w:basedOn w:val="Normal"/>
    <w:link w:val="Para4Car"/>
    <w:rsid w:val="00A17D4D"/>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A17D4D"/>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A17D4D"/>
    <w:pPr>
      <w:spacing w:after="120"/>
      <w:ind w:left="1559" w:hanging="425"/>
    </w:pPr>
  </w:style>
  <w:style w:type="paragraph" w:customStyle="1" w:styleId="Para6">
    <w:name w:val="Para 6"/>
    <w:basedOn w:val="Parai5"/>
    <w:rsid w:val="00A17D4D"/>
    <w:pPr>
      <w:ind w:firstLine="0"/>
    </w:pPr>
  </w:style>
  <w:style w:type="paragraph" w:customStyle="1" w:styleId="Parai35">
    <w:name w:val="Para i.3.5"/>
    <w:basedOn w:val="Parai5"/>
    <w:rsid w:val="00A17D4D"/>
    <w:pPr>
      <w:tabs>
        <w:tab w:val="left" w:pos="2835"/>
        <w:tab w:val="left" w:pos="4536"/>
      </w:tabs>
      <w:ind w:firstLine="0"/>
    </w:pPr>
  </w:style>
  <w:style w:type="paragraph" w:customStyle="1" w:styleId="paraii35">
    <w:name w:val="para ii.3.5"/>
    <w:basedOn w:val="Parai35"/>
    <w:rsid w:val="00A17D4D"/>
    <w:pPr>
      <w:tabs>
        <w:tab w:val="clear" w:pos="2835"/>
        <w:tab w:val="clear" w:pos="4536"/>
      </w:tabs>
      <w:ind w:left="1984" w:hanging="425"/>
    </w:pPr>
  </w:style>
  <w:style w:type="paragraph" w:customStyle="1" w:styleId="Tablefn">
    <w:name w:val="Table fn"/>
    <w:basedOn w:val="Para12"/>
    <w:rsid w:val="00A17D4D"/>
    <w:pPr>
      <w:spacing w:before="240"/>
      <w:jc w:val="center"/>
    </w:pPr>
    <w:rPr>
      <w:sz w:val="16"/>
    </w:rPr>
  </w:style>
  <w:style w:type="paragraph" w:customStyle="1" w:styleId="TableHead">
    <w:name w:val="Table Head"/>
    <w:basedOn w:val="Para5"/>
    <w:link w:val="TableHeadCar"/>
    <w:rsid w:val="00A17D4D"/>
    <w:pPr>
      <w:spacing w:before="120" w:after="120"/>
      <w:ind w:left="0"/>
      <w:jc w:val="center"/>
    </w:pPr>
    <w:rPr>
      <w:rFonts w:ascii="Ottawa" w:hAnsi="Ottawa"/>
      <w:b/>
    </w:rPr>
  </w:style>
  <w:style w:type="paragraph" w:customStyle="1" w:styleId="Tabletext">
    <w:name w:val="Table text"/>
    <w:basedOn w:val="Para5"/>
    <w:rsid w:val="00A17D4D"/>
    <w:pPr>
      <w:spacing w:before="120" w:after="120"/>
      <w:ind w:left="0"/>
      <w:jc w:val="center"/>
    </w:pPr>
    <w:rPr>
      <w:rFonts w:cs="Arial"/>
    </w:rPr>
  </w:style>
  <w:style w:type="paragraph" w:customStyle="1" w:styleId="Tabletitle">
    <w:name w:val="Table title"/>
    <w:basedOn w:val="Para5"/>
    <w:link w:val="TabletitleCar"/>
    <w:autoRedefine/>
    <w:rsid w:val="00A17D4D"/>
    <w:pPr>
      <w:spacing w:after="120"/>
      <w:ind w:left="0"/>
      <w:jc w:val="center"/>
    </w:pPr>
    <w:rPr>
      <w:rFonts w:ascii="Ottawa" w:hAnsi="Ottawa"/>
      <w:b/>
      <w:i/>
    </w:rPr>
  </w:style>
  <w:style w:type="paragraph" w:customStyle="1" w:styleId="Title5a">
    <w:name w:val="Title 5a"/>
    <w:basedOn w:val="Para5"/>
    <w:link w:val="Title5aCar"/>
    <w:rsid w:val="00A17D4D"/>
    <w:pPr>
      <w:spacing w:before="240" w:after="120"/>
    </w:pPr>
    <w:rPr>
      <w:rFonts w:ascii="Ottawa" w:hAnsi="Ottawa"/>
      <w:i/>
    </w:rPr>
  </w:style>
  <w:style w:type="paragraph" w:customStyle="1" w:styleId="Title6">
    <w:name w:val="Title 6"/>
    <w:basedOn w:val="Para5"/>
    <w:rsid w:val="00A17D4D"/>
    <w:pPr>
      <w:spacing w:after="120"/>
      <w:ind w:left="1559"/>
    </w:pPr>
    <w:rPr>
      <w:rFonts w:ascii="Ottawa" w:hAnsi="Ottawa"/>
      <w:i/>
    </w:rPr>
  </w:style>
  <w:style w:type="paragraph" w:customStyle="1" w:styleId="Buffertext">
    <w:name w:val="Buffer text"/>
    <w:basedOn w:val="Para5"/>
    <w:link w:val="BuffertextCar"/>
    <w:rsid w:val="00A17D4D"/>
    <w:pPr>
      <w:tabs>
        <w:tab w:val="left" w:pos="5670"/>
      </w:tabs>
      <w:spacing w:after="0"/>
    </w:pPr>
    <w:rPr>
      <w:rFonts w:cs="Arial"/>
      <w:lang w:val="pt-BR"/>
    </w:rPr>
  </w:style>
  <w:style w:type="paragraph" w:customStyle="1" w:styleId="buffertextlast">
    <w:name w:val="buffer text last"/>
    <w:basedOn w:val="Buffertext"/>
    <w:link w:val="buffertextlastCar"/>
    <w:rsid w:val="00A17D4D"/>
    <w:pPr>
      <w:spacing w:after="240"/>
    </w:pPr>
    <w:rPr>
      <w:szCs w:val="18"/>
    </w:rPr>
  </w:style>
  <w:style w:type="paragraph" w:customStyle="1" w:styleId="ien-tte">
    <w:name w:val="i en-tête"/>
    <w:basedOn w:val="Header"/>
    <w:rsid w:val="00A17D4D"/>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A17D4D"/>
    <w:rPr>
      <w:rFonts w:ascii="Arial" w:hAnsi="Arial"/>
      <w:sz w:val="16"/>
    </w:rPr>
  </w:style>
  <w:style w:type="character" w:styleId="Emphasis">
    <w:name w:val="Emphasis"/>
    <w:aliases w:val="WOAH Emphasis"/>
    <w:uiPriority w:val="20"/>
    <w:qFormat/>
    <w:rsid w:val="00A17D4D"/>
    <w:rPr>
      <w:i/>
      <w:iCs/>
    </w:rPr>
  </w:style>
  <w:style w:type="paragraph" w:customStyle="1" w:styleId="solutionstext">
    <w:name w:val="solutions text"/>
    <w:basedOn w:val="Para5"/>
    <w:rsid w:val="00A17D4D"/>
    <w:pPr>
      <w:tabs>
        <w:tab w:val="left" w:pos="5670"/>
      </w:tabs>
      <w:spacing w:after="0"/>
      <w:ind w:left="0"/>
    </w:pPr>
    <w:rPr>
      <w:rFonts w:cs="Arial"/>
      <w:lang w:val="pt-BR"/>
    </w:rPr>
  </w:style>
  <w:style w:type="paragraph" w:customStyle="1" w:styleId="Parai6">
    <w:name w:val="Para i.6"/>
    <w:basedOn w:val="Parai5"/>
    <w:qFormat/>
    <w:rsid w:val="00A17D4D"/>
    <w:pPr>
      <w:ind w:left="1984"/>
    </w:pPr>
  </w:style>
  <w:style w:type="paragraph" w:customStyle="1" w:styleId="Para7">
    <w:name w:val="Para 7"/>
    <w:basedOn w:val="Para6"/>
    <w:qFormat/>
    <w:rsid w:val="00A17D4D"/>
    <w:pPr>
      <w:ind w:left="1701"/>
    </w:pPr>
  </w:style>
  <w:style w:type="paragraph" w:customStyle="1" w:styleId="Para7i">
    <w:name w:val="Para 7i"/>
    <w:basedOn w:val="Title6"/>
    <w:qFormat/>
    <w:rsid w:val="00A17D4D"/>
    <w:pPr>
      <w:ind w:left="2126" w:hanging="425"/>
    </w:pPr>
    <w:rPr>
      <w:rFonts w:ascii="Arial" w:hAnsi="Arial" w:cs="Arial"/>
      <w:i w:val="0"/>
      <w:szCs w:val="18"/>
    </w:rPr>
  </w:style>
  <w:style w:type="paragraph" w:customStyle="1" w:styleId="Para5a">
    <w:name w:val="Para 5a"/>
    <w:basedOn w:val="Para5"/>
    <w:qFormat/>
    <w:rsid w:val="00A17D4D"/>
    <w:pPr>
      <w:ind w:left="1418"/>
    </w:pPr>
    <w:rPr>
      <w:lang w:bidi="ar-SA"/>
    </w:rPr>
  </w:style>
  <w:style w:type="paragraph" w:styleId="HTMLPreformatted">
    <w:name w:val="HTML Preformatted"/>
    <w:basedOn w:val="Normal"/>
    <w:link w:val="HTMLPreformattedChar"/>
    <w:rsid w:val="00A17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A17D4D"/>
    <w:rPr>
      <w:rFonts w:ascii="Tahoma" w:eastAsia="Times New Roman" w:hAnsi="Tahoma" w:cs="Tahoma"/>
      <w:sz w:val="20"/>
      <w:szCs w:val="20"/>
      <w:lang w:bidi="th-TH"/>
    </w:rPr>
  </w:style>
  <w:style w:type="character" w:customStyle="1" w:styleId="CarCar5">
    <w:name w:val="Car Car5"/>
    <w:rsid w:val="00A17D4D"/>
    <w:rPr>
      <w:rFonts w:ascii="Ottawa" w:hAnsi="Ottawa"/>
      <w:b/>
      <w:spacing w:val="-10"/>
      <w:kern w:val="28"/>
      <w:position w:val="6"/>
      <w:sz w:val="22"/>
      <w:szCs w:val="22"/>
      <w:lang w:val="en-US" w:eastAsia="en-US" w:bidi="en-US"/>
    </w:rPr>
  </w:style>
  <w:style w:type="character" w:customStyle="1" w:styleId="CarCar4">
    <w:name w:val="Car Car4"/>
    <w:rsid w:val="00A17D4D"/>
    <w:rPr>
      <w:rFonts w:ascii="TradeGothic Bold" w:hAnsi="TradeGothic Bold"/>
      <w:spacing w:val="-10"/>
      <w:kern w:val="28"/>
      <w:position w:val="6"/>
      <w:sz w:val="21"/>
      <w:szCs w:val="22"/>
      <w:lang w:val="en-US" w:eastAsia="fr-FR" w:bidi="en-US"/>
    </w:rPr>
  </w:style>
  <w:style w:type="character" w:customStyle="1" w:styleId="CarCar3">
    <w:name w:val="Car Car3"/>
    <w:rsid w:val="00A17D4D"/>
    <w:rPr>
      <w:rFonts w:ascii="Ottawa" w:hAnsi="Ottawa"/>
      <w:b/>
      <w:spacing w:val="-4"/>
      <w:kern w:val="28"/>
      <w:sz w:val="19"/>
      <w:szCs w:val="22"/>
      <w:lang w:val="en-US" w:eastAsia="fr-FR" w:bidi="en-US"/>
    </w:rPr>
  </w:style>
  <w:style w:type="character" w:customStyle="1" w:styleId="CarCar2">
    <w:name w:val="Car Car2"/>
    <w:rsid w:val="00A17D4D"/>
    <w:rPr>
      <w:rFonts w:ascii="Ottawa" w:hAnsi="Ottawa"/>
      <w:b/>
      <w:spacing w:val="-4"/>
      <w:kern w:val="28"/>
      <w:sz w:val="18"/>
      <w:szCs w:val="22"/>
      <w:lang w:val="en-US" w:eastAsia="fr-FR" w:bidi="en-US"/>
    </w:rPr>
  </w:style>
  <w:style w:type="character" w:customStyle="1" w:styleId="CarCar1">
    <w:name w:val="Car Car1"/>
    <w:rsid w:val="00A17D4D"/>
    <w:rPr>
      <w:rFonts w:ascii="Ottawa" w:hAnsi="Ottawa"/>
      <w:i/>
      <w:spacing w:val="-4"/>
      <w:kern w:val="28"/>
      <w:sz w:val="18"/>
      <w:lang w:val="en-US" w:eastAsia="en-US" w:bidi="en-US"/>
    </w:rPr>
  </w:style>
  <w:style w:type="character" w:customStyle="1" w:styleId="CarCar">
    <w:name w:val="Car Car"/>
    <w:rsid w:val="00A17D4D"/>
    <w:rPr>
      <w:rFonts w:ascii="Rockwell" w:hAnsi="Rockwell"/>
      <w:bCs/>
      <w:iCs/>
      <w:spacing w:val="20"/>
      <w:szCs w:val="60"/>
      <w:lang w:val="en-US" w:eastAsia="en-US" w:bidi="en-US"/>
    </w:rPr>
  </w:style>
  <w:style w:type="character" w:customStyle="1" w:styleId="Text4">
    <w:name w:val="Text 4"/>
    <w:rsid w:val="00A17D4D"/>
    <w:rPr>
      <w:rFonts w:ascii="TradeGothic" w:hAnsi="TradeGothic"/>
      <w:b/>
      <w:bCs/>
      <w:sz w:val="20"/>
      <w:szCs w:val="22"/>
      <w:lang w:val="en-IE" w:eastAsia="fr-FR" w:bidi="ar-SA"/>
    </w:rPr>
  </w:style>
  <w:style w:type="paragraph" w:customStyle="1" w:styleId="Text1">
    <w:name w:val="Text 1"/>
    <w:basedOn w:val="Normal"/>
    <w:rsid w:val="00A17D4D"/>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A17D4D"/>
    <w:rPr>
      <w:rFonts w:ascii="Garamond" w:hAnsi="Garamond"/>
      <w:bCs/>
      <w:sz w:val="22"/>
      <w:szCs w:val="22"/>
      <w:lang w:val="en-IE" w:eastAsia="fr-FR" w:bidi="ar-SA"/>
    </w:rPr>
  </w:style>
  <w:style w:type="character" w:customStyle="1" w:styleId="Text1111bulletCar">
    <w:name w:val="Text 1.1.1.1 bullet Car"/>
    <w:rsid w:val="00A17D4D"/>
    <w:rPr>
      <w:rFonts w:ascii="Garamond" w:hAnsi="Garamond"/>
      <w:sz w:val="22"/>
      <w:szCs w:val="22"/>
      <w:lang w:val="en-IE" w:eastAsia="fr-FR" w:bidi="ar-SA"/>
    </w:rPr>
  </w:style>
  <w:style w:type="paragraph" w:customStyle="1" w:styleId="Level1">
    <w:name w:val="Level 1"/>
    <w:basedOn w:val="Normal"/>
    <w:rsid w:val="00A17D4D"/>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A17D4D"/>
    <w:rPr>
      <w:rFonts w:ascii="Garamond" w:hAnsi="Garamond"/>
      <w:b/>
      <w:sz w:val="18"/>
      <w:lang w:val="en-IE" w:eastAsia="fr-FR"/>
    </w:rPr>
  </w:style>
  <w:style w:type="paragraph" w:customStyle="1" w:styleId="111">
    <w:name w:val="1.1.1."/>
    <w:basedOn w:val="Normal"/>
    <w:rsid w:val="00A17D4D"/>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A17D4D"/>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A17D4D"/>
    <w:pPr>
      <w:spacing w:after="120"/>
    </w:pPr>
    <w:rPr>
      <w:lang w:val="en-GB"/>
    </w:rPr>
  </w:style>
  <w:style w:type="character" w:customStyle="1" w:styleId="Para5Car">
    <w:name w:val="Para 5 Car"/>
    <w:rsid w:val="00A17D4D"/>
    <w:rPr>
      <w:rFonts w:ascii="Arial" w:hAnsi="Arial"/>
      <w:bCs/>
      <w:sz w:val="18"/>
      <w:szCs w:val="22"/>
      <w:lang w:val="en-IE" w:eastAsia="en-US" w:bidi="en-US"/>
    </w:rPr>
  </w:style>
  <w:style w:type="character" w:customStyle="1" w:styleId="solutionstextCar">
    <w:name w:val="solutions text Car"/>
    <w:rsid w:val="00A17D4D"/>
    <w:rPr>
      <w:rFonts w:ascii="Arial" w:hAnsi="Arial" w:cs="Arial"/>
      <w:bCs/>
      <w:sz w:val="18"/>
      <w:szCs w:val="22"/>
      <w:lang w:val="pt-BR" w:eastAsia="en-US" w:bidi="en-US"/>
    </w:rPr>
  </w:style>
  <w:style w:type="character" w:customStyle="1" w:styleId="solutionstextlastCar">
    <w:name w:val="solutions text last Car"/>
    <w:rsid w:val="00A17D4D"/>
    <w:rPr>
      <w:rFonts w:ascii="Arial" w:hAnsi="Arial" w:cs="Arial"/>
      <w:bCs/>
      <w:sz w:val="18"/>
      <w:szCs w:val="22"/>
      <w:lang w:val="en-GB" w:eastAsia="en-US" w:bidi="en-US"/>
    </w:rPr>
  </w:style>
  <w:style w:type="paragraph" w:customStyle="1" w:styleId="StylePara2Aprs10pt">
    <w:name w:val="Style Para 2 + Après : 10 pt"/>
    <w:basedOn w:val="Para20"/>
    <w:rsid w:val="00A17D4D"/>
    <w:pPr>
      <w:spacing w:after="200"/>
    </w:pPr>
    <w:rPr>
      <w:szCs w:val="20"/>
    </w:rPr>
  </w:style>
  <w:style w:type="paragraph" w:customStyle="1" w:styleId="CarCar1Car">
    <w:name w:val="Car Car1 Car"/>
    <w:basedOn w:val="Normal"/>
    <w:rsid w:val="00A17D4D"/>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A17D4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A17D4D"/>
    <w:rPr>
      <w:rFonts w:ascii="Arial" w:eastAsia="Times New Roman" w:hAnsi="Arial" w:cs="Arial"/>
      <w:sz w:val="18"/>
      <w:szCs w:val="18"/>
      <w:lang w:val="en-GB" w:eastAsia="fr-FR"/>
    </w:rPr>
  </w:style>
  <w:style w:type="character" w:customStyle="1" w:styleId="jrnl">
    <w:name w:val="jrnl"/>
    <w:basedOn w:val="DefaultParagraphFont"/>
    <w:rsid w:val="00A17D4D"/>
  </w:style>
  <w:style w:type="paragraph" w:customStyle="1" w:styleId="Base1">
    <w:name w:val="Base1"/>
    <w:rsid w:val="00A17D4D"/>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A17D4D"/>
  </w:style>
  <w:style w:type="character" w:customStyle="1" w:styleId="apple-converted-space">
    <w:name w:val="apple-converted-space"/>
    <w:basedOn w:val="DefaultParagraphFont"/>
    <w:rsid w:val="00A17D4D"/>
  </w:style>
  <w:style w:type="character" w:customStyle="1" w:styleId="Para1Char">
    <w:name w:val="Para 1 Char"/>
    <w:rsid w:val="00A17D4D"/>
    <w:rPr>
      <w:rFonts w:ascii="Arial" w:hAnsi="Arial"/>
      <w:sz w:val="18"/>
      <w:szCs w:val="22"/>
      <w:lang w:val="en-IE" w:eastAsia="en-US" w:bidi="en-US"/>
    </w:rPr>
  </w:style>
  <w:style w:type="character" w:customStyle="1" w:styleId="Para3Char">
    <w:name w:val="Para 3 Char"/>
    <w:rsid w:val="00A17D4D"/>
    <w:rPr>
      <w:rFonts w:ascii="Arial" w:hAnsi="Arial"/>
      <w:bCs/>
      <w:sz w:val="18"/>
      <w:szCs w:val="22"/>
      <w:lang w:val="en-IE" w:eastAsia="en-US" w:bidi="ar-SA"/>
    </w:rPr>
  </w:style>
  <w:style w:type="paragraph" w:customStyle="1" w:styleId="Title2">
    <w:name w:val="Title 2"/>
    <w:basedOn w:val="Normal"/>
    <w:qFormat/>
    <w:rsid w:val="00A17D4D"/>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A17D4D"/>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A17D4D"/>
    <w:pPr>
      <w:jc w:val="center"/>
    </w:pPr>
    <w:rPr>
      <w:rFonts w:ascii="Ottawa" w:hAnsi="Ottawa" w:cs="Times New Roman"/>
      <w:bCs w:val="0"/>
      <w:szCs w:val="20"/>
    </w:rPr>
  </w:style>
  <w:style w:type="character" w:customStyle="1" w:styleId="Hyperlink0">
    <w:name w:val="Hyperlink.0"/>
    <w:rsid w:val="00A17D4D"/>
    <w:rPr>
      <w:color w:val="0000FF"/>
      <w:sz w:val="24"/>
      <w:szCs w:val="24"/>
      <w:u w:val="single" w:color="0000FF"/>
      <w:lang w:val="en-US"/>
    </w:rPr>
  </w:style>
  <w:style w:type="character" w:customStyle="1" w:styleId="highlight">
    <w:name w:val="highlight"/>
    <w:basedOn w:val="DefaultParagraphFont"/>
    <w:rsid w:val="00A17D4D"/>
  </w:style>
  <w:style w:type="character" w:customStyle="1" w:styleId="hps">
    <w:name w:val="hps"/>
    <w:basedOn w:val="DefaultParagraphFont"/>
    <w:rsid w:val="00A17D4D"/>
  </w:style>
  <w:style w:type="character" w:customStyle="1" w:styleId="longtext1">
    <w:name w:val="long_text1"/>
    <w:rsid w:val="00A17D4D"/>
    <w:rPr>
      <w:sz w:val="20"/>
      <w:szCs w:val="20"/>
    </w:rPr>
  </w:style>
  <w:style w:type="paragraph" w:styleId="BlockText">
    <w:name w:val="Block Text"/>
    <w:basedOn w:val="Normal"/>
    <w:rsid w:val="00A17D4D"/>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A17D4D"/>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A17D4D"/>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A17D4D"/>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A17D4D"/>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A17D4D"/>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A17D4D"/>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A17D4D"/>
    <w:pPr>
      <w:ind w:firstLine="210"/>
    </w:pPr>
  </w:style>
  <w:style w:type="character" w:customStyle="1" w:styleId="BodyTextFirstIndent2Char">
    <w:name w:val="Body Text First Indent 2 Char"/>
    <w:basedOn w:val="BodyTextIndentChar"/>
    <w:link w:val="BodyTextFirstIndent2"/>
    <w:uiPriority w:val="99"/>
    <w:rsid w:val="00A17D4D"/>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A17D4D"/>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A17D4D"/>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A17D4D"/>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A17D4D"/>
    <w:rPr>
      <w:rFonts w:ascii="Times New Roman" w:eastAsia="SimSun" w:hAnsi="Times New Roman" w:cs="Times New Roman"/>
      <w:sz w:val="16"/>
      <w:szCs w:val="16"/>
      <w:lang w:val="en-AU" w:eastAsia="zh-CN"/>
    </w:rPr>
  </w:style>
  <w:style w:type="paragraph" w:styleId="Closing">
    <w:name w:val="Closing"/>
    <w:basedOn w:val="Normal"/>
    <w:link w:val="ClosingChar"/>
    <w:rsid w:val="00A17D4D"/>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A17D4D"/>
    <w:rPr>
      <w:rFonts w:ascii="Times New Roman" w:eastAsia="SimSun" w:hAnsi="Times New Roman" w:cs="Times New Roman"/>
      <w:sz w:val="20"/>
      <w:szCs w:val="20"/>
      <w:lang w:val="en-AU" w:eastAsia="zh-CN"/>
    </w:rPr>
  </w:style>
  <w:style w:type="paragraph" w:styleId="Date">
    <w:name w:val="Date"/>
    <w:basedOn w:val="Normal"/>
    <w:next w:val="Normal"/>
    <w:link w:val="DateChar"/>
    <w:rsid w:val="00A17D4D"/>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A17D4D"/>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A17D4D"/>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A17D4D"/>
    <w:rPr>
      <w:rFonts w:ascii="Times New Roman" w:eastAsia="SimSun" w:hAnsi="Times New Roman" w:cs="Times New Roman"/>
      <w:sz w:val="20"/>
      <w:szCs w:val="20"/>
      <w:lang w:val="en-AU" w:eastAsia="zh-CN"/>
    </w:rPr>
  </w:style>
  <w:style w:type="paragraph" w:styleId="EnvelopeAddress">
    <w:name w:val="envelope address"/>
    <w:basedOn w:val="Normal"/>
    <w:rsid w:val="00A17D4D"/>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A17D4D"/>
    <w:pPr>
      <w:spacing w:before="160" w:after="0" w:line="240" w:lineRule="auto"/>
    </w:pPr>
    <w:rPr>
      <w:rFonts w:ascii="Arial" w:eastAsia="SimSun" w:hAnsi="Arial" w:cs="Arial"/>
      <w:sz w:val="20"/>
      <w:szCs w:val="20"/>
      <w:lang w:val="en-AU" w:eastAsia="zh-CN"/>
    </w:rPr>
  </w:style>
  <w:style w:type="character" w:styleId="HTMLAcronym">
    <w:name w:val="HTML Acronym"/>
    <w:rsid w:val="00A17D4D"/>
  </w:style>
  <w:style w:type="paragraph" w:styleId="HTMLAddress">
    <w:name w:val="HTML Address"/>
    <w:basedOn w:val="Normal"/>
    <w:link w:val="HTMLAddressChar"/>
    <w:rsid w:val="00A17D4D"/>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A17D4D"/>
    <w:rPr>
      <w:rFonts w:ascii="Times New Roman" w:eastAsia="SimSun" w:hAnsi="Times New Roman" w:cs="Times New Roman"/>
      <w:i/>
      <w:iCs/>
      <w:sz w:val="20"/>
      <w:szCs w:val="20"/>
      <w:lang w:val="en-AU" w:eastAsia="zh-CN"/>
    </w:rPr>
  </w:style>
  <w:style w:type="character" w:styleId="HTMLCite">
    <w:name w:val="HTML Cite"/>
    <w:rsid w:val="00A17D4D"/>
    <w:rPr>
      <w:i/>
      <w:iCs/>
    </w:rPr>
  </w:style>
  <w:style w:type="character" w:styleId="HTMLCode">
    <w:name w:val="HTML Code"/>
    <w:rsid w:val="00A17D4D"/>
    <w:rPr>
      <w:rFonts w:ascii="Courier New" w:hAnsi="Courier New" w:cs="Courier New"/>
      <w:sz w:val="20"/>
      <w:szCs w:val="20"/>
    </w:rPr>
  </w:style>
  <w:style w:type="character" w:styleId="HTMLDefinition">
    <w:name w:val="HTML Definition"/>
    <w:rsid w:val="00A17D4D"/>
    <w:rPr>
      <w:i/>
      <w:iCs/>
    </w:rPr>
  </w:style>
  <w:style w:type="character" w:styleId="HTMLKeyboard">
    <w:name w:val="HTML Keyboard"/>
    <w:rsid w:val="00A17D4D"/>
    <w:rPr>
      <w:rFonts w:ascii="Courier New" w:hAnsi="Courier New" w:cs="Courier New"/>
      <w:sz w:val="20"/>
      <w:szCs w:val="20"/>
    </w:rPr>
  </w:style>
  <w:style w:type="character" w:styleId="HTMLSample">
    <w:name w:val="HTML Sample"/>
    <w:rsid w:val="00A17D4D"/>
    <w:rPr>
      <w:rFonts w:ascii="Courier New" w:hAnsi="Courier New" w:cs="Courier New"/>
    </w:rPr>
  </w:style>
  <w:style w:type="character" w:styleId="HTMLTypewriter">
    <w:name w:val="HTML Typewriter"/>
    <w:rsid w:val="00A17D4D"/>
    <w:rPr>
      <w:rFonts w:ascii="Courier New" w:hAnsi="Courier New" w:cs="Courier New"/>
      <w:sz w:val="20"/>
      <w:szCs w:val="20"/>
    </w:rPr>
  </w:style>
  <w:style w:type="character" w:styleId="HTMLVariable">
    <w:name w:val="HTML Variable"/>
    <w:rsid w:val="00A17D4D"/>
    <w:rPr>
      <w:i/>
      <w:iCs/>
    </w:rPr>
  </w:style>
  <w:style w:type="paragraph" w:styleId="List">
    <w:name w:val="List"/>
    <w:basedOn w:val="Normal"/>
    <w:rsid w:val="00A17D4D"/>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A17D4D"/>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A17D4D"/>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A17D4D"/>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A17D4D"/>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A17D4D"/>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A17D4D"/>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A17D4D"/>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A17D4D"/>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A17D4D"/>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A17D4D"/>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A17D4D"/>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A17D4D"/>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A17D4D"/>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A17D4D"/>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A17D4D"/>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A17D4D"/>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A17D4D"/>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A17D4D"/>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A17D4D"/>
    <w:rPr>
      <w:rFonts w:ascii="Arial" w:eastAsia="SimSun" w:hAnsi="Arial" w:cs="Times New Roman"/>
      <w:sz w:val="20"/>
      <w:szCs w:val="20"/>
      <w:shd w:val="pct20" w:color="auto" w:fill="auto"/>
      <w:lang w:val="en-AU" w:eastAsia="zh-CN"/>
    </w:rPr>
  </w:style>
  <w:style w:type="paragraph" w:styleId="NormalIndent">
    <w:name w:val="Normal Indent"/>
    <w:basedOn w:val="Normal"/>
    <w:rsid w:val="00A17D4D"/>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A17D4D"/>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A17D4D"/>
    <w:rPr>
      <w:rFonts w:ascii="Times New Roman" w:eastAsia="SimSun" w:hAnsi="Times New Roman" w:cs="Times New Roman"/>
      <w:sz w:val="20"/>
      <w:szCs w:val="20"/>
      <w:lang w:val="en-AU" w:eastAsia="zh-CN"/>
    </w:rPr>
  </w:style>
  <w:style w:type="character" w:styleId="PageNumber">
    <w:name w:val="page number"/>
    <w:rsid w:val="00A17D4D"/>
  </w:style>
  <w:style w:type="paragraph" w:styleId="Salutation">
    <w:name w:val="Salutation"/>
    <w:basedOn w:val="Normal"/>
    <w:next w:val="Normal"/>
    <w:link w:val="SalutationChar"/>
    <w:rsid w:val="00A17D4D"/>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A17D4D"/>
    <w:rPr>
      <w:rFonts w:ascii="Times New Roman" w:eastAsia="SimSun" w:hAnsi="Times New Roman" w:cs="Times New Roman"/>
      <w:sz w:val="20"/>
      <w:szCs w:val="20"/>
      <w:lang w:val="en-AU" w:eastAsia="zh-CN"/>
    </w:rPr>
  </w:style>
  <w:style w:type="paragraph" w:styleId="Signature">
    <w:name w:val="Signature"/>
    <w:basedOn w:val="Normal"/>
    <w:link w:val="SignatureChar"/>
    <w:rsid w:val="00A17D4D"/>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A17D4D"/>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A17D4D"/>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A17D4D"/>
    <w:rPr>
      <w:rFonts w:ascii="Arial" w:eastAsia="SimSun" w:hAnsi="Arial" w:cs="Times New Roman"/>
      <w:sz w:val="20"/>
      <w:szCs w:val="20"/>
      <w:lang w:val="en-AU" w:eastAsia="zh-CN"/>
    </w:rPr>
  </w:style>
  <w:style w:type="table" w:styleId="Table3Deffects1">
    <w:name w:val="Table 3D effects 1"/>
    <w:basedOn w:val="TableNormal"/>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A17D4D"/>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A17D4D"/>
    <w:rPr>
      <w:rFonts w:ascii="Times New Roman" w:eastAsia="SimSun" w:hAnsi="Times New Roman" w:cs="Times New Roman"/>
      <w:sz w:val="20"/>
      <w:szCs w:val="20"/>
      <w:lang w:val="en-AU" w:eastAsia="zh-CN"/>
    </w:rPr>
  </w:style>
  <w:style w:type="numbering" w:styleId="ArticleSection">
    <w:name w:val="Outline List 3"/>
    <w:basedOn w:val="NoList"/>
    <w:rsid w:val="00A17D4D"/>
  </w:style>
  <w:style w:type="numbering" w:styleId="1ai">
    <w:name w:val="Outline List 1"/>
    <w:basedOn w:val="NoList"/>
    <w:rsid w:val="00A17D4D"/>
  </w:style>
  <w:style w:type="numbering" w:styleId="111111">
    <w:name w:val="Outline List 2"/>
    <w:basedOn w:val="NoList"/>
    <w:rsid w:val="00A17D4D"/>
  </w:style>
  <w:style w:type="paragraph" w:customStyle="1" w:styleId="StyleText1111bulletNonGras">
    <w:name w:val="Style Text 1.1.1.1 bullet + Non Gras"/>
    <w:basedOn w:val="Normal"/>
    <w:rsid w:val="00A17D4D"/>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A17D4D"/>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A17D4D"/>
  </w:style>
  <w:style w:type="paragraph" w:customStyle="1" w:styleId="parai60">
    <w:name w:val="para i6"/>
    <w:basedOn w:val="Parai35"/>
    <w:rsid w:val="00A17D4D"/>
    <w:pPr>
      <w:ind w:left="1984" w:hanging="425"/>
    </w:pPr>
  </w:style>
  <w:style w:type="paragraph" w:customStyle="1" w:styleId="Titre1">
    <w:name w:val="Titre1"/>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A17D4D"/>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A17D4D"/>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A17D4D"/>
  </w:style>
  <w:style w:type="character" w:customStyle="1" w:styleId="Title5aCar">
    <w:name w:val="Title 5a Car"/>
    <w:link w:val="Title5a"/>
    <w:rsid w:val="00A17D4D"/>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A17D4D"/>
    <w:rPr>
      <w:rFonts w:ascii="Ottawa" w:eastAsia="Times New Roman" w:hAnsi="Ottawa" w:cs="Times New Roman"/>
      <w:bCs/>
      <w:i/>
      <w:sz w:val="18"/>
      <w:lang w:val="en-IE" w:bidi="en-US"/>
    </w:rPr>
  </w:style>
  <w:style w:type="character" w:customStyle="1" w:styleId="CharChar7">
    <w:name w:val="Char Char7"/>
    <w:semiHidden/>
    <w:rsid w:val="00A17D4D"/>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A17D4D"/>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A17D4D"/>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A17D4D"/>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A17D4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A17D4D"/>
  </w:style>
  <w:style w:type="paragraph" w:customStyle="1" w:styleId="paramarge0">
    <w:name w:val="para marge"/>
    <w:rsid w:val="00A17D4D"/>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A17D4D"/>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A17D4D"/>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A17D4D"/>
    <w:rPr>
      <w:i/>
      <w:iCs/>
      <w:strike/>
      <w:dstrike w:val="0"/>
      <w:sz w:val="20"/>
      <w:szCs w:val="20"/>
      <w:lang w:val="en-US"/>
    </w:rPr>
  </w:style>
  <w:style w:type="numbering" w:customStyle="1" w:styleId="List0">
    <w:name w:val="List 0"/>
    <w:basedOn w:val="ImportedStyle1"/>
    <w:rsid w:val="00A17D4D"/>
  </w:style>
  <w:style w:type="numbering" w:customStyle="1" w:styleId="List1">
    <w:name w:val="List 1"/>
    <w:basedOn w:val="ImportedStyle2"/>
    <w:rsid w:val="00A17D4D"/>
  </w:style>
  <w:style w:type="numbering" w:customStyle="1" w:styleId="ImportedStyle2">
    <w:name w:val="Imported Style 2"/>
    <w:rsid w:val="00A17D4D"/>
  </w:style>
  <w:style w:type="numbering" w:customStyle="1" w:styleId="List21">
    <w:name w:val="List 21"/>
    <w:basedOn w:val="ImportedStyle3"/>
    <w:rsid w:val="00A17D4D"/>
  </w:style>
  <w:style w:type="numbering" w:customStyle="1" w:styleId="ImportedStyle3">
    <w:name w:val="Imported Style 3"/>
    <w:rsid w:val="00A17D4D"/>
  </w:style>
  <w:style w:type="character" w:customStyle="1" w:styleId="CommentTextChar2">
    <w:name w:val="Comment Text Char2"/>
    <w:uiPriority w:val="99"/>
    <w:rsid w:val="00A17D4D"/>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A17D4D"/>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A17D4D"/>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A17D4D"/>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A17D4D"/>
    <w:pPr>
      <w:spacing w:line="240" w:lineRule="exact"/>
    </w:pPr>
    <w:rPr>
      <w:rFonts w:ascii="Tahoma" w:eastAsia="Times New Roman" w:hAnsi="Tahoma" w:cs="Times New Roman"/>
      <w:sz w:val="20"/>
      <w:szCs w:val="20"/>
    </w:rPr>
  </w:style>
  <w:style w:type="paragraph" w:customStyle="1" w:styleId="pBase1">
    <w:name w:val="p_Base1"/>
    <w:next w:val="Normal"/>
    <w:rsid w:val="00A17D4D"/>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A17D4D"/>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A17D4D"/>
    <w:rPr>
      <w:rFonts w:ascii="Times New Roman" w:eastAsia="SimSun" w:hAnsi="Times New Roman" w:cs="Times New Roman"/>
      <w:szCs w:val="20"/>
      <w:lang w:val="fr-FR" w:eastAsia="zh-CN"/>
    </w:rPr>
  </w:style>
  <w:style w:type="paragraph" w:customStyle="1" w:styleId="Times">
    <w:name w:val="Times"/>
    <w:uiPriority w:val="99"/>
    <w:qFormat/>
    <w:rsid w:val="00A17D4D"/>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A17D4D"/>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A17D4D"/>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A17D4D"/>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A17D4D"/>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A17D4D"/>
    <w:rPr>
      <w:rFonts w:ascii="Arial" w:eastAsia="Times New Roman" w:hAnsi="Arial" w:cs="Times New Roman"/>
      <w:color w:val="000000"/>
      <w:sz w:val="19"/>
      <w:szCs w:val="20"/>
      <w:lang w:val="fr-FR" w:eastAsia="en-GB"/>
    </w:rPr>
  </w:style>
  <w:style w:type="paragraph" w:customStyle="1" w:styleId="Basegras">
    <w:name w:val="Base gras"/>
    <w:rsid w:val="00A17D4D"/>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A17D4D"/>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A17D4D"/>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A17D4D"/>
    <w:rPr>
      <w:rFonts w:ascii="Calibri" w:eastAsia="Calibri" w:hAnsi="Calibri" w:cs="Times New Roman"/>
      <w:sz w:val="20"/>
      <w:szCs w:val="20"/>
      <w:lang w:val="en-GB"/>
    </w:rPr>
  </w:style>
  <w:style w:type="paragraph" w:customStyle="1" w:styleId="para2base">
    <w:name w:val="para 2. base"/>
    <w:basedOn w:val="Normal"/>
    <w:qFormat/>
    <w:rsid w:val="00A17D4D"/>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A17D4D"/>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A17D4D"/>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A17D4D"/>
    <w:rPr>
      <w:rFonts w:ascii="Century Schoolbook" w:eastAsia="Times New Roman" w:hAnsi="Century Schoolbook" w:cs="Times New Roman"/>
      <w:sz w:val="20"/>
      <w:szCs w:val="20"/>
      <w:lang w:val="en-GB"/>
    </w:rPr>
  </w:style>
  <w:style w:type="paragraph" w:customStyle="1" w:styleId="parai61">
    <w:name w:val="para i.6"/>
    <w:basedOn w:val="Parai35"/>
    <w:rsid w:val="00A17D4D"/>
    <w:pPr>
      <w:tabs>
        <w:tab w:val="clear" w:pos="2835"/>
        <w:tab w:val="clear" w:pos="4536"/>
      </w:tabs>
      <w:ind w:left="1984" w:hanging="425"/>
    </w:pPr>
  </w:style>
  <w:style w:type="character" w:customStyle="1" w:styleId="Policepardfaut1">
    <w:name w:val="Police par défaut1"/>
    <w:rsid w:val="00A17D4D"/>
  </w:style>
  <w:style w:type="character" w:customStyle="1" w:styleId="Car4">
    <w:name w:val="Car4"/>
    <w:rsid w:val="00A17D4D"/>
    <w:rPr>
      <w:rFonts w:ascii="Ottawa" w:hAnsi="Ottawa"/>
      <w:b/>
      <w:sz w:val="22"/>
      <w:szCs w:val="22"/>
      <w:lang w:val="en-US" w:eastAsia="en-US" w:bidi="en-US"/>
    </w:rPr>
  </w:style>
  <w:style w:type="character" w:customStyle="1" w:styleId="Car3">
    <w:name w:val="Car3"/>
    <w:rsid w:val="00A17D4D"/>
    <w:rPr>
      <w:rFonts w:ascii="Ottawa" w:hAnsi="Ottawa"/>
      <w:b/>
      <w:sz w:val="21"/>
      <w:szCs w:val="21"/>
      <w:lang w:val="en-US" w:eastAsia="en-US" w:bidi="en-US"/>
    </w:rPr>
  </w:style>
  <w:style w:type="character" w:customStyle="1" w:styleId="Car2">
    <w:name w:val="Car2"/>
    <w:rsid w:val="00A17D4D"/>
    <w:rPr>
      <w:rFonts w:ascii="Ottawa" w:hAnsi="Ottawa"/>
      <w:b/>
      <w:lang w:val="en-US" w:eastAsia="en-US" w:bidi="en-US"/>
    </w:rPr>
  </w:style>
  <w:style w:type="character" w:customStyle="1" w:styleId="Car1">
    <w:name w:val="Car1"/>
    <w:rsid w:val="00A17D4D"/>
    <w:rPr>
      <w:rFonts w:ascii="Ottawa" w:hAnsi="Ottawa"/>
      <w:b/>
      <w:spacing w:val="-4"/>
      <w:kern w:val="1"/>
      <w:sz w:val="18"/>
      <w:szCs w:val="22"/>
      <w:lang w:val="en-US" w:eastAsia="en-US" w:bidi="en-US"/>
    </w:rPr>
  </w:style>
  <w:style w:type="character" w:customStyle="1" w:styleId="Car">
    <w:name w:val="Car"/>
    <w:rsid w:val="00A17D4D"/>
    <w:rPr>
      <w:rFonts w:ascii="Ottawa" w:hAnsi="Ottawa"/>
      <w:i/>
      <w:spacing w:val="-4"/>
      <w:kern w:val="1"/>
      <w:sz w:val="18"/>
      <w:lang w:val="en-US" w:eastAsia="en-US" w:bidi="en-US"/>
    </w:rPr>
  </w:style>
  <w:style w:type="character" w:customStyle="1" w:styleId="Numrodeligne1">
    <w:name w:val="Numéro de ligne1"/>
    <w:rsid w:val="00A17D4D"/>
    <w:rPr>
      <w:rFonts w:ascii="Arial" w:hAnsi="Arial"/>
      <w:sz w:val="16"/>
    </w:rPr>
  </w:style>
  <w:style w:type="character" w:customStyle="1" w:styleId="Marquedecommentaire1">
    <w:name w:val="Marque de commentaire1"/>
    <w:rsid w:val="00A17D4D"/>
    <w:rPr>
      <w:sz w:val="16"/>
      <w:szCs w:val="16"/>
    </w:rPr>
  </w:style>
  <w:style w:type="character" w:customStyle="1" w:styleId="mathfont">
    <w:name w:val="mathfont"/>
    <w:rsid w:val="00A17D4D"/>
  </w:style>
  <w:style w:type="character" w:customStyle="1" w:styleId="StylePara5TradeGothicObliqueCar">
    <w:name w:val="Style Para 5 + TradeGothic Oblique Car"/>
    <w:rsid w:val="00A17D4D"/>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A17D4D"/>
    <w:rPr>
      <w:rFonts w:ascii="Ottawa" w:hAnsi="Ottawa"/>
      <w:bCs/>
      <w:i/>
      <w:sz w:val="18"/>
      <w:szCs w:val="22"/>
      <w:lang w:val="en-IE" w:eastAsia="en-US" w:bidi="en-US"/>
    </w:rPr>
  </w:style>
  <w:style w:type="character" w:customStyle="1" w:styleId="Appelnotedebasdep1">
    <w:name w:val="Appel note de bas de p.1"/>
    <w:rsid w:val="00A17D4D"/>
    <w:rPr>
      <w:vertAlign w:val="superscript"/>
    </w:rPr>
  </w:style>
  <w:style w:type="character" w:customStyle="1" w:styleId="Car6">
    <w:name w:val="Car6"/>
    <w:rsid w:val="00A17D4D"/>
    <w:rPr>
      <w:rFonts w:ascii="Calibri" w:hAnsi="Calibri"/>
      <w:sz w:val="22"/>
      <w:szCs w:val="22"/>
      <w:lang w:val="en-US" w:eastAsia="en-US" w:bidi="en-US"/>
    </w:rPr>
  </w:style>
  <w:style w:type="character" w:customStyle="1" w:styleId="Car7">
    <w:name w:val="Car7"/>
    <w:rsid w:val="00A17D4D"/>
    <w:rPr>
      <w:lang w:eastAsia="en-US" w:bidi="en-US"/>
    </w:rPr>
  </w:style>
  <w:style w:type="character" w:customStyle="1" w:styleId="Car5">
    <w:name w:val="Car5"/>
    <w:rsid w:val="00A17D4D"/>
    <w:rPr>
      <w:rFonts w:ascii="Calibri" w:hAnsi="Calibri"/>
      <w:b/>
      <w:bCs/>
      <w:lang w:val="en-US" w:eastAsia="en-US" w:bidi="en-US"/>
    </w:rPr>
  </w:style>
  <w:style w:type="character" w:customStyle="1" w:styleId="nbapihighlight">
    <w:name w:val="nbapihighlight"/>
    <w:rsid w:val="00A17D4D"/>
  </w:style>
  <w:style w:type="character" w:customStyle="1" w:styleId="Puces">
    <w:name w:val="Puces"/>
    <w:rsid w:val="00A17D4D"/>
    <w:rPr>
      <w:rFonts w:ascii="OpenSymbol" w:eastAsia="OpenSymbol" w:hAnsi="OpenSymbol" w:cs="OpenSymbol"/>
    </w:rPr>
  </w:style>
  <w:style w:type="character" w:customStyle="1" w:styleId="Lienhypertextesuivivisit1">
    <w:name w:val="Lien hypertexte suivi visité1"/>
    <w:rsid w:val="00A17D4D"/>
    <w:rPr>
      <w:color w:val="800080"/>
      <w:u w:val="single"/>
    </w:rPr>
  </w:style>
  <w:style w:type="character" w:customStyle="1" w:styleId="Marquedecommentaire2">
    <w:name w:val="Marque de commentaire2"/>
    <w:rsid w:val="00A17D4D"/>
    <w:rPr>
      <w:sz w:val="16"/>
      <w:szCs w:val="16"/>
    </w:rPr>
  </w:style>
  <w:style w:type="character" w:customStyle="1" w:styleId="Numrodeligne2">
    <w:name w:val="Numéro de ligne2"/>
    <w:rsid w:val="00A17D4D"/>
  </w:style>
  <w:style w:type="character" w:customStyle="1" w:styleId="ListLabel1">
    <w:name w:val="ListLabel 1"/>
    <w:rsid w:val="00A17D4D"/>
    <w:rPr>
      <w:rFonts w:cs="Times New Roman"/>
      <w:sz w:val="22"/>
    </w:rPr>
  </w:style>
  <w:style w:type="paragraph" w:styleId="Caption">
    <w:name w:val="caption"/>
    <w:basedOn w:val="Normal"/>
    <w:qFormat/>
    <w:rsid w:val="00A17D4D"/>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A17D4D"/>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A17D4D"/>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A17D4D"/>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A17D4D"/>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A17D4D"/>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A17D4D"/>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A17D4D"/>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A17D4D"/>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A17D4D"/>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A17D4D"/>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A17D4D"/>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A17D4D"/>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A17D4D"/>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A17D4D"/>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A17D4D"/>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A17D4D"/>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A17D4D"/>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A17D4D"/>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A17D4D"/>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A17D4D"/>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A17D4D"/>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A17D4D"/>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A17D4D"/>
  </w:style>
  <w:style w:type="paragraph" w:customStyle="1" w:styleId="Textedebulles2">
    <w:name w:val="Texte de bulles2"/>
    <w:basedOn w:val="Normal"/>
    <w:rsid w:val="00A17D4D"/>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A17D4D"/>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A17D4D"/>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A17D4D"/>
    <w:rPr>
      <w:rFonts w:ascii="Calibri" w:hAnsi="Calibri"/>
      <w:kern w:val="1"/>
      <w:lang w:val="en-US" w:eastAsia="en-US" w:bidi="en-US"/>
    </w:rPr>
  </w:style>
  <w:style w:type="paragraph" w:customStyle="1" w:styleId="A0">
    <w:name w:val="A"/>
    <w:basedOn w:val="Normal"/>
    <w:rsid w:val="00A17D4D"/>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A17D4D"/>
    <w:rPr>
      <w:vertAlign w:val="superscript"/>
    </w:rPr>
  </w:style>
  <w:style w:type="numbering" w:customStyle="1" w:styleId="Aucuneliste11">
    <w:name w:val="Aucune liste11"/>
    <w:next w:val="NoList"/>
    <w:uiPriority w:val="99"/>
    <w:semiHidden/>
    <w:unhideWhenUsed/>
    <w:rsid w:val="00A17D4D"/>
  </w:style>
  <w:style w:type="paragraph" w:customStyle="1" w:styleId="CM1">
    <w:name w:val="CM1"/>
    <w:basedOn w:val="Normal"/>
    <w:next w:val="Normal"/>
    <w:rsid w:val="00A17D4D"/>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A17D4D"/>
  </w:style>
  <w:style w:type="paragraph" w:customStyle="1" w:styleId="CM8">
    <w:name w:val="CM8"/>
    <w:basedOn w:val="Normal"/>
    <w:next w:val="Normal"/>
    <w:rsid w:val="00A17D4D"/>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A17D4D"/>
  </w:style>
  <w:style w:type="paragraph" w:customStyle="1" w:styleId="Footer1">
    <w:name w:val="Footer1"/>
    <w:uiPriority w:val="99"/>
    <w:rsid w:val="00A17D4D"/>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A17D4D"/>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A17D4D"/>
  </w:style>
  <w:style w:type="character" w:customStyle="1" w:styleId="iTegn">
    <w:name w:val="i) Tegn"/>
    <w:link w:val="i0"/>
    <w:rsid w:val="00A17D4D"/>
    <w:rPr>
      <w:rFonts w:ascii="Garamond" w:eastAsia="Times New Roman" w:hAnsi="Garamond" w:cs="Times New Roman"/>
      <w:lang w:val="en-GB" w:eastAsia="fr-FR"/>
    </w:rPr>
  </w:style>
  <w:style w:type="character" w:customStyle="1" w:styleId="journalname">
    <w:name w:val="journalname"/>
    <w:rsid w:val="00A17D4D"/>
  </w:style>
  <w:style w:type="numbering" w:customStyle="1" w:styleId="NoList111">
    <w:name w:val="No List111"/>
    <w:next w:val="NoList"/>
    <w:uiPriority w:val="99"/>
    <w:semiHidden/>
    <w:unhideWhenUsed/>
    <w:rsid w:val="00A17D4D"/>
  </w:style>
  <w:style w:type="paragraph" w:customStyle="1" w:styleId="pBase20">
    <w:name w:val="p_Base2"/>
    <w:next w:val="Normal"/>
    <w:autoRedefine/>
    <w:rsid w:val="00A17D4D"/>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A17D4D"/>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A17D4D"/>
    <w:pPr>
      <w:spacing w:after="240"/>
      <w:ind w:left="1418"/>
    </w:pPr>
    <w:rPr>
      <w:rFonts w:ascii="Times New Roman" w:eastAsia="MS Mincho" w:hAnsi="Times New Roman"/>
      <w:sz w:val="20"/>
      <w:lang w:bidi="ar-SA"/>
    </w:rPr>
  </w:style>
  <w:style w:type="paragraph" w:customStyle="1" w:styleId="parai2a">
    <w:name w:val="para i.2.a"/>
    <w:basedOn w:val="Parai2"/>
    <w:rsid w:val="00A17D4D"/>
    <w:pPr>
      <w:ind w:left="4678" w:hanging="4253"/>
    </w:pPr>
    <w:rPr>
      <w:sz w:val="20"/>
    </w:rPr>
  </w:style>
  <w:style w:type="paragraph" w:customStyle="1" w:styleId="parai3">
    <w:name w:val="para i.3"/>
    <w:basedOn w:val="Parai5"/>
    <w:rsid w:val="00A17D4D"/>
    <w:pPr>
      <w:ind w:left="1276"/>
    </w:pPr>
  </w:style>
  <w:style w:type="paragraph" w:customStyle="1" w:styleId="Parai4">
    <w:name w:val="Para i.4"/>
    <w:basedOn w:val="Parai5"/>
    <w:rsid w:val="00A17D4D"/>
    <w:pPr>
      <w:ind w:left="1417"/>
    </w:pPr>
    <w:rPr>
      <w:rFonts w:cs="Angsana New"/>
    </w:rPr>
  </w:style>
  <w:style w:type="paragraph" w:customStyle="1" w:styleId="Paragraphedeliste1">
    <w:name w:val="Paragraphe de liste1"/>
    <w:basedOn w:val="Normal"/>
    <w:qFormat/>
    <w:rsid w:val="00A17D4D"/>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A17D4D"/>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A17D4D"/>
    <w:rPr>
      <w:rFonts w:ascii="Arial" w:eastAsia="Times New Roman" w:hAnsi="Arial" w:cs="Times New Roman"/>
      <w:sz w:val="18"/>
      <w:lang w:val="en-IE" w:bidi="en-US"/>
    </w:rPr>
  </w:style>
  <w:style w:type="paragraph" w:styleId="NoSpacing">
    <w:name w:val="No Spacing"/>
    <w:uiPriority w:val="1"/>
    <w:qFormat/>
    <w:rsid w:val="00A17D4D"/>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A17D4D"/>
  </w:style>
  <w:style w:type="character" w:customStyle="1" w:styleId="sheader2">
    <w:name w:val="sheader2"/>
    <w:uiPriority w:val="99"/>
    <w:rsid w:val="00A17D4D"/>
  </w:style>
  <w:style w:type="character" w:customStyle="1" w:styleId="sheader21">
    <w:name w:val="sheader21"/>
    <w:rsid w:val="00A17D4D"/>
    <w:rPr>
      <w:rFonts w:ascii="Times New Roman" w:hAnsi="Times New Roman" w:cs="Times New Roman" w:hint="default"/>
      <w:sz w:val="34"/>
      <w:szCs w:val="34"/>
    </w:rPr>
  </w:style>
  <w:style w:type="character" w:customStyle="1" w:styleId="shorttext">
    <w:name w:val="short_text"/>
    <w:uiPriority w:val="99"/>
    <w:rsid w:val="00A17D4D"/>
  </w:style>
  <w:style w:type="character" w:customStyle="1" w:styleId="slabel1">
    <w:name w:val="slabel1"/>
    <w:uiPriority w:val="99"/>
    <w:rsid w:val="00A17D4D"/>
  </w:style>
  <w:style w:type="paragraph" w:customStyle="1" w:styleId="StyleChaptertitleNonToutenmajuscule">
    <w:name w:val="Style Chapter title + Non Tout en majuscule"/>
    <w:basedOn w:val="Normal"/>
    <w:link w:val="StyleChaptertitleNonToutenmajusculeCar"/>
    <w:rsid w:val="00A17D4D"/>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A17D4D"/>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A17D4D"/>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A17D4D"/>
    <w:rPr>
      <w:rFonts w:ascii="TradeGothic" w:hAnsi="TradeGothic"/>
      <w:bCs w:val="0"/>
      <w:i w:val="0"/>
      <w:iCs/>
      <w:szCs w:val="20"/>
    </w:rPr>
  </w:style>
  <w:style w:type="paragraph" w:customStyle="1" w:styleId="StyleTitre2Aprs10pt">
    <w:name w:val="Style Titre 2 + Après : 10 pt"/>
    <w:basedOn w:val="Heading2"/>
    <w:rsid w:val="00A17D4D"/>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A17D4D"/>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A17D4D"/>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A17D4D"/>
  </w:style>
  <w:style w:type="paragraph" w:customStyle="1" w:styleId="style4">
    <w:name w:val="style4"/>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A17D4D"/>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A17D4D"/>
    <w:rPr>
      <w:rFonts w:ascii="Consolas" w:eastAsia="Times New Roman" w:hAnsi="Consolas" w:cs="Consolas"/>
      <w:sz w:val="21"/>
      <w:szCs w:val="21"/>
      <w:lang w:val="en-GB"/>
    </w:rPr>
  </w:style>
  <w:style w:type="paragraph" w:customStyle="1" w:styleId="Timespbasegras">
    <w:name w:val="Times p_base gras"/>
    <w:basedOn w:val="Normal"/>
    <w:qFormat/>
    <w:rsid w:val="00A17D4D"/>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A17D4D"/>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A17D4D"/>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A17D4D"/>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A17D4D"/>
    <w:pPr>
      <w:ind w:left="992"/>
    </w:pPr>
  </w:style>
  <w:style w:type="paragraph" w:customStyle="1" w:styleId="CarCar2Char">
    <w:name w:val="Car Car2 Char"/>
    <w:basedOn w:val="Normal"/>
    <w:rsid w:val="00A17D4D"/>
    <w:pPr>
      <w:spacing w:line="240" w:lineRule="exact"/>
    </w:pPr>
    <w:rPr>
      <w:rFonts w:ascii="Tahoma" w:eastAsia="Times New Roman" w:hAnsi="Tahoma" w:cs="Times New Roman"/>
      <w:sz w:val="20"/>
      <w:szCs w:val="20"/>
    </w:rPr>
  </w:style>
  <w:style w:type="paragraph" w:customStyle="1" w:styleId="nom">
    <w:name w:val="nom"/>
    <w:basedOn w:val="Normal"/>
    <w:rsid w:val="00A17D4D"/>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A17D4D"/>
    <w:pPr>
      <w:spacing w:line="240" w:lineRule="exact"/>
    </w:pPr>
    <w:rPr>
      <w:rFonts w:ascii="Tahoma" w:eastAsia="Times New Roman" w:hAnsi="Tahoma" w:cs="Times New Roman"/>
      <w:sz w:val="20"/>
      <w:szCs w:val="20"/>
    </w:rPr>
  </w:style>
  <w:style w:type="character" w:customStyle="1" w:styleId="Absatz-Standardschriftart">
    <w:name w:val="Absatz-Standardschriftart"/>
    <w:rsid w:val="00A17D4D"/>
  </w:style>
  <w:style w:type="character" w:customStyle="1" w:styleId="WW-Absatz-Standardschriftart">
    <w:name w:val="WW-Absatz-Standardschriftart"/>
    <w:rsid w:val="00A17D4D"/>
  </w:style>
  <w:style w:type="character" w:customStyle="1" w:styleId="WW-Absatz-Standardschriftart1">
    <w:name w:val="WW-Absatz-Standardschriftart1"/>
    <w:rsid w:val="00A17D4D"/>
  </w:style>
  <w:style w:type="character" w:customStyle="1" w:styleId="WW-Absatz-Standardschriftart11">
    <w:name w:val="WW-Absatz-Standardschriftart11"/>
    <w:rsid w:val="00A17D4D"/>
  </w:style>
  <w:style w:type="character" w:customStyle="1" w:styleId="WW-Absatz-Standardschriftart111">
    <w:name w:val="WW-Absatz-Standardschriftart111"/>
    <w:rsid w:val="00A17D4D"/>
  </w:style>
  <w:style w:type="character" w:customStyle="1" w:styleId="WW-Absatz-Standardschriftart1111">
    <w:name w:val="WW-Absatz-Standardschriftart1111"/>
    <w:rsid w:val="00A17D4D"/>
  </w:style>
  <w:style w:type="character" w:customStyle="1" w:styleId="WW-Absatz-Standardschriftart11111">
    <w:name w:val="WW-Absatz-Standardschriftart11111"/>
    <w:rsid w:val="00A17D4D"/>
  </w:style>
  <w:style w:type="character" w:customStyle="1" w:styleId="FootnoteCharacters">
    <w:name w:val="Footnote Characters"/>
    <w:rsid w:val="00A17D4D"/>
    <w:rPr>
      <w:vertAlign w:val="superscript"/>
    </w:rPr>
  </w:style>
  <w:style w:type="paragraph" w:customStyle="1" w:styleId="CarCar1CharCarCarCharCharCarCarCharCarCar">
    <w:name w:val="Car Car1 Char Car Car Char Char Car Car Char Car Car"/>
    <w:basedOn w:val="Normal"/>
    <w:rsid w:val="00A17D4D"/>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A17D4D"/>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A17D4D"/>
  </w:style>
  <w:style w:type="paragraph" w:customStyle="1" w:styleId="CharChar1">
    <w:name w:val="Char Char1"/>
    <w:basedOn w:val="Normal"/>
    <w:rsid w:val="00A17D4D"/>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A17D4D"/>
    <w:pPr>
      <w:spacing w:after="0" w:line="240" w:lineRule="auto"/>
    </w:pPr>
    <w:rPr>
      <w:rFonts w:ascii="Arial" w:eastAsia="Times New Roman" w:hAnsi="Arial" w:cs="Times New Roman"/>
      <w:szCs w:val="20"/>
      <w:lang w:val="en-AU"/>
    </w:rPr>
  </w:style>
  <w:style w:type="paragraph" w:customStyle="1" w:styleId="CharChar">
    <w:name w:val="Char Char"/>
    <w:basedOn w:val="Normal"/>
    <w:rsid w:val="00A17D4D"/>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A17D4D"/>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A17D4D"/>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A17D4D"/>
  </w:style>
  <w:style w:type="paragraph" w:customStyle="1" w:styleId="a1">
    <w:name w:val="a)"/>
    <w:basedOn w:val="Normal"/>
    <w:rsid w:val="00A17D4D"/>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A17D4D"/>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A17D4D"/>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A17D4D"/>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A17D4D"/>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A17D4D"/>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A17D4D"/>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A17D4D"/>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A17D4D"/>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A17D4D"/>
  </w:style>
  <w:style w:type="paragraph" w:customStyle="1" w:styleId="citation">
    <w:name w:val="citation"/>
    <w:basedOn w:val="Normal"/>
    <w:rsid w:val="00A17D4D"/>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A17D4D"/>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A17D4D"/>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A17D4D"/>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A17D4D"/>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A17D4D"/>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A17D4D"/>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A17D4D"/>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A17D4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A17D4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A17D4D"/>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A17D4D"/>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A17D4D"/>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A17D4D"/>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A17D4D"/>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A17D4D"/>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A17D4D"/>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A17D4D"/>
    <w:rPr>
      <w:rFonts w:ascii="Arial" w:eastAsia="Times New Roman" w:hAnsi="Arial" w:cs="Times New Roman"/>
      <w:sz w:val="18"/>
      <w:szCs w:val="18"/>
      <w:lang w:val="x-none"/>
    </w:rPr>
  </w:style>
  <w:style w:type="character" w:customStyle="1" w:styleId="Marquedecommentaire3">
    <w:name w:val="Marque de commentaire3"/>
    <w:rsid w:val="00A17D4D"/>
    <w:rPr>
      <w:sz w:val="16"/>
      <w:szCs w:val="16"/>
    </w:rPr>
  </w:style>
  <w:style w:type="character" w:customStyle="1" w:styleId="Lienhypertextesuivivisit2">
    <w:name w:val="Lien hypertexte suivi visité2"/>
    <w:rsid w:val="00A17D4D"/>
    <w:rPr>
      <w:color w:val="800080"/>
      <w:u w:val="single"/>
    </w:rPr>
  </w:style>
  <w:style w:type="paragraph" w:customStyle="1" w:styleId="Commentaire3">
    <w:name w:val="Commentaire3"/>
    <w:basedOn w:val="Normal"/>
    <w:rsid w:val="00A17D4D"/>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A17D4D"/>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A17D4D"/>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A17D4D"/>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A17D4D"/>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A17D4D"/>
  </w:style>
  <w:style w:type="character" w:customStyle="1" w:styleId="s8">
    <w:name w:val="s8"/>
    <w:basedOn w:val="DefaultParagraphFont"/>
    <w:rsid w:val="00A17D4D"/>
  </w:style>
  <w:style w:type="character" w:customStyle="1" w:styleId="WW8Num5z0">
    <w:name w:val="WW8Num5z0"/>
    <w:rsid w:val="00A17D4D"/>
    <w:rPr>
      <w:rFonts w:ascii="Times New Roman" w:hAnsi="Times New Roman" w:cs="Times New Roman"/>
      <w:sz w:val="20"/>
    </w:rPr>
  </w:style>
  <w:style w:type="character" w:customStyle="1" w:styleId="WW8Num7z0">
    <w:name w:val="WW8Num7z0"/>
    <w:rsid w:val="00A17D4D"/>
    <w:rPr>
      <w:rFonts w:ascii="Symbol" w:hAnsi="Symbol" w:cs="Symbol"/>
    </w:rPr>
  </w:style>
  <w:style w:type="character" w:customStyle="1" w:styleId="WW8Num7z1">
    <w:name w:val="WW8Num7z1"/>
    <w:rsid w:val="00A17D4D"/>
    <w:rPr>
      <w:rFonts w:ascii="Courier New" w:hAnsi="Courier New" w:cs="Courier New"/>
    </w:rPr>
  </w:style>
  <w:style w:type="character" w:customStyle="1" w:styleId="Carpredefinitoparagrafo">
    <w:name w:val="Car. predefinito paragrafo"/>
    <w:rsid w:val="00A17D4D"/>
  </w:style>
  <w:style w:type="character" w:customStyle="1" w:styleId="DefaultParagraphFont1">
    <w:name w:val="Default Paragraph Font1"/>
    <w:rsid w:val="00A17D4D"/>
  </w:style>
  <w:style w:type="character" w:customStyle="1" w:styleId="WW8Num8z0">
    <w:name w:val="WW8Num8z0"/>
    <w:rsid w:val="00A17D4D"/>
    <w:rPr>
      <w:rFonts w:ascii="Symbol" w:hAnsi="Symbol" w:cs="Symbol"/>
    </w:rPr>
  </w:style>
  <w:style w:type="character" w:customStyle="1" w:styleId="WW8Num8z1">
    <w:name w:val="WW8Num8z1"/>
    <w:rsid w:val="00A17D4D"/>
    <w:rPr>
      <w:rFonts w:ascii="Courier New" w:hAnsi="Courier New" w:cs="Courier New"/>
    </w:rPr>
  </w:style>
  <w:style w:type="character" w:customStyle="1" w:styleId="WW8Num8z2">
    <w:name w:val="WW8Num8z2"/>
    <w:rsid w:val="00A17D4D"/>
    <w:rPr>
      <w:rFonts w:ascii="Wingdings" w:hAnsi="Wingdings" w:cs="Wingdings"/>
    </w:rPr>
  </w:style>
  <w:style w:type="character" w:customStyle="1" w:styleId="WW8Num1z0">
    <w:name w:val="WW8Num1z0"/>
    <w:rsid w:val="00A17D4D"/>
    <w:rPr>
      <w:rFonts w:ascii="Symbol" w:hAnsi="Symbol" w:cs="Symbol"/>
    </w:rPr>
  </w:style>
  <w:style w:type="character" w:customStyle="1" w:styleId="WW8Num2z0">
    <w:name w:val="WW8Num2z0"/>
    <w:rsid w:val="00A17D4D"/>
    <w:rPr>
      <w:rFonts w:ascii="Symbol" w:hAnsi="Symbol" w:cs="Symbol"/>
    </w:rPr>
  </w:style>
  <w:style w:type="character" w:customStyle="1" w:styleId="WW8Num3z0">
    <w:name w:val="WW8Num3z0"/>
    <w:rsid w:val="00A17D4D"/>
    <w:rPr>
      <w:rFonts w:ascii="Times New Roman" w:hAnsi="Times New Roman" w:cs="Times New Roman"/>
      <w:sz w:val="24"/>
    </w:rPr>
  </w:style>
  <w:style w:type="character" w:customStyle="1" w:styleId="WW8Num4z1">
    <w:name w:val="WW8Num4z1"/>
    <w:rsid w:val="00A17D4D"/>
    <w:rPr>
      <w:rFonts w:ascii="Courier New" w:hAnsi="Courier New" w:cs="Courier New"/>
      <w:sz w:val="20"/>
    </w:rPr>
  </w:style>
  <w:style w:type="character" w:customStyle="1" w:styleId="WW8Num6z0">
    <w:name w:val="WW8Num6z0"/>
    <w:rsid w:val="00A17D4D"/>
    <w:rPr>
      <w:rFonts w:ascii="Symbol" w:hAnsi="Symbol" w:cs="Symbol"/>
    </w:rPr>
  </w:style>
  <w:style w:type="character" w:customStyle="1" w:styleId="WW8Num6z1">
    <w:name w:val="WW8Num6z1"/>
    <w:rsid w:val="00A17D4D"/>
    <w:rPr>
      <w:rFonts w:ascii="Courier New" w:hAnsi="Courier New" w:cs="Courier New"/>
    </w:rPr>
  </w:style>
  <w:style w:type="character" w:customStyle="1" w:styleId="WW8Num6z2">
    <w:name w:val="WW8Num6z2"/>
    <w:rsid w:val="00A17D4D"/>
    <w:rPr>
      <w:rFonts w:ascii="Wingdings" w:hAnsi="Wingdings" w:cs="Wingdings"/>
    </w:rPr>
  </w:style>
  <w:style w:type="character" w:customStyle="1" w:styleId="WW8Num7z2">
    <w:name w:val="WW8Num7z2"/>
    <w:rsid w:val="00A17D4D"/>
    <w:rPr>
      <w:rFonts w:ascii="Wingdings" w:hAnsi="Wingdings" w:cs="Wingdings"/>
    </w:rPr>
  </w:style>
  <w:style w:type="character" w:customStyle="1" w:styleId="WW8Num14z0">
    <w:name w:val="WW8Num14z0"/>
    <w:rsid w:val="00A17D4D"/>
    <w:rPr>
      <w:rFonts w:ascii="Symbol" w:hAnsi="Symbol" w:cs="Symbol"/>
    </w:rPr>
  </w:style>
  <w:style w:type="character" w:customStyle="1" w:styleId="WW8Num14z1">
    <w:name w:val="WW8Num14z1"/>
    <w:rsid w:val="00A17D4D"/>
    <w:rPr>
      <w:rFonts w:ascii="Courier New" w:hAnsi="Courier New" w:cs="Courier New"/>
    </w:rPr>
  </w:style>
  <w:style w:type="character" w:customStyle="1" w:styleId="WW8Num14z2">
    <w:name w:val="WW8Num14z2"/>
    <w:rsid w:val="00A17D4D"/>
    <w:rPr>
      <w:rFonts w:ascii="Wingdings" w:hAnsi="Wingdings" w:cs="Wingdings"/>
    </w:rPr>
  </w:style>
  <w:style w:type="character" w:customStyle="1" w:styleId="WW8Num16z0">
    <w:name w:val="WW8Num16z0"/>
    <w:rsid w:val="00A17D4D"/>
    <w:rPr>
      <w:rFonts w:ascii="Symbol" w:hAnsi="Symbol" w:cs="Symbol"/>
      <w:color w:val="auto"/>
    </w:rPr>
  </w:style>
  <w:style w:type="character" w:customStyle="1" w:styleId="FootnoteReference1">
    <w:name w:val="Footnote Reference1"/>
    <w:rsid w:val="00A17D4D"/>
    <w:rPr>
      <w:vertAlign w:val="superscript"/>
    </w:rPr>
  </w:style>
  <w:style w:type="character" w:customStyle="1" w:styleId="EndnoteCharacters">
    <w:name w:val="Endnote Characters"/>
    <w:rsid w:val="00A17D4D"/>
    <w:rPr>
      <w:vertAlign w:val="superscript"/>
    </w:rPr>
  </w:style>
  <w:style w:type="character" w:customStyle="1" w:styleId="WW-EndnoteCharacters">
    <w:name w:val="WW-Endnote Characters"/>
    <w:rsid w:val="00A17D4D"/>
  </w:style>
  <w:style w:type="character" w:customStyle="1" w:styleId="Bullets">
    <w:name w:val="Bullets"/>
    <w:rsid w:val="00A17D4D"/>
    <w:rPr>
      <w:rFonts w:ascii="OpenSymbol" w:eastAsia="OpenSymbol" w:hAnsi="OpenSymbol" w:cs="OpenSymbol"/>
    </w:rPr>
  </w:style>
  <w:style w:type="character" w:customStyle="1" w:styleId="EndnoteReference1">
    <w:name w:val="Endnote Reference1"/>
    <w:rsid w:val="00A17D4D"/>
    <w:rPr>
      <w:vertAlign w:val="superscript"/>
    </w:rPr>
  </w:style>
  <w:style w:type="character" w:customStyle="1" w:styleId="CommentReference1">
    <w:name w:val="Comment Reference1"/>
    <w:rsid w:val="00A17D4D"/>
    <w:rPr>
      <w:sz w:val="16"/>
      <w:szCs w:val="16"/>
    </w:rPr>
  </w:style>
  <w:style w:type="character" w:customStyle="1" w:styleId="Caratteredellanota">
    <w:name w:val="Carattere della nota"/>
    <w:rsid w:val="00A17D4D"/>
    <w:rPr>
      <w:vertAlign w:val="superscript"/>
    </w:rPr>
  </w:style>
  <w:style w:type="character" w:customStyle="1" w:styleId="Caratterenotadichiusura">
    <w:name w:val="Carattere nota di chiusura"/>
    <w:rsid w:val="00A17D4D"/>
    <w:rPr>
      <w:vertAlign w:val="superscript"/>
    </w:rPr>
  </w:style>
  <w:style w:type="character" w:customStyle="1" w:styleId="Rimandonotaapidipagina">
    <w:name w:val="Rimando nota a piè di pagina"/>
    <w:rsid w:val="00A17D4D"/>
    <w:rPr>
      <w:vertAlign w:val="superscript"/>
    </w:rPr>
  </w:style>
  <w:style w:type="character" w:customStyle="1" w:styleId="Rimandonotadichiusura">
    <w:name w:val="Rimando nota di chiusura"/>
    <w:rsid w:val="00A17D4D"/>
    <w:rPr>
      <w:vertAlign w:val="superscript"/>
    </w:rPr>
  </w:style>
  <w:style w:type="character" w:customStyle="1" w:styleId="TestofumettoCarattere">
    <w:name w:val="Testo fumetto Carattere"/>
    <w:rsid w:val="00A17D4D"/>
    <w:rPr>
      <w:rFonts w:ascii="Tahoma" w:eastAsia="MS Mincho" w:hAnsi="Tahoma" w:cs="Tahoma"/>
      <w:sz w:val="16"/>
      <w:szCs w:val="16"/>
      <w:lang w:val="en-AU"/>
    </w:rPr>
  </w:style>
  <w:style w:type="character" w:customStyle="1" w:styleId="Rimandocommento">
    <w:name w:val="Rimando commento"/>
    <w:rsid w:val="00A17D4D"/>
    <w:rPr>
      <w:sz w:val="16"/>
      <w:szCs w:val="16"/>
    </w:rPr>
  </w:style>
  <w:style w:type="character" w:customStyle="1" w:styleId="TestocommentoCarattere">
    <w:name w:val="Testo commento Carattere"/>
    <w:rsid w:val="00A17D4D"/>
    <w:rPr>
      <w:rFonts w:eastAsia="MS Mincho"/>
      <w:lang w:val="en-AU"/>
    </w:rPr>
  </w:style>
  <w:style w:type="character" w:customStyle="1" w:styleId="SoggettocommentoCarattere">
    <w:name w:val="Soggetto commento Carattere"/>
    <w:rsid w:val="00A17D4D"/>
    <w:rPr>
      <w:rFonts w:eastAsia="MS Mincho"/>
      <w:b/>
      <w:bCs/>
      <w:lang w:val="en-AU"/>
    </w:rPr>
  </w:style>
  <w:style w:type="character" w:customStyle="1" w:styleId="WW8Num9z0">
    <w:name w:val="WW8Num9z0"/>
    <w:rsid w:val="00A17D4D"/>
    <w:rPr>
      <w:rFonts w:ascii="Symbol" w:hAnsi="Symbol" w:cs="OpenSymbol"/>
    </w:rPr>
  </w:style>
  <w:style w:type="character" w:customStyle="1" w:styleId="WW8Num9z1">
    <w:name w:val="WW8Num9z1"/>
    <w:rsid w:val="00A17D4D"/>
    <w:rPr>
      <w:rFonts w:ascii="OpenSymbol" w:hAnsi="OpenSymbol" w:cs="OpenSymbol"/>
    </w:rPr>
  </w:style>
  <w:style w:type="character" w:customStyle="1" w:styleId="WW8Num10z0">
    <w:name w:val="WW8Num10z0"/>
    <w:rsid w:val="00A17D4D"/>
    <w:rPr>
      <w:rFonts w:ascii="Symbol" w:hAnsi="Symbol" w:cs="OpenSymbol"/>
    </w:rPr>
  </w:style>
  <w:style w:type="character" w:customStyle="1" w:styleId="WW8Num10z1">
    <w:name w:val="WW8Num10z1"/>
    <w:rsid w:val="00A17D4D"/>
    <w:rPr>
      <w:rFonts w:ascii="OpenSymbol" w:hAnsi="OpenSymbol" w:cs="OpenSymbol"/>
    </w:rPr>
  </w:style>
  <w:style w:type="character" w:customStyle="1" w:styleId="WW8Num11z0">
    <w:name w:val="WW8Num11z0"/>
    <w:rsid w:val="00A17D4D"/>
    <w:rPr>
      <w:rFonts w:ascii="Symbol" w:hAnsi="Symbol" w:cs="OpenSymbol"/>
    </w:rPr>
  </w:style>
  <w:style w:type="character" w:customStyle="1" w:styleId="WW8Num11z1">
    <w:name w:val="WW8Num11z1"/>
    <w:rsid w:val="00A17D4D"/>
    <w:rPr>
      <w:rFonts w:ascii="OpenSymbol" w:hAnsi="OpenSymbol" w:cs="OpenSymbol"/>
    </w:rPr>
  </w:style>
  <w:style w:type="paragraph" w:customStyle="1" w:styleId="Caption2">
    <w:name w:val="Caption2"/>
    <w:basedOn w:val="Normal"/>
    <w:rsid w:val="00A17D4D"/>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A17D4D"/>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A17D4D"/>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A17D4D"/>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A17D4D"/>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A17D4D"/>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A17D4D"/>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A17D4D"/>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A17D4D"/>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A17D4D"/>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A17D4D"/>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A17D4D"/>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A17D4D"/>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A17D4D"/>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A17D4D"/>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A17D4D"/>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A17D4D"/>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A17D4D"/>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A17D4D"/>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A17D4D"/>
    <w:pPr>
      <w:suppressAutoHyphens/>
      <w:autoSpaceDN/>
      <w:adjustRightInd/>
      <w:ind w:left="426"/>
    </w:pPr>
    <w:rPr>
      <w:rFonts w:eastAsia="Times New Roman"/>
      <w:u w:color="000000"/>
      <w:lang w:eastAsia="ar-SA"/>
    </w:rPr>
  </w:style>
  <w:style w:type="paragraph" w:customStyle="1" w:styleId="puceM">
    <w:name w:val="puceM"/>
    <w:basedOn w:val="Normal"/>
    <w:rsid w:val="00A17D4D"/>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A17D4D"/>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A17D4D"/>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A17D4D"/>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A17D4D"/>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A17D4D"/>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A17D4D"/>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A17D4D"/>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A17D4D"/>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A17D4D"/>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A17D4D"/>
    <w:pPr>
      <w:jc w:val="center"/>
    </w:pPr>
    <w:rPr>
      <w:b/>
      <w:bCs/>
    </w:rPr>
  </w:style>
  <w:style w:type="paragraph" w:customStyle="1" w:styleId="Testofumetto">
    <w:name w:val="Testo fumetto"/>
    <w:basedOn w:val="Normal"/>
    <w:rsid w:val="00A17D4D"/>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A17D4D"/>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A17D4D"/>
    <w:rPr>
      <w:b/>
      <w:bCs/>
    </w:rPr>
  </w:style>
  <w:style w:type="paragraph" w:customStyle="1" w:styleId="DefaultLTGliederung1">
    <w:name w:val="Default~LT~Gliederung 1"/>
    <w:rsid w:val="00A17D4D"/>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A17D4D"/>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A17D4D"/>
    <w:rPr>
      <w:rFonts w:eastAsia="MS Mincho"/>
      <w:b/>
      <w:bCs/>
      <w:lang w:val="en-AU" w:eastAsia="ar-SA"/>
    </w:rPr>
  </w:style>
  <w:style w:type="character" w:customStyle="1" w:styleId="Corpsdetexte2Car1">
    <w:name w:val="Corps de texte 2 Car1"/>
    <w:uiPriority w:val="99"/>
    <w:semiHidden/>
    <w:rsid w:val="00A17D4D"/>
    <w:rPr>
      <w:rFonts w:eastAsia="MS Mincho"/>
      <w:lang w:val="en-AU" w:eastAsia="ar-SA"/>
    </w:rPr>
  </w:style>
  <w:style w:type="paragraph" w:customStyle="1" w:styleId="xl64">
    <w:name w:val="xl64"/>
    <w:basedOn w:val="Normal"/>
    <w:rsid w:val="00A17D4D"/>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A17D4D"/>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A17D4D"/>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A17D4D"/>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A17D4D"/>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A17D4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A17D4D"/>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A17D4D"/>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A17D4D"/>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A17D4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A17D4D"/>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A17D4D"/>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A17D4D"/>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A17D4D"/>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A17D4D"/>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A17D4D"/>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A17D4D"/>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A17D4D"/>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A17D4D"/>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A17D4D"/>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A17D4D"/>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A17D4D"/>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A17D4D"/>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A17D4D"/>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A17D4D"/>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A17D4D"/>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A17D4D"/>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A17D4D"/>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A17D4D"/>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A17D4D"/>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A17D4D"/>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A17D4D"/>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A17D4D"/>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A17D4D"/>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A17D4D"/>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A17D4D"/>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A17D4D"/>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A17D4D"/>
    <w:rPr>
      <w:rFonts w:eastAsia="MS Mincho"/>
      <w:lang w:eastAsia="ar-SA"/>
    </w:rPr>
  </w:style>
  <w:style w:type="paragraph" w:customStyle="1" w:styleId="paramarge1">
    <w:name w:val="paramarge"/>
    <w:basedOn w:val="Normal"/>
    <w:uiPriority w:val="99"/>
    <w:semiHidden/>
    <w:rsid w:val="00A17D4D"/>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A17D4D"/>
  </w:style>
  <w:style w:type="paragraph" w:styleId="TOCHeading">
    <w:name w:val="TOC Heading"/>
    <w:basedOn w:val="Heading1"/>
    <w:next w:val="Normal"/>
    <w:uiPriority w:val="39"/>
    <w:unhideWhenUsed/>
    <w:qFormat/>
    <w:rsid w:val="00A17D4D"/>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A17D4D"/>
  </w:style>
  <w:style w:type="numbering" w:customStyle="1" w:styleId="Aucuneliste4">
    <w:name w:val="Aucune liste4"/>
    <w:next w:val="NoList"/>
    <w:uiPriority w:val="99"/>
    <w:semiHidden/>
    <w:unhideWhenUsed/>
    <w:rsid w:val="00A17D4D"/>
  </w:style>
  <w:style w:type="table" w:customStyle="1" w:styleId="Grilledutableau2">
    <w:name w:val="Grille du tableau2"/>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A17D4D"/>
  </w:style>
  <w:style w:type="numbering" w:customStyle="1" w:styleId="1ai1">
    <w:name w:val="1 / a / i1"/>
    <w:basedOn w:val="NoList"/>
    <w:next w:val="1ai"/>
    <w:rsid w:val="00A17D4D"/>
  </w:style>
  <w:style w:type="numbering" w:customStyle="1" w:styleId="1111111">
    <w:name w:val="1 / 1.1 / 1.1.11"/>
    <w:basedOn w:val="NoList"/>
    <w:next w:val="111111"/>
    <w:rsid w:val="00A17D4D"/>
  </w:style>
  <w:style w:type="numbering" w:customStyle="1" w:styleId="Aucuneliste5">
    <w:name w:val="Aucune liste5"/>
    <w:next w:val="NoList"/>
    <w:uiPriority w:val="99"/>
    <w:semiHidden/>
    <w:unhideWhenUsed/>
    <w:rsid w:val="00A17D4D"/>
  </w:style>
  <w:style w:type="table" w:customStyle="1" w:styleId="Grilledutableau3">
    <w:name w:val="Grille du tableau3"/>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A17D4D"/>
  </w:style>
  <w:style w:type="table" w:customStyle="1" w:styleId="Grilledutableau4">
    <w:name w:val="Grille du tableau4"/>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A17D4D"/>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A17D4D"/>
    <w:rPr>
      <w:b w:val="0"/>
      <w:i/>
      <w:lang w:val="en-IE"/>
    </w:rPr>
  </w:style>
  <w:style w:type="paragraph" w:customStyle="1" w:styleId="1111110">
    <w:name w:val="1.1.1.1.1.1."/>
    <w:basedOn w:val="11111"/>
    <w:qFormat/>
    <w:rsid w:val="00A17D4D"/>
    <w:pPr>
      <w:ind w:left="851"/>
    </w:pPr>
  </w:style>
  <w:style w:type="numbering" w:customStyle="1" w:styleId="Aucuneliste7">
    <w:name w:val="Aucune liste7"/>
    <w:next w:val="NoList"/>
    <w:uiPriority w:val="99"/>
    <w:semiHidden/>
    <w:unhideWhenUsed/>
    <w:rsid w:val="00A17D4D"/>
  </w:style>
  <w:style w:type="numbering" w:customStyle="1" w:styleId="Aucuneliste8">
    <w:name w:val="Aucune liste8"/>
    <w:next w:val="NoList"/>
    <w:uiPriority w:val="99"/>
    <w:semiHidden/>
    <w:unhideWhenUsed/>
    <w:rsid w:val="00A17D4D"/>
  </w:style>
  <w:style w:type="character" w:customStyle="1" w:styleId="ChaptertitleCar">
    <w:name w:val="Chapter title Car"/>
    <w:link w:val="Chaptertitle"/>
    <w:rsid w:val="00A17D4D"/>
    <w:rPr>
      <w:rFonts w:ascii="Ottawa" w:eastAsia="Times New Roman" w:hAnsi="Ottawa" w:cs="Times New Roman"/>
      <w:bCs/>
      <w:iCs/>
      <w:caps/>
      <w:spacing w:val="40"/>
      <w:sz w:val="24"/>
      <w:szCs w:val="24"/>
      <w:lang w:bidi="en-US"/>
    </w:rPr>
  </w:style>
  <w:style w:type="character" w:customStyle="1" w:styleId="Para4Car">
    <w:name w:val="Para 4 Car"/>
    <w:link w:val="Para4"/>
    <w:rsid w:val="00A17D4D"/>
    <w:rPr>
      <w:rFonts w:ascii="Arial" w:eastAsia="Times New Roman" w:hAnsi="Arial" w:cs="Times New Roman"/>
      <w:bCs/>
      <w:sz w:val="18"/>
      <w:lang w:val="en-IE" w:eastAsia="fr-FR"/>
    </w:rPr>
  </w:style>
  <w:style w:type="character" w:customStyle="1" w:styleId="Parai5Car">
    <w:name w:val="Para i.5 Car"/>
    <w:link w:val="Parai5"/>
    <w:rsid w:val="00A17D4D"/>
    <w:rPr>
      <w:rFonts w:ascii="Arial" w:eastAsia="Times New Roman" w:hAnsi="Arial" w:cs="Times New Roman"/>
      <w:bCs/>
      <w:sz w:val="18"/>
      <w:lang w:val="en-IE" w:bidi="en-US"/>
    </w:rPr>
  </w:style>
  <w:style w:type="character" w:customStyle="1" w:styleId="BuffertextCar">
    <w:name w:val="Buffer text Car"/>
    <w:link w:val="Buffertext"/>
    <w:rsid w:val="00A17D4D"/>
    <w:rPr>
      <w:rFonts w:ascii="Arial" w:eastAsia="Times New Roman" w:hAnsi="Arial" w:cs="Arial"/>
      <w:bCs/>
      <w:sz w:val="18"/>
      <w:lang w:val="pt-BR" w:bidi="en-US"/>
    </w:rPr>
  </w:style>
  <w:style w:type="paragraph" w:customStyle="1" w:styleId="Diseasename">
    <w:name w:val="Disease name"/>
    <w:basedOn w:val="Normal"/>
    <w:qFormat/>
    <w:rsid w:val="00A17D4D"/>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A17D4D"/>
    <w:rPr>
      <w:rFonts w:ascii="Arial" w:eastAsia="Times New Roman" w:hAnsi="Arial" w:cs="Times New Roman"/>
      <w:sz w:val="18"/>
      <w:lang w:val="en-IE"/>
    </w:rPr>
  </w:style>
  <w:style w:type="character" w:customStyle="1" w:styleId="TabletitleCar">
    <w:name w:val="Table title Car"/>
    <w:link w:val="Tabletitle"/>
    <w:rsid w:val="00A17D4D"/>
    <w:rPr>
      <w:rFonts w:ascii="Ottawa" w:eastAsia="Times New Roman" w:hAnsi="Ottawa" w:cs="Times New Roman"/>
      <w:b/>
      <w:bCs/>
      <w:i/>
      <w:sz w:val="18"/>
      <w:lang w:val="en-IE" w:bidi="en-US"/>
    </w:rPr>
  </w:style>
  <w:style w:type="character" w:customStyle="1" w:styleId="TableHeadCar">
    <w:name w:val="Table Head Car"/>
    <w:link w:val="TableHead"/>
    <w:rsid w:val="00A17D4D"/>
    <w:rPr>
      <w:rFonts w:ascii="Ottawa" w:eastAsia="Times New Roman" w:hAnsi="Ottawa" w:cs="Times New Roman"/>
      <w:b/>
      <w:bCs/>
      <w:sz w:val="18"/>
      <w:lang w:val="en-IE" w:bidi="en-US"/>
    </w:rPr>
  </w:style>
  <w:style w:type="character" w:customStyle="1" w:styleId="buffertextlastCar">
    <w:name w:val="buffer text last Car"/>
    <w:link w:val="buffertextlast"/>
    <w:rsid w:val="00A17D4D"/>
    <w:rPr>
      <w:rFonts w:ascii="Arial" w:eastAsia="Times New Roman" w:hAnsi="Arial" w:cs="Arial"/>
      <w:bCs/>
      <w:sz w:val="18"/>
      <w:szCs w:val="18"/>
      <w:lang w:val="pt-BR" w:bidi="en-US"/>
    </w:rPr>
  </w:style>
  <w:style w:type="paragraph" w:customStyle="1" w:styleId="Title6a">
    <w:name w:val="Title 6a"/>
    <w:basedOn w:val="Title5a"/>
    <w:rsid w:val="00A17D4D"/>
    <w:pPr>
      <w:ind w:left="1559"/>
    </w:pPr>
    <w:rPr>
      <w:szCs w:val="20"/>
    </w:rPr>
  </w:style>
  <w:style w:type="paragraph" w:customStyle="1" w:styleId="Footnote">
    <w:name w:val="Footnote"/>
    <w:basedOn w:val="Note"/>
    <w:rsid w:val="00A17D4D"/>
    <w:pPr>
      <w:spacing w:before="120" w:after="120"/>
      <w:jc w:val="center"/>
    </w:pPr>
    <w:rPr>
      <w:rFonts w:ascii="Arial" w:hAnsi="Arial"/>
    </w:rPr>
  </w:style>
  <w:style w:type="paragraph" w:styleId="DocumentMap">
    <w:name w:val="Document Map"/>
    <w:basedOn w:val="Normal"/>
    <w:link w:val="DocumentMapChar"/>
    <w:semiHidden/>
    <w:rsid w:val="00A17D4D"/>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A17D4D"/>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A17D4D"/>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A17D4D"/>
    <w:rPr>
      <w:color w:val="808080"/>
    </w:rPr>
  </w:style>
  <w:style w:type="paragraph" w:customStyle="1" w:styleId="xgmail-para11">
    <w:name w:val="x_gmail-para11"/>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A17D4D"/>
    <w:pPr>
      <w:ind w:left="1276"/>
    </w:pPr>
  </w:style>
  <w:style w:type="character" w:customStyle="1" w:styleId="CommentaireCar2">
    <w:name w:val="Commentaire Car2"/>
    <w:uiPriority w:val="99"/>
    <w:rsid w:val="00A17D4D"/>
    <w:rPr>
      <w:rFonts w:eastAsia="MS Mincho"/>
      <w:lang w:val="fr-FR" w:eastAsia="ja-JP" w:bidi="ar-SA"/>
    </w:rPr>
  </w:style>
  <w:style w:type="character" w:customStyle="1" w:styleId="Para6Car">
    <w:name w:val="Para 6 Car"/>
    <w:rsid w:val="00A17D4D"/>
    <w:rPr>
      <w:rFonts w:ascii="Arial" w:hAnsi="Arial"/>
      <w:bCs/>
      <w:sz w:val="18"/>
      <w:szCs w:val="22"/>
      <w:lang w:val="en-IE" w:eastAsia="en-US" w:bidi="en-US"/>
    </w:rPr>
  </w:style>
  <w:style w:type="character" w:customStyle="1" w:styleId="iCar0">
    <w:name w:val="i) Car"/>
    <w:rsid w:val="00A17D4D"/>
    <w:rPr>
      <w:rFonts w:ascii="Garamond" w:hAnsi="Garamond"/>
      <w:sz w:val="22"/>
      <w:szCs w:val="22"/>
      <w:lang w:val="en-GB" w:eastAsia="fr-FR" w:bidi="en-US"/>
    </w:rPr>
  </w:style>
  <w:style w:type="paragraph" w:customStyle="1" w:styleId="Appendixname">
    <w:name w:val="Appendix name"/>
    <w:basedOn w:val="Normal"/>
    <w:qFormat/>
    <w:rsid w:val="00A17D4D"/>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A17D4D"/>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A17D4D"/>
    <w:pPr>
      <w:spacing w:line="240" w:lineRule="exact"/>
    </w:pPr>
    <w:rPr>
      <w:rFonts w:ascii="Verdana" w:eastAsia="Times New Roman" w:hAnsi="Verdana" w:cs="Times New Roman"/>
      <w:sz w:val="20"/>
      <w:szCs w:val="20"/>
    </w:rPr>
  </w:style>
  <w:style w:type="paragraph" w:customStyle="1" w:styleId="para11i">
    <w:name w:val="para 1.1.i"/>
    <w:basedOn w:val="para110"/>
    <w:qFormat/>
    <w:rsid w:val="00A17D4D"/>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A17D4D"/>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A17D4D"/>
  </w:style>
  <w:style w:type="character" w:customStyle="1" w:styleId="author-name">
    <w:name w:val="author-name"/>
    <w:basedOn w:val="DefaultParagraphFont"/>
    <w:rsid w:val="00A17D4D"/>
  </w:style>
  <w:style w:type="character" w:customStyle="1" w:styleId="articletypelabel">
    <w:name w:val="articletypelabel"/>
    <w:basedOn w:val="DefaultParagraphFont"/>
    <w:rsid w:val="00A17D4D"/>
  </w:style>
  <w:style w:type="numbering" w:customStyle="1" w:styleId="Aucuneliste12">
    <w:name w:val="Aucune liste12"/>
    <w:next w:val="NoList"/>
    <w:uiPriority w:val="99"/>
    <w:semiHidden/>
    <w:unhideWhenUsed/>
    <w:rsid w:val="00A17D4D"/>
  </w:style>
  <w:style w:type="numbering" w:customStyle="1" w:styleId="NoList1111">
    <w:name w:val="No List1111"/>
    <w:next w:val="NoList"/>
    <w:uiPriority w:val="99"/>
    <w:semiHidden/>
    <w:unhideWhenUsed/>
    <w:rsid w:val="00A17D4D"/>
  </w:style>
  <w:style w:type="paragraph" w:customStyle="1" w:styleId="m2214819733945920736gmail-msonospacing">
    <w:name w:val="m_2214819733945920736gmail-msonospacing"/>
    <w:basedOn w:val="Normal"/>
    <w:rsid w:val="00A17D4D"/>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A17D4D"/>
  </w:style>
  <w:style w:type="numbering" w:customStyle="1" w:styleId="Aucuneliste9">
    <w:name w:val="Aucune liste9"/>
    <w:next w:val="NoList"/>
    <w:uiPriority w:val="99"/>
    <w:semiHidden/>
    <w:unhideWhenUsed/>
    <w:rsid w:val="00A17D4D"/>
  </w:style>
  <w:style w:type="character" w:customStyle="1" w:styleId="groupname">
    <w:name w:val="groupname"/>
    <w:basedOn w:val="DefaultParagraphFont"/>
    <w:rsid w:val="00A17D4D"/>
  </w:style>
  <w:style w:type="character" w:customStyle="1" w:styleId="pubyear">
    <w:name w:val="pubyear"/>
    <w:basedOn w:val="DefaultParagraphFont"/>
    <w:rsid w:val="00A17D4D"/>
  </w:style>
  <w:style w:type="character" w:customStyle="1" w:styleId="articletitle">
    <w:name w:val="articletitle"/>
    <w:basedOn w:val="DefaultParagraphFont"/>
    <w:rsid w:val="00A17D4D"/>
  </w:style>
  <w:style w:type="character" w:customStyle="1" w:styleId="journaltitle">
    <w:name w:val="journaltitle"/>
    <w:basedOn w:val="DefaultParagraphFont"/>
    <w:rsid w:val="00A17D4D"/>
  </w:style>
  <w:style w:type="character" w:customStyle="1" w:styleId="vol">
    <w:name w:val="vol"/>
    <w:basedOn w:val="DefaultParagraphFont"/>
    <w:rsid w:val="00A17D4D"/>
  </w:style>
  <w:style w:type="character" w:customStyle="1" w:styleId="citedissue">
    <w:name w:val="citedissue"/>
    <w:basedOn w:val="DefaultParagraphFont"/>
    <w:rsid w:val="00A17D4D"/>
  </w:style>
  <w:style w:type="paragraph" w:customStyle="1" w:styleId="xpara2">
    <w:name w:val="x_para2"/>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A17D4D"/>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A17D4D"/>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A17D4D"/>
  </w:style>
  <w:style w:type="numbering" w:customStyle="1" w:styleId="ImportedStyle411">
    <w:name w:val="Imported Style 411"/>
    <w:rsid w:val="00A17D4D"/>
  </w:style>
  <w:style w:type="numbering" w:customStyle="1" w:styleId="ImportedStyle51">
    <w:name w:val="Imported Style 51"/>
    <w:rsid w:val="00A17D4D"/>
  </w:style>
  <w:style w:type="numbering" w:customStyle="1" w:styleId="ImportedStyle11">
    <w:name w:val="Imported Style 11"/>
    <w:rsid w:val="00A17D4D"/>
  </w:style>
  <w:style w:type="table" w:customStyle="1" w:styleId="Grilledutableau7">
    <w:name w:val="Grille du tableau7"/>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A17D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A17D4D"/>
    <w:pPr>
      <w:tabs>
        <w:tab w:val="clear" w:pos="5670"/>
        <w:tab w:val="left" w:pos="4253"/>
      </w:tabs>
      <w:ind w:left="1559"/>
    </w:pPr>
    <w:rPr>
      <w:color w:val="000000"/>
    </w:rPr>
  </w:style>
  <w:style w:type="character" w:customStyle="1" w:styleId="databold1">
    <w:name w:val="data_bold1"/>
    <w:rsid w:val="00A17D4D"/>
    <w:rPr>
      <w:b/>
      <w:bCs/>
    </w:rPr>
  </w:style>
  <w:style w:type="character" w:customStyle="1" w:styleId="hithilite1">
    <w:name w:val="hithilite1"/>
    <w:rsid w:val="00A17D4D"/>
    <w:rPr>
      <w:shd w:val="clear" w:color="auto" w:fill="FFF3C6"/>
    </w:rPr>
  </w:style>
  <w:style w:type="character" w:customStyle="1" w:styleId="mpreadercontentreferrersidebarcontrolreferreritem1">
    <w:name w:val="mpreader_content_referrersidebarcontrolreferreritem1"/>
    <w:rsid w:val="00A17D4D"/>
    <w:rPr>
      <w:sz w:val="24"/>
      <w:szCs w:val="24"/>
    </w:rPr>
  </w:style>
  <w:style w:type="character" w:customStyle="1" w:styleId="lbluf1">
    <w:name w:val="lbluf1"/>
    <w:rsid w:val="00A17D4D"/>
    <w:rPr>
      <w:color w:val="005087"/>
    </w:rPr>
  </w:style>
  <w:style w:type="character" w:customStyle="1" w:styleId="UnresolvedMention1">
    <w:name w:val="Unresolved Mention1"/>
    <w:uiPriority w:val="99"/>
    <w:semiHidden/>
    <w:unhideWhenUsed/>
    <w:rsid w:val="00A17D4D"/>
    <w:rPr>
      <w:color w:val="808080"/>
      <w:shd w:val="clear" w:color="auto" w:fill="E6E6E6"/>
    </w:rPr>
  </w:style>
  <w:style w:type="paragraph" w:customStyle="1" w:styleId="CelluleIntitul">
    <w:name w:val="Cellule Intitulé"/>
    <w:rsid w:val="00A17D4D"/>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A17D4D"/>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A17D4D"/>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A17D4D"/>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A17D4D"/>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A17D4D"/>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A17D4D"/>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A17D4D"/>
  </w:style>
  <w:style w:type="paragraph" w:customStyle="1" w:styleId="EndNoteBibliographyTitle">
    <w:name w:val="EndNote Bibliography Title"/>
    <w:basedOn w:val="Normal"/>
    <w:link w:val="EndNoteBibliographyTitleChar"/>
    <w:rsid w:val="00A17D4D"/>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A17D4D"/>
    <w:rPr>
      <w:rFonts w:ascii="Calibri" w:eastAsia="Times New Roman" w:hAnsi="Calibri" w:cs="Calibri"/>
      <w:noProof/>
      <w:szCs w:val="24"/>
    </w:rPr>
  </w:style>
  <w:style w:type="paragraph" w:customStyle="1" w:styleId="EndNoteBibliography">
    <w:name w:val="EndNote Bibliography"/>
    <w:basedOn w:val="Normal"/>
    <w:link w:val="EndNoteBibliographyChar"/>
    <w:rsid w:val="00A17D4D"/>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A17D4D"/>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A17D4D"/>
    <w:rPr>
      <w:rFonts w:ascii="Arial" w:eastAsia="Arial" w:hAnsi="Arial" w:cs="Arial"/>
    </w:rPr>
  </w:style>
  <w:style w:type="table" w:customStyle="1" w:styleId="GridTable4-Accent11">
    <w:name w:val="Grid Table 4 - Accent 11"/>
    <w:basedOn w:val="TableNormal"/>
    <w:uiPriority w:val="49"/>
    <w:rsid w:val="00A17D4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A17D4D"/>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A17D4D"/>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A17D4D"/>
    <w:rPr>
      <w:color w:val="605E5C"/>
      <w:shd w:val="clear" w:color="auto" w:fill="E1DFDD"/>
    </w:rPr>
  </w:style>
  <w:style w:type="character" w:customStyle="1" w:styleId="UnresolvedMention3">
    <w:name w:val="Unresolved Mention3"/>
    <w:basedOn w:val="DefaultParagraphFont"/>
    <w:uiPriority w:val="99"/>
    <w:semiHidden/>
    <w:unhideWhenUsed/>
    <w:rsid w:val="00A17D4D"/>
    <w:rPr>
      <w:color w:val="605E5C"/>
      <w:shd w:val="clear" w:color="auto" w:fill="E1DFDD"/>
    </w:rPr>
  </w:style>
  <w:style w:type="paragraph" w:customStyle="1" w:styleId="Corpstexte">
    <w:name w:val="Corps texte"/>
    <w:basedOn w:val="Normal"/>
    <w:rsid w:val="00A17D4D"/>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A17D4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A17D4D"/>
    <w:rPr>
      <w:rFonts w:ascii="Arial" w:eastAsia="Times New Roman" w:hAnsi="Arial" w:cs="Times New Roman"/>
      <w:sz w:val="18"/>
      <w:lang w:val="en-IE" w:bidi="en-US"/>
    </w:rPr>
  </w:style>
  <w:style w:type="character" w:customStyle="1" w:styleId="rfrencesChar">
    <w:name w:val="références Char"/>
    <w:link w:val="rfrences"/>
    <w:rsid w:val="00A17D4D"/>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A17D4D"/>
    <w:pPr>
      <w:ind w:left="0" w:firstLine="0"/>
    </w:pPr>
    <w:rPr>
      <w:rFonts w:ascii="Arial" w:hAnsi="Arial"/>
      <w:smallCaps/>
      <w:sz w:val="18"/>
      <w:lang w:bidi="ar-SA"/>
    </w:rPr>
  </w:style>
  <w:style w:type="paragraph" w:customStyle="1" w:styleId="tableau">
    <w:name w:val="tableau"/>
    <w:basedOn w:val="Normal"/>
    <w:uiPriority w:val="99"/>
    <w:rsid w:val="00A17D4D"/>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A17D4D"/>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A17D4D"/>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A17D4D"/>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A17D4D"/>
    <w:rPr>
      <w:rFonts w:ascii="Calibri Light" w:eastAsia="Times New Roman" w:hAnsi="Calibri Light" w:cs="Times New Roman"/>
      <w:color w:val="4472C4"/>
      <w:sz w:val="28"/>
      <w:szCs w:val="28"/>
      <w:lang w:val="en-AU"/>
    </w:rPr>
  </w:style>
  <w:style w:type="character" w:styleId="SubtleEmphasis">
    <w:name w:val="Subtle Emphasis"/>
    <w:uiPriority w:val="19"/>
    <w:qFormat/>
    <w:rsid w:val="00A17D4D"/>
    <w:rPr>
      <w:i/>
      <w:iCs/>
      <w:color w:val="404040"/>
    </w:rPr>
  </w:style>
  <w:style w:type="character" w:styleId="SubtleReference">
    <w:name w:val="Subtle Reference"/>
    <w:uiPriority w:val="31"/>
    <w:qFormat/>
    <w:rsid w:val="00A17D4D"/>
    <w:rPr>
      <w:smallCaps/>
      <w:color w:val="404040"/>
      <w:u w:val="single" w:color="7F7F7F"/>
    </w:rPr>
  </w:style>
  <w:style w:type="character" w:styleId="IntenseReference">
    <w:name w:val="Intense Reference"/>
    <w:uiPriority w:val="32"/>
    <w:qFormat/>
    <w:rsid w:val="00A17D4D"/>
    <w:rPr>
      <w:b/>
      <w:bCs/>
      <w:smallCaps/>
      <w:spacing w:val="5"/>
      <w:u w:val="single"/>
    </w:rPr>
  </w:style>
  <w:style w:type="character" w:styleId="BookTitle">
    <w:name w:val="Book Title"/>
    <w:uiPriority w:val="33"/>
    <w:qFormat/>
    <w:rsid w:val="00A17D4D"/>
    <w:rPr>
      <w:b/>
      <w:bCs/>
      <w:smallCaps/>
    </w:rPr>
  </w:style>
  <w:style w:type="table" w:customStyle="1" w:styleId="GridTable1Light1">
    <w:name w:val="Grid Table 1 Light1"/>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A17D4D"/>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A17D4D"/>
    <w:rPr>
      <w:rFonts w:ascii="Times New Roman" w:eastAsia="Times New Roman" w:hAnsi="Times New Roman" w:cs="Times New Roman"/>
      <w:sz w:val="24"/>
      <w:szCs w:val="24"/>
      <w:lang w:val="en-GB"/>
    </w:rPr>
  </w:style>
  <w:style w:type="character" w:customStyle="1" w:styleId="frlabel">
    <w:name w:val="fr_label"/>
    <w:rsid w:val="00A17D4D"/>
  </w:style>
  <w:style w:type="character" w:customStyle="1" w:styleId="chaptertitle0">
    <w:name w:val="chaptertitle"/>
    <w:rsid w:val="00A17D4D"/>
  </w:style>
  <w:style w:type="character" w:customStyle="1" w:styleId="booktitle0">
    <w:name w:val="booktitle"/>
    <w:rsid w:val="00A17D4D"/>
  </w:style>
  <w:style w:type="numbering" w:customStyle="1" w:styleId="Aucuneliste111">
    <w:name w:val="Aucune liste111"/>
    <w:next w:val="NoList"/>
    <w:uiPriority w:val="99"/>
    <w:semiHidden/>
    <w:unhideWhenUsed/>
    <w:rsid w:val="00A17D4D"/>
  </w:style>
  <w:style w:type="character" w:customStyle="1" w:styleId="pagefirst">
    <w:name w:val="pagefirst"/>
    <w:basedOn w:val="DefaultParagraphFont"/>
    <w:rsid w:val="00A17D4D"/>
  </w:style>
  <w:style w:type="table" w:customStyle="1" w:styleId="-11">
    <w:name w:val="浅色列表 - 强调文字颜色 11"/>
    <w:basedOn w:val="TableNormal"/>
    <w:uiPriority w:val="61"/>
    <w:rsid w:val="00A17D4D"/>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A17D4D"/>
    <w:pPr>
      <w:spacing w:after="120"/>
      <w:ind w:left="1701" w:hanging="425"/>
    </w:pPr>
  </w:style>
  <w:style w:type="character" w:customStyle="1" w:styleId="Mentionnonrsolue1">
    <w:name w:val="Mention non résolue1"/>
    <w:basedOn w:val="DefaultParagraphFont"/>
    <w:uiPriority w:val="99"/>
    <w:semiHidden/>
    <w:unhideWhenUsed/>
    <w:rsid w:val="00A17D4D"/>
    <w:rPr>
      <w:color w:val="605E5C"/>
      <w:shd w:val="clear" w:color="auto" w:fill="E1DFDD"/>
    </w:rPr>
  </w:style>
  <w:style w:type="paragraph" w:customStyle="1" w:styleId="Titre2">
    <w:name w:val="Titre2"/>
    <w:basedOn w:val="Normal"/>
    <w:rsid w:val="00A17D4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A17D4D"/>
  </w:style>
  <w:style w:type="table" w:customStyle="1" w:styleId="TableGrid12">
    <w:name w:val="TableGrid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A17D4D"/>
  </w:style>
  <w:style w:type="table" w:customStyle="1" w:styleId="Grilledutableau9">
    <w:name w:val="Grille du tableau9"/>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A17D4D"/>
  </w:style>
  <w:style w:type="numbering" w:customStyle="1" w:styleId="ImportedStyle52">
    <w:name w:val="Imported Style 52"/>
    <w:rsid w:val="00A17D4D"/>
  </w:style>
  <w:style w:type="numbering" w:customStyle="1" w:styleId="ImportedStyle12">
    <w:name w:val="Imported Style 12"/>
    <w:rsid w:val="00A17D4D"/>
  </w:style>
  <w:style w:type="table" w:customStyle="1" w:styleId="Grilledutableau11">
    <w:name w:val="Grille du tableau1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A17D4D"/>
  </w:style>
  <w:style w:type="numbering" w:customStyle="1" w:styleId="1ai2">
    <w:name w:val="1 / a / i2"/>
    <w:basedOn w:val="NoList"/>
    <w:next w:val="1ai"/>
    <w:rsid w:val="00A17D4D"/>
  </w:style>
  <w:style w:type="numbering" w:customStyle="1" w:styleId="1111112">
    <w:name w:val="1 / 1.1 / 1.1.12"/>
    <w:basedOn w:val="NoList"/>
    <w:next w:val="111111"/>
    <w:rsid w:val="00A17D4D"/>
  </w:style>
  <w:style w:type="numbering" w:customStyle="1" w:styleId="List01">
    <w:name w:val="List 01"/>
    <w:basedOn w:val="ImportedStyle1"/>
    <w:rsid w:val="00A17D4D"/>
  </w:style>
  <w:style w:type="numbering" w:customStyle="1" w:styleId="List11">
    <w:name w:val="List 11"/>
    <w:basedOn w:val="ImportedStyle2"/>
    <w:rsid w:val="00A17D4D"/>
  </w:style>
  <w:style w:type="numbering" w:customStyle="1" w:styleId="ImportedStyle21">
    <w:name w:val="Imported Style 21"/>
    <w:rsid w:val="00A17D4D"/>
  </w:style>
  <w:style w:type="numbering" w:customStyle="1" w:styleId="List211">
    <w:name w:val="List 211"/>
    <w:basedOn w:val="ImportedStyle3"/>
    <w:rsid w:val="00A17D4D"/>
  </w:style>
  <w:style w:type="numbering" w:customStyle="1" w:styleId="ImportedStyle31">
    <w:name w:val="Imported Style 31"/>
    <w:rsid w:val="00A17D4D"/>
  </w:style>
  <w:style w:type="numbering" w:customStyle="1" w:styleId="Aucuneliste112">
    <w:name w:val="Aucune liste112"/>
    <w:next w:val="NoList"/>
    <w:uiPriority w:val="99"/>
    <w:semiHidden/>
    <w:unhideWhenUsed/>
    <w:rsid w:val="00A17D4D"/>
  </w:style>
  <w:style w:type="numbering" w:customStyle="1" w:styleId="NoList12">
    <w:name w:val="No List12"/>
    <w:next w:val="NoList"/>
    <w:uiPriority w:val="99"/>
    <w:semiHidden/>
    <w:unhideWhenUsed/>
    <w:rsid w:val="00A17D4D"/>
  </w:style>
  <w:style w:type="table" w:customStyle="1" w:styleId="TableGrid120">
    <w:name w:val="Table Grid12"/>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A17D4D"/>
  </w:style>
  <w:style w:type="numbering" w:customStyle="1" w:styleId="Aucuneliste41">
    <w:name w:val="Aucune liste41"/>
    <w:next w:val="NoList"/>
    <w:uiPriority w:val="99"/>
    <w:semiHidden/>
    <w:unhideWhenUsed/>
    <w:rsid w:val="00A17D4D"/>
  </w:style>
  <w:style w:type="table" w:customStyle="1" w:styleId="Grilledutableau21">
    <w:name w:val="Grille du tableau21"/>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A17D4D"/>
  </w:style>
  <w:style w:type="numbering" w:customStyle="1" w:styleId="1ai11">
    <w:name w:val="1 / a / i11"/>
    <w:basedOn w:val="NoList"/>
    <w:next w:val="1ai"/>
    <w:rsid w:val="00A17D4D"/>
  </w:style>
  <w:style w:type="numbering" w:customStyle="1" w:styleId="11111111">
    <w:name w:val="1 / 1.1 / 1.1.111"/>
    <w:basedOn w:val="NoList"/>
    <w:next w:val="111111"/>
    <w:rsid w:val="00A17D4D"/>
  </w:style>
  <w:style w:type="numbering" w:customStyle="1" w:styleId="Aucuneliste51">
    <w:name w:val="Aucune liste51"/>
    <w:next w:val="NoList"/>
    <w:uiPriority w:val="99"/>
    <w:semiHidden/>
    <w:unhideWhenUsed/>
    <w:rsid w:val="00A17D4D"/>
  </w:style>
  <w:style w:type="table" w:customStyle="1" w:styleId="Grilledutableau31">
    <w:name w:val="Grille du tableau3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A17D4D"/>
  </w:style>
  <w:style w:type="table" w:customStyle="1" w:styleId="Grilledutableau41">
    <w:name w:val="Grille du tableau4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A17D4D"/>
  </w:style>
  <w:style w:type="numbering" w:customStyle="1" w:styleId="Aucuneliste81">
    <w:name w:val="Aucune liste81"/>
    <w:next w:val="NoList"/>
    <w:uiPriority w:val="99"/>
    <w:semiHidden/>
    <w:unhideWhenUsed/>
    <w:rsid w:val="00A17D4D"/>
  </w:style>
  <w:style w:type="table" w:customStyle="1" w:styleId="Grilledutableau51">
    <w:name w:val="Grille du tableau5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A17D4D"/>
  </w:style>
  <w:style w:type="table" w:customStyle="1" w:styleId="TableGrid111">
    <w:name w:val="Table Grid111"/>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A17D4D"/>
  </w:style>
  <w:style w:type="table" w:customStyle="1" w:styleId="Grilledutableau61">
    <w:name w:val="Grille du tableau61"/>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A17D4D"/>
  </w:style>
  <w:style w:type="numbering" w:customStyle="1" w:styleId="ImportedStyle511">
    <w:name w:val="Imported Style 511"/>
    <w:rsid w:val="00A17D4D"/>
  </w:style>
  <w:style w:type="numbering" w:customStyle="1" w:styleId="ImportedStyle111">
    <w:name w:val="Imported Style 111"/>
    <w:rsid w:val="00A17D4D"/>
  </w:style>
  <w:style w:type="table" w:customStyle="1" w:styleId="Grilledutableau71">
    <w:name w:val="Grille du tableau71"/>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A17D4D"/>
  </w:style>
  <w:style w:type="character" w:customStyle="1" w:styleId="arttitle">
    <w:name w:val="art_title"/>
    <w:basedOn w:val="DefaultParagraphFont"/>
    <w:rsid w:val="00A17D4D"/>
  </w:style>
  <w:style w:type="character" w:customStyle="1" w:styleId="serialtitle">
    <w:name w:val="serial_title"/>
    <w:basedOn w:val="DefaultParagraphFont"/>
    <w:rsid w:val="00A17D4D"/>
  </w:style>
  <w:style w:type="character" w:customStyle="1" w:styleId="volumeissue">
    <w:name w:val="volume_issue"/>
    <w:basedOn w:val="DefaultParagraphFont"/>
    <w:rsid w:val="00A17D4D"/>
  </w:style>
  <w:style w:type="character" w:customStyle="1" w:styleId="pagerange">
    <w:name w:val="page_range"/>
    <w:basedOn w:val="DefaultParagraphFont"/>
    <w:rsid w:val="00A17D4D"/>
  </w:style>
  <w:style w:type="character" w:customStyle="1" w:styleId="doilink">
    <w:name w:val="doi_link"/>
    <w:basedOn w:val="DefaultParagraphFont"/>
    <w:rsid w:val="00A17D4D"/>
  </w:style>
  <w:style w:type="character" w:customStyle="1" w:styleId="Date1">
    <w:name w:val="Date1"/>
    <w:basedOn w:val="DefaultParagraphFont"/>
    <w:rsid w:val="00A17D4D"/>
  </w:style>
  <w:style w:type="character" w:customStyle="1" w:styleId="sciname1">
    <w:name w:val="sciname1"/>
    <w:rsid w:val="00A17D4D"/>
    <w:rPr>
      <w:i/>
      <w:iCs/>
    </w:rPr>
  </w:style>
  <w:style w:type="character" w:customStyle="1" w:styleId="UnresolvedMention4">
    <w:name w:val="Unresolved Mention4"/>
    <w:basedOn w:val="DefaultParagraphFont"/>
    <w:uiPriority w:val="99"/>
    <w:semiHidden/>
    <w:unhideWhenUsed/>
    <w:rsid w:val="00A17D4D"/>
    <w:rPr>
      <w:color w:val="605E5C"/>
      <w:shd w:val="clear" w:color="auto" w:fill="E1DFDD"/>
    </w:rPr>
  </w:style>
  <w:style w:type="character" w:customStyle="1" w:styleId="UnresolvedMention5">
    <w:name w:val="Unresolved Mention5"/>
    <w:basedOn w:val="DefaultParagraphFont"/>
    <w:uiPriority w:val="99"/>
    <w:semiHidden/>
    <w:unhideWhenUsed/>
    <w:rsid w:val="00A17D4D"/>
    <w:rPr>
      <w:color w:val="605E5C"/>
      <w:shd w:val="clear" w:color="auto" w:fill="E1DFDD"/>
    </w:rPr>
  </w:style>
  <w:style w:type="character" w:customStyle="1" w:styleId="UnresolvedMention51">
    <w:name w:val="Unresolved Mention51"/>
    <w:basedOn w:val="DefaultParagraphFont"/>
    <w:uiPriority w:val="99"/>
    <w:semiHidden/>
    <w:unhideWhenUsed/>
    <w:rsid w:val="00A17D4D"/>
    <w:rPr>
      <w:color w:val="605E5C"/>
      <w:shd w:val="clear" w:color="auto" w:fill="E1DFDD"/>
    </w:rPr>
  </w:style>
  <w:style w:type="character" w:customStyle="1" w:styleId="Mentionnonrsolue2">
    <w:name w:val="Mention non résolue2"/>
    <w:basedOn w:val="DefaultParagraphFont"/>
    <w:uiPriority w:val="99"/>
    <w:semiHidden/>
    <w:unhideWhenUsed/>
    <w:rsid w:val="00A17D4D"/>
    <w:rPr>
      <w:color w:val="605E5C"/>
      <w:shd w:val="clear" w:color="auto" w:fill="E1DFDD"/>
    </w:rPr>
  </w:style>
  <w:style w:type="paragraph" w:customStyle="1" w:styleId="Titre30">
    <w:name w:val="Titre3"/>
    <w:basedOn w:val="Normal"/>
    <w:rsid w:val="00A17D4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A17D4D"/>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A17D4D"/>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A17D4D"/>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A17D4D"/>
    <w:pPr>
      <w:spacing w:after="0"/>
      <w:ind w:left="880"/>
    </w:pPr>
    <w:rPr>
      <w:rFonts w:cstheme="minorHAnsi"/>
      <w:sz w:val="18"/>
      <w:szCs w:val="18"/>
      <w:lang w:val="en-CA"/>
    </w:rPr>
  </w:style>
  <w:style w:type="paragraph" w:styleId="TOC6">
    <w:name w:val="toc 6"/>
    <w:basedOn w:val="Normal"/>
    <w:next w:val="Normal"/>
    <w:autoRedefine/>
    <w:uiPriority w:val="39"/>
    <w:unhideWhenUsed/>
    <w:rsid w:val="00A17D4D"/>
    <w:pPr>
      <w:spacing w:after="0"/>
      <w:ind w:left="1100"/>
    </w:pPr>
    <w:rPr>
      <w:rFonts w:cstheme="minorHAnsi"/>
      <w:sz w:val="18"/>
      <w:szCs w:val="18"/>
      <w:lang w:val="en-CA"/>
    </w:rPr>
  </w:style>
  <w:style w:type="paragraph" w:styleId="TOC7">
    <w:name w:val="toc 7"/>
    <w:basedOn w:val="Normal"/>
    <w:next w:val="Normal"/>
    <w:autoRedefine/>
    <w:uiPriority w:val="39"/>
    <w:unhideWhenUsed/>
    <w:rsid w:val="00A17D4D"/>
    <w:pPr>
      <w:spacing w:after="0"/>
      <w:ind w:left="1320"/>
    </w:pPr>
    <w:rPr>
      <w:rFonts w:cstheme="minorHAnsi"/>
      <w:sz w:val="18"/>
      <w:szCs w:val="18"/>
      <w:lang w:val="en-CA"/>
    </w:rPr>
  </w:style>
  <w:style w:type="paragraph" w:styleId="TOC8">
    <w:name w:val="toc 8"/>
    <w:basedOn w:val="Normal"/>
    <w:next w:val="Normal"/>
    <w:autoRedefine/>
    <w:uiPriority w:val="39"/>
    <w:unhideWhenUsed/>
    <w:rsid w:val="00A17D4D"/>
    <w:pPr>
      <w:spacing w:after="0"/>
      <w:ind w:left="1540"/>
    </w:pPr>
    <w:rPr>
      <w:rFonts w:cstheme="minorHAnsi"/>
      <w:sz w:val="18"/>
      <w:szCs w:val="18"/>
      <w:lang w:val="en-CA"/>
    </w:rPr>
  </w:style>
  <w:style w:type="paragraph" w:styleId="TOC9">
    <w:name w:val="toc 9"/>
    <w:basedOn w:val="Normal"/>
    <w:next w:val="Normal"/>
    <w:autoRedefine/>
    <w:uiPriority w:val="39"/>
    <w:unhideWhenUsed/>
    <w:rsid w:val="00A17D4D"/>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A17D4D"/>
    <w:rPr>
      <w:color w:val="605E5C"/>
      <w:shd w:val="clear" w:color="auto" w:fill="E1DFDD"/>
    </w:rPr>
  </w:style>
  <w:style w:type="table" w:customStyle="1" w:styleId="Grilledutableau10">
    <w:name w:val="Grille du tableau10"/>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A17D4D"/>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A17D4D"/>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A17D4D"/>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A17D4D"/>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A17D4D"/>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A17D4D"/>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A17D4D"/>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A17D4D"/>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A17D4D"/>
  </w:style>
  <w:style w:type="character" w:customStyle="1" w:styleId="pagelast">
    <w:name w:val="pagelast"/>
    <w:basedOn w:val="DefaultParagraphFont"/>
    <w:rsid w:val="00A17D4D"/>
  </w:style>
  <w:style w:type="numbering" w:customStyle="1" w:styleId="ImportedStyle53">
    <w:name w:val="Imported Style 53"/>
    <w:rsid w:val="00A17D4D"/>
  </w:style>
  <w:style w:type="numbering" w:customStyle="1" w:styleId="ImportedStyle13">
    <w:name w:val="Imported Style 13"/>
    <w:rsid w:val="00A17D4D"/>
  </w:style>
  <w:style w:type="numbering" w:customStyle="1" w:styleId="ArticleSection3">
    <w:name w:val="Article / Section3"/>
    <w:basedOn w:val="NoList"/>
    <w:next w:val="ArticleSection"/>
    <w:rsid w:val="00A17D4D"/>
  </w:style>
  <w:style w:type="numbering" w:customStyle="1" w:styleId="1ai3">
    <w:name w:val="1 / a / i3"/>
    <w:basedOn w:val="NoList"/>
    <w:next w:val="1ai"/>
    <w:rsid w:val="00A17D4D"/>
  </w:style>
  <w:style w:type="numbering" w:customStyle="1" w:styleId="1111113">
    <w:name w:val="1 / 1.1 / 1.1.13"/>
    <w:basedOn w:val="NoList"/>
    <w:next w:val="111111"/>
    <w:rsid w:val="00A17D4D"/>
  </w:style>
  <w:style w:type="numbering" w:customStyle="1" w:styleId="List02">
    <w:name w:val="List 02"/>
    <w:basedOn w:val="ImportedStyle1"/>
    <w:rsid w:val="00A17D4D"/>
  </w:style>
  <w:style w:type="numbering" w:customStyle="1" w:styleId="List12">
    <w:name w:val="List 12"/>
    <w:basedOn w:val="ImportedStyle2"/>
    <w:rsid w:val="00A17D4D"/>
  </w:style>
  <w:style w:type="numbering" w:customStyle="1" w:styleId="List212">
    <w:name w:val="List 212"/>
    <w:basedOn w:val="ImportedStyle3"/>
    <w:rsid w:val="00A17D4D"/>
  </w:style>
  <w:style w:type="numbering" w:customStyle="1" w:styleId="ImportedStyle421">
    <w:name w:val="Imported Style 421"/>
    <w:rsid w:val="00A17D4D"/>
  </w:style>
  <w:style w:type="numbering" w:customStyle="1" w:styleId="ImportedStyle521">
    <w:name w:val="Imported Style 521"/>
    <w:rsid w:val="00A17D4D"/>
  </w:style>
  <w:style w:type="numbering" w:customStyle="1" w:styleId="ImportedStyle121">
    <w:name w:val="Imported Style 121"/>
    <w:rsid w:val="00A17D4D"/>
  </w:style>
  <w:style w:type="numbering" w:customStyle="1" w:styleId="ArticleSection21">
    <w:name w:val="Article / Section21"/>
    <w:basedOn w:val="NoList"/>
    <w:next w:val="ArticleSection"/>
    <w:rsid w:val="00A17D4D"/>
  </w:style>
  <w:style w:type="numbering" w:customStyle="1" w:styleId="1ai21">
    <w:name w:val="1 / a / i21"/>
    <w:basedOn w:val="NoList"/>
    <w:next w:val="1ai"/>
    <w:rsid w:val="00A17D4D"/>
  </w:style>
  <w:style w:type="numbering" w:customStyle="1" w:styleId="11111121">
    <w:name w:val="1 / 1.1 / 1.1.121"/>
    <w:basedOn w:val="NoList"/>
    <w:next w:val="111111"/>
    <w:rsid w:val="00A17D4D"/>
  </w:style>
  <w:style w:type="numbering" w:customStyle="1" w:styleId="List011">
    <w:name w:val="List 011"/>
    <w:basedOn w:val="ImportedStyle1"/>
    <w:rsid w:val="00A17D4D"/>
  </w:style>
  <w:style w:type="numbering" w:customStyle="1" w:styleId="List111">
    <w:name w:val="List 111"/>
    <w:basedOn w:val="ImportedStyle2"/>
    <w:rsid w:val="00A17D4D"/>
  </w:style>
  <w:style w:type="numbering" w:customStyle="1" w:styleId="List2111">
    <w:name w:val="List 2111"/>
    <w:basedOn w:val="ImportedStyle3"/>
    <w:rsid w:val="00A17D4D"/>
  </w:style>
  <w:style w:type="paragraph" w:customStyle="1" w:styleId="Ottawastyle">
    <w:name w:val="Ottawa style"/>
    <w:basedOn w:val="Normal"/>
    <w:link w:val="OttawastyleChar"/>
    <w:qFormat/>
    <w:rsid w:val="00A17D4D"/>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A17D4D"/>
    <w:rPr>
      <w:rFonts w:ascii="Ottawa" w:hAnsi="Ottawa"/>
      <w:spacing w:val="57"/>
      <w:sz w:val="24"/>
      <w:szCs w:val="24"/>
      <w:lang w:val="en-GB"/>
    </w:rPr>
  </w:style>
  <w:style w:type="numbering" w:customStyle="1" w:styleId="ImportedStyle44">
    <w:name w:val="Imported Style 44"/>
    <w:rsid w:val="00A17D4D"/>
  </w:style>
  <w:style w:type="numbering" w:customStyle="1" w:styleId="ImportedStyle54">
    <w:name w:val="Imported Style 54"/>
    <w:rsid w:val="00A17D4D"/>
  </w:style>
  <w:style w:type="numbering" w:customStyle="1" w:styleId="ImportedStyle14">
    <w:name w:val="Imported Style 14"/>
    <w:rsid w:val="00A17D4D"/>
  </w:style>
  <w:style w:type="table" w:customStyle="1" w:styleId="TableGrid00">
    <w:name w:val="Table Grid00"/>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A17D4D"/>
  </w:style>
  <w:style w:type="numbering" w:customStyle="1" w:styleId="1ai4">
    <w:name w:val="1 / a / i4"/>
    <w:basedOn w:val="NoList"/>
    <w:next w:val="1ai"/>
    <w:rsid w:val="00A17D4D"/>
  </w:style>
  <w:style w:type="numbering" w:customStyle="1" w:styleId="1111114">
    <w:name w:val="1 / 1.1 / 1.1.14"/>
    <w:basedOn w:val="NoList"/>
    <w:next w:val="111111"/>
    <w:rsid w:val="00A17D4D"/>
  </w:style>
  <w:style w:type="numbering" w:customStyle="1" w:styleId="List03">
    <w:name w:val="List 03"/>
    <w:basedOn w:val="ImportedStyle1"/>
    <w:rsid w:val="00A17D4D"/>
  </w:style>
  <w:style w:type="numbering" w:customStyle="1" w:styleId="List13">
    <w:name w:val="List 13"/>
    <w:basedOn w:val="ImportedStyle2"/>
    <w:rsid w:val="00A17D4D"/>
  </w:style>
  <w:style w:type="numbering" w:customStyle="1" w:styleId="List213">
    <w:name w:val="List 213"/>
    <w:basedOn w:val="ImportedStyle3"/>
    <w:rsid w:val="00A17D4D"/>
  </w:style>
  <w:style w:type="paragraph" w:customStyle="1" w:styleId="heading200">
    <w:name w:val="heading 200"/>
    <w:basedOn w:val="Normal"/>
    <w:qFormat/>
    <w:rsid w:val="00A17D4D"/>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A17D4D"/>
  </w:style>
  <w:style w:type="numbering" w:customStyle="1" w:styleId="ImportedStyle522">
    <w:name w:val="Imported Style 522"/>
    <w:rsid w:val="00A17D4D"/>
  </w:style>
  <w:style w:type="numbering" w:customStyle="1" w:styleId="ImportedStyle122">
    <w:name w:val="Imported Style 122"/>
    <w:rsid w:val="00A17D4D"/>
  </w:style>
  <w:style w:type="numbering" w:customStyle="1" w:styleId="ArticleSection22">
    <w:name w:val="Article / Section22"/>
    <w:basedOn w:val="NoList"/>
    <w:next w:val="ArticleSection"/>
    <w:rsid w:val="00A17D4D"/>
  </w:style>
  <w:style w:type="numbering" w:customStyle="1" w:styleId="1ai22">
    <w:name w:val="1 / a / i22"/>
    <w:basedOn w:val="NoList"/>
    <w:next w:val="1ai"/>
    <w:rsid w:val="00A17D4D"/>
  </w:style>
  <w:style w:type="numbering" w:customStyle="1" w:styleId="11111122">
    <w:name w:val="1 / 1.1 / 1.1.122"/>
    <w:basedOn w:val="NoList"/>
    <w:next w:val="111111"/>
    <w:rsid w:val="00A17D4D"/>
  </w:style>
  <w:style w:type="numbering" w:customStyle="1" w:styleId="List012">
    <w:name w:val="List 012"/>
    <w:basedOn w:val="ImportedStyle1"/>
    <w:rsid w:val="00A17D4D"/>
  </w:style>
  <w:style w:type="numbering" w:customStyle="1" w:styleId="List112">
    <w:name w:val="List 112"/>
    <w:basedOn w:val="ImportedStyle2"/>
    <w:rsid w:val="00A17D4D"/>
  </w:style>
  <w:style w:type="numbering" w:customStyle="1" w:styleId="List2112">
    <w:name w:val="List 2112"/>
    <w:basedOn w:val="ImportedStyle3"/>
    <w:rsid w:val="00A17D4D"/>
  </w:style>
  <w:style w:type="numbering" w:customStyle="1" w:styleId="ImportedStyle45">
    <w:name w:val="Imported Style 45"/>
    <w:rsid w:val="00A17D4D"/>
  </w:style>
  <w:style w:type="numbering" w:customStyle="1" w:styleId="ImportedStyle55">
    <w:name w:val="Imported Style 55"/>
    <w:rsid w:val="00A17D4D"/>
  </w:style>
  <w:style w:type="numbering" w:customStyle="1" w:styleId="ImportedStyle15">
    <w:name w:val="Imported Style 15"/>
    <w:rsid w:val="00A17D4D"/>
  </w:style>
  <w:style w:type="numbering" w:customStyle="1" w:styleId="ArticleSection5">
    <w:name w:val="Article / Section5"/>
    <w:basedOn w:val="NoList"/>
    <w:next w:val="ArticleSection"/>
    <w:rsid w:val="00A17D4D"/>
  </w:style>
  <w:style w:type="numbering" w:customStyle="1" w:styleId="1ai5">
    <w:name w:val="1 / a / i5"/>
    <w:basedOn w:val="NoList"/>
    <w:next w:val="1ai"/>
    <w:rsid w:val="00A17D4D"/>
  </w:style>
  <w:style w:type="numbering" w:customStyle="1" w:styleId="1111115">
    <w:name w:val="1 / 1.1 / 1.1.15"/>
    <w:basedOn w:val="NoList"/>
    <w:next w:val="111111"/>
    <w:rsid w:val="00A17D4D"/>
  </w:style>
  <w:style w:type="numbering" w:customStyle="1" w:styleId="List04">
    <w:name w:val="List 04"/>
    <w:basedOn w:val="ImportedStyle1"/>
    <w:rsid w:val="00A17D4D"/>
  </w:style>
  <w:style w:type="numbering" w:customStyle="1" w:styleId="List14">
    <w:name w:val="List 14"/>
    <w:basedOn w:val="ImportedStyle2"/>
    <w:rsid w:val="00A17D4D"/>
  </w:style>
  <w:style w:type="numbering" w:customStyle="1" w:styleId="List214">
    <w:name w:val="List 214"/>
    <w:basedOn w:val="ImportedStyle3"/>
    <w:rsid w:val="00A17D4D"/>
  </w:style>
  <w:style w:type="numbering" w:customStyle="1" w:styleId="ImportedStyle423">
    <w:name w:val="Imported Style 423"/>
    <w:rsid w:val="00A17D4D"/>
  </w:style>
  <w:style w:type="numbering" w:customStyle="1" w:styleId="ImportedStyle523">
    <w:name w:val="Imported Style 523"/>
    <w:rsid w:val="00A17D4D"/>
  </w:style>
  <w:style w:type="numbering" w:customStyle="1" w:styleId="ImportedStyle123">
    <w:name w:val="Imported Style 123"/>
    <w:rsid w:val="00A17D4D"/>
  </w:style>
  <w:style w:type="numbering" w:customStyle="1" w:styleId="ArticleSection23">
    <w:name w:val="Article / Section23"/>
    <w:basedOn w:val="NoList"/>
    <w:next w:val="ArticleSection"/>
    <w:rsid w:val="00A17D4D"/>
  </w:style>
  <w:style w:type="numbering" w:customStyle="1" w:styleId="1ai23">
    <w:name w:val="1 / a / i23"/>
    <w:basedOn w:val="NoList"/>
    <w:next w:val="1ai"/>
    <w:rsid w:val="00A17D4D"/>
  </w:style>
  <w:style w:type="numbering" w:customStyle="1" w:styleId="11111123">
    <w:name w:val="1 / 1.1 / 1.1.123"/>
    <w:basedOn w:val="NoList"/>
    <w:next w:val="111111"/>
    <w:rsid w:val="00A17D4D"/>
  </w:style>
  <w:style w:type="numbering" w:customStyle="1" w:styleId="List013">
    <w:name w:val="List 013"/>
    <w:basedOn w:val="ImportedStyle1"/>
    <w:rsid w:val="00A17D4D"/>
  </w:style>
  <w:style w:type="numbering" w:customStyle="1" w:styleId="List113">
    <w:name w:val="List 113"/>
    <w:basedOn w:val="ImportedStyle2"/>
    <w:rsid w:val="00A17D4D"/>
  </w:style>
  <w:style w:type="numbering" w:customStyle="1" w:styleId="List2113">
    <w:name w:val="List 2113"/>
    <w:basedOn w:val="ImportedStyle3"/>
    <w:rsid w:val="00A17D4D"/>
  </w:style>
  <w:style w:type="table" w:customStyle="1" w:styleId="TableGrid13">
    <w:name w:val="Table Grid13"/>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A17D4D"/>
  </w:style>
  <w:style w:type="table" w:customStyle="1" w:styleId="TableGrid01">
    <w:name w:val="Table Grid01"/>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A17D4D"/>
  </w:style>
  <w:style w:type="numbering" w:customStyle="1" w:styleId="ImportedStyle46">
    <w:name w:val="Imported Style 46"/>
    <w:rsid w:val="00A17D4D"/>
  </w:style>
  <w:style w:type="numbering" w:customStyle="1" w:styleId="ImportedStyle56">
    <w:name w:val="Imported Style 56"/>
    <w:rsid w:val="00A17D4D"/>
  </w:style>
  <w:style w:type="numbering" w:customStyle="1" w:styleId="ImportedStyle16">
    <w:name w:val="Imported Style 16"/>
    <w:rsid w:val="00A17D4D"/>
  </w:style>
  <w:style w:type="numbering" w:customStyle="1" w:styleId="ArticleSection6">
    <w:name w:val="Article / Section6"/>
    <w:basedOn w:val="NoList"/>
    <w:next w:val="ArticleSection"/>
    <w:rsid w:val="00A17D4D"/>
  </w:style>
  <w:style w:type="numbering" w:customStyle="1" w:styleId="1ai6">
    <w:name w:val="1 / a / i6"/>
    <w:basedOn w:val="NoList"/>
    <w:next w:val="1ai"/>
    <w:rsid w:val="00A17D4D"/>
  </w:style>
  <w:style w:type="numbering" w:customStyle="1" w:styleId="1111116">
    <w:name w:val="1 / 1.1 / 1.1.16"/>
    <w:basedOn w:val="NoList"/>
    <w:next w:val="111111"/>
    <w:rsid w:val="00A17D4D"/>
  </w:style>
  <w:style w:type="numbering" w:customStyle="1" w:styleId="List05">
    <w:name w:val="List 05"/>
    <w:basedOn w:val="ImportedStyle1"/>
    <w:rsid w:val="00A17D4D"/>
  </w:style>
  <w:style w:type="numbering" w:customStyle="1" w:styleId="List15">
    <w:name w:val="List 15"/>
    <w:basedOn w:val="ImportedStyle2"/>
    <w:rsid w:val="00A17D4D"/>
  </w:style>
  <w:style w:type="numbering" w:customStyle="1" w:styleId="ImportedStyle22">
    <w:name w:val="Imported Style 22"/>
    <w:rsid w:val="00A17D4D"/>
  </w:style>
  <w:style w:type="numbering" w:customStyle="1" w:styleId="List215">
    <w:name w:val="List 215"/>
    <w:basedOn w:val="ImportedStyle3"/>
    <w:rsid w:val="00A17D4D"/>
  </w:style>
  <w:style w:type="numbering" w:customStyle="1" w:styleId="ImportedStyle32">
    <w:name w:val="Imported Style 32"/>
    <w:rsid w:val="00A17D4D"/>
  </w:style>
  <w:style w:type="numbering" w:customStyle="1" w:styleId="Aucuneliste113">
    <w:name w:val="Aucune liste113"/>
    <w:next w:val="NoList"/>
    <w:uiPriority w:val="99"/>
    <w:semiHidden/>
    <w:unhideWhenUsed/>
    <w:rsid w:val="00A17D4D"/>
  </w:style>
  <w:style w:type="numbering" w:customStyle="1" w:styleId="NoList13">
    <w:name w:val="No List13"/>
    <w:next w:val="NoList"/>
    <w:uiPriority w:val="99"/>
    <w:semiHidden/>
    <w:unhideWhenUsed/>
    <w:rsid w:val="00A17D4D"/>
  </w:style>
  <w:style w:type="table" w:customStyle="1" w:styleId="TableGrid100">
    <w:name w:val="Table Grid10"/>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A17D4D"/>
  </w:style>
  <w:style w:type="numbering" w:customStyle="1" w:styleId="Aucuneliste42">
    <w:name w:val="Aucune liste42"/>
    <w:next w:val="NoList"/>
    <w:uiPriority w:val="99"/>
    <w:semiHidden/>
    <w:unhideWhenUsed/>
    <w:rsid w:val="00A17D4D"/>
  </w:style>
  <w:style w:type="numbering" w:customStyle="1" w:styleId="ArticleSection12">
    <w:name w:val="Article / Section12"/>
    <w:basedOn w:val="NoList"/>
    <w:next w:val="ArticleSection"/>
    <w:rsid w:val="00A17D4D"/>
  </w:style>
  <w:style w:type="numbering" w:customStyle="1" w:styleId="1ai12">
    <w:name w:val="1 / a / i12"/>
    <w:basedOn w:val="NoList"/>
    <w:next w:val="1ai"/>
    <w:rsid w:val="00A17D4D"/>
  </w:style>
  <w:style w:type="numbering" w:customStyle="1" w:styleId="11111112">
    <w:name w:val="1 / 1.1 / 1.1.112"/>
    <w:basedOn w:val="NoList"/>
    <w:next w:val="111111"/>
    <w:rsid w:val="00A17D4D"/>
  </w:style>
  <w:style w:type="numbering" w:customStyle="1" w:styleId="Aucuneliste52">
    <w:name w:val="Aucune liste52"/>
    <w:next w:val="NoList"/>
    <w:uiPriority w:val="99"/>
    <w:semiHidden/>
    <w:unhideWhenUsed/>
    <w:rsid w:val="00A17D4D"/>
  </w:style>
  <w:style w:type="numbering" w:customStyle="1" w:styleId="Aucuneliste62">
    <w:name w:val="Aucune liste62"/>
    <w:next w:val="NoList"/>
    <w:uiPriority w:val="99"/>
    <w:semiHidden/>
    <w:unhideWhenUsed/>
    <w:rsid w:val="00A17D4D"/>
  </w:style>
  <w:style w:type="numbering" w:customStyle="1" w:styleId="Aucuneliste72">
    <w:name w:val="Aucune liste72"/>
    <w:next w:val="NoList"/>
    <w:uiPriority w:val="99"/>
    <w:semiHidden/>
    <w:unhideWhenUsed/>
    <w:rsid w:val="00A17D4D"/>
  </w:style>
  <w:style w:type="numbering" w:customStyle="1" w:styleId="Aucuneliste82">
    <w:name w:val="Aucune liste82"/>
    <w:next w:val="NoList"/>
    <w:uiPriority w:val="99"/>
    <w:semiHidden/>
    <w:unhideWhenUsed/>
    <w:rsid w:val="00A17D4D"/>
  </w:style>
  <w:style w:type="numbering" w:customStyle="1" w:styleId="Aucuneliste122">
    <w:name w:val="Aucune liste122"/>
    <w:next w:val="NoList"/>
    <w:uiPriority w:val="99"/>
    <w:semiHidden/>
    <w:unhideWhenUsed/>
    <w:rsid w:val="00A17D4D"/>
  </w:style>
  <w:style w:type="numbering" w:customStyle="1" w:styleId="NoList112">
    <w:name w:val="No List112"/>
    <w:next w:val="NoList"/>
    <w:uiPriority w:val="99"/>
    <w:semiHidden/>
    <w:unhideWhenUsed/>
    <w:rsid w:val="00A17D4D"/>
  </w:style>
  <w:style w:type="numbering" w:customStyle="1" w:styleId="Aucuneliste92">
    <w:name w:val="Aucune liste92"/>
    <w:next w:val="NoList"/>
    <w:uiPriority w:val="99"/>
    <w:semiHidden/>
    <w:unhideWhenUsed/>
    <w:rsid w:val="00A17D4D"/>
  </w:style>
  <w:style w:type="numbering" w:customStyle="1" w:styleId="Aucuneliste102">
    <w:name w:val="Aucune liste102"/>
    <w:next w:val="NoList"/>
    <w:uiPriority w:val="99"/>
    <w:semiHidden/>
    <w:unhideWhenUsed/>
    <w:rsid w:val="00A17D4D"/>
  </w:style>
  <w:style w:type="numbering" w:customStyle="1" w:styleId="ImportedStyle412">
    <w:name w:val="Imported Style 412"/>
    <w:rsid w:val="00A17D4D"/>
  </w:style>
  <w:style w:type="numbering" w:customStyle="1" w:styleId="ImportedStyle512">
    <w:name w:val="Imported Style 512"/>
    <w:rsid w:val="00A17D4D"/>
  </w:style>
  <w:style w:type="numbering" w:customStyle="1" w:styleId="ImportedStyle112">
    <w:name w:val="Imported Style 112"/>
    <w:rsid w:val="00A17D4D"/>
  </w:style>
  <w:style w:type="table" w:customStyle="1" w:styleId="LightList-Accent11">
    <w:name w:val="Light List - Accent 1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A17D4D"/>
  </w:style>
  <w:style w:type="character" w:customStyle="1" w:styleId="citation-doi">
    <w:name w:val="citation-doi"/>
    <w:basedOn w:val="DefaultParagraphFont"/>
    <w:rsid w:val="00A17D4D"/>
  </w:style>
  <w:style w:type="character" w:customStyle="1" w:styleId="authors-list-item">
    <w:name w:val="authors-list-item"/>
    <w:basedOn w:val="DefaultParagraphFont"/>
    <w:rsid w:val="00A17D4D"/>
  </w:style>
  <w:style w:type="character" w:customStyle="1" w:styleId="comma">
    <w:name w:val="comma"/>
    <w:basedOn w:val="DefaultParagraphFont"/>
    <w:rsid w:val="00A17D4D"/>
  </w:style>
  <w:style w:type="character" w:customStyle="1" w:styleId="docsum-authors">
    <w:name w:val="docsum-authors"/>
    <w:basedOn w:val="DefaultParagraphFont"/>
    <w:rsid w:val="00A17D4D"/>
  </w:style>
  <w:style w:type="character" w:customStyle="1" w:styleId="docsum-journal-citation">
    <w:name w:val="docsum-journal-citation"/>
    <w:basedOn w:val="DefaultParagraphFont"/>
    <w:rsid w:val="00A17D4D"/>
  </w:style>
  <w:style w:type="paragraph" w:customStyle="1" w:styleId="Point10">
    <w:name w:val="Point 1"/>
    <w:basedOn w:val="Normal"/>
    <w:rsid w:val="00A17D4D"/>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A17D4D"/>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A17D4D"/>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A17D4D"/>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A17D4D"/>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A17D4D"/>
  </w:style>
  <w:style w:type="character" w:customStyle="1" w:styleId="Mentionnonrsolue3">
    <w:name w:val="Mention non résolue3"/>
    <w:basedOn w:val="DefaultParagraphFont"/>
    <w:uiPriority w:val="99"/>
    <w:semiHidden/>
    <w:unhideWhenUsed/>
    <w:rsid w:val="00A17D4D"/>
    <w:rPr>
      <w:color w:val="605E5C"/>
      <w:shd w:val="clear" w:color="auto" w:fill="E1DFDD"/>
    </w:rPr>
  </w:style>
  <w:style w:type="paragraph" w:customStyle="1" w:styleId="Pa1">
    <w:name w:val="Pa1"/>
    <w:basedOn w:val="Default"/>
    <w:next w:val="Default"/>
    <w:uiPriority w:val="99"/>
    <w:rsid w:val="00A17D4D"/>
    <w:pPr>
      <w:spacing w:line="241" w:lineRule="atLeast"/>
    </w:pPr>
    <w:rPr>
      <w:rFonts w:eastAsia="MS Mincho"/>
      <w:color w:val="auto"/>
      <w:bdr w:val="nil"/>
      <w:lang w:val="en-GB"/>
    </w:rPr>
  </w:style>
  <w:style w:type="character" w:customStyle="1" w:styleId="A10">
    <w:name w:val="A1"/>
    <w:uiPriority w:val="99"/>
    <w:rsid w:val="00A17D4D"/>
    <w:rPr>
      <w:color w:val="000000"/>
      <w:sz w:val="14"/>
      <w:szCs w:val="14"/>
    </w:rPr>
  </w:style>
  <w:style w:type="character" w:customStyle="1" w:styleId="A2">
    <w:name w:val="A2"/>
    <w:uiPriority w:val="99"/>
    <w:rsid w:val="00A17D4D"/>
    <w:rPr>
      <w:color w:val="000000"/>
      <w:sz w:val="16"/>
      <w:szCs w:val="16"/>
    </w:rPr>
  </w:style>
  <w:style w:type="character" w:customStyle="1" w:styleId="A3">
    <w:name w:val="A3"/>
    <w:uiPriority w:val="99"/>
    <w:rsid w:val="00A17D4D"/>
    <w:rPr>
      <w:rFonts w:ascii="Tw Cen MT Condensed" w:hAnsi="Tw Cen MT Condensed" w:cs="Tw Cen MT Condensed"/>
      <w:color w:val="000000"/>
      <w:sz w:val="60"/>
      <w:szCs w:val="60"/>
    </w:rPr>
  </w:style>
  <w:style w:type="character" w:customStyle="1" w:styleId="A00">
    <w:name w:val="A0"/>
    <w:uiPriority w:val="99"/>
    <w:rsid w:val="00A17D4D"/>
    <w:rPr>
      <w:color w:val="000000"/>
      <w:sz w:val="15"/>
      <w:szCs w:val="15"/>
    </w:rPr>
  </w:style>
  <w:style w:type="paragraph" w:customStyle="1" w:styleId="author-type">
    <w:name w:val="author-type"/>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A17D4D"/>
  </w:style>
  <w:style w:type="paragraph" w:customStyle="1" w:styleId="page-range">
    <w:name w:val="page-range"/>
    <w:basedOn w:val="Normal"/>
    <w:rsid w:val="00A17D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A17D4D"/>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A17D4D"/>
  </w:style>
  <w:style w:type="paragraph" w:customStyle="1" w:styleId="TITRE">
    <w:name w:val="TITRE"/>
    <w:basedOn w:val="Normal"/>
    <w:rsid w:val="00A17D4D"/>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A17D4D"/>
    <w:pPr>
      <w:ind w:left="425" w:hanging="425"/>
    </w:pPr>
  </w:style>
  <w:style w:type="character" w:customStyle="1" w:styleId="Para3CarCar">
    <w:name w:val="Para 3 Car Car"/>
    <w:rsid w:val="00A17D4D"/>
    <w:rPr>
      <w:rFonts w:ascii="Arial" w:hAnsi="Arial"/>
      <w:bCs/>
      <w:sz w:val="18"/>
      <w:szCs w:val="22"/>
      <w:lang w:val="en-IE" w:eastAsia="en-US" w:bidi="ar-SA"/>
    </w:rPr>
  </w:style>
  <w:style w:type="paragraph" w:customStyle="1" w:styleId="entree-biblio">
    <w:name w:val="entree-biblio"/>
    <w:basedOn w:val="Normal"/>
    <w:rsid w:val="00A17D4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A17D4D"/>
    <w:rPr>
      <w:rFonts w:ascii="Ottawa" w:hAnsi="Ottawa"/>
      <w:b/>
      <w:sz w:val="20"/>
      <w:szCs w:val="24"/>
      <w:lang w:val="en-GB"/>
    </w:rPr>
  </w:style>
  <w:style w:type="paragraph" w:customStyle="1" w:styleId="Ottawa1">
    <w:name w:val="Ottawa_1"/>
    <w:next w:val="Normal"/>
    <w:link w:val="Ottawa1Char"/>
    <w:qFormat/>
    <w:rsid w:val="00A17D4D"/>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A17D4D"/>
    <w:rPr>
      <w:rFonts w:ascii="Ottawa" w:hAnsi="Ottawa"/>
      <w:b/>
      <w:sz w:val="20"/>
      <w:szCs w:val="24"/>
      <w:lang w:val="en-GB"/>
    </w:rPr>
  </w:style>
  <w:style w:type="character" w:customStyle="1" w:styleId="Ottawa1Char">
    <w:name w:val="Ottawa_1 Char"/>
    <w:basedOn w:val="DefaultParagraphFont"/>
    <w:link w:val="Ottawa1"/>
    <w:rsid w:val="00A17D4D"/>
    <w:rPr>
      <w:rFonts w:ascii="Ottawa" w:eastAsia="Times New Roman" w:hAnsi="Ottawa" w:cs="Times New Roman"/>
      <w:b/>
      <w:bCs/>
      <w:lang w:val="en-GB" w:bidi="en-US"/>
    </w:rPr>
  </w:style>
  <w:style w:type="paragraph" w:customStyle="1" w:styleId="810">
    <w:name w:val="样式 8 10 磅"/>
    <w:rsid w:val="00A17D4D"/>
    <w:rPr>
      <w:rFonts w:ascii="Times New Roman" w:eastAsia="Calibri" w:hAnsi="Times New Roman" w:cs="Arial"/>
      <w:sz w:val="20"/>
      <w:lang w:val="en-GB"/>
    </w:rPr>
  </w:style>
  <w:style w:type="character" w:customStyle="1" w:styleId="title-text">
    <w:name w:val="title-text"/>
    <w:basedOn w:val="DefaultParagraphFont"/>
    <w:rsid w:val="00A17D4D"/>
  </w:style>
  <w:style w:type="character" w:customStyle="1" w:styleId="author-sup-separator">
    <w:name w:val="author-sup-separator"/>
    <w:basedOn w:val="DefaultParagraphFont"/>
    <w:rsid w:val="00A17D4D"/>
  </w:style>
  <w:style w:type="character" w:customStyle="1" w:styleId="identifier">
    <w:name w:val="identifier"/>
    <w:basedOn w:val="DefaultParagraphFont"/>
    <w:rsid w:val="00A17D4D"/>
  </w:style>
  <w:style w:type="character" w:customStyle="1" w:styleId="id-label">
    <w:name w:val="id-label"/>
    <w:basedOn w:val="DefaultParagraphFont"/>
    <w:rsid w:val="00A17D4D"/>
  </w:style>
  <w:style w:type="character" w:customStyle="1" w:styleId="gywzne">
    <w:name w:val="gywzne"/>
    <w:basedOn w:val="DefaultParagraphFont"/>
    <w:rsid w:val="00A17D4D"/>
  </w:style>
  <w:style w:type="numbering" w:customStyle="1" w:styleId="NoList9">
    <w:name w:val="No List9"/>
    <w:next w:val="NoList"/>
    <w:uiPriority w:val="99"/>
    <w:semiHidden/>
    <w:unhideWhenUsed/>
    <w:rsid w:val="00A17D4D"/>
  </w:style>
  <w:style w:type="table" w:customStyle="1" w:styleId="GridTable4-Accent111">
    <w:name w:val="Grid Table 4 - Accent 111"/>
    <w:basedOn w:val="TableNormal"/>
    <w:uiPriority w:val="49"/>
    <w:rsid w:val="00A17D4D"/>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A17D4D"/>
  </w:style>
  <w:style w:type="numbering" w:customStyle="1" w:styleId="ImportedStyle57">
    <w:name w:val="Imported Style 57"/>
    <w:rsid w:val="00A17D4D"/>
  </w:style>
  <w:style w:type="numbering" w:customStyle="1" w:styleId="ImportedStyle17">
    <w:name w:val="Imported Style 17"/>
    <w:rsid w:val="00A17D4D"/>
  </w:style>
  <w:style w:type="table" w:customStyle="1" w:styleId="LightList-Accent12">
    <w:name w:val="Light List - Accent 12"/>
    <w:basedOn w:val="TableNormal"/>
    <w:next w:val="LightList-Accent1"/>
    <w:uiPriority w:val="61"/>
    <w:rsid w:val="00A17D4D"/>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A17D4D"/>
  </w:style>
  <w:style w:type="numbering" w:customStyle="1" w:styleId="Aucuneliste23">
    <w:name w:val="Aucune liste23"/>
    <w:next w:val="NoList"/>
    <w:uiPriority w:val="99"/>
    <w:semiHidden/>
    <w:unhideWhenUsed/>
    <w:rsid w:val="00A17D4D"/>
  </w:style>
  <w:style w:type="table" w:customStyle="1" w:styleId="Grilledutableau13">
    <w:name w:val="Grille du tableau13"/>
    <w:basedOn w:val="TableNormal"/>
    <w:next w:val="TableGrid"/>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A17D4D"/>
  </w:style>
  <w:style w:type="numbering" w:customStyle="1" w:styleId="1ai7">
    <w:name w:val="1 / a / i7"/>
    <w:basedOn w:val="NoList"/>
    <w:next w:val="1ai"/>
    <w:rsid w:val="00A17D4D"/>
  </w:style>
  <w:style w:type="numbering" w:customStyle="1" w:styleId="1111118">
    <w:name w:val="1 / 1.1 / 1.1.18"/>
    <w:basedOn w:val="NoList"/>
    <w:next w:val="111111"/>
    <w:rsid w:val="00A17D4D"/>
  </w:style>
  <w:style w:type="numbering" w:customStyle="1" w:styleId="List06">
    <w:name w:val="List 06"/>
    <w:basedOn w:val="ImportedStyle1"/>
    <w:rsid w:val="00A17D4D"/>
  </w:style>
  <w:style w:type="numbering" w:customStyle="1" w:styleId="List16">
    <w:name w:val="List 16"/>
    <w:basedOn w:val="ImportedStyle2"/>
    <w:rsid w:val="00A17D4D"/>
  </w:style>
  <w:style w:type="numbering" w:customStyle="1" w:styleId="ImportedStyle23">
    <w:name w:val="Imported Style 23"/>
    <w:rsid w:val="00A17D4D"/>
  </w:style>
  <w:style w:type="numbering" w:customStyle="1" w:styleId="List216">
    <w:name w:val="List 216"/>
    <w:basedOn w:val="ImportedStyle3"/>
    <w:rsid w:val="00A17D4D"/>
  </w:style>
  <w:style w:type="numbering" w:customStyle="1" w:styleId="ImportedStyle33">
    <w:name w:val="Imported Style 33"/>
    <w:rsid w:val="00A17D4D"/>
  </w:style>
  <w:style w:type="numbering" w:customStyle="1" w:styleId="Aucuneliste114">
    <w:name w:val="Aucune liste114"/>
    <w:next w:val="NoList"/>
    <w:uiPriority w:val="99"/>
    <w:semiHidden/>
    <w:unhideWhenUsed/>
    <w:rsid w:val="00A17D4D"/>
  </w:style>
  <w:style w:type="numbering" w:customStyle="1" w:styleId="NoList14">
    <w:name w:val="No List14"/>
    <w:next w:val="NoList"/>
    <w:uiPriority w:val="99"/>
    <w:semiHidden/>
    <w:unhideWhenUsed/>
    <w:rsid w:val="00A17D4D"/>
  </w:style>
  <w:style w:type="table" w:customStyle="1" w:styleId="TableGrid14">
    <w:name w:val="Table Grid14"/>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A17D4D"/>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A17D4D"/>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A17D4D"/>
  </w:style>
  <w:style w:type="numbering" w:customStyle="1" w:styleId="Aucuneliste43">
    <w:name w:val="Aucune liste43"/>
    <w:next w:val="NoList"/>
    <w:uiPriority w:val="99"/>
    <w:semiHidden/>
    <w:unhideWhenUsed/>
    <w:rsid w:val="00A17D4D"/>
  </w:style>
  <w:style w:type="table" w:customStyle="1" w:styleId="Grilledutableau22">
    <w:name w:val="Grille du tableau22"/>
    <w:basedOn w:val="TableNormal"/>
    <w:next w:val="TableGrid"/>
    <w:rsid w:val="00A17D4D"/>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A17D4D"/>
  </w:style>
  <w:style w:type="numbering" w:customStyle="1" w:styleId="1ai13">
    <w:name w:val="1 / a / i13"/>
    <w:basedOn w:val="NoList"/>
    <w:next w:val="1ai"/>
    <w:rsid w:val="00A17D4D"/>
  </w:style>
  <w:style w:type="numbering" w:customStyle="1" w:styleId="11111113">
    <w:name w:val="1 / 1.1 / 1.1.113"/>
    <w:basedOn w:val="NoList"/>
    <w:next w:val="111111"/>
    <w:rsid w:val="00A17D4D"/>
  </w:style>
  <w:style w:type="numbering" w:customStyle="1" w:styleId="Aucuneliste53">
    <w:name w:val="Aucune liste53"/>
    <w:next w:val="NoList"/>
    <w:uiPriority w:val="99"/>
    <w:semiHidden/>
    <w:unhideWhenUsed/>
    <w:rsid w:val="00A17D4D"/>
  </w:style>
  <w:style w:type="table" w:customStyle="1" w:styleId="Grilledutableau32">
    <w:name w:val="Grille du tableau3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A17D4D"/>
  </w:style>
  <w:style w:type="table" w:customStyle="1" w:styleId="Grilledutableau42">
    <w:name w:val="Grille du tableau4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A17D4D"/>
  </w:style>
  <w:style w:type="numbering" w:customStyle="1" w:styleId="Aucuneliste83">
    <w:name w:val="Aucune liste83"/>
    <w:next w:val="NoList"/>
    <w:uiPriority w:val="99"/>
    <w:semiHidden/>
    <w:unhideWhenUsed/>
    <w:rsid w:val="00A17D4D"/>
  </w:style>
  <w:style w:type="table" w:customStyle="1" w:styleId="Grilledutableau52">
    <w:name w:val="Grille du tableau52"/>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A17D4D"/>
  </w:style>
  <w:style w:type="numbering" w:customStyle="1" w:styleId="NoList113">
    <w:name w:val="No List113"/>
    <w:next w:val="NoList"/>
    <w:uiPriority w:val="99"/>
    <w:semiHidden/>
    <w:unhideWhenUsed/>
    <w:rsid w:val="00A17D4D"/>
  </w:style>
  <w:style w:type="table" w:customStyle="1" w:styleId="TableGrid112">
    <w:name w:val="Table Grid112"/>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A17D4D"/>
  </w:style>
  <w:style w:type="table" w:customStyle="1" w:styleId="Grilledutableau62">
    <w:name w:val="Grille du tableau62"/>
    <w:basedOn w:val="TableNormal"/>
    <w:next w:val="TableGrid"/>
    <w:uiPriority w:val="59"/>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A17D4D"/>
  </w:style>
  <w:style w:type="numbering" w:customStyle="1" w:styleId="ImportedStyle413">
    <w:name w:val="Imported Style 413"/>
    <w:rsid w:val="00A17D4D"/>
  </w:style>
  <w:style w:type="numbering" w:customStyle="1" w:styleId="ImportedStyle513">
    <w:name w:val="Imported Style 513"/>
    <w:rsid w:val="00A17D4D"/>
  </w:style>
  <w:style w:type="numbering" w:customStyle="1" w:styleId="ImportedStyle113">
    <w:name w:val="Imported Style 113"/>
    <w:rsid w:val="00A17D4D"/>
  </w:style>
  <w:style w:type="table" w:customStyle="1" w:styleId="Grilledutableau72">
    <w:name w:val="Grille du tableau72"/>
    <w:basedOn w:val="TableNormal"/>
    <w:next w:val="TableGrid"/>
    <w:uiPriority w:val="39"/>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A17D4D"/>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A17D4D"/>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A17D4D"/>
  </w:style>
  <w:style w:type="table" w:customStyle="1" w:styleId="-111">
    <w:name w:val="浅色列表 - 强调文字颜色 111"/>
    <w:basedOn w:val="TableNormal"/>
    <w:uiPriority w:val="61"/>
    <w:rsid w:val="00A17D4D"/>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A17D4D"/>
  </w:style>
  <w:style w:type="table" w:customStyle="1" w:styleId="TableGrid113">
    <w:name w:val="TableGrid1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A17D4D"/>
  </w:style>
  <w:style w:type="table" w:customStyle="1" w:styleId="Grilledutableau91">
    <w:name w:val="Grille du tableau91"/>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A17D4D"/>
  </w:style>
  <w:style w:type="numbering" w:customStyle="1" w:styleId="ImportedStyle424">
    <w:name w:val="Imported Style 424"/>
    <w:rsid w:val="00A17D4D"/>
  </w:style>
  <w:style w:type="numbering" w:customStyle="1" w:styleId="ImportedStyle524">
    <w:name w:val="Imported Style 524"/>
    <w:rsid w:val="00A17D4D"/>
  </w:style>
  <w:style w:type="numbering" w:customStyle="1" w:styleId="ImportedStyle124">
    <w:name w:val="Imported Style 124"/>
    <w:rsid w:val="00A17D4D"/>
  </w:style>
  <w:style w:type="table" w:customStyle="1" w:styleId="Grilledutableau111">
    <w:name w:val="Grille du tableau11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A17D4D"/>
  </w:style>
  <w:style w:type="numbering" w:customStyle="1" w:styleId="1ai24">
    <w:name w:val="1 / a / i24"/>
    <w:basedOn w:val="NoList"/>
    <w:next w:val="1ai"/>
    <w:rsid w:val="00A17D4D"/>
  </w:style>
  <w:style w:type="numbering" w:customStyle="1" w:styleId="11111124">
    <w:name w:val="1 / 1.1 / 1.1.124"/>
    <w:basedOn w:val="NoList"/>
    <w:next w:val="111111"/>
    <w:rsid w:val="00A17D4D"/>
  </w:style>
  <w:style w:type="numbering" w:customStyle="1" w:styleId="List014">
    <w:name w:val="List 014"/>
    <w:basedOn w:val="ImportedStyle1"/>
    <w:rsid w:val="00A17D4D"/>
  </w:style>
  <w:style w:type="numbering" w:customStyle="1" w:styleId="List114">
    <w:name w:val="List 114"/>
    <w:basedOn w:val="ImportedStyle2"/>
    <w:rsid w:val="00A17D4D"/>
  </w:style>
  <w:style w:type="numbering" w:customStyle="1" w:styleId="ImportedStyle211">
    <w:name w:val="Imported Style 211"/>
    <w:rsid w:val="00A17D4D"/>
  </w:style>
  <w:style w:type="numbering" w:customStyle="1" w:styleId="List2114">
    <w:name w:val="List 2114"/>
    <w:basedOn w:val="ImportedStyle3"/>
    <w:rsid w:val="00A17D4D"/>
  </w:style>
  <w:style w:type="numbering" w:customStyle="1" w:styleId="ImportedStyle311">
    <w:name w:val="Imported Style 311"/>
    <w:rsid w:val="00A17D4D"/>
  </w:style>
  <w:style w:type="numbering" w:customStyle="1" w:styleId="Aucuneliste1121">
    <w:name w:val="Aucune liste1121"/>
    <w:next w:val="NoList"/>
    <w:uiPriority w:val="99"/>
    <w:semiHidden/>
    <w:unhideWhenUsed/>
    <w:rsid w:val="00A17D4D"/>
  </w:style>
  <w:style w:type="numbering" w:customStyle="1" w:styleId="NoList121">
    <w:name w:val="No List121"/>
    <w:next w:val="NoList"/>
    <w:uiPriority w:val="99"/>
    <w:semiHidden/>
    <w:unhideWhenUsed/>
    <w:rsid w:val="00A17D4D"/>
  </w:style>
  <w:style w:type="table" w:customStyle="1" w:styleId="TableGrid121">
    <w:name w:val="Table Grid121"/>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A17D4D"/>
  </w:style>
  <w:style w:type="numbering" w:customStyle="1" w:styleId="Aucuneliste411">
    <w:name w:val="Aucune liste411"/>
    <w:next w:val="NoList"/>
    <w:uiPriority w:val="99"/>
    <w:semiHidden/>
    <w:unhideWhenUsed/>
    <w:rsid w:val="00A17D4D"/>
  </w:style>
  <w:style w:type="table" w:customStyle="1" w:styleId="Grilledutableau211">
    <w:name w:val="Grille du tableau211"/>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A17D4D"/>
  </w:style>
  <w:style w:type="numbering" w:customStyle="1" w:styleId="1ai111">
    <w:name w:val="1 / a / i111"/>
    <w:basedOn w:val="NoList"/>
    <w:next w:val="1ai"/>
    <w:rsid w:val="00A17D4D"/>
  </w:style>
  <w:style w:type="numbering" w:customStyle="1" w:styleId="111111111">
    <w:name w:val="1 / 1.1 / 1.1.1111"/>
    <w:basedOn w:val="NoList"/>
    <w:next w:val="111111"/>
    <w:rsid w:val="00A17D4D"/>
  </w:style>
  <w:style w:type="numbering" w:customStyle="1" w:styleId="Aucuneliste511">
    <w:name w:val="Aucune liste511"/>
    <w:next w:val="NoList"/>
    <w:uiPriority w:val="99"/>
    <w:semiHidden/>
    <w:unhideWhenUsed/>
    <w:rsid w:val="00A17D4D"/>
  </w:style>
  <w:style w:type="table" w:customStyle="1" w:styleId="Grilledutableau311">
    <w:name w:val="Grille du tableau31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A17D4D"/>
  </w:style>
  <w:style w:type="table" w:customStyle="1" w:styleId="Grilledutableau411">
    <w:name w:val="Grille du tableau41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A17D4D"/>
  </w:style>
  <w:style w:type="numbering" w:customStyle="1" w:styleId="Aucuneliste811">
    <w:name w:val="Aucune liste811"/>
    <w:next w:val="NoList"/>
    <w:uiPriority w:val="99"/>
    <w:semiHidden/>
    <w:unhideWhenUsed/>
    <w:rsid w:val="00A17D4D"/>
  </w:style>
  <w:style w:type="table" w:customStyle="1" w:styleId="Grilledutableau511">
    <w:name w:val="Grille du tableau51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A17D4D"/>
  </w:style>
  <w:style w:type="numbering" w:customStyle="1" w:styleId="NoList1112">
    <w:name w:val="No List1112"/>
    <w:next w:val="NoList"/>
    <w:uiPriority w:val="99"/>
    <w:semiHidden/>
    <w:unhideWhenUsed/>
    <w:rsid w:val="00A17D4D"/>
  </w:style>
  <w:style w:type="table" w:customStyle="1" w:styleId="TableGrid1111">
    <w:name w:val="Table Grid1111"/>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A17D4D"/>
  </w:style>
  <w:style w:type="table" w:customStyle="1" w:styleId="Grilledutableau611">
    <w:name w:val="Grille du tableau611"/>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A17D4D"/>
  </w:style>
  <w:style w:type="numbering" w:customStyle="1" w:styleId="ImportedStyle4111">
    <w:name w:val="Imported Style 4111"/>
    <w:rsid w:val="00A17D4D"/>
  </w:style>
  <w:style w:type="numbering" w:customStyle="1" w:styleId="ImportedStyle5111">
    <w:name w:val="Imported Style 5111"/>
    <w:rsid w:val="00A17D4D"/>
  </w:style>
  <w:style w:type="numbering" w:customStyle="1" w:styleId="ImportedStyle1111">
    <w:name w:val="Imported Style 1111"/>
    <w:rsid w:val="00A17D4D"/>
  </w:style>
  <w:style w:type="table" w:customStyle="1" w:styleId="Grilledutableau711">
    <w:name w:val="Grille du tableau711"/>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17D4D"/>
  </w:style>
  <w:style w:type="table" w:customStyle="1" w:styleId="Grilledutableau101">
    <w:name w:val="Grille du tableau10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A17D4D"/>
  </w:style>
  <w:style w:type="numbering" w:customStyle="1" w:styleId="ImportedStyle531">
    <w:name w:val="Imported Style 531"/>
    <w:rsid w:val="00A17D4D"/>
  </w:style>
  <w:style w:type="numbering" w:customStyle="1" w:styleId="ImportedStyle131">
    <w:name w:val="Imported Style 131"/>
    <w:rsid w:val="00A17D4D"/>
  </w:style>
  <w:style w:type="numbering" w:customStyle="1" w:styleId="ArticleSection31">
    <w:name w:val="Article / Section31"/>
    <w:basedOn w:val="NoList"/>
    <w:next w:val="ArticleSection"/>
    <w:rsid w:val="00A17D4D"/>
  </w:style>
  <w:style w:type="numbering" w:customStyle="1" w:styleId="1ai31">
    <w:name w:val="1 / a / i31"/>
    <w:basedOn w:val="NoList"/>
    <w:next w:val="1ai"/>
    <w:rsid w:val="00A17D4D"/>
  </w:style>
  <w:style w:type="numbering" w:customStyle="1" w:styleId="11111131">
    <w:name w:val="1 / 1.1 / 1.1.131"/>
    <w:basedOn w:val="NoList"/>
    <w:next w:val="111111"/>
    <w:rsid w:val="00A17D4D"/>
  </w:style>
  <w:style w:type="numbering" w:customStyle="1" w:styleId="List021">
    <w:name w:val="List 021"/>
    <w:basedOn w:val="ImportedStyle1"/>
    <w:rsid w:val="00A17D4D"/>
  </w:style>
  <w:style w:type="numbering" w:customStyle="1" w:styleId="List121">
    <w:name w:val="List 121"/>
    <w:basedOn w:val="ImportedStyle2"/>
    <w:rsid w:val="00A17D4D"/>
  </w:style>
  <w:style w:type="numbering" w:customStyle="1" w:styleId="List2121">
    <w:name w:val="List 2121"/>
    <w:basedOn w:val="ImportedStyle3"/>
    <w:rsid w:val="00A17D4D"/>
  </w:style>
  <w:style w:type="numbering" w:customStyle="1" w:styleId="ImportedStyle4211">
    <w:name w:val="Imported Style 4211"/>
    <w:rsid w:val="00A17D4D"/>
  </w:style>
  <w:style w:type="numbering" w:customStyle="1" w:styleId="ImportedStyle5211">
    <w:name w:val="Imported Style 5211"/>
    <w:rsid w:val="00A17D4D"/>
  </w:style>
  <w:style w:type="numbering" w:customStyle="1" w:styleId="ImportedStyle1211">
    <w:name w:val="Imported Style 1211"/>
    <w:rsid w:val="00A17D4D"/>
  </w:style>
  <w:style w:type="numbering" w:customStyle="1" w:styleId="ArticleSection211">
    <w:name w:val="Article / Section211"/>
    <w:basedOn w:val="NoList"/>
    <w:next w:val="ArticleSection"/>
    <w:rsid w:val="00A17D4D"/>
  </w:style>
  <w:style w:type="numbering" w:customStyle="1" w:styleId="1ai211">
    <w:name w:val="1 / a / i211"/>
    <w:basedOn w:val="NoList"/>
    <w:next w:val="1ai"/>
    <w:rsid w:val="00A17D4D"/>
  </w:style>
  <w:style w:type="numbering" w:customStyle="1" w:styleId="111111211">
    <w:name w:val="1 / 1.1 / 1.1.1211"/>
    <w:basedOn w:val="NoList"/>
    <w:next w:val="111111"/>
    <w:rsid w:val="00A17D4D"/>
  </w:style>
  <w:style w:type="numbering" w:customStyle="1" w:styleId="List0111">
    <w:name w:val="List 0111"/>
    <w:basedOn w:val="ImportedStyle1"/>
    <w:rsid w:val="00A17D4D"/>
  </w:style>
  <w:style w:type="numbering" w:customStyle="1" w:styleId="List1111">
    <w:name w:val="List 1111"/>
    <w:basedOn w:val="ImportedStyle2"/>
    <w:rsid w:val="00A17D4D"/>
  </w:style>
  <w:style w:type="numbering" w:customStyle="1" w:styleId="List21111">
    <w:name w:val="List 21111"/>
    <w:basedOn w:val="ImportedStyle3"/>
    <w:rsid w:val="00A17D4D"/>
  </w:style>
  <w:style w:type="numbering" w:customStyle="1" w:styleId="ImportedStyle441">
    <w:name w:val="Imported Style 441"/>
    <w:rsid w:val="00A17D4D"/>
  </w:style>
  <w:style w:type="numbering" w:customStyle="1" w:styleId="ImportedStyle541">
    <w:name w:val="Imported Style 541"/>
    <w:rsid w:val="00A17D4D"/>
  </w:style>
  <w:style w:type="numbering" w:customStyle="1" w:styleId="ImportedStyle141">
    <w:name w:val="Imported Style 141"/>
    <w:rsid w:val="00A17D4D"/>
  </w:style>
  <w:style w:type="table" w:customStyle="1" w:styleId="TableGrid02">
    <w:name w:val="Table Grid0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A17D4D"/>
  </w:style>
  <w:style w:type="numbering" w:customStyle="1" w:styleId="1ai41">
    <w:name w:val="1 / a / i41"/>
    <w:basedOn w:val="NoList"/>
    <w:next w:val="1ai"/>
    <w:rsid w:val="00A17D4D"/>
  </w:style>
  <w:style w:type="numbering" w:customStyle="1" w:styleId="11111141">
    <w:name w:val="1 / 1.1 / 1.1.141"/>
    <w:basedOn w:val="NoList"/>
    <w:next w:val="111111"/>
    <w:rsid w:val="00A17D4D"/>
  </w:style>
  <w:style w:type="numbering" w:customStyle="1" w:styleId="List031">
    <w:name w:val="List 031"/>
    <w:basedOn w:val="ImportedStyle1"/>
    <w:rsid w:val="00A17D4D"/>
  </w:style>
  <w:style w:type="numbering" w:customStyle="1" w:styleId="List131">
    <w:name w:val="List 131"/>
    <w:basedOn w:val="ImportedStyle2"/>
    <w:rsid w:val="00A17D4D"/>
  </w:style>
  <w:style w:type="numbering" w:customStyle="1" w:styleId="List2131">
    <w:name w:val="List 2131"/>
    <w:basedOn w:val="ImportedStyle3"/>
    <w:rsid w:val="00A17D4D"/>
  </w:style>
  <w:style w:type="numbering" w:customStyle="1" w:styleId="ImportedStyle4221">
    <w:name w:val="Imported Style 4221"/>
    <w:rsid w:val="00A17D4D"/>
  </w:style>
  <w:style w:type="numbering" w:customStyle="1" w:styleId="ImportedStyle5221">
    <w:name w:val="Imported Style 5221"/>
    <w:rsid w:val="00A17D4D"/>
  </w:style>
  <w:style w:type="numbering" w:customStyle="1" w:styleId="ImportedStyle1221">
    <w:name w:val="Imported Style 1221"/>
    <w:rsid w:val="00A17D4D"/>
  </w:style>
  <w:style w:type="numbering" w:customStyle="1" w:styleId="ArticleSection221">
    <w:name w:val="Article / Section221"/>
    <w:basedOn w:val="NoList"/>
    <w:next w:val="ArticleSection"/>
    <w:rsid w:val="00A17D4D"/>
  </w:style>
  <w:style w:type="numbering" w:customStyle="1" w:styleId="1ai221">
    <w:name w:val="1 / a / i221"/>
    <w:basedOn w:val="NoList"/>
    <w:next w:val="1ai"/>
    <w:rsid w:val="00A17D4D"/>
  </w:style>
  <w:style w:type="numbering" w:customStyle="1" w:styleId="111111221">
    <w:name w:val="1 / 1.1 / 1.1.1221"/>
    <w:basedOn w:val="NoList"/>
    <w:next w:val="111111"/>
    <w:rsid w:val="00A17D4D"/>
  </w:style>
  <w:style w:type="numbering" w:customStyle="1" w:styleId="List0121">
    <w:name w:val="List 0121"/>
    <w:basedOn w:val="ImportedStyle1"/>
    <w:rsid w:val="00A17D4D"/>
  </w:style>
  <w:style w:type="numbering" w:customStyle="1" w:styleId="List1121">
    <w:name w:val="List 1121"/>
    <w:basedOn w:val="ImportedStyle2"/>
    <w:rsid w:val="00A17D4D"/>
  </w:style>
  <w:style w:type="numbering" w:customStyle="1" w:styleId="List21121">
    <w:name w:val="List 21121"/>
    <w:basedOn w:val="ImportedStyle3"/>
    <w:rsid w:val="00A17D4D"/>
  </w:style>
  <w:style w:type="numbering" w:customStyle="1" w:styleId="ImportedStyle451">
    <w:name w:val="Imported Style 451"/>
    <w:rsid w:val="00A17D4D"/>
  </w:style>
  <w:style w:type="numbering" w:customStyle="1" w:styleId="ImportedStyle551">
    <w:name w:val="Imported Style 551"/>
    <w:rsid w:val="00A17D4D"/>
  </w:style>
  <w:style w:type="numbering" w:customStyle="1" w:styleId="ImportedStyle151">
    <w:name w:val="Imported Style 151"/>
    <w:rsid w:val="00A17D4D"/>
  </w:style>
  <w:style w:type="numbering" w:customStyle="1" w:styleId="ArticleSection51">
    <w:name w:val="Article / Section51"/>
    <w:basedOn w:val="NoList"/>
    <w:next w:val="ArticleSection"/>
    <w:rsid w:val="00A17D4D"/>
  </w:style>
  <w:style w:type="numbering" w:customStyle="1" w:styleId="1ai51">
    <w:name w:val="1 / a / i51"/>
    <w:basedOn w:val="NoList"/>
    <w:next w:val="1ai"/>
    <w:rsid w:val="00A17D4D"/>
  </w:style>
  <w:style w:type="numbering" w:customStyle="1" w:styleId="11111151">
    <w:name w:val="1 / 1.1 / 1.1.151"/>
    <w:basedOn w:val="NoList"/>
    <w:next w:val="111111"/>
    <w:rsid w:val="00A17D4D"/>
  </w:style>
  <w:style w:type="numbering" w:customStyle="1" w:styleId="List041">
    <w:name w:val="List 041"/>
    <w:basedOn w:val="ImportedStyle1"/>
    <w:rsid w:val="00A17D4D"/>
  </w:style>
  <w:style w:type="numbering" w:customStyle="1" w:styleId="List141">
    <w:name w:val="List 141"/>
    <w:basedOn w:val="ImportedStyle2"/>
    <w:rsid w:val="00A17D4D"/>
  </w:style>
  <w:style w:type="numbering" w:customStyle="1" w:styleId="List2141">
    <w:name w:val="List 2141"/>
    <w:basedOn w:val="ImportedStyle3"/>
    <w:rsid w:val="00A17D4D"/>
  </w:style>
  <w:style w:type="numbering" w:customStyle="1" w:styleId="ImportedStyle4231">
    <w:name w:val="Imported Style 4231"/>
    <w:rsid w:val="00A17D4D"/>
  </w:style>
  <w:style w:type="numbering" w:customStyle="1" w:styleId="ImportedStyle5231">
    <w:name w:val="Imported Style 5231"/>
    <w:rsid w:val="00A17D4D"/>
  </w:style>
  <w:style w:type="numbering" w:customStyle="1" w:styleId="ImportedStyle1231">
    <w:name w:val="Imported Style 1231"/>
    <w:rsid w:val="00A17D4D"/>
  </w:style>
  <w:style w:type="numbering" w:customStyle="1" w:styleId="ArticleSection231">
    <w:name w:val="Article / Section231"/>
    <w:basedOn w:val="NoList"/>
    <w:next w:val="ArticleSection"/>
    <w:rsid w:val="00A17D4D"/>
  </w:style>
  <w:style w:type="numbering" w:customStyle="1" w:styleId="1ai231">
    <w:name w:val="1 / a / i231"/>
    <w:basedOn w:val="NoList"/>
    <w:next w:val="1ai"/>
    <w:rsid w:val="00A17D4D"/>
  </w:style>
  <w:style w:type="numbering" w:customStyle="1" w:styleId="111111231">
    <w:name w:val="1 / 1.1 / 1.1.1231"/>
    <w:basedOn w:val="NoList"/>
    <w:next w:val="111111"/>
    <w:rsid w:val="00A17D4D"/>
  </w:style>
  <w:style w:type="numbering" w:customStyle="1" w:styleId="List0131">
    <w:name w:val="List 0131"/>
    <w:basedOn w:val="ImportedStyle1"/>
    <w:rsid w:val="00A17D4D"/>
  </w:style>
  <w:style w:type="numbering" w:customStyle="1" w:styleId="List1131">
    <w:name w:val="List 1131"/>
    <w:basedOn w:val="ImportedStyle2"/>
    <w:rsid w:val="00A17D4D"/>
  </w:style>
  <w:style w:type="numbering" w:customStyle="1" w:styleId="List21131">
    <w:name w:val="List 21131"/>
    <w:basedOn w:val="ImportedStyle3"/>
    <w:rsid w:val="00A17D4D"/>
  </w:style>
  <w:style w:type="numbering" w:customStyle="1" w:styleId="NoList31">
    <w:name w:val="No List31"/>
    <w:next w:val="NoList"/>
    <w:uiPriority w:val="99"/>
    <w:semiHidden/>
    <w:unhideWhenUsed/>
    <w:rsid w:val="00A17D4D"/>
  </w:style>
  <w:style w:type="table" w:customStyle="1" w:styleId="TableGrid131">
    <w:name w:val="Table Grid13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A17D4D"/>
  </w:style>
  <w:style w:type="table" w:customStyle="1" w:styleId="TableGrid011">
    <w:name w:val="Table Grid011"/>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A17D4D"/>
  </w:style>
  <w:style w:type="numbering" w:customStyle="1" w:styleId="ImportedStyle461">
    <w:name w:val="Imported Style 461"/>
    <w:rsid w:val="00A17D4D"/>
  </w:style>
  <w:style w:type="numbering" w:customStyle="1" w:styleId="ImportedStyle561">
    <w:name w:val="Imported Style 561"/>
    <w:rsid w:val="00A17D4D"/>
  </w:style>
  <w:style w:type="numbering" w:customStyle="1" w:styleId="ImportedStyle161">
    <w:name w:val="Imported Style 161"/>
    <w:rsid w:val="00A17D4D"/>
  </w:style>
  <w:style w:type="numbering" w:customStyle="1" w:styleId="ArticleSection61">
    <w:name w:val="Article / Section61"/>
    <w:basedOn w:val="NoList"/>
    <w:next w:val="ArticleSection"/>
    <w:rsid w:val="00A17D4D"/>
  </w:style>
  <w:style w:type="numbering" w:customStyle="1" w:styleId="1ai61">
    <w:name w:val="1 / a / i61"/>
    <w:basedOn w:val="NoList"/>
    <w:next w:val="1ai"/>
    <w:rsid w:val="00A17D4D"/>
  </w:style>
  <w:style w:type="numbering" w:customStyle="1" w:styleId="11111161">
    <w:name w:val="1 / 1.1 / 1.1.161"/>
    <w:basedOn w:val="NoList"/>
    <w:next w:val="111111"/>
    <w:rsid w:val="00A17D4D"/>
  </w:style>
  <w:style w:type="numbering" w:customStyle="1" w:styleId="List051">
    <w:name w:val="List 051"/>
    <w:basedOn w:val="ImportedStyle1"/>
    <w:rsid w:val="00A17D4D"/>
  </w:style>
  <w:style w:type="numbering" w:customStyle="1" w:styleId="List151">
    <w:name w:val="List 151"/>
    <w:basedOn w:val="ImportedStyle2"/>
    <w:rsid w:val="00A17D4D"/>
  </w:style>
  <w:style w:type="numbering" w:customStyle="1" w:styleId="ImportedStyle221">
    <w:name w:val="Imported Style 221"/>
    <w:rsid w:val="00A17D4D"/>
  </w:style>
  <w:style w:type="numbering" w:customStyle="1" w:styleId="List2151">
    <w:name w:val="List 2151"/>
    <w:basedOn w:val="ImportedStyle3"/>
    <w:rsid w:val="00A17D4D"/>
  </w:style>
  <w:style w:type="numbering" w:customStyle="1" w:styleId="ImportedStyle321">
    <w:name w:val="Imported Style 321"/>
    <w:rsid w:val="00A17D4D"/>
  </w:style>
  <w:style w:type="numbering" w:customStyle="1" w:styleId="Aucuneliste1131">
    <w:name w:val="Aucune liste1131"/>
    <w:next w:val="NoList"/>
    <w:uiPriority w:val="99"/>
    <w:semiHidden/>
    <w:unhideWhenUsed/>
    <w:rsid w:val="00A17D4D"/>
  </w:style>
  <w:style w:type="numbering" w:customStyle="1" w:styleId="NoList131">
    <w:name w:val="No List131"/>
    <w:next w:val="NoList"/>
    <w:uiPriority w:val="99"/>
    <w:semiHidden/>
    <w:unhideWhenUsed/>
    <w:rsid w:val="00A17D4D"/>
  </w:style>
  <w:style w:type="table" w:customStyle="1" w:styleId="TableGrid101">
    <w:name w:val="Table Grid101"/>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A17D4D"/>
  </w:style>
  <w:style w:type="numbering" w:customStyle="1" w:styleId="Aucuneliste421">
    <w:name w:val="Aucune liste421"/>
    <w:next w:val="NoList"/>
    <w:uiPriority w:val="99"/>
    <w:semiHidden/>
    <w:unhideWhenUsed/>
    <w:rsid w:val="00A17D4D"/>
  </w:style>
  <w:style w:type="numbering" w:customStyle="1" w:styleId="ArticleSection121">
    <w:name w:val="Article / Section121"/>
    <w:basedOn w:val="NoList"/>
    <w:next w:val="ArticleSection"/>
    <w:rsid w:val="00A17D4D"/>
  </w:style>
  <w:style w:type="numbering" w:customStyle="1" w:styleId="1ai121">
    <w:name w:val="1 / a / i121"/>
    <w:basedOn w:val="NoList"/>
    <w:next w:val="1ai"/>
    <w:rsid w:val="00A17D4D"/>
  </w:style>
  <w:style w:type="numbering" w:customStyle="1" w:styleId="111111121">
    <w:name w:val="1 / 1.1 / 1.1.1121"/>
    <w:basedOn w:val="NoList"/>
    <w:next w:val="111111"/>
    <w:rsid w:val="00A17D4D"/>
  </w:style>
  <w:style w:type="numbering" w:customStyle="1" w:styleId="Aucuneliste521">
    <w:name w:val="Aucune liste521"/>
    <w:next w:val="NoList"/>
    <w:uiPriority w:val="99"/>
    <w:semiHidden/>
    <w:unhideWhenUsed/>
    <w:rsid w:val="00A17D4D"/>
  </w:style>
  <w:style w:type="numbering" w:customStyle="1" w:styleId="Aucuneliste621">
    <w:name w:val="Aucune liste621"/>
    <w:next w:val="NoList"/>
    <w:uiPriority w:val="99"/>
    <w:semiHidden/>
    <w:unhideWhenUsed/>
    <w:rsid w:val="00A17D4D"/>
  </w:style>
  <w:style w:type="numbering" w:customStyle="1" w:styleId="Aucuneliste721">
    <w:name w:val="Aucune liste721"/>
    <w:next w:val="NoList"/>
    <w:uiPriority w:val="99"/>
    <w:semiHidden/>
    <w:unhideWhenUsed/>
    <w:rsid w:val="00A17D4D"/>
  </w:style>
  <w:style w:type="numbering" w:customStyle="1" w:styleId="Aucuneliste821">
    <w:name w:val="Aucune liste821"/>
    <w:next w:val="NoList"/>
    <w:uiPriority w:val="99"/>
    <w:semiHidden/>
    <w:unhideWhenUsed/>
    <w:rsid w:val="00A17D4D"/>
  </w:style>
  <w:style w:type="numbering" w:customStyle="1" w:styleId="Aucuneliste1221">
    <w:name w:val="Aucune liste1221"/>
    <w:next w:val="NoList"/>
    <w:uiPriority w:val="99"/>
    <w:semiHidden/>
    <w:unhideWhenUsed/>
    <w:rsid w:val="00A17D4D"/>
  </w:style>
  <w:style w:type="numbering" w:customStyle="1" w:styleId="NoList1121">
    <w:name w:val="No List1121"/>
    <w:next w:val="NoList"/>
    <w:uiPriority w:val="99"/>
    <w:semiHidden/>
    <w:unhideWhenUsed/>
    <w:rsid w:val="00A17D4D"/>
  </w:style>
  <w:style w:type="numbering" w:customStyle="1" w:styleId="Aucuneliste921">
    <w:name w:val="Aucune liste921"/>
    <w:next w:val="NoList"/>
    <w:uiPriority w:val="99"/>
    <w:semiHidden/>
    <w:unhideWhenUsed/>
    <w:rsid w:val="00A17D4D"/>
  </w:style>
  <w:style w:type="numbering" w:customStyle="1" w:styleId="Aucuneliste1021">
    <w:name w:val="Aucune liste1021"/>
    <w:next w:val="NoList"/>
    <w:uiPriority w:val="99"/>
    <w:semiHidden/>
    <w:unhideWhenUsed/>
    <w:rsid w:val="00A17D4D"/>
  </w:style>
  <w:style w:type="numbering" w:customStyle="1" w:styleId="ImportedStyle4121">
    <w:name w:val="Imported Style 4121"/>
    <w:rsid w:val="00A17D4D"/>
  </w:style>
  <w:style w:type="numbering" w:customStyle="1" w:styleId="ImportedStyle5121">
    <w:name w:val="Imported Style 5121"/>
    <w:rsid w:val="00A17D4D"/>
  </w:style>
  <w:style w:type="numbering" w:customStyle="1" w:styleId="ImportedStyle1121">
    <w:name w:val="Imported Style 1121"/>
    <w:rsid w:val="00A17D4D"/>
  </w:style>
  <w:style w:type="table" w:customStyle="1" w:styleId="LightList-Accent111">
    <w:name w:val="Light List - Accent 11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A17D4D"/>
  </w:style>
  <w:style w:type="table" w:customStyle="1" w:styleId="TableNormal11">
    <w:name w:val="Table Normal11"/>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A17D4D"/>
  </w:style>
  <w:style w:type="table" w:customStyle="1" w:styleId="TableGrid310">
    <w:name w:val="Table Grid31"/>
    <w:basedOn w:val="TableNormal"/>
    <w:next w:val="TableGrid"/>
    <w:uiPriority w:val="59"/>
    <w:rsid w:val="00A17D4D"/>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A17D4D"/>
    <w:rPr>
      <w:color w:val="605E5C"/>
      <w:shd w:val="clear" w:color="auto" w:fill="E1DFDD"/>
    </w:rPr>
  </w:style>
  <w:style w:type="numbering" w:customStyle="1" w:styleId="11111171">
    <w:name w:val="1 / 1.1 / 1.1.171"/>
    <w:basedOn w:val="NoList"/>
    <w:next w:val="111111"/>
    <w:rsid w:val="00A17D4D"/>
  </w:style>
  <w:style w:type="numbering" w:customStyle="1" w:styleId="NoList51">
    <w:name w:val="No List51"/>
    <w:next w:val="NoList"/>
    <w:uiPriority w:val="99"/>
    <w:semiHidden/>
    <w:unhideWhenUsed/>
    <w:rsid w:val="00A17D4D"/>
  </w:style>
  <w:style w:type="table" w:customStyle="1" w:styleId="TableGrid410">
    <w:name w:val="Table Grid41"/>
    <w:basedOn w:val="TableNormal"/>
    <w:next w:val="TableGrid"/>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17D4D"/>
  </w:style>
  <w:style w:type="table" w:customStyle="1" w:styleId="TableGrid15">
    <w:name w:val="Table Grid15"/>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A17D4D"/>
  </w:style>
  <w:style w:type="table" w:customStyle="1" w:styleId="TableGrid03">
    <w:name w:val="Table Grid03"/>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A17D4D"/>
  </w:style>
  <w:style w:type="numbering" w:customStyle="1" w:styleId="ImportedStyle48">
    <w:name w:val="Imported Style 48"/>
    <w:rsid w:val="00A17D4D"/>
  </w:style>
  <w:style w:type="numbering" w:customStyle="1" w:styleId="ImportedStyle18">
    <w:name w:val="Imported Style 18"/>
    <w:rsid w:val="00A17D4D"/>
  </w:style>
  <w:style w:type="table" w:customStyle="1" w:styleId="Grilledutableau14">
    <w:name w:val="Grille du tableau14"/>
    <w:basedOn w:val="TableNormal"/>
    <w:next w:val="TableGrid00"/>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A17D4D"/>
  </w:style>
  <w:style w:type="numbering" w:customStyle="1" w:styleId="1ai8">
    <w:name w:val="1 / a / i8"/>
    <w:basedOn w:val="NoList"/>
    <w:next w:val="1ai"/>
    <w:rsid w:val="00A17D4D"/>
  </w:style>
  <w:style w:type="numbering" w:customStyle="1" w:styleId="1111119">
    <w:name w:val="1 / 1.1 / 1.1.19"/>
    <w:basedOn w:val="NoList"/>
    <w:next w:val="111111"/>
    <w:rsid w:val="00A17D4D"/>
  </w:style>
  <w:style w:type="numbering" w:customStyle="1" w:styleId="List07">
    <w:name w:val="List 07"/>
    <w:basedOn w:val="ImportedStyle1"/>
    <w:rsid w:val="00A17D4D"/>
  </w:style>
  <w:style w:type="numbering" w:customStyle="1" w:styleId="List17">
    <w:name w:val="List 17"/>
    <w:basedOn w:val="ImportedStyle2"/>
    <w:rsid w:val="00A17D4D"/>
  </w:style>
  <w:style w:type="numbering" w:customStyle="1" w:styleId="ImportedStyle24">
    <w:name w:val="Imported Style 24"/>
    <w:rsid w:val="00A17D4D"/>
  </w:style>
  <w:style w:type="numbering" w:customStyle="1" w:styleId="List217">
    <w:name w:val="List 217"/>
    <w:basedOn w:val="ImportedStyle3"/>
    <w:rsid w:val="00A17D4D"/>
  </w:style>
  <w:style w:type="numbering" w:customStyle="1" w:styleId="ImportedStyle34">
    <w:name w:val="Imported Style 34"/>
    <w:rsid w:val="00A17D4D"/>
  </w:style>
  <w:style w:type="numbering" w:customStyle="1" w:styleId="Aucuneliste115">
    <w:name w:val="Aucune liste115"/>
    <w:next w:val="NoList"/>
    <w:uiPriority w:val="99"/>
    <w:semiHidden/>
    <w:unhideWhenUsed/>
    <w:rsid w:val="00A17D4D"/>
  </w:style>
  <w:style w:type="numbering" w:customStyle="1" w:styleId="NoList15">
    <w:name w:val="No List15"/>
    <w:next w:val="NoList"/>
    <w:uiPriority w:val="99"/>
    <w:semiHidden/>
    <w:unhideWhenUsed/>
    <w:rsid w:val="00A17D4D"/>
  </w:style>
  <w:style w:type="table" w:customStyle="1" w:styleId="TableGrid16">
    <w:name w:val="Table Grid16"/>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A17D4D"/>
  </w:style>
  <w:style w:type="numbering" w:customStyle="1" w:styleId="Aucuneliste44">
    <w:name w:val="Aucune liste44"/>
    <w:next w:val="NoList"/>
    <w:uiPriority w:val="99"/>
    <w:semiHidden/>
    <w:unhideWhenUsed/>
    <w:rsid w:val="00A17D4D"/>
  </w:style>
  <w:style w:type="table" w:customStyle="1" w:styleId="Grilledutableau23">
    <w:name w:val="Grille du tableau23"/>
    <w:basedOn w:val="TableNormal"/>
    <w:next w:val="TableGrid00"/>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A17D4D"/>
  </w:style>
  <w:style w:type="numbering" w:customStyle="1" w:styleId="1ai14">
    <w:name w:val="1 / a / i14"/>
    <w:basedOn w:val="NoList"/>
    <w:next w:val="1ai"/>
    <w:rsid w:val="00A17D4D"/>
  </w:style>
  <w:style w:type="numbering" w:customStyle="1" w:styleId="11111114">
    <w:name w:val="1 / 1.1 / 1.1.114"/>
    <w:basedOn w:val="NoList"/>
    <w:next w:val="111111"/>
    <w:rsid w:val="00A17D4D"/>
  </w:style>
  <w:style w:type="numbering" w:customStyle="1" w:styleId="Aucuneliste54">
    <w:name w:val="Aucune liste54"/>
    <w:next w:val="NoList"/>
    <w:uiPriority w:val="99"/>
    <w:semiHidden/>
    <w:unhideWhenUsed/>
    <w:rsid w:val="00A17D4D"/>
  </w:style>
  <w:style w:type="table" w:customStyle="1" w:styleId="Grilledutableau33">
    <w:name w:val="Grille du tableau33"/>
    <w:basedOn w:val="TableNormal"/>
    <w:next w:val="TableGrid00"/>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A17D4D"/>
  </w:style>
  <w:style w:type="table" w:customStyle="1" w:styleId="Grilledutableau43">
    <w:name w:val="Grille du tableau43"/>
    <w:basedOn w:val="TableNormal"/>
    <w:next w:val="TableGrid00"/>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A17D4D"/>
  </w:style>
  <w:style w:type="numbering" w:customStyle="1" w:styleId="Aucuneliste84">
    <w:name w:val="Aucune liste84"/>
    <w:next w:val="NoList"/>
    <w:uiPriority w:val="99"/>
    <w:semiHidden/>
    <w:unhideWhenUsed/>
    <w:rsid w:val="00A17D4D"/>
  </w:style>
  <w:style w:type="table" w:customStyle="1" w:styleId="Grilledutableau53">
    <w:name w:val="Grille du tableau53"/>
    <w:basedOn w:val="TableNormal"/>
    <w:next w:val="TableGrid00"/>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A17D4D"/>
  </w:style>
  <w:style w:type="numbering" w:customStyle="1" w:styleId="NoList114">
    <w:name w:val="No List114"/>
    <w:next w:val="NoList"/>
    <w:uiPriority w:val="99"/>
    <w:semiHidden/>
    <w:unhideWhenUsed/>
    <w:rsid w:val="00A17D4D"/>
  </w:style>
  <w:style w:type="table" w:customStyle="1" w:styleId="TableGrid1130">
    <w:name w:val="Table Grid113"/>
    <w:basedOn w:val="TableNormal"/>
    <w:next w:val="TableGrid00"/>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A17D4D"/>
  </w:style>
  <w:style w:type="table" w:customStyle="1" w:styleId="Grilledutableau63">
    <w:name w:val="Grille du tableau63"/>
    <w:basedOn w:val="TableNormal"/>
    <w:next w:val="TableGrid00"/>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A17D4D"/>
  </w:style>
  <w:style w:type="numbering" w:customStyle="1" w:styleId="ImportedStyle414">
    <w:name w:val="Imported Style 414"/>
    <w:rsid w:val="00A17D4D"/>
  </w:style>
  <w:style w:type="numbering" w:customStyle="1" w:styleId="ImportedStyle514">
    <w:name w:val="Imported Style 514"/>
    <w:rsid w:val="00A17D4D"/>
  </w:style>
  <w:style w:type="numbering" w:customStyle="1" w:styleId="ImportedStyle114">
    <w:name w:val="Imported Style 114"/>
    <w:rsid w:val="00A17D4D"/>
  </w:style>
  <w:style w:type="table" w:customStyle="1" w:styleId="Grilledutableau73">
    <w:name w:val="Grille du tableau73"/>
    <w:basedOn w:val="TableNormal"/>
    <w:next w:val="TableGrid00"/>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A17D4D"/>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A17D4D"/>
    <w:rPr>
      <w:rFonts w:ascii="Ottawa" w:eastAsia="Times New Roman" w:hAnsi="Ottawa" w:cs="Times New Roman"/>
      <w:i/>
      <w:sz w:val="18"/>
      <w:szCs w:val="20"/>
      <w:lang w:bidi="en-US"/>
    </w:rPr>
  </w:style>
  <w:style w:type="character" w:customStyle="1" w:styleId="Normal1">
    <w:name w:val="Normal1"/>
    <w:basedOn w:val="DefaultParagraphFont"/>
    <w:rsid w:val="00A17D4D"/>
  </w:style>
  <w:style w:type="numbering" w:customStyle="1" w:styleId="11111162">
    <w:name w:val="1 / 1.1 / 1.1.162"/>
    <w:basedOn w:val="NoList"/>
    <w:next w:val="111111"/>
    <w:rsid w:val="00A17D4D"/>
  </w:style>
  <w:style w:type="character" w:customStyle="1" w:styleId="tabchar">
    <w:name w:val="tabchar"/>
    <w:basedOn w:val="DefaultParagraphFont"/>
    <w:rsid w:val="00A17D4D"/>
  </w:style>
  <w:style w:type="character" w:customStyle="1" w:styleId="para1Car1">
    <w:name w:val="para 1. Car1"/>
    <w:locked/>
    <w:rsid w:val="00A17D4D"/>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A17D4D"/>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A17D4D"/>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A17D4D"/>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A17D4D"/>
  </w:style>
  <w:style w:type="character" w:customStyle="1" w:styleId="eq0j8">
    <w:name w:val="eq0j8"/>
    <w:basedOn w:val="DefaultParagraphFont"/>
    <w:rsid w:val="00A17D4D"/>
  </w:style>
  <w:style w:type="character" w:customStyle="1" w:styleId="markedcontent">
    <w:name w:val="markedcontent"/>
    <w:basedOn w:val="DefaultParagraphFont"/>
    <w:rsid w:val="00A17D4D"/>
  </w:style>
  <w:style w:type="paragraph" w:customStyle="1" w:styleId="PleaseReviewReport">
    <w:name w:val="PleaseReview_Report"/>
    <w:rsid w:val="00A17D4D"/>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A17D4D"/>
  </w:style>
  <w:style w:type="numbering" w:customStyle="1" w:styleId="ArticleSection9">
    <w:name w:val="Article / Section9"/>
    <w:basedOn w:val="NoList"/>
    <w:next w:val="ArticleSection"/>
    <w:rsid w:val="00A17D4D"/>
  </w:style>
  <w:style w:type="numbering" w:customStyle="1" w:styleId="1ai9">
    <w:name w:val="1 / a / i9"/>
    <w:basedOn w:val="NoList"/>
    <w:next w:val="1ai"/>
    <w:rsid w:val="00A17D4D"/>
  </w:style>
  <w:style w:type="numbering" w:customStyle="1" w:styleId="11111110">
    <w:name w:val="1 / 1.1 / 1.1.110"/>
    <w:basedOn w:val="NoList"/>
    <w:next w:val="111111"/>
    <w:rsid w:val="00A17D4D"/>
  </w:style>
  <w:style w:type="numbering" w:customStyle="1" w:styleId="List08">
    <w:name w:val="List 08"/>
    <w:basedOn w:val="ImportedStyle1"/>
    <w:rsid w:val="00A17D4D"/>
  </w:style>
  <w:style w:type="numbering" w:customStyle="1" w:styleId="List18">
    <w:name w:val="List 18"/>
    <w:basedOn w:val="ImportedStyle2"/>
    <w:rsid w:val="00A17D4D"/>
  </w:style>
  <w:style w:type="numbering" w:customStyle="1" w:styleId="List218">
    <w:name w:val="List 218"/>
    <w:basedOn w:val="ImportedStyle3"/>
    <w:rsid w:val="00A17D4D"/>
  </w:style>
  <w:style w:type="paragraph" w:customStyle="1" w:styleId="pf0">
    <w:name w:val="pf0"/>
    <w:basedOn w:val="Normal"/>
    <w:rsid w:val="00A17D4D"/>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A17D4D"/>
    <w:rPr>
      <w:rFonts w:ascii="Segoe UI" w:hAnsi="Segoe UI" w:cs="Segoe UI" w:hint="default"/>
      <w:sz w:val="18"/>
      <w:szCs w:val="18"/>
    </w:rPr>
  </w:style>
  <w:style w:type="numbering" w:customStyle="1" w:styleId="ImportedStyle425">
    <w:name w:val="Imported Style 425"/>
    <w:rsid w:val="00A17D4D"/>
  </w:style>
  <w:style w:type="numbering" w:customStyle="1" w:styleId="ArticleSection25">
    <w:name w:val="Article / Section25"/>
    <w:basedOn w:val="NoList"/>
    <w:next w:val="ArticleSection"/>
    <w:rsid w:val="00A17D4D"/>
  </w:style>
  <w:style w:type="numbering" w:customStyle="1" w:styleId="1ai25">
    <w:name w:val="1 / a / i25"/>
    <w:basedOn w:val="NoList"/>
    <w:next w:val="1ai"/>
    <w:rsid w:val="00A17D4D"/>
  </w:style>
  <w:style w:type="numbering" w:customStyle="1" w:styleId="11111125">
    <w:name w:val="1 / 1.1 / 1.1.125"/>
    <w:basedOn w:val="NoList"/>
    <w:next w:val="111111"/>
    <w:rsid w:val="00A17D4D"/>
  </w:style>
  <w:style w:type="numbering" w:customStyle="1" w:styleId="List015">
    <w:name w:val="List 015"/>
    <w:basedOn w:val="ImportedStyle1"/>
    <w:rsid w:val="00A17D4D"/>
  </w:style>
  <w:style w:type="numbering" w:customStyle="1" w:styleId="List115">
    <w:name w:val="List 115"/>
    <w:basedOn w:val="ImportedStyle2"/>
    <w:rsid w:val="00A17D4D"/>
  </w:style>
  <w:style w:type="numbering" w:customStyle="1" w:styleId="List2115">
    <w:name w:val="List 2115"/>
    <w:basedOn w:val="ImportedStyle3"/>
    <w:rsid w:val="00A17D4D"/>
  </w:style>
  <w:style w:type="table" w:customStyle="1" w:styleId="TableGrid1220">
    <w:name w:val="Table Grid122"/>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A17D4D"/>
    <w:rPr>
      <w:rFonts w:ascii="Segoe UI" w:hAnsi="Segoe UI" w:cs="Segoe UI" w:hint="default"/>
      <w:i/>
      <w:iCs/>
      <w:sz w:val="18"/>
      <w:szCs w:val="18"/>
    </w:rPr>
  </w:style>
  <w:style w:type="paragraph" w:customStyle="1" w:styleId="Style3">
    <w:name w:val="Style3"/>
    <w:basedOn w:val="Para3i"/>
    <w:qFormat/>
    <w:rsid w:val="00A17D4D"/>
    <w:pPr>
      <w:spacing w:after="120"/>
      <w:ind w:left="1276" w:hanging="425"/>
    </w:pPr>
    <w:rPr>
      <w:rFonts w:ascii="Arial" w:hAnsi="Arial"/>
      <w:sz w:val="18"/>
    </w:rPr>
  </w:style>
  <w:style w:type="character" w:customStyle="1" w:styleId="secondary-date">
    <w:name w:val="secondary-date"/>
    <w:basedOn w:val="DefaultParagraphFont"/>
    <w:rsid w:val="00A17D4D"/>
  </w:style>
  <w:style w:type="character" w:customStyle="1" w:styleId="12">
    <w:name w:val="标题1"/>
    <w:basedOn w:val="DefaultParagraphFont"/>
    <w:rsid w:val="00A17D4D"/>
  </w:style>
  <w:style w:type="numbering" w:customStyle="1" w:styleId="11111152">
    <w:name w:val="1 / 1.1 / 1.1.152"/>
    <w:basedOn w:val="NoList"/>
    <w:next w:val="111111"/>
    <w:rsid w:val="00A17D4D"/>
  </w:style>
  <w:style w:type="numbering" w:customStyle="1" w:styleId="ImportedStyle4232">
    <w:name w:val="Imported Style 4232"/>
    <w:rsid w:val="00A17D4D"/>
  </w:style>
  <w:style w:type="numbering" w:customStyle="1" w:styleId="ImportedStyle5232">
    <w:name w:val="Imported Style 5232"/>
    <w:rsid w:val="00A17D4D"/>
  </w:style>
  <w:style w:type="numbering" w:customStyle="1" w:styleId="ArticleSection232">
    <w:name w:val="Article / Section232"/>
    <w:basedOn w:val="NoList"/>
    <w:next w:val="ArticleSection"/>
    <w:rsid w:val="00A17D4D"/>
  </w:style>
  <w:style w:type="numbering" w:customStyle="1" w:styleId="ImportedStyle462">
    <w:name w:val="Imported Style 462"/>
    <w:rsid w:val="00A17D4D"/>
  </w:style>
  <w:style w:type="numbering" w:customStyle="1" w:styleId="ImportedStyle562">
    <w:name w:val="Imported Style 562"/>
    <w:rsid w:val="00A17D4D"/>
  </w:style>
  <w:style w:type="numbering" w:customStyle="1" w:styleId="ImportedStyle162">
    <w:name w:val="Imported Style 162"/>
    <w:rsid w:val="00A17D4D"/>
  </w:style>
  <w:style w:type="numbering" w:customStyle="1" w:styleId="ArticleSection62">
    <w:name w:val="Article / Section62"/>
    <w:basedOn w:val="NoList"/>
    <w:next w:val="ArticleSection"/>
    <w:rsid w:val="00A17D4D"/>
  </w:style>
  <w:style w:type="numbering" w:customStyle="1" w:styleId="1ai62">
    <w:name w:val="1 / a / i62"/>
    <w:basedOn w:val="NoList"/>
    <w:next w:val="1ai"/>
    <w:rsid w:val="00A17D4D"/>
  </w:style>
  <w:style w:type="numbering" w:customStyle="1" w:styleId="11111163">
    <w:name w:val="1 / 1.1 / 1.1.163"/>
    <w:basedOn w:val="NoList"/>
    <w:next w:val="111111"/>
    <w:rsid w:val="00A17D4D"/>
  </w:style>
  <w:style w:type="numbering" w:customStyle="1" w:styleId="ImportierterStil12">
    <w:name w:val="Importierter Stil: 12"/>
    <w:rsid w:val="00A17D4D"/>
  </w:style>
  <w:style w:type="numbering" w:customStyle="1" w:styleId="1ai511">
    <w:name w:val="1 / a / i511"/>
    <w:basedOn w:val="NoList"/>
    <w:next w:val="1ai"/>
    <w:rsid w:val="00A17D4D"/>
  </w:style>
  <w:style w:type="numbering" w:customStyle="1" w:styleId="111111511">
    <w:name w:val="1 / 1.1 / 1.1.1511"/>
    <w:basedOn w:val="NoList"/>
    <w:next w:val="111111"/>
    <w:rsid w:val="00A17D4D"/>
  </w:style>
  <w:style w:type="numbering" w:customStyle="1" w:styleId="List0411">
    <w:name w:val="List 0411"/>
    <w:basedOn w:val="ImportedStyle1"/>
    <w:rsid w:val="00A17D4D"/>
  </w:style>
  <w:style w:type="numbering" w:customStyle="1" w:styleId="List1411">
    <w:name w:val="List 1411"/>
    <w:basedOn w:val="ImportedStyle2"/>
    <w:rsid w:val="00A17D4D"/>
  </w:style>
  <w:style w:type="numbering" w:customStyle="1" w:styleId="List21411">
    <w:name w:val="List 21411"/>
    <w:basedOn w:val="ImportedStyle3"/>
    <w:rsid w:val="00A17D4D"/>
  </w:style>
  <w:style w:type="numbering" w:customStyle="1" w:styleId="ImportedStyle42311">
    <w:name w:val="Imported Style 42311"/>
    <w:rsid w:val="00A17D4D"/>
  </w:style>
  <w:style w:type="numbering" w:customStyle="1" w:styleId="List01311">
    <w:name w:val="List 01311"/>
    <w:basedOn w:val="ImportedStyle1"/>
    <w:rsid w:val="00A17D4D"/>
  </w:style>
  <w:style w:type="numbering" w:customStyle="1" w:styleId="ImportedStyle1611">
    <w:name w:val="Imported Style 1611"/>
    <w:rsid w:val="00A17D4D"/>
  </w:style>
  <w:style w:type="numbering" w:customStyle="1" w:styleId="List0511">
    <w:name w:val="List 0511"/>
    <w:basedOn w:val="ImportedStyle1"/>
    <w:rsid w:val="00A17D4D"/>
  </w:style>
  <w:style w:type="numbering" w:customStyle="1" w:styleId="List21511">
    <w:name w:val="List 21511"/>
    <w:basedOn w:val="ImportedStyle3"/>
    <w:rsid w:val="00A17D4D"/>
  </w:style>
  <w:style w:type="numbering" w:customStyle="1" w:styleId="ImportierterStil111">
    <w:name w:val="Importierter Stil: 111"/>
    <w:rsid w:val="00A17D4D"/>
  </w:style>
  <w:style w:type="numbering" w:customStyle="1" w:styleId="111111711">
    <w:name w:val="1 / 1.1 / 1.1.1711"/>
    <w:basedOn w:val="NoList"/>
    <w:next w:val="111111"/>
    <w:rsid w:val="00A17D4D"/>
  </w:style>
  <w:style w:type="numbering" w:customStyle="1" w:styleId="ImportedStyle481">
    <w:name w:val="Imported Style 481"/>
    <w:rsid w:val="00A17D4D"/>
  </w:style>
  <w:style w:type="numbering" w:customStyle="1" w:styleId="ImportedStyle581">
    <w:name w:val="Imported Style 581"/>
    <w:rsid w:val="00A17D4D"/>
  </w:style>
  <w:style w:type="numbering" w:customStyle="1" w:styleId="ImportedStyle181">
    <w:name w:val="Imported Style 181"/>
    <w:rsid w:val="00A17D4D"/>
  </w:style>
  <w:style w:type="numbering" w:customStyle="1" w:styleId="ArticleSection81">
    <w:name w:val="Article / Section81"/>
    <w:basedOn w:val="NoList"/>
    <w:next w:val="ArticleSection"/>
    <w:rsid w:val="00A17D4D"/>
  </w:style>
  <w:style w:type="numbering" w:customStyle="1" w:styleId="1ai81">
    <w:name w:val="1 / a / i81"/>
    <w:basedOn w:val="NoList"/>
    <w:next w:val="1ai"/>
    <w:rsid w:val="00A17D4D"/>
  </w:style>
  <w:style w:type="numbering" w:customStyle="1" w:styleId="List071">
    <w:name w:val="List 071"/>
    <w:basedOn w:val="ImportedStyle1"/>
    <w:rsid w:val="00A17D4D"/>
  </w:style>
  <w:style w:type="numbering" w:customStyle="1" w:styleId="List171">
    <w:name w:val="List 171"/>
    <w:basedOn w:val="ImportedStyle2"/>
    <w:rsid w:val="00A17D4D"/>
  </w:style>
  <w:style w:type="numbering" w:customStyle="1" w:styleId="List2171">
    <w:name w:val="List 2171"/>
    <w:basedOn w:val="ImportedStyle3"/>
    <w:rsid w:val="00A17D4D"/>
  </w:style>
  <w:style w:type="numbering" w:customStyle="1" w:styleId="111111621">
    <w:name w:val="1 / 1.1 / 1.1.1621"/>
    <w:basedOn w:val="NoList"/>
    <w:next w:val="111111"/>
    <w:rsid w:val="00A17D4D"/>
  </w:style>
  <w:style w:type="table" w:customStyle="1" w:styleId="TableGrid18">
    <w:name w:val="Table Grid18"/>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A17D4D"/>
  </w:style>
  <w:style w:type="numbering" w:customStyle="1" w:styleId="ArticleSection26">
    <w:name w:val="Article / Section26"/>
    <w:basedOn w:val="NoList"/>
    <w:next w:val="ArticleSection"/>
    <w:rsid w:val="00A17D4D"/>
  </w:style>
  <w:style w:type="numbering" w:customStyle="1" w:styleId="1ai26">
    <w:name w:val="1 / a / i26"/>
    <w:basedOn w:val="NoList"/>
    <w:next w:val="1ai"/>
    <w:rsid w:val="00A17D4D"/>
  </w:style>
  <w:style w:type="numbering" w:customStyle="1" w:styleId="11111126">
    <w:name w:val="1 / 1.1 / 1.1.126"/>
    <w:basedOn w:val="NoList"/>
    <w:next w:val="111111"/>
    <w:rsid w:val="00A17D4D"/>
  </w:style>
  <w:style w:type="numbering" w:customStyle="1" w:styleId="List016">
    <w:name w:val="List 016"/>
    <w:basedOn w:val="ImportedStyle1"/>
    <w:rsid w:val="00A17D4D"/>
  </w:style>
  <w:style w:type="numbering" w:customStyle="1" w:styleId="List116">
    <w:name w:val="List 116"/>
    <w:basedOn w:val="ImportedStyle2"/>
    <w:rsid w:val="00A17D4D"/>
  </w:style>
  <w:style w:type="numbering" w:customStyle="1" w:styleId="List2116">
    <w:name w:val="List 2116"/>
    <w:basedOn w:val="ImportedStyle3"/>
    <w:rsid w:val="00A17D4D"/>
  </w:style>
  <w:style w:type="table" w:customStyle="1" w:styleId="TableGrid123">
    <w:name w:val="Table Grid123"/>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A17D4D"/>
  </w:style>
  <w:style w:type="numbering" w:customStyle="1" w:styleId="ImportedStyle4233">
    <w:name w:val="Imported Style 4233"/>
    <w:rsid w:val="00A17D4D"/>
  </w:style>
  <w:style w:type="numbering" w:customStyle="1" w:styleId="ImportedStyle5233">
    <w:name w:val="Imported Style 5233"/>
    <w:rsid w:val="00A17D4D"/>
  </w:style>
  <w:style w:type="numbering" w:customStyle="1" w:styleId="ArticleSection233">
    <w:name w:val="Article / Section233"/>
    <w:basedOn w:val="NoList"/>
    <w:next w:val="ArticleSection"/>
    <w:rsid w:val="00A17D4D"/>
  </w:style>
  <w:style w:type="numbering" w:customStyle="1" w:styleId="ImportedStyle463">
    <w:name w:val="Imported Style 463"/>
    <w:rsid w:val="00A17D4D"/>
  </w:style>
  <w:style w:type="numbering" w:customStyle="1" w:styleId="ImportedStyle563">
    <w:name w:val="Imported Style 563"/>
    <w:rsid w:val="00A17D4D"/>
  </w:style>
  <w:style w:type="numbering" w:customStyle="1" w:styleId="ImportedStyle163">
    <w:name w:val="Imported Style 163"/>
    <w:rsid w:val="00A17D4D"/>
  </w:style>
  <w:style w:type="numbering" w:customStyle="1" w:styleId="ArticleSection63">
    <w:name w:val="Article / Section63"/>
    <w:basedOn w:val="NoList"/>
    <w:next w:val="ArticleSection"/>
    <w:rsid w:val="00A17D4D"/>
  </w:style>
  <w:style w:type="numbering" w:customStyle="1" w:styleId="1ai63">
    <w:name w:val="1 / a / i63"/>
    <w:basedOn w:val="NoList"/>
    <w:next w:val="1ai"/>
    <w:rsid w:val="00A17D4D"/>
  </w:style>
  <w:style w:type="numbering" w:customStyle="1" w:styleId="11111164">
    <w:name w:val="1 / 1.1 / 1.1.164"/>
    <w:basedOn w:val="NoList"/>
    <w:next w:val="111111"/>
    <w:rsid w:val="00A17D4D"/>
  </w:style>
  <w:style w:type="numbering" w:customStyle="1" w:styleId="ImportierterStil13">
    <w:name w:val="Importierter Stil: 13"/>
    <w:rsid w:val="00A17D4D"/>
  </w:style>
  <w:style w:type="numbering" w:customStyle="1" w:styleId="1ai512">
    <w:name w:val="1 / a / i512"/>
    <w:basedOn w:val="NoList"/>
    <w:next w:val="1ai"/>
    <w:rsid w:val="00A17D4D"/>
  </w:style>
  <w:style w:type="numbering" w:customStyle="1" w:styleId="111111512">
    <w:name w:val="1 / 1.1 / 1.1.1512"/>
    <w:basedOn w:val="NoList"/>
    <w:next w:val="111111"/>
    <w:rsid w:val="00A17D4D"/>
  </w:style>
  <w:style w:type="numbering" w:customStyle="1" w:styleId="List0412">
    <w:name w:val="List 0412"/>
    <w:basedOn w:val="ImportedStyle1"/>
    <w:rsid w:val="00A17D4D"/>
  </w:style>
  <w:style w:type="numbering" w:customStyle="1" w:styleId="List1412">
    <w:name w:val="List 1412"/>
    <w:basedOn w:val="ImportedStyle2"/>
    <w:rsid w:val="00A17D4D"/>
  </w:style>
  <w:style w:type="numbering" w:customStyle="1" w:styleId="List21412">
    <w:name w:val="List 21412"/>
    <w:basedOn w:val="ImportedStyle3"/>
    <w:rsid w:val="00A17D4D"/>
  </w:style>
  <w:style w:type="numbering" w:customStyle="1" w:styleId="ImportedStyle42312">
    <w:name w:val="Imported Style 42312"/>
    <w:rsid w:val="00A17D4D"/>
  </w:style>
  <w:style w:type="numbering" w:customStyle="1" w:styleId="List01312">
    <w:name w:val="List 01312"/>
    <w:basedOn w:val="ImportedStyle1"/>
    <w:rsid w:val="00A17D4D"/>
  </w:style>
  <w:style w:type="numbering" w:customStyle="1" w:styleId="ImportedStyle1612">
    <w:name w:val="Imported Style 1612"/>
    <w:rsid w:val="00A17D4D"/>
  </w:style>
  <w:style w:type="numbering" w:customStyle="1" w:styleId="List0512">
    <w:name w:val="List 0512"/>
    <w:basedOn w:val="ImportedStyle1"/>
    <w:rsid w:val="00A17D4D"/>
  </w:style>
  <w:style w:type="numbering" w:customStyle="1" w:styleId="List21512">
    <w:name w:val="List 21512"/>
    <w:basedOn w:val="ImportedStyle3"/>
    <w:rsid w:val="00A17D4D"/>
  </w:style>
  <w:style w:type="numbering" w:customStyle="1" w:styleId="ImportierterStil112">
    <w:name w:val="Importierter Stil: 112"/>
    <w:rsid w:val="00A17D4D"/>
  </w:style>
  <w:style w:type="numbering" w:customStyle="1" w:styleId="111111712">
    <w:name w:val="1 / 1.1 / 1.1.1712"/>
    <w:basedOn w:val="NoList"/>
    <w:next w:val="111111"/>
    <w:rsid w:val="00A17D4D"/>
  </w:style>
  <w:style w:type="numbering" w:customStyle="1" w:styleId="ImportedStyle482">
    <w:name w:val="Imported Style 482"/>
    <w:rsid w:val="00A17D4D"/>
  </w:style>
  <w:style w:type="numbering" w:customStyle="1" w:styleId="ImportedStyle582">
    <w:name w:val="Imported Style 582"/>
    <w:rsid w:val="00A17D4D"/>
  </w:style>
  <w:style w:type="numbering" w:customStyle="1" w:styleId="ImportedStyle182">
    <w:name w:val="Imported Style 182"/>
    <w:rsid w:val="00A17D4D"/>
  </w:style>
  <w:style w:type="numbering" w:customStyle="1" w:styleId="ArticleSection82">
    <w:name w:val="Article / Section82"/>
    <w:basedOn w:val="NoList"/>
    <w:next w:val="ArticleSection"/>
    <w:rsid w:val="00A17D4D"/>
  </w:style>
  <w:style w:type="numbering" w:customStyle="1" w:styleId="1ai82">
    <w:name w:val="1 / a / i82"/>
    <w:basedOn w:val="NoList"/>
    <w:next w:val="1ai"/>
    <w:rsid w:val="00A17D4D"/>
  </w:style>
  <w:style w:type="numbering" w:customStyle="1" w:styleId="List072">
    <w:name w:val="List 072"/>
    <w:basedOn w:val="ImportedStyle1"/>
    <w:rsid w:val="00A17D4D"/>
  </w:style>
  <w:style w:type="numbering" w:customStyle="1" w:styleId="List172">
    <w:name w:val="List 172"/>
    <w:basedOn w:val="ImportedStyle2"/>
    <w:rsid w:val="00A17D4D"/>
  </w:style>
  <w:style w:type="numbering" w:customStyle="1" w:styleId="List2172">
    <w:name w:val="List 2172"/>
    <w:basedOn w:val="ImportedStyle3"/>
    <w:rsid w:val="00A17D4D"/>
  </w:style>
  <w:style w:type="numbering" w:customStyle="1" w:styleId="111111622">
    <w:name w:val="1 / 1.1 / 1.1.1622"/>
    <w:basedOn w:val="NoList"/>
    <w:next w:val="111111"/>
    <w:rsid w:val="00A17D4D"/>
  </w:style>
  <w:style w:type="paragraph" w:styleId="Index1">
    <w:name w:val="index 1"/>
    <w:basedOn w:val="Normal"/>
    <w:next w:val="Normal"/>
    <w:autoRedefine/>
    <w:uiPriority w:val="99"/>
    <w:semiHidden/>
    <w:unhideWhenUsed/>
    <w:rsid w:val="00A17D4D"/>
    <w:pPr>
      <w:spacing w:after="0" w:line="240" w:lineRule="auto"/>
      <w:ind w:left="220" w:hanging="220"/>
    </w:pPr>
    <w:rPr>
      <w:lang w:val="en-CA"/>
    </w:rPr>
  </w:style>
  <w:style w:type="paragraph" w:styleId="Index2">
    <w:name w:val="index 2"/>
    <w:basedOn w:val="Normal"/>
    <w:next w:val="Normal"/>
    <w:autoRedefine/>
    <w:uiPriority w:val="99"/>
    <w:semiHidden/>
    <w:unhideWhenUsed/>
    <w:rsid w:val="00A17D4D"/>
    <w:pPr>
      <w:spacing w:after="0" w:line="240" w:lineRule="auto"/>
      <w:ind w:left="440" w:hanging="220"/>
    </w:pPr>
    <w:rPr>
      <w:lang w:val="en-CA"/>
    </w:rPr>
  </w:style>
  <w:style w:type="paragraph" w:styleId="Index3">
    <w:name w:val="index 3"/>
    <w:basedOn w:val="Normal"/>
    <w:next w:val="Normal"/>
    <w:autoRedefine/>
    <w:uiPriority w:val="99"/>
    <w:semiHidden/>
    <w:unhideWhenUsed/>
    <w:rsid w:val="00A17D4D"/>
    <w:pPr>
      <w:spacing w:after="0" w:line="240" w:lineRule="auto"/>
      <w:ind w:left="660" w:hanging="220"/>
    </w:pPr>
    <w:rPr>
      <w:lang w:val="en-CA"/>
    </w:rPr>
  </w:style>
  <w:style w:type="paragraph" w:styleId="Index4">
    <w:name w:val="index 4"/>
    <w:basedOn w:val="Normal"/>
    <w:next w:val="Normal"/>
    <w:autoRedefine/>
    <w:uiPriority w:val="99"/>
    <w:semiHidden/>
    <w:unhideWhenUsed/>
    <w:rsid w:val="00A17D4D"/>
    <w:pPr>
      <w:spacing w:after="0" w:line="240" w:lineRule="auto"/>
      <w:ind w:left="880" w:hanging="220"/>
    </w:pPr>
    <w:rPr>
      <w:lang w:val="en-CA"/>
    </w:rPr>
  </w:style>
  <w:style w:type="paragraph" w:styleId="Index5">
    <w:name w:val="index 5"/>
    <w:basedOn w:val="Normal"/>
    <w:next w:val="Normal"/>
    <w:autoRedefine/>
    <w:uiPriority w:val="99"/>
    <w:semiHidden/>
    <w:unhideWhenUsed/>
    <w:rsid w:val="00A17D4D"/>
    <w:pPr>
      <w:spacing w:after="0" w:line="240" w:lineRule="auto"/>
      <w:ind w:left="1100" w:hanging="220"/>
    </w:pPr>
    <w:rPr>
      <w:lang w:val="en-CA"/>
    </w:rPr>
  </w:style>
  <w:style w:type="paragraph" w:styleId="Index6">
    <w:name w:val="index 6"/>
    <w:basedOn w:val="Normal"/>
    <w:next w:val="Normal"/>
    <w:autoRedefine/>
    <w:uiPriority w:val="99"/>
    <w:semiHidden/>
    <w:unhideWhenUsed/>
    <w:rsid w:val="00A17D4D"/>
    <w:pPr>
      <w:spacing w:after="0" w:line="240" w:lineRule="auto"/>
      <w:ind w:left="1320" w:hanging="220"/>
    </w:pPr>
    <w:rPr>
      <w:lang w:val="en-CA"/>
    </w:rPr>
  </w:style>
  <w:style w:type="paragraph" w:styleId="Index7">
    <w:name w:val="index 7"/>
    <w:basedOn w:val="Normal"/>
    <w:next w:val="Normal"/>
    <w:autoRedefine/>
    <w:uiPriority w:val="99"/>
    <w:semiHidden/>
    <w:unhideWhenUsed/>
    <w:rsid w:val="00A17D4D"/>
    <w:pPr>
      <w:spacing w:after="0" w:line="240" w:lineRule="auto"/>
      <w:ind w:left="1540" w:hanging="220"/>
    </w:pPr>
    <w:rPr>
      <w:lang w:val="en-CA"/>
    </w:rPr>
  </w:style>
  <w:style w:type="paragraph" w:styleId="Index8">
    <w:name w:val="index 8"/>
    <w:basedOn w:val="Normal"/>
    <w:next w:val="Normal"/>
    <w:autoRedefine/>
    <w:uiPriority w:val="99"/>
    <w:semiHidden/>
    <w:unhideWhenUsed/>
    <w:rsid w:val="00A17D4D"/>
    <w:pPr>
      <w:spacing w:after="0" w:line="240" w:lineRule="auto"/>
      <w:ind w:left="1760" w:hanging="220"/>
    </w:pPr>
    <w:rPr>
      <w:lang w:val="en-CA"/>
    </w:rPr>
  </w:style>
  <w:style w:type="paragraph" w:styleId="Index9">
    <w:name w:val="index 9"/>
    <w:basedOn w:val="Normal"/>
    <w:next w:val="Normal"/>
    <w:autoRedefine/>
    <w:uiPriority w:val="99"/>
    <w:semiHidden/>
    <w:unhideWhenUsed/>
    <w:rsid w:val="00A17D4D"/>
    <w:pPr>
      <w:spacing w:after="0" w:line="240" w:lineRule="auto"/>
      <w:ind w:left="1980" w:hanging="220"/>
    </w:pPr>
    <w:rPr>
      <w:lang w:val="en-CA"/>
    </w:rPr>
  </w:style>
  <w:style w:type="paragraph" w:styleId="ListNumber">
    <w:name w:val="List Number"/>
    <w:basedOn w:val="Normal"/>
    <w:uiPriority w:val="99"/>
    <w:semiHidden/>
    <w:unhideWhenUsed/>
    <w:rsid w:val="00A17D4D"/>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A17D4D"/>
    <w:pPr>
      <w:spacing w:after="0"/>
    </w:pPr>
    <w:rPr>
      <w:lang w:val="en-CA"/>
    </w:rPr>
  </w:style>
  <w:style w:type="paragraph" w:styleId="TableofAuthorities">
    <w:name w:val="table of authorities"/>
    <w:basedOn w:val="Normal"/>
    <w:next w:val="Normal"/>
    <w:uiPriority w:val="99"/>
    <w:semiHidden/>
    <w:unhideWhenUsed/>
    <w:rsid w:val="00A17D4D"/>
    <w:pPr>
      <w:spacing w:after="0"/>
      <w:ind w:left="220" w:hanging="220"/>
    </w:pPr>
    <w:rPr>
      <w:lang w:val="en-CA"/>
    </w:rPr>
  </w:style>
  <w:style w:type="paragraph" w:styleId="MacroText">
    <w:name w:val="macro"/>
    <w:link w:val="MacroTextChar"/>
    <w:uiPriority w:val="99"/>
    <w:semiHidden/>
    <w:unhideWhenUsed/>
    <w:rsid w:val="00A17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A17D4D"/>
    <w:rPr>
      <w:rFonts w:ascii="Consolas" w:hAnsi="Consolas"/>
      <w:sz w:val="20"/>
      <w:szCs w:val="20"/>
      <w:lang w:val="en-CA"/>
    </w:rPr>
  </w:style>
  <w:style w:type="paragraph" w:styleId="IndexHeading">
    <w:name w:val="index heading"/>
    <w:basedOn w:val="Normal"/>
    <w:next w:val="Index1"/>
    <w:uiPriority w:val="99"/>
    <w:semiHidden/>
    <w:unhideWhenUsed/>
    <w:rsid w:val="00A17D4D"/>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A17D4D"/>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A17D4D"/>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A17D4D"/>
    <w:rPr>
      <w:rFonts w:ascii="Söhne Halbfett" w:hAnsi="Söhne Halbfett"/>
      <w:b/>
    </w:rPr>
  </w:style>
  <w:style w:type="paragraph" w:customStyle="1" w:styleId="WOAHChapterNumber">
    <w:name w:val="WOAH_Chapter Number"/>
    <w:basedOn w:val="Heading3"/>
    <w:qFormat/>
    <w:rsid w:val="00A17D4D"/>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A17D4D"/>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A17D4D"/>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A17D4D"/>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rPr>
  </w:style>
  <w:style w:type="table" w:customStyle="1" w:styleId="TableGrid80">
    <w:name w:val="Table Grid8"/>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A17D4D"/>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A17D4D"/>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A17D4D"/>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A17D4D"/>
    <w:rPr>
      <w:i/>
      <w:iCs/>
      <w:color w:val="E77E67"/>
    </w:rPr>
  </w:style>
  <w:style w:type="paragraph" w:customStyle="1" w:styleId="WOAHAnnexReportTitle">
    <w:name w:val="WOAH Annex Report Title"/>
    <w:basedOn w:val="Normal"/>
    <w:next w:val="WOAHAnnexReportSubtitle"/>
    <w:qFormat/>
    <w:locked/>
    <w:rsid w:val="00A17D4D"/>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A17D4D"/>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A17D4D"/>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A17D4D"/>
    <w:rPr>
      <w:rFonts w:ascii="Arial" w:eastAsia="Malgun Gothic" w:hAnsi="Arial" w:cs="Arial"/>
      <w:b/>
      <w:bCs/>
      <w:sz w:val="18"/>
      <w:szCs w:val="20"/>
      <w:lang w:val="en-GB" w:eastAsia="en-GB"/>
    </w:rPr>
  </w:style>
  <w:style w:type="paragraph" w:customStyle="1" w:styleId="WOAHNH3">
    <w:name w:val="WOAH NH3"/>
    <w:basedOn w:val="Normal"/>
    <w:next w:val="WOAHL3Para"/>
    <w:qFormat/>
    <w:rsid w:val="00A17D4D"/>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A17D4D"/>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A17D4D"/>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A17D4D"/>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A17D4D"/>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A17D4D"/>
    <w:rPr>
      <w:rFonts w:eastAsia="Malgun Gothic" w:cs="Calibri"/>
      <w:sz w:val="16"/>
      <w:szCs w:val="16"/>
      <w:lang w:val="en-GB" w:eastAsia="en-GB"/>
    </w:rPr>
  </w:style>
  <w:style w:type="paragraph" w:customStyle="1" w:styleId="WOAHAppendixNoRodd">
    <w:name w:val="WOAH AppendixNo R (odd)"/>
    <w:basedOn w:val="Normal"/>
    <w:qFormat/>
    <w:locked/>
    <w:rsid w:val="00A17D4D"/>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A17D4D"/>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A17D4D"/>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A17D4D"/>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A17D4D"/>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A17D4D"/>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A17D4D"/>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A17D4D"/>
    <w:pPr>
      <w:jc w:val="both"/>
    </w:pPr>
    <w:rPr>
      <w:rFonts w:ascii="Arial" w:hAnsi="Arial"/>
      <w:sz w:val="20"/>
      <w:lang w:val="en-GB"/>
    </w:rPr>
  </w:style>
  <w:style w:type="paragraph" w:customStyle="1" w:styleId="WOAHL2Paraunderlined">
    <w:name w:val="WOAH L2 Para underlined"/>
    <w:basedOn w:val="WOAHL2Para"/>
    <w:next w:val="WOAHL2Para"/>
    <w:qFormat/>
    <w:rsid w:val="00A17D4D"/>
    <w:rPr>
      <w:u w:val="single"/>
    </w:rPr>
  </w:style>
  <w:style w:type="paragraph" w:customStyle="1" w:styleId="WOAHL3Paraunderlined">
    <w:name w:val="WOAH L3 Para underlined"/>
    <w:basedOn w:val="WOAHL3Para"/>
    <w:next w:val="WOAHL3Para"/>
    <w:qFormat/>
    <w:rsid w:val="00A17D4D"/>
    <w:rPr>
      <w:u w:val="single"/>
    </w:rPr>
  </w:style>
  <w:style w:type="table" w:customStyle="1" w:styleId="GridTable1Light12">
    <w:name w:val="Grid Table 1 Light12"/>
    <w:basedOn w:val="TableNormal"/>
    <w:next w:val="GridTable1Light"/>
    <w:uiPriority w:val="46"/>
    <w:locked/>
    <w:rsid w:val="00A17D4D"/>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A17D4D"/>
    <w:tblPr/>
  </w:style>
  <w:style w:type="table" w:customStyle="1" w:styleId="ListTable1Light1">
    <w:name w:val="List Table 1 Light1"/>
    <w:basedOn w:val="TableNormal"/>
    <w:next w:val="ListTable1Light"/>
    <w:uiPriority w:val="46"/>
    <w:locked/>
    <w:rsid w:val="00A17D4D"/>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A17D4D"/>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A17D4D"/>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A17D4D"/>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A17D4D"/>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A17D4D"/>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A17D4D"/>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A17D4D"/>
    <w:rPr>
      <w:color w:val="2B579A"/>
      <w:shd w:val="clear" w:color="auto" w:fill="E1DFDD"/>
    </w:rPr>
  </w:style>
  <w:style w:type="paragraph" w:customStyle="1" w:styleId="WOAHLevel2List">
    <w:name w:val="WOAH Level 2 List"/>
    <w:basedOn w:val="WOAHL2Para"/>
    <w:link w:val="WOAHLevel2ListChar"/>
    <w:qFormat/>
    <w:rsid w:val="00A17D4D"/>
    <w:pPr>
      <w:numPr>
        <w:numId w:val="66"/>
      </w:numPr>
      <w:spacing w:after="120"/>
      <w:ind w:left="992" w:hanging="567"/>
    </w:pPr>
  </w:style>
  <w:style w:type="character" w:customStyle="1" w:styleId="WOAHLevel2ListChar">
    <w:name w:val="WOAH Level 2 List Char"/>
    <w:basedOn w:val="DefaultParagraphFont"/>
    <w:link w:val="WOAHLevel2List"/>
    <w:rsid w:val="00A17D4D"/>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A17D4D"/>
    <w:pPr>
      <w:ind w:left="1276" w:hanging="284"/>
    </w:pPr>
  </w:style>
  <w:style w:type="character" w:customStyle="1" w:styleId="WOAHLevel3ListChar">
    <w:name w:val="WOAH Level 3 List Char"/>
    <w:basedOn w:val="WOAHLevel2ListChar"/>
    <w:link w:val="WOAHLevel3List"/>
    <w:rsid w:val="00A17D4D"/>
    <w:rPr>
      <w:rFonts w:ascii="Arial" w:eastAsia="Malgun Gothic" w:hAnsi="Arial" w:cs="Times New Roman"/>
      <w:sz w:val="18"/>
      <w:szCs w:val="20"/>
      <w:lang w:val="en-GB" w:eastAsia="en-GB"/>
    </w:rPr>
  </w:style>
  <w:style w:type="paragraph" w:customStyle="1" w:styleId="ReportTitle">
    <w:name w:val="Report_Title"/>
    <w:basedOn w:val="Normal"/>
    <w:qFormat/>
    <w:locked/>
    <w:rsid w:val="00A17D4D"/>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A17D4D"/>
    <w:rPr>
      <w:rFonts w:ascii="Arial" w:hAnsi="Arial"/>
      <w:i/>
      <w:sz w:val="18"/>
    </w:rPr>
  </w:style>
  <w:style w:type="table" w:customStyle="1" w:styleId="LightShading-Accent11">
    <w:name w:val="Light Shading - Accent 11"/>
    <w:basedOn w:val="TableNormal"/>
    <w:next w:val="LightShading-Accent1"/>
    <w:uiPriority w:val="60"/>
    <w:locked/>
    <w:rsid w:val="00A17D4D"/>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A17D4D"/>
    <w:pPr>
      <w:spacing w:after="100"/>
      <w:ind w:left="880"/>
    </w:pPr>
    <w:rPr>
      <w:rFonts w:eastAsia="Yu Mincho"/>
      <w:lang w:val="en-CA" w:eastAsia="en-CA"/>
    </w:rPr>
  </w:style>
  <w:style w:type="table" w:customStyle="1" w:styleId="TableGrid1100">
    <w:name w:val="Table Grid110"/>
    <w:basedOn w:val="TableNormal"/>
    <w:next w:val="TableGrid"/>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A17D4D"/>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A17D4D"/>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A17D4D"/>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A17D4D"/>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A17D4D"/>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A17D4D"/>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A17D4D"/>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A17D4D"/>
    <w:pPr>
      <w:spacing w:after="0" w:line="240" w:lineRule="auto"/>
    </w:pPr>
  </w:style>
  <w:style w:type="paragraph" w:customStyle="1" w:styleId="En-tte11">
    <w:name w:val="En-tête11"/>
    <w:basedOn w:val="Normal"/>
    <w:next w:val="Header"/>
    <w:uiPriority w:val="99"/>
    <w:unhideWhenUsed/>
    <w:rsid w:val="00A17D4D"/>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A17D4D"/>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A17D4D"/>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A17D4D"/>
    <w:rPr>
      <w:color w:val="954F72"/>
      <w:u w:val="single"/>
    </w:rPr>
  </w:style>
  <w:style w:type="paragraph" w:customStyle="1" w:styleId="TOC11">
    <w:name w:val="TOC 11"/>
    <w:basedOn w:val="Normal"/>
    <w:next w:val="TOC1"/>
    <w:uiPriority w:val="39"/>
    <w:qFormat/>
    <w:rsid w:val="00A17D4D"/>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A17D4D"/>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A17D4D"/>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A17D4D"/>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A17D4D"/>
    <w:rPr>
      <w:sz w:val="20"/>
      <w:szCs w:val="20"/>
    </w:rPr>
  </w:style>
  <w:style w:type="character" w:customStyle="1" w:styleId="CommentSubjectChar2">
    <w:name w:val="Comment Subject Char2"/>
    <w:basedOn w:val="CommentTextChar3"/>
    <w:uiPriority w:val="99"/>
    <w:semiHidden/>
    <w:rsid w:val="00A17D4D"/>
    <w:rPr>
      <w:b/>
      <w:bCs/>
      <w:sz w:val="20"/>
      <w:szCs w:val="20"/>
    </w:rPr>
  </w:style>
  <w:style w:type="character" w:customStyle="1" w:styleId="BalloonTextChar2">
    <w:name w:val="Balloon Text Char2"/>
    <w:basedOn w:val="DefaultParagraphFont"/>
    <w:uiPriority w:val="99"/>
    <w:semiHidden/>
    <w:rsid w:val="00A17D4D"/>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A17D4D"/>
  </w:style>
  <w:style w:type="character" w:customStyle="1" w:styleId="FooterChar1">
    <w:name w:val="Footer Char1"/>
    <w:aliases w:val=" Car Car Car Car Car Char1, Car Car Car Car Char1,Car Car Car Car Car Char1,Car Car Car Car Char1"/>
    <w:basedOn w:val="DefaultParagraphFont"/>
    <w:uiPriority w:val="99"/>
    <w:semiHidden/>
    <w:rsid w:val="00A17D4D"/>
  </w:style>
  <w:style w:type="character" w:customStyle="1" w:styleId="EndnoteTextChar2">
    <w:name w:val="Endnote Text Char2"/>
    <w:basedOn w:val="DefaultParagraphFont"/>
    <w:uiPriority w:val="99"/>
    <w:semiHidden/>
    <w:rsid w:val="00A17D4D"/>
    <w:rPr>
      <w:sz w:val="20"/>
      <w:szCs w:val="20"/>
    </w:rPr>
  </w:style>
  <w:style w:type="table" w:customStyle="1" w:styleId="GridTable4-Accent113">
    <w:name w:val="Grid Table 4 - Accent 113"/>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A17D4D"/>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A17D4D"/>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A17D4D"/>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A17D4D"/>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A17D4D"/>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A17D4D"/>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A17D4D"/>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A17D4D"/>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A17D4D"/>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A17D4D"/>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A17D4D"/>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A17D4D"/>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A17D4D"/>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A17D4D"/>
  </w:style>
  <w:style w:type="character" w:customStyle="1" w:styleId="docsum-pmid">
    <w:name w:val="docsum-pmid"/>
    <w:basedOn w:val="DefaultParagraphFont"/>
    <w:rsid w:val="00A17D4D"/>
  </w:style>
  <w:style w:type="character" w:customStyle="1" w:styleId="Titre4">
    <w:name w:val="Titre4"/>
    <w:basedOn w:val="DefaultParagraphFont"/>
    <w:rsid w:val="00A17D4D"/>
  </w:style>
  <w:style w:type="character" w:customStyle="1" w:styleId="Titre5">
    <w:name w:val="Titre5"/>
    <w:basedOn w:val="DefaultParagraphFont"/>
    <w:rsid w:val="00A17D4D"/>
  </w:style>
  <w:style w:type="table" w:customStyle="1" w:styleId="TableGrid90">
    <w:name w:val="Table Grid9"/>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A17D4D"/>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A17D4D"/>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A17D4D"/>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A17D4D"/>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A17D4D"/>
    <w:rPr>
      <w:color w:val="605E5C"/>
      <w:shd w:val="clear" w:color="auto" w:fill="E1DFDD"/>
    </w:rPr>
  </w:style>
  <w:style w:type="table" w:customStyle="1" w:styleId="TableGrid133">
    <w:name w:val="TableGrid13"/>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A17D4D"/>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A17D4D"/>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A17D4D"/>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A17D4D"/>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A17D4D"/>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A17D4D"/>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A17D4D"/>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A17D4D"/>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A17D4D"/>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A17D4D"/>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A17D4D"/>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A17D4D"/>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A17D4D"/>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A17D4D"/>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A17D4D"/>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A17D4D"/>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A17D4D"/>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A17D4D"/>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A17D4D"/>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A17D4D"/>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A17D4D"/>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A17D4D"/>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A17D4D"/>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A17D4D"/>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A17D4D"/>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A17D4D"/>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A17D4D"/>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A17D4D"/>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A17D4D"/>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A17D4D"/>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A17D4D"/>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A17D4D"/>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A17D4D"/>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A17D4D"/>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A17D4D"/>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A17D4D"/>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A17D4D"/>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A17D4D"/>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A17D4D"/>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A17D4D"/>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A17D4D"/>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A17D4D"/>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A17D4D"/>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A17D4D"/>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A17D4D"/>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A17D4D"/>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A17D4D"/>
  </w:style>
  <w:style w:type="character" w:customStyle="1" w:styleId="hilighti">
    <w:name w:val="hilighti"/>
    <w:basedOn w:val="DefaultParagraphFont"/>
    <w:rsid w:val="00A17D4D"/>
  </w:style>
  <w:style w:type="paragraph" w:customStyle="1" w:styleId="IndexHeading1">
    <w:name w:val="Index Heading1"/>
    <w:basedOn w:val="Normal"/>
    <w:next w:val="Index1"/>
    <w:uiPriority w:val="99"/>
    <w:semiHidden/>
    <w:unhideWhenUsed/>
    <w:rsid w:val="00A17D4D"/>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A17D4D"/>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A17D4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A17D4D"/>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A17D4D"/>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A17D4D"/>
  </w:style>
  <w:style w:type="character" w:customStyle="1" w:styleId="ref-journal">
    <w:name w:val="ref-journal"/>
    <w:basedOn w:val="DefaultParagraphFont"/>
    <w:rsid w:val="00A17D4D"/>
  </w:style>
  <w:style w:type="character" w:customStyle="1" w:styleId="ref-vol">
    <w:name w:val="ref-vol"/>
    <w:basedOn w:val="DefaultParagraphFont"/>
    <w:rsid w:val="00A17D4D"/>
  </w:style>
  <w:style w:type="table" w:customStyle="1" w:styleId="TableGrid200">
    <w:name w:val="Table Grid20"/>
    <w:basedOn w:val="TableNormal"/>
    <w:next w:val="TableGrid"/>
    <w:uiPriority w:val="5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A17D4D"/>
    <w:rPr>
      <w:rFonts w:ascii="Times New Roman" w:eastAsia="Times New Roman" w:hAnsi="Times New Roman" w:cs="Arial"/>
      <w:lang w:val="en-CA"/>
    </w:rPr>
  </w:style>
  <w:style w:type="table" w:customStyle="1" w:styleId="TableGrid540">
    <w:name w:val="Table Grid54"/>
    <w:basedOn w:val="TableNormal"/>
    <w:next w:val="TableGrid"/>
    <w:uiPriority w:val="59"/>
    <w:rsid w:val="00A17D4D"/>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A17D4D"/>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A17D4D"/>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A17D4D"/>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A17D4D"/>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A17D4D"/>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A17D4D"/>
  </w:style>
  <w:style w:type="numbering" w:customStyle="1" w:styleId="1ai621">
    <w:name w:val="1 / a / i621"/>
    <w:basedOn w:val="NoList"/>
    <w:next w:val="NoList"/>
    <w:rsid w:val="00A17D4D"/>
  </w:style>
  <w:style w:type="numbering" w:customStyle="1" w:styleId="111111631">
    <w:name w:val="1 / 1.1 / 1.1.1631"/>
    <w:basedOn w:val="NoList"/>
    <w:next w:val="NoList"/>
    <w:rsid w:val="00A17D4D"/>
  </w:style>
  <w:style w:type="numbering" w:customStyle="1" w:styleId="ImportierterStil121">
    <w:name w:val="Importierter Stil: 121"/>
    <w:rsid w:val="00A17D4D"/>
  </w:style>
  <w:style w:type="numbering" w:customStyle="1" w:styleId="List05111">
    <w:name w:val="List 05111"/>
    <w:basedOn w:val="NoList"/>
    <w:rsid w:val="00A17D4D"/>
  </w:style>
  <w:style w:type="numbering" w:customStyle="1" w:styleId="ImportierterStil1111">
    <w:name w:val="Importierter Stil: 1111"/>
    <w:rsid w:val="00A17D4D"/>
  </w:style>
  <w:style w:type="table" w:customStyle="1" w:styleId="TableGrid1811">
    <w:name w:val="Table Grid1811"/>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A17D4D"/>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A17D4D"/>
    <w:rPr>
      <w:rFonts w:ascii="Arial" w:hAnsi="Arial"/>
      <w:sz w:val="22"/>
    </w:rPr>
  </w:style>
  <w:style w:type="table" w:customStyle="1" w:styleId="TableGrid06">
    <w:name w:val="Table Grid06"/>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A17D4D"/>
  </w:style>
  <w:style w:type="character" w:customStyle="1" w:styleId="gmail-eop">
    <w:name w:val="gmail-eop"/>
    <w:basedOn w:val="DefaultParagraphFont"/>
    <w:rsid w:val="00A17D4D"/>
  </w:style>
  <w:style w:type="table" w:customStyle="1" w:styleId="TableGrid116">
    <w:name w:val="Table Grid116"/>
    <w:basedOn w:val="TableNormal"/>
    <w:next w:val="TableGrid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A17D4D"/>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A17D4D"/>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A17D4D"/>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A17D4D"/>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A17D4D"/>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A17D4D"/>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A17D4D"/>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A17D4D"/>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A17D4D"/>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A17D4D"/>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A17D4D"/>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17D4D"/>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17D4D"/>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A17D4D"/>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A17D4D"/>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A17D4D"/>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A17D4D"/>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A17D4D"/>
    <w:pPr>
      <w:spacing w:after="120"/>
      <w:ind w:hanging="425"/>
    </w:pPr>
  </w:style>
  <w:style w:type="character" w:customStyle="1" w:styleId="paraACar">
    <w:name w:val="paraA Car"/>
    <w:link w:val="paraA0"/>
    <w:uiPriority w:val="99"/>
    <w:locked/>
    <w:rsid w:val="00A17D4D"/>
    <w:rPr>
      <w:rFonts w:ascii="Arial" w:eastAsia="Times New Roman" w:hAnsi="Arial" w:cs="Arial"/>
      <w:sz w:val="18"/>
      <w:szCs w:val="18"/>
      <w:lang w:val="en-GB" w:eastAsia="fr-FR"/>
    </w:rPr>
  </w:style>
  <w:style w:type="paragraph" w:customStyle="1" w:styleId="Referencetitle">
    <w:name w:val="Reference_title"/>
    <w:basedOn w:val="Normal"/>
    <w:uiPriority w:val="99"/>
    <w:rsid w:val="00A17D4D"/>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A17D4D"/>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17D4D"/>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A17D4D"/>
  </w:style>
  <w:style w:type="table" w:customStyle="1" w:styleId="TableGrid25">
    <w:name w:val="Table Grid25"/>
    <w:basedOn w:val="TableNormal"/>
    <w:next w:val="TableGrid"/>
    <w:uiPriority w:val="59"/>
    <w:rsid w:val="00A17D4D"/>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A17D4D"/>
  </w:style>
  <w:style w:type="table" w:customStyle="1" w:styleId="TableNormal18">
    <w:name w:val="Table Normal18"/>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A17D4D"/>
  </w:style>
  <w:style w:type="table" w:customStyle="1" w:styleId="TableGrid174">
    <w:name w:val="Table Grid174"/>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A17D4D"/>
    <w:pPr>
      <w:numPr>
        <w:numId w:val="67"/>
      </w:numPr>
    </w:pPr>
  </w:style>
  <w:style w:type="numbering" w:customStyle="1" w:styleId="ArticleSection253">
    <w:name w:val="Article / Section253"/>
    <w:basedOn w:val="NoList"/>
    <w:next w:val="NoList"/>
    <w:rsid w:val="00A17D4D"/>
  </w:style>
  <w:style w:type="numbering" w:customStyle="1" w:styleId="1ai253">
    <w:name w:val="1 / a / i253"/>
    <w:basedOn w:val="NoList"/>
    <w:next w:val="NoList"/>
    <w:rsid w:val="00A17D4D"/>
  </w:style>
  <w:style w:type="numbering" w:customStyle="1" w:styleId="111111253">
    <w:name w:val="1 / 1.1 / 1.1.1253"/>
    <w:basedOn w:val="NoList"/>
    <w:next w:val="NoList"/>
    <w:rsid w:val="00A17D4D"/>
  </w:style>
  <w:style w:type="numbering" w:customStyle="1" w:styleId="List0153">
    <w:name w:val="List 0153"/>
    <w:basedOn w:val="NoList"/>
    <w:rsid w:val="00A17D4D"/>
  </w:style>
  <w:style w:type="table" w:customStyle="1" w:styleId="TableGrid1224">
    <w:name w:val="Table Grid1224"/>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A17D4D"/>
    <w:pPr>
      <w:numPr>
        <w:numId w:val="68"/>
      </w:numPr>
    </w:pPr>
  </w:style>
  <w:style w:type="numbering" w:customStyle="1" w:styleId="ImportedStyle16113">
    <w:name w:val="Imported Style 16113"/>
    <w:rsid w:val="00A17D4D"/>
  </w:style>
  <w:style w:type="table" w:customStyle="1" w:styleId="TableGrid184">
    <w:name w:val="Table Grid184"/>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A17D4D"/>
  </w:style>
  <w:style w:type="numbering" w:customStyle="1" w:styleId="11111157">
    <w:name w:val="1 / 1.1 / 1.1.157"/>
    <w:basedOn w:val="NoList"/>
    <w:next w:val="NoList"/>
    <w:rsid w:val="00A17D4D"/>
  </w:style>
  <w:style w:type="table" w:customStyle="1" w:styleId="TableNormal19">
    <w:name w:val="Table Normal19"/>
    <w:rsid w:val="00A17D4D"/>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A17D4D"/>
  </w:style>
  <w:style w:type="numbering" w:customStyle="1" w:styleId="111111516">
    <w:name w:val="1 / 1.1 / 1.1.1516"/>
    <w:basedOn w:val="NoList"/>
    <w:next w:val="NoList"/>
    <w:rsid w:val="00A17D4D"/>
  </w:style>
  <w:style w:type="numbering" w:customStyle="1" w:styleId="List0416">
    <w:name w:val="List 0416"/>
    <w:basedOn w:val="NoList"/>
    <w:rsid w:val="00A17D4D"/>
  </w:style>
  <w:style w:type="numbering" w:customStyle="1" w:styleId="List21516">
    <w:name w:val="List 21516"/>
    <w:basedOn w:val="NoList"/>
    <w:rsid w:val="00A17D4D"/>
  </w:style>
  <w:style w:type="numbering" w:customStyle="1" w:styleId="111111716">
    <w:name w:val="1 / 1.1 / 1.1.1716"/>
    <w:basedOn w:val="NoList"/>
    <w:next w:val="NoList"/>
    <w:rsid w:val="00A17D4D"/>
  </w:style>
  <w:style w:type="numbering" w:customStyle="1" w:styleId="ImportedStyle186">
    <w:name w:val="Imported Style 186"/>
    <w:rsid w:val="00A17D4D"/>
  </w:style>
  <w:style w:type="numbering" w:customStyle="1" w:styleId="List2176">
    <w:name w:val="List 2176"/>
    <w:basedOn w:val="NoList"/>
    <w:rsid w:val="00A17D4D"/>
  </w:style>
  <w:style w:type="table" w:customStyle="1" w:styleId="TableGrid175">
    <w:name w:val="Table Grid175"/>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A17D4D"/>
  </w:style>
  <w:style w:type="numbering" w:customStyle="1" w:styleId="ArticleSection2541">
    <w:name w:val="Article / Section2541"/>
    <w:basedOn w:val="NoList"/>
    <w:next w:val="NoList"/>
    <w:rsid w:val="00A17D4D"/>
  </w:style>
  <w:style w:type="numbering" w:customStyle="1" w:styleId="1ai254">
    <w:name w:val="1 / a / i254"/>
    <w:basedOn w:val="NoList"/>
    <w:next w:val="NoList"/>
    <w:rsid w:val="00A17D4D"/>
  </w:style>
  <w:style w:type="numbering" w:customStyle="1" w:styleId="111111254">
    <w:name w:val="1 / 1.1 / 1.1.1254"/>
    <w:basedOn w:val="NoList"/>
    <w:next w:val="NoList"/>
    <w:rsid w:val="00A17D4D"/>
  </w:style>
  <w:style w:type="numbering" w:customStyle="1" w:styleId="List01541">
    <w:name w:val="List 01541"/>
    <w:basedOn w:val="NoList"/>
    <w:rsid w:val="00A17D4D"/>
  </w:style>
  <w:style w:type="numbering" w:customStyle="1" w:styleId="List11541">
    <w:name w:val="List 11541"/>
    <w:basedOn w:val="NoList"/>
    <w:rsid w:val="00A17D4D"/>
  </w:style>
  <w:style w:type="numbering" w:customStyle="1" w:styleId="List211541">
    <w:name w:val="List 211541"/>
    <w:basedOn w:val="NoList"/>
    <w:rsid w:val="00A17D4D"/>
  </w:style>
  <w:style w:type="table" w:customStyle="1" w:styleId="TableGrid1225">
    <w:name w:val="Table Grid1225"/>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A17D4D"/>
  </w:style>
  <w:style w:type="numbering" w:customStyle="1" w:styleId="ImportedStyle42324">
    <w:name w:val="Imported Style 42324"/>
    <w:rsid w:val="00A17D4D"/>
  </w:style>
  <w:style w:type="numbering" w:customStyle="1" w:styleId="ImportedStyle52324">
    <w:name w:val="Imported Style 52324"/>
    <w:rsid w:val="00A17D4D"/>
    <w:pPr>
      <w:numPr>
        <w:numId w:val="70"/>
      </w:numPr>
    </w:pPr>
  </w:style>
  <w:style w:type="numbering" w:customStyle="1" w:styleId="ArticleSection23241">
    <w:name w:val="Article / Section23241"/>
    <w:basedOn w:val="NoList"/>
    <w:next w:val="NoList"/>
    <w:rsid w:val="00A17D4D"/>
  </w:style>
  <w:style w:type="numbering" w:customStyle="1" w:styleId="ImportedStyle46241">
    <w:name w:val="Imported Style 46241"/>
    <w:rsid w:val="00A17D4D"/>
  </w:style>
  <w:style w:type="numbering" w:customStyle="1" w:styleId="ImportedStyle56241">
    <w:name w:val="Imported Style 56241"/>
    <w:rsid w:val="00A17D4D"/>
  </w:style>
  <w:style w:type="numbering" w:customStyle="1" w:styleId="ImportedStyle16241">
    <w:name w:val="Imported Style 16241"/>
    <w:rsid w:val="00A17D4D"/>
  </w:style>
  <w:style w:type="numbering" w:customStyle="1" w:styleId="ArticleSection6241">
    <w:name w:val="Article / Section6241"/>
    <w:basedOn w:val="NoList"/>
    <w:next w:val="NoList"/>
    <w:rsid w:val="00A17D4D"/>
  </w:style>
  <w:style w:type="numbering" w:customStyle="1" w:styleId="1ai624">
    <w:name w:val="1 / a / i624"/>
    <w:basedOn w:val="NoList"/>
    <w:next w:val="NoList"/>
    <w:rsid w:val="00A17D4D"/>
    <w:pPr>
      <w:numPr>
        <w:numId w:val="72"/>
      </w:numPr>
    </w:pPr>
  </w:style>
  <w:style w:type="numbering" w:customStyle="1" w:styleId="111111634">
    <w:name w:val="1 / 1.1 / 1.1.1634"/>
    <w:basedOn w:val="NoList"/>
    <w:next w:val="NoList"/>
    <w:rsid w:val="00A17D4D"/>
    <w:pPr>
      <w:numPr>
        <w:numId w:val="71"/>
      </w:numPr>
    </w:pPr>
  </w:style>
  <w:style w:type="numbering" w:customStyle="1" w:styleId="ImportierterStil1241">
    <w:name w:val="Importierter Stil: 1241"/>
    <w:rsid w:val="00A17D4D"/>
  </w:style>
  <w:style w:type="numbering" w:customStyle="1" w:styleId="1ai5115">
    <w:name w:val="1 / a / i5115"/>
    <w:basedOn w:val="NoList"/>
    <w:next w:val="NoList"/>
    <w:rsid w:val="00A17D4D"/>
  </w:style>
  <w:style w:type="numbering" w:customStyle="1" w:styleId="1111115115">
    <w:name w:val="1 / 1.1 / 1.1.15115"/>
    <w:basedOn w:val="NoList"/>
    <w:next w:val="NoList"/>
    <w:rsid w:val="00A17D4D"/>
  </w:style>
  <w:style w:type="numbering" w:customStyle="1" w:styleId="List04115">
    <w:name w:val="List 04115"/>
    <w:basedOn w:val="NoList"/>
    <w:rsid w:val="00A17D4D"/>
  </w:style>
  <w:style w:type="numbering" w:customStyle="1" w:styleId="List14114">
    <w:name w:val="List 14114"/>
    <w:basedOn w:val="NoList"/>
    <w:rsid w:val="00A17D4D"/>
  </w:style>
  <w:style w:type="numbering" w:customStyle="1" w:styleId="List214114">
    <w:name w:val="List 214114"/>
    <w:basedOn w:val="NoList"/>
    <w:rsid w:val="00A17D4D"/>
    <w:pPr>
      <w:numPr>
        <w:numId w:val="69"/>
      </w:numPr>
    </w:pPr>
  </w:style>
  <w:style w:type="numbering" w:customStyle="1" w:styleId="ImportedStyle423114">
    <w:name w:val="Imported Style 423114"/>
    <w:rsid w:val="00A17D4D"/>
  </w:style>
  <w:style w:type="numbering" w:customStyle="1" w:styleId="List013114">
    <w:name w:val="List 013114"/>
    <w:basedOn w:val="NoList"/>
    <w:rsid w:val="00A17D4D"/>
  </w:style>
  <w:style w:type="numbering" w:customStyle="1" w:styleId="ImportedStyle16114">
    <w:name w:val="Imported Style 16114"/>
    <w:rsid w:val="00A17D4D"/>
  </w:style>
  <w:style w:type="numbering" w:customStyle="1" w:styleId="List05114">
    <w:name w:val="List 05114"/>
    <w:basedOn w:val="NoList"/>
    <w:rsid w:val="00A17D4D"/>
    <w:pPr>
      <w:numPr>
        <w:numId w:val="73"/>
      </w:numPr>
    </w:pPr>
  </w:style>
  <w:style w:type="numbering" w:customStyle="1" w:styleId="List215115">
    <w:name w:val="List 215115"/>
    <w:basedOn w:val="NoList"/>
    <w:rsid w:val="00A17D4D"/>
  </w:style>
  <w:style w:type="numbering" w:customStyle="1" w:styleId="ImportierterStil1114">
    <w:name w:val="Importierter Stil: 1114"/>
    <w:rsid w:val="00A17D4D"/>
  </w:style>
  <w:style w:type="numbering" w:customStyle="1" w:styleId="1111117115">
    <w:name w:val="1 / 1.1 / 1.1.17115"/>
    <w:basedOn w:val="NoList"/>
    <w:next w:val="NoList"/>
    <w:rsid w:val="00A17D4D"/>
  </w:style>
  <w:style w:type="numbering" w:customStyle="1" w:styleId="ImportedStyle4814">
    <w:name w:val="Imported Style 4814"/>
    <w:rsid w:val="00A17D4D"/>
  </w:style>
  <w:style w:type="numbering" w:customStyle="1" w:styleId="ImportedStyle5814">
    <w:name w:val="Imported Style 5814"/>
    <w:rsid w:val="00A17D4D"/>
  </w:style>
  <w:style w:type="numbering" w:customStyle="1" w:styleId="ImportedStyle1815">
    <w:name w:val="Imported Style 1815"/>
    <w:rsid w:val="00A17D4D"/>
  </w:style>
  <w:style w:type="numbering" w:customStyle="1" w:styleId="ArticleSection814">
    <w:name w:val="Article / Section814"/>
    <w:basedOn w:val="NoList"/>
    <w:next w:val="NoList"/>
    <w:rsid w:val="00A17D4D"/>
  </w:style>
  <w:style w:type="numbering" w:customStyle="1" w:styleId="1ai814">
    <w:name w:val="1 / a / i814"/>
    <w:basedOn w:val="NoList"/>
    <w:next w:val="NoList"/>
    <w:rsid w:val="00A17D4D"/>
  </w:style>
  <w:style w:type="numbering" w:customStyle="1" w:styleId="List0714">
    <w:name w:val="List 0714"/>
    <w:basedOn w:val="NoList"/>
    <w:rsid w:val="00A17D4D"/>
  </w:style>
  <w:style w:type="numbering" w:customStyle="1" w:styleId="List1714">
    <w:name w:val="List 1714"/>
    <w:basedOn w:val="NoList"/>
    <w:rsid w:val="00A17D4D"/>
  </w:style>
  <w:style w:type="numbering" w:customStyle="1" w:styleId="List21715">
    <w:name w:val="List 21715"/>
    <w:basedOn w:val="NoList"/>
    <w:rsid w:val="00A17D4D"/>
  </w:style>
  <w:style w:type="numbering" w:customStyle="1" w:styleId="1111116214">
    <w:name w:val="1 / 1.1 / 1.1.16214"/>
    <w:basedOn w:val="NoList"/>
    <w:next w:val="NoList"/>
    <w:rsid w:val="00A17D4D"/>
  </w:style>
  <w:style w:type="table" w:customStyle="1" w:styleId="TableGrid185">
    <w:name w:val="Table Grid185"/>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A17D4D"/>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A17D4D"/>
    <w:pPr>
      <w:spacing w:after="100"/>
      <w:ind w:left="1100"/>
    </w:pPr>
    <w:rPr>
      <w:rFonts w:eastAsia="Yu Mincho"/>
      <w:lang w:val="en-CA" w:eastAsia="en-CA"/>
    </w:rPr>
  </w:style>
  <w:style w:type="table" w:customStyle="1" w:styleId="TableGrid26">
    <w:name w:val="Table Grid26"/>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A17D4D"/>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A17D4D"/>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A17D4D"/>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A17D4D"/>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A17D4D"/>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A17D4D"/>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A17D4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A17D4D"/>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A17D4D"/>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A17D4D"/>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A17D4D"/>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A17D4D"/>
    <w:pPr>
      <w:spacing w:after="100"/>
      <w:ind w:left="1760"/>
    </w:pPr>
    <w:rPr>
      <w:rFonts w:eastAsia="Yu Mincho"/>
      <w:lang w:val="en-CA" w:eastAsia="en-CA"/>
    </w:rPr>
  </w:style>
  <w:style w:type="table" w:customStyle="1" w:styleId="TableGrid251">
    <w:name w:val="Table Grid251"/>
    <w:basedOn w:val="TableNormal"/>
    <w:next w:val="TableGrid"/>
    <w:uiPriority w:val="59"/>
    <w:rsid w:val="00A17D4D"/>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A17D4D"/>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A17D4D"/>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A17D4D"/>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A17D4D"/>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A17D4D"/>
    <w:rPr>
      <w:rFonts w:asciiTheme="majorHAnsi" w:eastAsiaTheme="majorEastAsia" w:hAnsiTheme="majorHAnsi" w:cstheme="majorBidi"/>
      <w:i/>
      <w:iCs/>
      <w:color w:val="2F5496" w:themeColor="accent1" w:themeShade="BF"/>
    </w:rPr>
  </w:style>
  <w:style w:type="table" w:styleId="ListTable1Light">
    <w:name w:val="List Table 1 Light"/>
    <w:basedOn w:val="TableNormal"/>
    <w:uiPriority w:val="46"/>
    <w:rsid w:val="00A17D4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A17D4D"/>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A17D4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A17D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17D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A17D4D"/>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A17D4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A17D4D"/>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A17D4D"/>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A17D4D"/>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A17D4D"/>
  </w:style>
  <w:style w:type="numbering" w:customStyle="1" w:styleId="1ai622">
    <w:name w:val="1 / a / i622"/>
    <w:basedOn w:val="NoList"/>
    <w:next w:val="NoList"/>
    <w:rsid w:val="00A17D4D"/>
  </w:style>
  <w:style w:type="numbering" w:customStyle="1" w:styleId="111111632">
    <w:name w:val="1 / 1.1 / 1.1.1632"/>
    <w:basedOn w:val="NoList"/>
    <w:next w:val="NoList"/>
    <w:rsid w:val="00A17D4D"/>
  </w:style>
  <w:style w:type="numbering" w:customStyle="1" w:styleId="ImportierterStil122">
    <w:name w:val="Importierter Stil: 122"/>
    <w:rsid w:val="00A17D4D"/>
  </w:style>
  <w:style w:type="numbering" w:customStyle="1" w:styleId="List05112">
    <w:name w:val="List 05112"/>
    <w:basedOn w:val="NoList"/>
    <w:rsid w:val="00A17D4D"/>
  </w:style>
  <w:style w:type="numbering" w:customStyle="1" w:styleId="ImportierterStil1112">
    <w:name w:val="Importierter Stil: 1112"/>
    <w:rsid w:val="00A17D4D"/>
  </w:style>
  <w:style w:type="table" w:customStyle="1" w:styleId="TableGrid1812">
    <w:name w:val="Table Grid1812"/>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A17D4D"/>
  </w:style>
  <w:style w:type="numbering" w:customStyle="1" w:styleId="ImportedStyle42531">
    <w:name w:val="Imported Style 42531"/>
    <w:rsid w:val="00A17D4D"/>
  </w:style>
  <w:style w:type="numbering" w:customStyle="1" w:styleId="ArticleSection2531">
    <w:name w:val="Article / Section2531"/>
    <w:basedOn w:val="NoList"/>
    <w:next w:val="NoList"/>
    <w:rsid w:val="00A17D4D"/>
  </w:style>
  <w:style w:type="numbering" w:customStyle="1" w:styleId="1ai2531">
    <w:name w:val="1 / a / i2531"/>
    <w:basedOn w:val="NoList"/>
    <w:next w:val="NoList"/>
    <w:rsid w:val="00A17D4D"/>
  </w:style>
  <w:style w:type="numbering" w:customStyle="1" w:styleId="1111112531">
    <w:name w:val="1 / 1.1 / 1.1.12531"/>
    <w:basedOn w:val="NoList"/>
    <w:next w:val="NoList"/>
    <w:rsid w:val="00A17D4D"/>
  </w:style>
  <w:style w:type="numbering" w:customStyle="1" w:styleId="List01531">
    <w:name w:val="List 01531"/>
    <w:basedOn w:val="NoList"/>
    <w:rsid w:val="00A17D4D"/>
  </w:style>
  <w:style w:type="numbering" w:customStyle="1" w:styleId="List0131131">
    <w:name w:val="List 0131131"/>
    <w:basedOn w:val="NoList"/>
    <w:rsid w:val="00A17D4D"/>
  </w:style>
  <w:style w:type="numbering" w:customStyle="1" w:styleId="ImportedStyle161131">
    <w:name w:val="Imported Style 161131"/>
    <w:rsid w:val="00A17D4D"/>
  </w:style>
  <w:style w:type="numbering" w:customStyle="1" w:styleId="111111571">
    <w:name w:val="1 / 1.1 / 1.1.1571"/>
    <w:basedOn w:val="NoList"/>
    <w:next w:val="NoList"/>
    <w:rsid w:val="00A17D4D"/>
  </w:style>
  <w:style w:type="numbering" w:customStyle="1" w:styleId="1ai5161">
    <w:name w:val="1 / a / i5161"/>
    <w:basedOn w:val="NoList"/>
    <w:next w:val="NoList"/>
    <w:rsid w:val="00A17D4D"/>
  </w:style>
  <w:style w:type="numbering" w:customStyle="1" w:styleId="1111115161">
    <w:name w:val="1 / 1.1 / 1.1.15161"/>
    <w:basedOn w:val="NoList"/>
    <w:next w:val="NoList"/>
    <w:rsid w:val="00A17D4D"/>
  </w:style>
  <w:style w:type="numbering" w:customStyle="1" w:styleId="List04161">
    <w:name w:val="List 04161"/>
    <w:basedOn w:val="NoList"/>
    <w:rsid w:val="00A17D4D"/>
  </w:style>
  <w:style w:type="numbering" w:customStyle="1" w:styleId="List215161">
    <w:name w:val="List 215161"/>
    <w:basedOn w:val="NoList"/>
    <w:rsid w:val="00A17D4D"/>
  </w:style>
  <w:style w:type="numbering" w:customStyle="1" w:styleId="1111117161">
    <w:name w:val="1 / 1.1 / 1.1.17161"/>
    <w:basedOn w:val="NoList"/>
    <w:next w:val="NoList"/>
    <w:rsid w:val="00A17D4D"/>
  </w:style>
  <w:style w:type="numbering" w:customStyle="1" w:styleId="ImportedStyle1861">
    <w:name w:val="Imported Style 1861"/>
    <w:rsid w:val="00A17D4D"/>
  </w:style>
  <w:style w:type="numbering" w:customStyle="1" w:styleId="List21761">
    <w:name w:val="List 21761"/>
    <w:basedOn w:val="NoList"/>
    <w:rsid w:val="00A17D4D"/>
  </w:style>
  <w:style w:type="numbering" w:customStyle="1" w:styleId="ImportedStyle42541">
    <w:name w:val="Imported Style 42541"/>
    <w:rsid w:val="00A17D4D"/>
  </w:style>
  <w:style w:type="numbering" w:customStyle="1" w:styleId="ArticleSection2542">
    <w:name w:val="Article / Section2542"/>
    <w:basedOn w:val="NoList"/>
    <w:next w:val="NoList"/>
    <w:rsid w:val="00A17D4D"/>
  </w:style>
  <w:style w:type="numbering" w:customStyle="1" w:styleId="1ai2541">
    <w:name w:val="1 / a / i2541"/>
    <w:basedOn w:val="NoList"/>
    <w:next w:val="NoList"/>
    <w:rsid w:val="00A17D4D"/>
  </w:style>
  <w:style w:type="numbering" w:customStyle="1" w:styleId="1111112541">
    <w:name w:val="1 / 1.1 / 1.1.12541"/>
    <w:basedOn w:val="NoList"/>
    <w:next w:val="NoList"/>
    <w:rsid w:val="00A17D4D"/>
  </w:style>
  <w:style w:type="numbering" w:customStyle="1" w:styleId="List01542">
    <w:name w:val="List 01542"/>
    <w:basedOn w:val="NoList"/>
    <w:rsid w:val="00A17D4D"/>
  </w:style>
  <w:style w:type="numbering" w:customStyle="1" w:styleId="List11542">
    <w:name w:val="List 11542"/>
    <w:basedOn w:val="NoList"/>
    <w:rsid w:val="00A17D4D"/>
  </w:style>
  <w:style w:type="numbering" w:customStyle="1" w:styleId="List211542">
    <w:name w:val="List 211542"/>
    <w:basedOn w:val="NoList"/>
    <w:rsid w:val="00A17D4D"/>
  </w:style>
  <w:style w:type="numbering" w:customStyle="1" w:styleId="1111115251">
    <w:name w:val="1 / 1.1 / 1.1.15251"/>
    <w:basedOn w:val="NoList"/>
    <w:next w:val="NoList"/>
    <w:rsid w:val="00A17D4D"/>
  </w:style>
  <w:style w:type="numbering" w:customStyle="1" w:styleId="ImportedStyle423241">
    <w:name w:val="Imported Style 423241"/>
    <w:rsid w:val="00A17D4D"/>
  </w:style>
  <w:style w:type="numbering" w:customStyle="1" w:styleId="ImportedStyle523241">
    <w:name w:val="Imported Style 523241"/>
    <w:rsid w:val="00A17D4D"/>
  </w:style>
  <w:style w:type="numbering" w:customStyle="1" w:styleId="ArticleSection23242">
    <w:name w:val="Article / Section23242"/>
    <w:basedOn w:val="NoList"/>
    <w:next w:val="NoList"/>
    <w:rsid w:val="00A17D4D"/>
  </w:style>
  <w:style w:type="numbering" w:customStyle="1" w:styleId="ImportedStyle46242">
    <w:name w:val="Imported Style 46242"/>
    <w:rsid w:val="00A17D4D"/>
  </w:style>
  <w:style w:type="numbering" w:customStyle="1" w:styleId="ImportedStyle56242">
    <w:name w:val="Imported Style 56242"/>
    <w:rsid w:val="00A17D4D"/>
  </w:style>
  <w:style w:type="numbering" w:customStyle="1" w:styleId="ImportedStyle16242">
    <w:name w:val="Imported Style 16242"/>
    <w:rsid w:val="00A17D4D"/>
  </w:style>
  <w:style w:type="numbering" w:customStyle="1" w:styleId="ArticleSection6242">
    <w:name w:val="Article / Section6242"/>
    <w:basedOn w:val="NoList"/>
    <w:next w:val="NoList"/>
    <w:rsid w:val="00A17D4D"/>
  </w:style>
  <w:style w:type="numbering" w:customStyle="1" w:styleId="1ai6241">
    <w:name w:val="1 / a / i6241"/>
    <w:basedOn w:val="NoList"/>
    <w:next w:val="NoList"/>
    <w:rsid w:val="00A17D4D"/>
  </w:style>
  <w:style w:type="numbering" w:customStyle="1" w:styleId="1111116341">
    <w:name w:val="1 / 1.1 / 1.1.16341"/>
    <w:basedOn w:val="NoList"/>
    <w:next w:val="NoList"/>
    <w:rsid w:val="00A17D4D"/>
  </w:style>
  <w:style w:type="numbering" w:customStyle="1" w:styleId="ImportierterStil1242">
    <w:name w:val="Importierter Stil: 1242"/>
    <w:rsid w:val="00A17D4D"/>
  </w:style>
  <w:style w:type="numbering" w:customStyle="1" w:styleId="1ai51151">
    <w:name w:val="1 / a / i51151"/>
    <w:basedOn w:val="NoList"/>
    <w:next w:val="NoList"/>
    <w:rsid w:val="00A17D4D"/>
  </w:style>
  <w:style w:type="numbering" w:customStyle="1" w:styleId="11111151151">
    <w:name w:val="1 / 1.1 / 1.1.151151"/>
    <w:basedOn w:val="NoList"/>
    <w:next w:val="NoList"/>
    <w:rsid w:val="00A17D4D"/>
  </w:style>
  <w:style w:type="numbering" w:customStyle="1" w:styleId="List041151">
    <w:name w:val="List 041151"/>
    <w:basedOn w:val="NoList"/>
    <w:rsid w:val="00A17D4D"/>
  </w:style>
  <w:style w:type="numbering" w:customStyle="1" w:styleId="List141141">
    <w:name w:val="List 141141"/>
    <w:basedOn w:val="NoList"/>
    <w:rsid w:val="00A17D4D"/>
  </w:style>
  <w:style w:type="numbering" w:customStyle="1" w:styleId="List2141141">
    <w:name w:val="List 2141141"/>
    <w:basedOn w:val="NoList"/>
    <w:rsid w:val="00A17D4D"/>
  </w:style>
  <w:style w:type="numbering" w:customStyle="1" w:styleId="ImportedStyle4231141">
    <w:name w:val="Imported Style 4231141"/>
    <w:rsid w:val="00A17D4D"/>
  </w:style>
  <w:style w:type="numbering" w:customStyle="1" w:styleId="List0131141">
    <w:name w:val="List 0131141"/>
    <w:basedOn w:val="NoList"/>
    <w:rsid w:val="00A17D4D"/>
  </w:style>
  <w:style w:type="numbering" w:customStyle="1" w:styleId="ImportedStyle161141">
    <w:name w:val="Imported Style 161141"/>
    <w:rsid w:val="00A17D4D"/>
  </w:style>
  <w:style w:type="numbering" w:customStyle="1" w:styleId="List051141">
    <w:name w:val="List 051141"/>
    <w:basedOn w:val="NoList"/>
    <w:rsid w:val="00A17D4D"/>
  </w:style>
  <w:style w:type="numbering" w:customStyle="1" w:styleId="List2151151">
    <w:name w:val="List 2151151"/>
    <w:basedOn w:val="NoList"/>
    <w:rsid w:val="00A17D4D"/>
  </w:style>
  <w:style w:type="numbering" w:customStyle="1" w:styleId="ImportierterStil11141">
    <w:name w:val="Importierter Stil: 11141"/>
    <w:rsid w:val="00A17D4D"/>
  </w:style>
  <w:style w:type="numbering" w:customStyle="1" w:styleId="11111171151">
    <w:name w:val="1 / 1.1 / 1.1.171151"/>
    <w:basedOn w:val="NoList"/>
    <w:next w:val="NoList"/>
    <w:rsid w:val="00A17D4D"/>
  </w:style>
  <w:style w:type="numbering" w:customStyle="1" w:styleId="ImportedStyle48141">
    <w:name w:val="Imported Style 48141"/>
    <w:rsid w:val="00A17D4D"/>
  </w:style>
  <w:style w:type="numbering" w:customStyle="1" w:styleId="ImportedStyle58141">
    <w:name w:val="Imported Style 58141"/>
    <w:rsid w:val="00A17D4D"/>
  </w:style>
  <w:style w:type="numbering" w:customStyle="1" w:styleId="ImportedStyle18151">
    <w:name w:val="Imported Style 18151"/>
    <w:rsid w:val="00A17D4D"/>
  </w:style>
  <w:style w:type="numbering" w:customStyle="1" w:styleId="ArticleSection8141">
    <w:name w:val="Article / Section8141"/>
    <w:basedOn w:val="NoList"/>
    <w:next w:val="NoList"/>
    <w:rsid w:val="00A17D4D"/>
  </w:style>
  <w:style w:type="numbering" w:customStyle="1" w:styleId="1ai8141">
    <w:name w:val="1 / a / i8141"/>
    <w:basedOn w:val="NoList"/>
    <w:next w:val="NoList"/>
    <w:rsid w:val="00A17D4D"/>
  </w:style>
  <w:style w:type="numbering" w:customStyle="1" w:styleId="List07141">
    <w:name w:val="List 07141"/>
    <w:basedOn w:val="NoList"/>
    <w:rsid w:val="00A17D4D"/>
  </w:style>
  <w:style w:type="numbering" w:customStyle="1" w:styleId="List17141">
    <w:name w:val="List 17141"/>
    <w:basedOn w:val="NoList"/>
    <w:rsid w:val="00A17D4D"/>
  </w:style>
  <w:style w:type="numbering" w:customStyle="1" w:styleId="List217151">
    <w:name w:val="List 217151"/>
    <w:basedOn w:val="NoList"/>
    <w:rsid w:val="00A17D4D"/>
  </w:style>
  <w:style w:type="numbering" w:customStyle="1" w:styleId="11111162141">
    <w:name w:val="1 / 1.1 / 1.1.162141"/>
    <w:basedOn w:val="NoList"/>
    <w:next w:val="NoList"/>
    <w:rsid w:val="00A17D4D"/>
  </w:style>
  <w:style w:type="table" w:customStyle="1" w:styleId="TableGrid28">
    <w:name w:val="Table Grid28"/>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A17D4D"/>
    <w:pPr>
      <w:spacing w:after="0" w:line="240" w:lineRule="auto"/>
    </w:pPr>
    <w:rPr>
      <w:rFonts w:ascii="Arial" w:hAnsi="Arial"/>
      <w:sz w:val="20"/>
      <w:szCs w:val="20"/>
    </w:rPr>
  </w:style>
  <w:style w:type="table" w:customStyle="1" w:styleId="WOAHTable2">
    <w:name w:val="WOAH Table2"/>
    <w:basedOn w:val="ListTable1Light"/>
    <w:uiPriority w:val="99"/>
    <w:locked/>
    <w:rsid w:val="00A17D4D"/>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A17D4D"/>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A17D4D"/>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A17D4D"/>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A17D4D"/>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A17D4D"/>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A17D4D"/>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A17D4D"/>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A17D4D"/>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A17D4D"/>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A17D4D"/>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A17D4D"/>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A17D4D"/>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A17D4D"/>
    <w:pPr>
      <w:spacing w:after="0"/>
      <w:ind w:left="220" w:hanging="220"/>
    </w:pPr>
    <w:rPr>
      <w:rFonts w:ascii="Calibri" w:hAnsi="Calibri"/>
      <w:lang w:val="en-CA"/>
    </w:rPr>
  </w:style>
  <w:style w:type="paragraph" w:customStyle="1" w:styleId="MacroText1">
    <w:name w:val="Macro Text1"/>
    <w:next w:val="MacroText"/>
    <w:uiPriority w:val="99"/>
    <w:semiHidden/>
    <w:unhideWhenUsed/>
    <w:rsid w:val="00A17D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A17D4D"/>
  </w:style>
  <w:style w:type="numbering" w:customStyle="1" w:styleId="1ai623">
    <w:name w:val="1 / a / i623"/>
    <w:basedOn w:val="NoList"/>
    <w:next w:val="NoList"/>
    <w:rsid w:val="00A17D4D"/>
  </w:style>
  <w:style w:type="numbering" w:customStyle="1" w:styleId="111111633">
    <w:name w:val="1 / 1.1 / 1.1.1633"/>
    <w:basedOn w:val="NoList"/>
    <w:next w:val="NoList"/>
    <w:rsid w:val="00A17D4D"/>
  </w:style>
  <w:style w:type="numbering" w:customStyle="1" w:styleId="ImportierterStil123">
    <w:name w:val="Importierter Stil: 123"/>
    <w:rsid w:val="00A17D4D"/>
  </w:style>
  <w:style w:type="numbering" w:customStyle="1" w:styleId="List05113">
    <w:name w:val="List 05113"/>
    <w:basedOn w:val="NoList"/>
    <w:rsid w:val="00A17D4D"/>
  </w:style>
  <w:style w:type="numbering" w:customStyle="1" w:styleId="ImportierterStil1113">
    <w:name w:val="Importierter Stil: 1113"/>
    <w:rsid w:val="00A17D4D"/>
    <w:pPr>
      <w:numPr>
        <w:numId w:val="64"/>
      </w:numPr>
    </w:pPr>
  </w:style>
  <w:style w:type="table" w:customStyle="1" w:styleId="TableGrid1813">
    <w:name w:val="Table Grid1813"/>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A17D4D"/>
  </w:style>
  <w:style w:type="numbering" w:customStyle="1" w:styleId="ImportedStyle42532">
    <w:name w:val="Imported Style 42532"/>
    <w:rsid w:val="00A17D4D"/>
  </w:style>
  <w:style w:type="numbering" w:customStyle="1" w:styleId="ArticleSection2532">
    <w:name w:val="Article / Section2532"/>
    <w:basedOn w:val="NoList"/>
    <w:next w:val="NoList"/>
    <w:rsid w:val="00A17D4D"/>
  </w:style>
  <w:style w:type="numbering" w:customStyle="1" w:styleId="1ai2532">
    <w:name w:val="1 / a / i2532"/>
    <w:basedOn w:val="NoList"/>
    <w:next w:val="NoList"/>
    <w:rsid w:val="00A17D4D"/>
  </w:style>
  <w:style w:type="numbering" w:customStyle="1" w:styleId="1111112532">
    <w:name w:val="1 / 1.1 / 1.1.12532"/>
    <w:basedOn w:val="NoList"/>
    <w:next w:val="NoList"/>
    <w:rsid w:val="00A17D4D"/>
  </w:style>
  <w:style w:type="numbering" w:customStyle="1" w:styleId="List01532">
    <w:name w:val="List 01532"/>
    <w:basedOn w:val="NoList"/>
    <w:rsid w:val="00A17D4D"/>
  </w:style>
  <w:style w:type="numbering" w:customStyle="1" w:styleId="List0131132">
    <w:name w:val="List 0131132"/>
    <w:basedOn w:val="NoList"/>
    <w:rsid w:val="00A17D4D"/>
  </w:style>
  <w:style w:type="numbering" w:customStyle="1" w:styleId="ImportedStyle161132">
    <w:name w:val="Imported Style 161132"/>
    <w:rsid w:val="00A17D4D"/>
  </w:style>
  <w:style w:type="numbering" w:customStyle="1" w:styleId="111111572">
    <w:name w:val="1 / 1.1 / 1.1.1572"/>
    <w:basedOn w:val="NoList"/>
    <w:next w:val="NoList"/>
    <w:rsid w:val="00A17D4D"/>
  </w:style>
  <w:style w:type="numbering" w:customStyle="1" w:styleId="1ai5162">
    <w:name w:val="1 / a / i5162"/>
    <w:basedOn w:val="NoList"/>
    <w:next w:val="NoList"/>
    <w:rsid w:val="00A17D4D"/>
  </w:style>
  <w:style w:type="numbering" w:customStyle="1" w:styleId="1111115162">
    <w:name w:val="1 / 1.1 / 1.1.15162"/>
    <w:basedOn w:val="NoList"/>
    <w:next w:val="NoList"/>
    <w:rsid w:val="00A17D4D"/>
  </w:style>
  <w:style w:type="numbering" w:customStyle="1" w:styleId="List04162">
    <w:name w:val="List 04162"/>
    <w:basedOn w:val="NoList"/>
    <w:rsid w:val="00A17D4D"/>
  </w:style>
  <w:style w:type="numbering" w:customStyle="1" w:styleId="List215162">
    <w:name w:val="List 215162"/>
    <w:basedOn w:val="NoList"/>
    <w:rsid w:val="00A17D4D"/>
  </w:style>
  <w:style w:type="numbering" w:customStyle="1" w:styleId="1111117162">
    <w:name w:val="1 / 1.1 / 1.1.17162"/>
    <w:basedOn w:val="NoList"/>
    <w:next w:val="NoList"/>
    <w:rsid w:val="00A17D4D"/>
  </w:style>
  <w:style w:type="numbering" w:customStyle="1" w:styleId="ImportedStyle1862">
    <w:name w:val="Imported Style 1862"/>
    <w:rsid w:val="00A17D4D"/>
  </w:style>
  <w:style w:type="numbering" w:customStyle="1" w:styleId="List21762">
    <w:name w:val="List 21762"/>
    <w:basedOn w:val="NoList"/>
    <w:rsid w:val="00A17D4D"/>
  </w:style>
  <w:style w:type="numbering" w:customStyle="1" w:styleId="ImportedStyle42542">
    <w:name w:val="Imported Style 42542"/>
    <w:rsid w:val="00A17D4D"/>
  </w:style>
  <w:style w:type="numbering" w:customStyle="1" w:styleId="ArticleSection2543">
    <w:name w:val="Article / Section2543"/>
    <w:basedOn w:val="NoList"/>
    <w:next w:val="NoList"/>
    <w:rsid w:val="00A17D4D"/>
  </w:style>
  <w:style w:type="numbering" w:customStyle="1" w:styleId="1ai2542">
    <w:name w:val="1 / a / i2542"/>
    <w:basedOn w:val="NoList"/>
    <w:next w:val="NoList"/>
    <w:rsid w:val="00A17D4D"/>
  </w:style>
  <w:style w:type="numbering" w:customStyle="1" w:styleId="1111112542">
    <w:name w:val="1 / 1.1 / 1.1.12542"/>
    <w:basedOn w:val="NoList"/>
    <w:next w:val="NoList"/>
    <w:rsid w:val="00A17D4D"/>
  </w:style>
  <w:style w:type="numbering" w:customStyle="1" w:styleId="List01543">
    <w:name w:val="List 01543"/>
    <w:basedOn w:val="NoList"/>
    <w:rsid w:val="00A17D4D"/>
  </w:style>
  <w:style w:type="numbering" w:customStyle="1" w:styleId="List11543">
    <w:name w:val="List 11543"/>
    <w:basedOn w:val="NoList"/>
    <w:rsid w:val="00A17D4D"/>
  </w:style>
  <w:style w:type="numbering" w:customStyle="1" w:styleId="List211543">
    <w:name w:val="List 211543"/>
    <w:basedOn w:val="NoList"/>
    <w:rsid w:val="00A17D4D"/>
  </w:style>
  <w:style w:type="numbering" w:customStyle="1" w:styleId="1111115252">
    <w:name w:val="1 / 1.1 / 1.1.15252"/>
    <w:basedOn w:val="NoList"/>
    <w:next w:val="NoList"/>
    <w:rsid w:val="00A17D4D"/>
  </w:style>
  <w:style w:type="numbering" w:customStyle="1" w:styleId="ImportedStyle423242">
    <w:name w:val="Imported Style 423242"/>
    <w:rsid w:val="00A17D4D"/>
  </w:style>
  <w:style w:type="numbering" w:customStyle="1" w:styleId="ImportedStyle523242">
    <w:name w:val="Imported Style 523242"/>
    <w:rsid w:val="00A17D4D"/>
  </w:style>
  <w:style w:type="numbering" w:customStyle="1" w:styleId="ArticleSection23243">
    <w:name w:val="Article / Section23243"/>
    <w:basedOn w:val="NoList"/>
    <w:next w:val="NoList"/>
    <w:rsid w:val="00A17D4D"/>
  </w:style>
  <w:style w:type="numbering" w:customStyle="1" w:styleId="ImportedStyle46243">
    <w:name w:val="Imported Style 46243"/>
    <w:rsid w:val="00A17D4D"/>
  </w:style>
  <w:style w:type="numbering" w:customStyle="1" w:styleId="ImportedStyle56243">
    <w:name w:val="Imported Style 56243"/>
    <w:rsid w:val="00A17D4D"/>
  </w:style>
  <w:style w:type="numbering" w:customStyle="1" w:styleId="ImportedStyle16243">
    <w:name w:val="Imported Style 16243"/>
    <w:rsid w:val="00A17D4D"/>
  </w:style>
  <w:style w:type="numbering" w:customStyle="1" w:styleId="ArticleSection6243">
    <w:name w:val="Article / Section6243"/>
    <w:basedOn w:val="NoList"/>
    <w:next w:val="NoList"/>
    <w:rsid w:val="00A17D4D"/>
  </w:style>
  <w:style w:type="numbering" w:customStyle="1" w:styleId="1ai6242">
    <w:name w:val="1 / a / i6242"/>
    <w:basedOn w:val="NoList"/>
    <w:next w:val="NoList"/>
    <w:rsid w:val="00A17D4D"/>
  </w:style>
  <w:style w:type="numbering" w:customStyle="1" w:styleId="1111116342">
    <w:name w:val="1 / 1.1 / 1.1.16342"/>
    <w:basedOn w:val="NoList"/>
    <w:next w:val="NoList"/>
    <w:rsid w:val="00A17D4D"/>
  </w:style>
  <w:style w:type="numbering" w:customStyle="1" w:styleId="ImportierterStil1243">
    <w:name w:val="Importierter Stil: 1243"/>
    <w:rsid w:val="00A17D4D"/>
  </w:style>
  <w:style w:type="numbering" w:customStyle="1" w:styleId="1ai51152">
    <w:name w:val="1 / a / i51152"/>
    <w:basedOn w:val="NoList"/>
    <w:next w:val="NoList"/>
    <w:rsid w:val="00A17D4D"/>
  </w:style>
  <w:style w:type="numbering" w:customStyle="1" w:styleId="11111151152">
    <w:name w:val="1 / 1.1 / 1.1.151152"/>
    <w:basedOn w:val="NoList"/>
    <w:next w:val="NoList"/>
    <w:rsid w:val="00A17D4D"/>
  </w:style>
  <w:style w:type="numbering" w:customStyle="1" w:styleId="List041152">
    <w:name w:val="List 041152"/>
    <w:basedOn w:val="NoList"/>
    <w:rsid w:val="00A17D4D"/>
  </w:style>
  <w:style w:type="numbering" w:customStyle="1" w:styleId="List141142">
    <w:name w:val="List 141142"/>
    <w:basedOn w:val="NoList"/>
    <w:rsid w:val="00A17D4D"/>
  </w:style>
  <w:style w:type="numbering" w:customStyle="1" w:styleId="List2141142">
    <w:name w:val="List 2141142"/>
    <w:basedOn w:val="NoList"/>
    <w:rsid w:val="00A17D4D"/>
  </w:style>
  <w:style w:type="numbering" w:customStyle="1" w:styleId="ImportedStyle4231142">
    <w:name w:val="Imported Style 4231142"/>
    <w:rsid w:val="00A17D4D"/>
  </w:style>
  <w:style w:type="numbering" w:customStyle="1" w:styleId="List0131142">
    <w:name w:val="List 0131142"/>
    <w:basedOn w:val="NoList"/>
    <w:rsid w:val="00A17D4D"/>
  </w:style>
  <w:style w:type="numbering" w:customStyle="1" w:styleId="ImportedStyle161142">
    <w:name w:val="Imported Style 161142"/>
    <w:rsid w:val="00A17D4D"/>
  </w:style>
  <w:style w:type="numbering" w:customStyle="1" w:styleId="List051142">
    <w:name w:val="List 051142"/>
    <w:basedOn w:val="NoList"/>
    <w:rsid w:val="00A17D4D"/>
  </w:style>
  <w:style w:type="numbering" w:customStyle="1" w:styleId="List2151152">
    <w:name w:val="List 2151152"/>
    <w:basedOn w:val="NoList"/>
    <w:rsid w:val="00A17D4D"/>
  </w:style>
  <w:style w:type="numbering" w:customStyle="1" w:styleId="ImportierterStil11142">
    <w:name w:val="Importierter Stil: 11142"/>
    <w:rsid w:val="00A17D4D"/>
  </w:style>
  <w:style w:type="numbering" w:customStyle="1" w:styleId="11111171152">
    <w:name w:val="1 / 1.1 / 1.1.171152"/>
    <w:basedOn w:val="NoList"/>
    <w:next w:val="NoList"/>
    <w:rsid w:val="00A17D4D"/>
  </w:style>
  <w:style w:type="numbering" w:customStyle="1" w:styleId="ImportedStyle48142">
    <w:name w:val="Imported Style 48142"/>
    <w:rsid w:val="00A17D4D"/>
  </w:style>
  <w:style w:type="numbering" w:customStyle="1" w:styleId="ImportedStyle58142">
    <w:name w:val="Imported Style 58142"/>
    <w:rsid w:val="00A17D4D"/>
  </w:style>
  <w:style w:type="numbering" w:customStyle="1" w:styleId="ImportedStyle18152">
    <w:name w:val="Imported Style 18152"/>
    <w:rsid w:val="00A17D4D"/>
  </w:style>
  <w:style w:type="numbering" w:customStyle="1" w:styleId="ArticleSection8142">
    <w:name w:val="Article / Section8142"/>
    <w:basedOn w:val="NoList"/>
    <w:next w:val="NoList"/>
    <w:rsid w:val="00A17D4D"/>
  </w:style>
  <w:style w:type="numbering" w:customStyle="1" w:styleId="1ai8142">
    <w:name w:val="1 / a / i8142"/>
    <w:basedOn w:val="NoList"/>
    <w:next w:val="NoList"/>
    <w:rsid w:val="00A17D4D"/>
  </w:style>
  <w:style w:type="numbering" w:customStyle="1" w:styleId="List07142">
    <w:name w:val="List 07142"/>
    <w:basedOn w:val="NoList"/>
    <w:rsid w:val="00A17D4D"/>
  </w:style>
  <w:style w:type="numbering" w:customStyle="1" w:styleId="List17142">
    <w:name w:val="List 17142"/>
    <w:basedOn w:val="NoList"/>
    <w:rsid w:val="00A17D4D"/>
  </w:style>
  <w:style w:type="numbering" w:customStyle="1" w:styleId="List217152">
    <w:name w:val="List 217152"/>
    <w:basedOn w:val="NoList"/>
    <w:rsid w:val="00A17D4D"/>
  </w:style>
  <w:style w:type="numbering" w:customStyle="1" w:styleId="11111162142">
    <w:name w:val="1 / 1.1 / 1.1.162142"/>
    <w:basedOn w:val="NoList"/>
    <w:next w:val="NoList"/>
    <w:rsid w:val="00A17D4D"/>
  </w:style>
  <w:style w:type="character" w:customStyle="1" w:styleId="HeaderChar5">
    <w:name w:val="Header Char5"/>
    <w:basedOn w:val="DefaultParagraphFont"/>
    <w:uiPriority w:val="99"/>
    <w:rsid w:val="00A17D4D"/>
  </w:style>
  <w:style w:type="character" w:customStyle="1" w:styleId="FooterChar2">
    <w:name w:val="Footer Char2"/>
    <w:basedOn w:val="DefaultParagraphFont"/>
    <w:uiPriority w:val="99"/>
    <w:rsid w:val="00A17D4D"/>
  </w:style>
  <w:style w:type="character" w:customStyle="1" w:styleId="FootnoteTextChar1">
    <w:name w:val="Footnote Text Char1"/>
    <w:basedOn w:val="DefaultParagraphFont"/>
    <w:uiPriority w:val="99"/>
    <w:semiHidden/>
    <w:rsid w:val="00A17D4D"/>
    <w:rPr>
      <w:sz w:val="20"/>
      <w:szCs w:val="20"/>
    </w:rPr>
  </w:style>
  <w:style w:type="character" w:customStyle="1" w:styleId="BalloonTextChar3">
    <w:name w:val="Balloon Text Char3"/>
    <w:basedOn w:val="DefaultParagraphFont"/>
    <w:uiPriority w:val="99"/>
    <w:semiHidden/>
    <w:rsid w:val="00A17D4D"/>
    <w:rPr>
      <w:rFonts w:ascii="Segoe UI" w:hAnsi="Segoe UI" w:cs="Segoe UI"/>
      <w:sz w:val="18"/>
      <w:szCs w:val="18"/>
    </w:rPr>
  </w:style>
  <w:style w:type="character" w:customStyle="1" w:styleId="EndnoteTextChar3">
    <w:name w:val="Endnote Text Char3"/>
    <w:basedOn w:val="DefaultParagraphFont"/>
    <w:uiPriority w:val="99"/>
    <w:semiHidden/>
    <w:rsid w:val="00A17D4D"/>
    <w:rPr>
      <w:sz w:val="20"/>
      <w:szCs w:val="20"/>
    </w:rPr>
  </w:style>
  <w:style w:type="character" w:customStyle="1" w:styleId="MacroTextChar1">
    <w:name w:val="Macro Text Char1"/>
    <w:basedOn w:val="DefaultParagraphFont"/>
    <w:uiPriority w:val="99"/>
    <w:semiHidden/>
    <w:rsid w:val="00A17D4D"/>
    <w:rPr>
      <w:rFonts w:ascii="Consolas" w:hAnsi="Consolas"/>
      <w:sz w:val="20"/>
      <w:szCs w:val="20"/>
    </w:rPr>
  </w:style>
  <w:style w:type="table" w:customStyle="1" w:styleId="TableGrid29">
    <w:name w:val="Table Grid29"/>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17D4D"/>
  </w:style>
  <w:style w:type="numbering" w:customStyle="1" w:styleId="ImportedStyle49">
    <w:name w:val="Imported Style 49"/>
    <w:rsid w:val="00A17D4D"/>
  </w:style>
  <w:style w:type="numbering" w:customStyle="1" w:styleId="ImportedStyle510">
    <w:name w:val="Imported Style 510"/>
    <w:rsid w:val="00A17D4D"/>
  </w:style>
  <w:style w:type="numbering" w:customStyle="1" w:styleId="ImportedStyle19">
    <w:name w:val="Imported Style 19"/>
    <w:rsid w:val="00A17D4D"/>
  </w:style>
  <w:style w:type="numbering" w:customStyle="1" w:styleId="ArticleSection10">
    <w:name w:val="Article / Section10"/>
    <w:basedOn w:val="NoList"/>
    <w:next w:val="ArticleSection"/>
    <w:rsid w:val="00A17D4D"/>
  </w:style>
  <w:style w:type="numbering" w:customStyle="1" w:styleId="1ai10">
    <w:name w:val="1 / a / i10"/>
    <w:basedOn w:val="NoList"/>
    <w:next w:val="1ai"/>
    <w:rsid w:val="00A17D4D"/>
  </w:style>
  <w:style w:type="numbering" w:customStyle="1" w:styleId="11111115">
    <w:name w:val="1 / 1.1 / 1.1.115"/>
    <w:basedOn w:val="NoList"/>
    <w:next w:val="111111"/>
    <w:rsid w:val="00A17D4D"/>
  </w:style>
  <w:style w:type="numbering" w:customStyle="1" w:styleId="List09">
    <w:name w:val="List 09"/>
    <w:basedOn w:val="ImportedStyle1"/>
    <w:rsid w:val="00A17D4D"/>
  </w:style>
  <w:style w:type="numbering" w:customStyle="1" w:styleId="List19">
    <w:name w:val="List 19"/>
    <w:basedOn w:val="NoList"/>
    <w:rsid w:val="00A17D4D"/>
  </w:style>
  <w:style w:type="numbering" w:customStyle="1" w:styleId="List219">
    <w:name w:val="List 219"/>
    <w:basedOn w:val="NoList"/>
    <w:rsid w:val="00A17D4D"/>
  </w:style>
  <w:style w:type="table" w:customStyle="1" w:styleId="TableGrid125">
    <w:name w:val="Table Grid125"/>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A17D4D"/>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A17D4D"/>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A17D4D"/>
  </w:style>
  <w:style w:type="character" w:customStyle="1" w:styleId="given-name">
    <w:name w:val="given-name"/>
    <w:basedOn w:val="DefaultParagraphFont"/>
    <w:rsid w:val="00A17D4D"/>
  </w:style>
  <w:style w:type="character" w:customStyle="1" w:styleId="text0">
    <w:name w:val="text"/>
    <w:basedOn w:val="DefaultParagraphFont"/>
    <w:rsid w:val="00A17D4D"/>
  </w:style>
  <w:style w:type="character" w:customStyle="1" w:styleId="anchor-text">
    <w:name w:val="anchor-text"/>
    <w:basedOn w:val="DefaultParagraphFont"/>
    <w:rsid w:val="00A17D4D"/>
  </w:style>
  <w:style w:type="character" w:customStyle="1" w:styleId="free-resources">
    <w:name w:val="free-resources"/>
    <w:basedOn w:val="DefaultParagraphFont"/>
    <w:rsid w:val="00A17D4D"/>
  </w:style>
  <w:style w:type="character" w:customStyle="1" w:styleId="accordion-tabbedtab-mobile">
    <w:name w:val="accordion-tabbed__tab-mobile"/>
    <w:basedOn w:val="DefaultParagraphFont"/>
    <w:rsid w:val="00A17D4D"/>
  </w:style>
  <w:style w:type="character" w:customStyle="1" w:styleId="comma-separator">
    <w:name w:val="comma-separator"/>
    <w:basedOn w:val="DefaultParagraphFont"/>
    <w:rsid w:val="00A17D4D"/>
  </w:style>
  <w:style w:type="character" w:customStyle="1" w:styleId="epub-state">
    <w:name w:val="epub-state"/>
    <w:basedOn w:val="DefaultParagraphFont"/>
    <w:rsid w:val="00A17D4D"/>
  </w:style>
  <w:style w:type="character" w:customStyle="1" w:styleId="epub-date">
    <w:name w:val="epub-date"/>
    <w:basedOn w:val="DefaultParagraphFont"/>
    <w:rsid w:val="00A17D4D"/>
  </w:style>
  <w:style w:type="numbering" w:customStyle="1" w:styleId="NoList17">
    <w:name w:val="No List17"/>
    <w:next w:val="NoList"/>
    <w:uiPriority w:val="99"/>
    <w:semiHidden/>
    <w:unhideWhenUsed/>
    <w:rsid w:val="00A17D4D"/>
  </w:style>
  <w:style w:type="table" w:customStyle="1" w:styleId="LightShading-Accent13">
    <w:name w:val="Light Shading - Accent 13"/>
    <w:basedOn w:val="TableNormal"/>
    <w:next w:val="LightShading-Accent1"/>
    <w:uiPriority w:val="60"/>
    <w:rsid w:val="00A17D4D"/>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A17D4D"/>
  </w:style>
  <w:style w:type="table" w:customStyle="1" w:styleId="TableGrid300">
    <w:name w:val="Table Grid30"/>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A17D4D"/>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A17D4D"/>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A17D4D"/>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A17D4D"/>
  </w:style>
  <w:style w:type="numbering" w:customStyle="1" w:styleId="1ai625">
    <w:name w:val="1 / a / i625"/>
    <w:basedOn w:val="NoList"/>
    <w:next w:val="NoList"/>
    <w:rsid w:val="00A17D4D"/>
  </w:style>
  <w:style w:type="numbering" w:customStyle="1" w:styleId="111111635">
    <w:name w:val="1 / 1.1 / 1.1.1635"/>
    <w:basedOn w:val="NoList"/>
    <w:next w:val="NoList"/>
    <w:rsid w:val="00A17D4D"/>
  </w:style>
  <w:style w:type="numbering" w:customStyle="1" w:styleId="ImportierterStil125">
    <w:name w:val="Importierter Stil: 125"/>
    <w:rsid w:val="00A17D4D"/>
  </w:style>
  <w:style w:type="numbering" w:customStyle="1" w:styleId="List05115">
    <w:name w:val="List 05115"/>
    <w:basedOn w:val="NoList"/>
    <w:rsid w:val="00A17D4D"/>
  </w:style>
  <w:style w:type="numbering" w:customStyle="1" w:styleId="ImportierterStil1115">
    <w:name w:val="Importierter Stil: 1115"/>
    <w:rsid w:val="00A17D4D"/>
  </w:style>
  <w:style w:type="table" w:customStyle="1" w:styleId="TableGrid1814">
    <w:name w:val="Table Grid1814"/>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A17D4D"/>
  </w:style>
  <w:style w:type="numbering" w:customStyle="1" w:styleId="ImportedStyle42533">
    <w:name w:val="Imported Style 42533"/>
    <w:rsid w:val="00A17D4D"/>
  </w:style>
  <w:style w:type="numbering" w:customStyle="1" w:styleId="ArticleSection2533">
    <w:name w:val="Article / Section2533"/>
    <w:basedOn w:val="NoList"/>
    <w:next w:val="NoList"/>
    <w:rsid w:val="00A17D4D"/>
  </w:style>
  <w:style w:type="numbering" w:customStyle="1" w:styleId="1ai2533">
    <w:name w:val="1 / a / i2533"/>
    <w:basedOn w:val="NoList"/>
    <w:next w:val="NoList"/>
    <w:rsid w:val="00A17D4D"/>
  </w:style>
  <w:style w:type="numbering" w:customStyle="1" w:styleId="1111112533">
    <w:name w:val="1 / 1.1 / 1.1.12533"/>
    <w:basedOn w:val="NoList"/>
    <w:next w:val="NoList"/>
    <w:rsid w:val="00A17D4D"/>
  </w:style>
  <w:style w:type="numbering" w:customStyle="1" w:styleId="List01533">
    <w:name w:val="List 01533"/>
    <w:basedOn w:val="NoList"/>
    <w:rsid w:val="00A17D4D"/>
  </w:style>
  <w:style w:type="numbering" w:customStyle="1" w:styleId="List0131133">
    <w:name w:val="List 0131133"/>
    <w:basedOn w:val="NoList"/>
    <w:rsid w:val="00A17D4D"/>
  </w:style>
  <w:style w:type="numbering" w:customStyle="1" w:styleId="ImportedStyle161133">
    <w:name w:val="Imported Style 161133"/>
    <w:rsid w:val="00A17D4D"/>
  </w:style>
  <w:style w:type="numbering" w:customStyle="1" w:styleId="111111573">
    <w:name w:val="1 / 1.1 / 1.1.1573"/>
    <w:basedOn w:val="NoList"/>
    <w:next w:val="NoList"/>
    <w:rsid w:val="00A17D4D"/>
  </w:style>
  <w:style w:type="numbering" w:customStyle="1" w:styleId="1ai5163">
    <w:name w:val="1 / a / i5163"/>
    <w:basedOn w:val="NoList"/>
    <w:next w:val="NoList"/>
    <w:rsid w:val="00A17D4D"/>
  </w:style>
  <w:style w:type="numbering" w:customStyle="1" w:styleId="1111115163">
    <w:name w:val="1 / 1.1 / 1.1.15163"/>
    <w:basedOn w:val="NoList"/>
    <w:next w:val="NoList"/>
    <w:rsid w:val="00A17D4D"/>
  </w:style>
  <w:style w:type="numbering" w:customStyle="1" w:styleId="List04163">
    <w:name w:val="List 04163"/>
    <w:basedOn w:val="NoList"/>
    <w:rsid w:val="00A17D4D"/>
  </w:style>
  <w:style w:type="numbering" w:customStyle="1" w:styleId="List215163">
    <w:name w:val="List 215163"/>
    <w:basedOn w:val="NoList"/>
    <w:rsid w:val="00A17D4D"/>
  </w:style>
  <w:style w:type="numbering" w:customStyle="1" w:styleId="1111117163">
    <w:name w:val="1 / 1.1 / 1.1.17163"/>
    <w:basedOn w:val="NoList"/>
    <w:next w:val="NoList"/>
    <w:rsid w:val="00A17D4D"/>
  </w:style>
  <w:style w:type="numbering" w:customStyle="1" w:styleId="ImportedStyle1863">
    <w:name w:val="Imported Style 1863"/>
    <w:rsid w:val="00A17D4D"/>
  </w:style>
  <w:style w:type="numbering" w:customStyle="1" w:styleId="List21763">
    <w:name w:val="List 21763"/>
    <w:basedOn w:val="NoList"/>
    <w:rsid w:val="00A17D4D"/>
  </w:style>
  <w:style w:type="numbering" w:customStyle="1" w:styleId="ImportedStyle42543">
    <w:name w:val="Imported Style 42543"/>
    <w:rsid w:val="00A17D4D"/>
  </w:style>
  <w:style w:type="numbering" w:customStyle="1" w:styleId="ArticleSection2544">
    <w:name w:val="Article / Section2544"/>
    <w:basedOn w:val="NoList"/>
    <w:next w:val="NoList"/>
    <w:rsid w:val="00A17D4D"/>
  </w:style>
  <w:style w:type="numbering" w:customStyle="1" w:styleId="1ai2543">
    <w:name w:val="1 / a / i2543"/>
    <w:basedOn w:val="NoList"/>
    <w:next w:val="NoList"/>
    <w:rsid w:val="00A17D4D"/>
  </w:style>
  <w:style w:type="numbering" w:customStyle="1" w:styleId="1111112543">
    <w:name w:val="1 / 1.1 / 1.1.12543"/>
    <w:basedOn w:val="NoList"/>
    <w:next w:val="NoList"/>
    <w:rsid w:val="00A17D4D"/>
  </w:style>
  <w:style w:type="numbering" w:customStyle="1" w:styleId="List01544">
    <w:name w:val="List 01544"/>
    <w:basedOn w:val="NoList"/>
    <w:rsid w:val="00A17D4D"/>
  </w:style>
  <w:style w:type="numbering" w:customStyle="1" w:styleId="List11544">
    <w:name w:val="List 11544"/>
    <w:basedOn w:val="NoList"/>
    <w:rsid w:val="00A17D4D"/>
  </w:style>
  <w:style w:type="numbering" w:customStyle="1" w:styleId="List211544">
    <w:name w:val="List 211544"/>
    <w:basedOn w:val="NoList"/>
    <w:rsid w:val="00A17D4D"/>
  </w:style>
  <w:style w:type="numbering" w:customStyle="1" w:styleId="1111115253">
    <w:name w:val="1 / 1.1 / 1.1.15253"/>
    <w:basedOn w:val="NoList"/>
    <w:next w:val="NoList"/>
    <w:rsid w:val="00A17D4D"/>
  </w:style>
  <w:style w:type="numbering" w:customStyle="1" w:styleId="ImportedStyle423243">
    <w:name w:val="Imported Style 423243"/>
    <w:rsid w:val="00A17D4D"/>
  </w:style>
  <w:style w:type="numbering" w:customStyle="1" w:styleId="ImportedStyle523243">
    <w:name w:val="Imported Style 523243"/>
    <w:rsid w:val="00A17D4D"/>
  </w:style>
  <w:style w:type="numbering" w:customStyle="1" w:styleId="ArticleSection23244">
    <w:name w:val="Article / Section23244"/>
    <w:basedOn w:val="NoList"/>
    <w:next w:val="NoList"/>
    <w:rsid w:val="00A17D4D"/>
  </w:style>
  <w:style w:type="numbering" w:customStyle="1" w:styleId="ImportedStyle46244">
    <w:name w:val="Imported Style 46244"/>
    <w:rsid w:val="00A17D4D"/>
  </w:style>
  <w:style w:type="numbering" w:customStyle="1" w:styleId="ImportedStyle56244">
    <w:name w:val="Imported Style 56244"/>
    <w:rsid w:val="00A17D4D"/>
  </w:style>
  <w:style w:type="numbering" w:customStyle="1" w:styleId="ImportedStyle16244">
    <w:name w:val="Imported Style 16244"/>
    <w:rsid w:val="00A17D4D"/>
  </w:style>
  <w:style w:type="numbering" w:customStyle="1" w:styleId="ArticleSection6244">
    <w:name w:val="Article / Section6244"/>
    <w:basedOn w:val="NoList"/>
    <w:next w:val="NoList"/>
    <w:rsid w:val="00A17D4D"/>
  </w:style>
  <w:style w:type="numbering" w:customStyle="1" w:styleId="1ai6243">
    <w:name w:val="1 / a / i6243"/>
    <w:basedOn w:val="NoList"/>
    <w:next w:val="NoList"/>
    <w:rsid w:val="00A17D4D"/>
  </w:style>
  <w:style w:type="numbering" w:customStyle="1" w:styleId="1111116343">
    <w:name w:val="1 / 1.1 / 1.1.16343"/>
    <w:basedOn w:val="NoList"/>
    <w:next w:val="NoList"/>
    <w:rsid w:val="00A17D4D"/>
  </w:style>
  <w:style w:type="numbering" w:customStyle="1" w:styleId="ImportierterStil1244">
    <w:name w:val="Importierter Stil: 1244"/>
    <w:rsid w:val="00A17D4D"/>
  </w:style>
  <w:style w:type="numbering" w:customStyle="1" w:styleId="1ai51153">
    <w:name w:val="1 / a / i51153"/>
    <w:basedOn w:val="NoList"/>
    <w:next w:val="NoList"/>
    <w:rsid w:val="00A17D4D"/>
  </w:style>
  <w:style w:type="numbering" w:customStyle="1" w:styleId="11111151153">
    <w:name w:val="1 / 1.1 / 1.1.151153"/>
    <w:basedOn w:val="NoList"/>
    <w:next w:val="NoList"/>
    <w:rsid w:val="00A17D4D"/>
  </w:style>
  <w:style w:type="numbering" w:customStyle="1" w:styleId="List041153">
    <w:name w:val="List 041153"/>
    <w:basedOn w:val="NoList"/>
    <w:rsid w:val="00A17D4D"/>
  </w:style>
  <w:style w:type="numbering" w:customStyle="1" w:styleId="List141143">
    <w:name w:val="List 141143"/>
    <w:basedOn w:val="NoList"/>
    <w:rsid w:val="00A17D4D"/>
  </w:style>
  <w:style w:type="numbering" w:customStyle="1" w:styleId="List2141143">
    <w:name w:val="List 2141143"/>
    <w:basedOn w:val="NoList"/>
    <w:rsid w:val="00A17D4D"/>
  </w:style>
  <w:style w:type="numbering" w:customStyle="1" w:styleId="ImportedStyle4231143">
    <w:name w:val="Imported Style 4231143"/>
    <w:rsid w:val="00A17D4D"/>
  </w:style>
  <w:style w:type="numbering" w:customStyle="1" w:styleId="List0131143">
    <w:name w:val="List 0131143"/>
    <w:basedOn w:val="NoList"/>
    <w:rsid w:val="00A17D4D"/>
  </w:style>
  <w:style w:type="numbering" w:customStyle="1" w:styleId="ImportedStyle161143">
    <w:name w:val="Imported Style 161143"/>
    <w:rsid w:val="00A17D4D"/>
  </w:style>
  <w:style w:type="numbering" w:customStyle="1" w:styleId="List051143">
    <w:name w:val="List 051143"/>
    <w:basedOn w:val="NoList"/>
    <w:rsid w:val="00A17D4D"/>
  </w:style>
  <w:style w:type="numbering" w:customStyle="1" w:styleId="List2151153">
    <w:name w:val="List 2151153"/>
    <w:basedOn w:val="NoList"/>
    <w:rsid w:val="00A17D4D"/>
  </w:style>
  <w:style w:type="numbering" w:customStyle="1" w:styleId="ImportierterStil11143">
    <w:name w:val="Importierter Stil: 11143"/>
    <w:rsid w:val="00A17D4D"/>
  </w:style>
  <w:style w:type="numbering" w:customStyle="1" w:styleId="11111171153">
    <w:name w:val="1 / 1.1 / 1.1.171153"/>
    <w:basedOn w:val="NoList"/>
    <w:next w:val="NoList"/>
    <w:rsid w:val="00A17D4D"/>
  </w:style>
  <w:style w:type="numbering" w:customStyle="1" w:styleId="ImportedStyle48143">
    <w:name w:val="Imported Style 48143"/>
    <w:rsid w:val="00A17D4D"/>
  </w:style>
  <w:style w:type="numbering" w:customStyle="1" w:styleId="ImportedStyle58143">
    <w:name w:val="Imported Style 58143"/>
    <w:rsid w:val="00A17D4D"/>
  </w:style>
  <w:style w:type="numbering" w:customStyle="1" w:styleId="ImportedStyle18153">
    <w:name w:val="Imported Style 18153"/>
    <w:rsid w:val="00A17D4D"/>
  </w:style>
  <w:style w:type="numbering" w:customStyle="1" w:styleId="ArticleSection8143">
    <w:name w:val="Article / Section8143"/>
    <w:basedOn w:val="NoList"/>
    <w:next w:val="NoList"/>
    <w:rsid w:val="00A17D4D"/>
  </w:style>
  <w:style w:type="numbering" w:customStyle="1" w:styleId="1ai8143">
    <w:name w:val="1 / a / i8143"/>
    <w:basedOn w:val="NoList"/>
    <w:next w:val="NoList"/>
    <w:rsid w:val="00A17D4D"/>
  </w:style>
  <w:style w:type="numbering" w:customStyle="1" w:styleId="List07143">
    <w:name w:val="List 07143"/>
    <w:basedOn w:val="NoList"/>
    <w:rsid w:val="00A17D4D"/>
  </w:style>
  <w:style w:type="numbering" w:customStyle="1" w:styleId="List17143">
    <w:name w:val="List 17143"/>
    <w:basedOn w:val="NoList"/>
    <w:rsid w:val="00A17D4D"/>
  </w:style>
  <w:style w:type="numbering" w:customStyle="1" w:styleId="List217153">
    <w:name w:val="List 217153"/>
    <w:basedOn w:val="NoList"/>
    <w:rsid w:val="00A17D4D"/>
  </w:style>
  <w:style w:type="numbering" w:customStyle="1" w:styleId="11111162143">
    <w:name w:val="1 / 1.1 / 1.1.162143"/>
    <w:basedOn w:val="NoList"/>
    <w:next w:val="NoList"/>
    <w:rsid w:val="00A17D4D"/>
  </w:style>
  <w:style w:type="table" w:customStyle="1" w:styleId="TableGrid340">
    <w:name w:val="Table Grid34"/>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A17D4D"/>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A17D4D"/>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A17D4D"/>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A17D4D"/>
    <w:pPr>
      <w:numPr>
        <w:numId w:val="60"/>
      </w:numPr>
    </w:pPr>
  </w:style>
  <w:style w:type="numbering" w:customStyle="1" w:styleId="1ai626">
    <w:name w:val="1 / a / i626"/>
    <w:basedOn w:val="NoList"/>
    <w:next w:val="NoList"/>
    <w:rsid w:val="00A17D4D"/>
    <w:pPr>
      <w:numPr>
        <w:numId w:val="59"/>
      </w:numPr>
    </w:pPr>
  </w:style>
  <w:style w:type="numbering" w:customStyle="1" w:styleId="111111636">
    <w:name w:val="1 / 1.1 / 1.1.1636"/>
    <w:basedOn w:val="NoList"/>
    <w:next w:val="NoList"/>
    <w:rsid w:val="00A17D4D"/>
    <w:pPr>
      <w:numPr>
        <w:numId w:val="58"/>
      </w:numPr>
    </w:pPr>
  </w:style>
  <w:style w:type="numbering" w:customStyle="1" w:styleId="ImportierterStil126">
    <w:name w:val="Importierter Stil: 126"/>
    <w:rsid w:val="00A17D4D"/>
    <w:pPr>
      <w:numPr>
        <w:numId w:val="61"/>
      </w:numPr>
    </w:pPr>
  </w:style>
  <w:style w:type="numbering" w:customStyle="1" w:styleId="List05116">
    <w:name w:val="List 05116"/>
    <w:basedOn w:val="NoList"/>
    <w:rsid w:val="00A17D4D"/>
    <w:pPr>
      <w:numPr>
        <w:numId w:val="62"/>
      </w:numPr>
    </w:pPr>
  </w:style>
  <w:style w:type="numbering" w:customStyle="1" w:styleId="ImportierterStil1116">
    <w:name w:val="Importierter Stil: 1116"/>
    <w:rsid w:val="00A17D4D"/>
    <w:pPr>
      <w:numPr>
        <w:numId w:val="63"/>
      </w:numPr>
    </w:pPr>
  </w:style>
  <w:style w:type="table" w:customStyle="1" w:styleId="TableGrid1815">
    <w:name w:val="Table Grid1815"/>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A17D4D"/>
    <w:pPr>
      <w:numPr>
        <w:numId w:val="6"/>
      </w:numPr>
    </w:pPr>
  </w:style>
  <w:style w:type="numbering" w:customStyle="1" w:styleId="ImportedStyle42534">
    <w:name w:val="Imported Style 42534"/>
    <w:rsid w:val="00A17D4D"/>
    <w:pPr>
      <w:numPr>
        <w:numId w:val="3"/>
      </w:numPr>
    </w:pPr>
  </w:style>
  <w:style w:type="numbering" w:customStyle="1" w:styleId="ArticleSection2534">
    <w:name w:val="Article / Section2534"/>
    <w:basedOn w:val="NoList"/>
    <w:next w:val="NoList"/>
    <w:rsid w:val="00A17D4D"/>
    <w:pPr>
      <w:numPr>
        <w:numId w:val="9"/>
      </w:numPr>
    </w:pPr>
  </w:style>
  <w:style w:type="numbering" w:customStyle="1" w:styleId="1ai2534">
    <w:name w:val="1 / a / i2534"/>
    <w:basedOn w:val="NoList"/>
    <w:next w:val="NoList"/>
    <w:rsid w:val="00A17D4D"/>
    <w:pPr>
      <w:numPr>
        <w:numId w:val="8"/>
      </w:numPr>
    </w:pPr>
  </w:style>
  <w:style w:type="numbering" w:customStyle="1" w:styleId="1111112534">
    <w:name w:val="1 / 1.1 / 1.1.12534"/>
    <w:basedOn w:val="NoList"/>
    <w:next w:val="NoList"/>
    <w:rsid w:val="00A17D4D"/>
    <w:pPr>
      <w:numPr>
        <w:numId w:val="7"/>
      </w:numPr>
    </w:pPr>
  </w:style>
  <w:style w:type="numbering" w:customStyle="1" w:styleId="List01534">
    <w:name w:val="List 01534"/>
    <w:basedOn w:val="NoList"/>
    <w:rsid w:val="00A17D4D"/>
    <w:pPr>
      <w:numPr>
        <w:numId w:val="10"/>
      </w:numPr>
    </w:pPr>
  </w:style>
  <w:style w:type="numbering" w:customStyle="1" w:styleId="List0131134">
    <w:name w:val="List 0131134"/>
    <w:basedOn w:val="NoList"/>
    <w:rsid w:val="00A17D4D"/>
    <w:pPr>
      <w:numPr>
        <w:numId w:val="4"/>
      </w:numPr>
    </w:pPr>
  </w:style>
  <w:style w:type="numbering" w:customStyle="1" w:styleId="ImportedStyle161134">
    <w:name w:val="Imported Style 161134"/>
    <w:rsid w:val="00A17D4D"/>
    <w:pPr>
      <w:numPr>
        <w:numId w:val="5"/>
      </w:numPr>
    </w:pPr>
  </w:style>
  <w:style w:type="numbering" w:customStyle="1" w:styleId="111111574">
    <w:name w:val="1 / 1.1 / 1.1.1574"/>
    <w:basedOn w:val="NoList"/>
    <w:next w:val="NoList"/>
    <w:rsid w:val="00A17D4D"/>
    <w:pPr>
      <w:numPr>
        <w:numId w:val="23"/>
      </w:numPr>
    </w:pPr>
  </w:style>
  <w:style w:type="numbering" w:customStyle="1" w:styleId="1ai5164">
    <w:name w:val="1 / a / i5164"/>
    <w:basedOn w:val="NoList"/>
    <w:next w:val="NoList"/>
    <w:rsid w:val="00A17D4D"/>
    <w:pPr>
      <w:numPr>
        <w:numId w:val="25"/>
      </w:numPr>
    </w:pPr>
  </w:style>
  <w:style w:type="numbering" w:customStyle="1" w:styleId="1111115164">
    <w:name w:val="1 / 1.1 / 1.1.15164"/>
    <w:basedOn w:val="NoList"/>
    <w:next w:val="NoList"/>
    <w:rsid w:val="00A17D4D"/>
    <w:pPr>
      <w:numPr>
        <w:numId w:val="24"/>
      </w:numPr>
    </w:pPr>
  </w:style>
  <w:style w:type="numbering" w:customStyle="1" w:styleId="List04164">
    <w:name w:val="List 04164"/>
    <w:basedOn w:val="NoList"/>
    <w:rsid w:val="00A17D4D"/>
    <w:pPr>
      <w:numPr>
        <w:numId w:val="27"/>
      </w:numPr>
    </w:pPr>
  </w:style>
  <w:style w:type="numbering" w:customStyle="1" w:styleId="List215164">
    <w:name w:val="List 215164"/>
    <w:basedOn w:val="NoList"/>
    <w:rsid w:val="00A17D4D"/>
    <w:pPr>
      <w:numPr>
        <w:numId w:val="22"/>
      </w:numPr>
    </w:pPr>
  </w:style>
  <w:style w:type="numbering" w:customStyle="1" w:styleId="1111117164">
    <w:name w:val="1 / 1.1 / 1.1.17164"/>
    <w:basedOn w:val="NoList"/>
    <w:next w:val="NoList"/>
    <w:rsid w:val="00A17D4D"/>
    <w:pPr>
      <w:numPr>
        <w:numId w:val="26"/>
      </w:numPr>
    </w:pPr>
  </w:style>
  <w:style w:type="numbering" w:customStyle="1" w:styleId="ImportedStyle1864">
    <w:name w:val="Imported Style 1864"/>
    <w:rsid w:val="00A17D4D"/>
    <w:pPr>
      <w:numPr>
        <w:numId w:val="14"/>
      </w:numPr>
    </w:pPr>
  </w:style>
  <w:style w:type="numbering" w:customStyle="1" w:styleId="List21764">
    <w:name w:val="List 21764"/>
    <w:basedOn w:val="NoList"/>
    <w:rsid w:val="00A17D4D"/>
    <w:pPr>
      <w:numPr>
        <w:numId w:val="21"/>
      </w:numPr>
    </w:pPr>
  </w:style>
  <w:style w:type="numbering" w:customStyle="1" w:styleId="ImportedStyle42544">
    <w:name w:val="Imported Style 42544"/>
    <w:rsid w:val="00A17D4D"/>
    <w:pPr>
      <w:numPr>
        <w:numId w:val="11"/>
      </w:numPr>
    </w:pPr>
  </w:style>
  <w:style w:type="numbering" w:customStyle="1" w:styleId="ArticleSection2545">
    <w:name w:val="Article / Section2545"/>
    <w:basedOn w:val="NoList"/>
    <w:next w:val="NoList"/>
    <w:rsid w:val="00A17D4D"/>
    <w:pPr>
      <w:numPr>
        <w:numId w:val="17"/>
      </w:numPr>
    </w:pPr>
  </w:style>
  <w:style w:type="numbering" w:customStyle="1" w:styleId="1ai2544">
    <w:name w:val="1 / a / i2544"/>
    <w:basedOn w:val="NoList"/>
    <w:next w:val="NoList"/>
    <w:rsid w:val="00A17D4D"/>
    <w:pPr>
      <w:numPr>
        <w:numId w:val="16"/>
      </w:numPr>
    </w:pPr>
  </w:style>
  <w:style w:type="numbering" w:customStyle="1" w:styleId="1111112544">
    <w:name w:val="1 / 1.1 / 1.1.12544"/>
    <w:basedOn w:val="NoList"/>
    <w:next w:val="NoList"/>
    <w:rsid w:val="00A17D4D"/>
    <w:pPr>
      <w:numPr>
        <w:numId w:val="15"/>
      </w:numPr>
    </w:pPr>
  </w:style>
  <w:style w:type="numbering" w:customStyle="1" w:styleId="List01545">
    <w:name w:val="List 01545"/>
    <w:basedOn w:val="NoList"/>
    <w:rsid w:val="00A17D4D"/>
    <w:pPr>
      <w:numPr>
        <w:numId w:val="18"/>
      </w:numPr>
    </w:pPr>
  </w:style>
  <w:style w:type="numbering" w:customStyle="1" w:styleId="List11545">
    <w:name w:val="List 11545"/>
    <w:basedOn w:val="NoList"/>
    <w:rsid w:val="00A17D4D"/>
    <w:pPr>
      <w:numPr>
        <w:numId w:val="19"/>
      </w:numPr>
    </w:pPr>
  </w:style>
  <w:style w:type="numbering" w:customStyle="1" w:styleId="List211545">
    <w:name w:val="List 211545"/>
    <w:basedOn w:val="NoList"/>
    <w:rsid w:val="00A17D4D"/>
    <w:pPr>
      <w:numPr>
        <w:numId w:val="20"/>
      </w:numPr>
    </w:pPr>
  </w:style>
  <w:style w:type="numbering" w:customStyle="1" w:styleId="1111115254">
    <w:name w:val="1 / 1.1 / 1.1.15254"/>
    <w:basedOn w:val="NoList"/>
    <w:next w:val="NoList"/>
    <w:rsid w:val="00A17D4D"/>
    <w:pPr>
      <w:numPr>
        <w:numId w:val="39"/>
      </w:numPr>
    </w:pPr>
  </w:style>
  <w:style w:type="numbering" w:customStyle="1" w:styleId="ImportedStyle423244">
    <w:name w:val="Imported Style 423244"/>
    <w:rsid w:val="00A17D4D"/>
    <w:pPr>
      <w:numPr>
        <w:numId w:val="46"/>
      </w:numPr>
    </w:pPr>
  </w:style>
  <w:style w:type="numbering" w:customStyle="1" w:styleId="ImportedStyle523244">
    <w:name w:val="Imported Style 523244"/>
    <w:rsid w:val="00A17D4D"/>
    <w:pPr>
      <w:numPr>
        <w:numId w:val="47"/>
      </w:numPr>
    </w:pPr>
  </w:style>
  <w:style w:type="numbering" w:customStyle="1" w:styleId="ArticleSection23245">
    <w:name w:val="Article / Section23245"/>
    <w:basedOn w:val="NoList"/>
    <w:next w:val="NoList"/>
    <w:rsid w:val="00A17D4D"/>
    <w:pPr>
      <w:numPr>
        <w:numId w:val="51"/>
      </w:numPr>
    </w:pPr>
  </w:style>
  <w:style w:type="numbering" w:customStyle="1" w:styleId="ImportedStyle46245">
    <w:name w:val="Imported Style 46245"/>
    <w:rsid w:val="00A17D4D"/>
    <w:pPr>
      <w:numPr>
        <w:numId w:val="48"/>
      </w:numPr>
    </w:pPr>
  </w:style>
  <w:style w:type="numbering" w:customStyle="1" w:styleId="ImportedStyle56245">
    <w:name w:val="Imported Style 56245"/>
    <w:rsid w:val="00A17D4D"/>
    <w:pPr>
      <w:numPr>
        <w:numId w:val="49"/>
      </w:numPr>
    </w:pPr>
  </w:style>
  <w:style w:type="numbering" w:customStyle="1" w:styleId="ImportedStyle16245">
    <w:name w:val="Imported Style 16245"/>
    <w:rsid w:val="00A17D4D"/>
    <w:pPr>
      <w:numPr>
        <w:numId w:val="50"/>
      </w:numPr>
    </w:pPr>
  </w:style>
  <w:style w:type="numbering" w:customStyle="1" w:styleId="ArticleSection6245">
    <w:name w:val="Article / Section6245"/>
    <w:basedOn w:val="NoList"/>
    <w:next w:val="NoList"/>
    <w:rsid w:val="00A17D4D"/>
    <w:pPr>
      <w:numPr>
        <w:numId w:val="54"/>
      </w:numPr>
    </w:pPr>
  </w:style>
  <w:style w:type="numbering" w:customStyle="1" w:styleId="1ai6244">
    <w:name w:val="1 / a / i6244"/>
    <w:basedOn w:val="NoList"/>
    <w:next w:val="NoList"/>
    <w:rsid w:val="00A17D4D"/>
    <w:pPr>
      <w:numPr>
        <w:numId w:val="53"/>
      </w:numPr>
    </w:pPr>
  </w:style>
  <w:style w:type="numbering" w:customStyle="1" w:styleId="1111116344">
    <w:name w:val="1 / 1.1 / 1.1.16344"/>
    <w:basedOn w:val="NoList"/>
    <w:next w:val="NoList"/>
    <w:rsid w:val="00A17D4D"/>
    <w:pPr>
      <w:numPr>
        <w:numId w:val="52"/>
      </w:numPr>
    </w:pPr>
  </w:style>
  <w:style w:type="numbering" w:customStyle="1" w:styleId="ImportierterStil1245">
    <w:name w:val="Importierter Stil: 1245"/>
    <w:rsid w:val="00A17D4D"/>
    <w:pPr>
      <w:numPr>
        <w:numId w:val="55"/>
      </w:numPr>
    </w:pPr>
  </w:style>
  <w:style w:type="numbering" w:customStyle="1" w:styleId="1ai51154">
    <w:name w:val="1 / a / i51154"/>
    <w:basedOn w:val="NoList"/>
    <w:next w:val="NoList"/>
    <w:rsid w:val="00A17D4D"/>
    <w:pPr>
      <w:numPr>
        <w:numId w:val="41"/>
      </w:numPr>
    </w:pPr>
  </w:style>
  <w:style w:type="numbering" w:customStyle="1" w:styleId="11111151154">
    <w:name w:val="1 / 1.1 / 1.1.151154"/>
    <w:basedOn w:val="NoList"/>
    <w:next w:val="NoList"/>
    <w:rsid w:val="00A17D4D"/>
    <w:pPr>
      <w:numPr>
        <w:numId w:val="40"/>
      </w:numPr>
    </w:pPr>
  </w:style>
  <w:style w:type="numbering" w:customStyle="1" w:styleId="List041154">
    <w:name w:val="List 041154"/>
    <w:basedOn w:val="NoList"/>
    <w:rsid w:val="00A17D4D"/>
    <w:pPr>
      <w:numPr>
        <w:numId w:val="43"/>
      </w:numPr>
    </w:pPr>
  </w:style>
  <w:style w:type="numbering" w:customStyle="1" w:styleId="List141144">
    <w:name w:val="List 141144"/>
    <w:basedOn w:val="NoList"/>
    <w:rsid w:val="00A17D4D"/>
    <w:pPr>
      <w:numPr>
        <w:numId w:val="44"/>
      </w:numPr>
    </w:pPr>
  </w:style>
  <w:style w:type="numbering" w:customStyle="1" w:styleId="List2141144">
    <w:name w:val="List 2141144"/>
    <w:basedOn w:val="NoList"/>
    <w:rsid w:val="00A17D4D"/>
    <w:pPr>
      <w:numPr>
        <w:numId w:val="45"/>
      </w:numPr>
    </w:pPr>
  </w:style>
  <w:style w:type="numbering" w:customStyle="1" w:styleId="ImportedStyle4231144">
    <w:name w:val="Imported Style 4231144"/>
    <w:rsid w:val="00A17D4D"/>
    <w:pPr>
      <w:numPr>
        <w:numId w:val="28"/>
      </w:numPr>
    </w:pPr>
  </w:style>
  <w:style w:type="numbering" w:customStyle="1" w:styleId="List0131144">
    <w:name w:val="List 0131144"/>
    <w:basedOn w:val="NoList"/>
    <w:rsid w:val="00A17D4D"/>
    <w:pPr>
      <w:numPr>
        <w:numId w:val="12"/>
      </w:numPr>
    </w:pPr>
  </w:style>
  <w:style w:type="numbering" w:customStyle="1" w:styleId="ImportedStyle161144">
    <w:name w:val="Imported Style 161144"/>
    <w:rsid w:val="00A17D4D"/>
    <w:pPr>
      <w:numPr>
        <w:numId w:val="13"/>
      </w:numPr>
    </w:pPr>
  </w:style>
  <w:style w:type="numbering" w:customStyle="1" w:styleId="List051144">
    <w:name w:val="List 051144"/>
    <w:basedOn w:val="NoList"/>
    <w:rsid w:val="00A17D4D"/>
    <w:pPr>
      <w:numPr>
        <w:numId w:val="56"/>
      </w:numPr>
    </w:pPr>
  </w:style>
  <w:style w:type="numbering" w:customStyle="1" w:styleId="List2151154">
    <w:name w:val="List 2151154"/>
    <w:basedOn w:val="NoList"/>
    <w:rsid w:val="00A17D4D"/>
    <w:pPr>
      <w:numPr>
        <w:numId w:val="38"/>
      </w:numPr>
    </w:pPr>
  </w:style>
  <w:style w:type="numbering" w:customStyle="1" w:styleId="ImportierterStil11144">
    <w:name w:val="Importierter Stil: 11144"/>
    <w:rsid w:val="00A17D4D"/>
    <w:pPr>
      <w:numPr>
        <w:numId w:val="57"/>
      </w:numPr>
    </w:pPr>
  </w:style>
  <w:style w:type="numbering" w:customStyle="1" w:styleId="11111171154">
    <w:name w:val="1 / 1.1 / 1.1.171154"/>
    <w:basedOn w:val="NoList"/>
    <w:next w:val="NoList"/>
    <w:rsid w:val="00A17D4D"/>
    <w:pPr>
      <w:numPr>
        <w:numId w:val="42"/>
      </w:numPr>
    </w:pPr>
  </w:style>
  <w:style w:type="numbering" w:customStyle="1" w:styleId="ImportedStyle48144">
    <w:name w:val="Imported Style 48144"/>
    <w:rsid w:val="00A17D4D"/>
    <w:pPr>
      <w:numPr>
        <w:numId w:val="29"/>
      </w:numPr>
    </w:pPr>
  </w:style>
  <w:style w:type="numbering" w:customStyle="1" w:styleId="ImportedStyle58144">
    <w:name w:val="Imported Style 58144"/>
    <w:rsid w:val="00A17D4D"/>
    <w:pPr>
      <w:numPr>
        <w:numId w:val="30"/>
      </w:numPr>
    </w:pPr>
  </w:style>
  <w:style w:type="numbering" w:customStyle="1" w:styleId="ImportedStyle18154">
    <w:name w:val="Imported Style 18154"/>
    <w:rsid w:val="00A17D4D"/>
    <w:pPr>
      <w:numPr>
        <w:numId w:val="31"/>
      </w:numPr>
    </w:pPr>
  </w:style>
  <w:style w:type="numbering" w:customStyle="1" w:styleId="ArticleSection8144">
    <w:name w:val="Article / Section8144"/>
    <w:basedOn w:val="NoList"/>
    <w:next w:val="NoList"/>
    <w:rsid w:val="00A17D4D"/>
    <w:pPr>
      <w:numPr>
        <w:numId w:val="34"/>
      </w:numPr>
    </w:pPr>
  </w:style>
  <w:style w:type="numbering" w:customStyle="1" w:styleId="1ai8144">
    <w:name w:val="1 / a / i8144"/>
    <w:basedOn w:val="NoList"/>
    <w:next w:val="NoList"/>
    <w:rsid w:val="00A17D4D"/>
    <w:pPr>
      <w:numPr>
        <w:numId w:val="33"/>
      </w:numPr>
    </w:pPr>
  </w:style>
  <w:style w:type="numbering" w:customStyle="1" w:styleId="List07144">
    <w:name w:val="List 07144"/>
    <w:basedOn w:val="NoList"/>
    <w:rsid w:val="00A17D4D"/>
    <w:pPr>
      <w:numPr>
        <w:numId w:val="35"/>
      </w:numPr>
    </w:pPr>
  </w:style>
  <w:style w:type="numbering" w:customStyle="1" w:styleId="List17144">
    <w:name w:val="List 17144"/>
    <w:basedOn w:val="NoList"/>
    <w:rsid w:val="00A17D4D"/>
    <w:pPr>
      <w:numPr>
        <w:numId w:val="36"/>
      </w:numPr>
    </w:pPr>
  </w:style>
  <w:style w:type="numbering" w:customStyle="1" w:styleId="List217154">
    <w:name w:val="List 217154"/>
    <w:basedOn w:val="NoList"/>
    <w:rsid w:val="00A17D4D"/>
    <w:pPr>
      <w:numPr>
        <w:numId w:val="37"/>
      </w:numPr>
    </w:pPr>
  </w:style>
  <w:style w:type="numbering" w:customStyle="1" w:styleId="11111162144">
    <w:name w:val="1 / 1.1 / 1.1.162144"/>
    <w:basedOn w:val="NoList"/>
    <w:next w:val="NoList"/>
    <w:rsid w:val="00A17D4D"/>
    <w:pPr>
      <w:numPr>
        <w:numId w:val="32"/>
      </w:numPr>
    </w:pPr>
  </w:style>
  <w:style w:type="table" w:customStyle="1" w:styleId="TableGrid35">
    <w:name w:val="Table Grid35"/>
    <w:basedOn w:val="TableNormal"/>
    <w:next w:val="TableGrid"/>
    <w:uiPriority w:val="59"/>
    <w:rsid w:val="00A17D4D"/>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A17D4D"/>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A17D4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A17D4D"/>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A17D4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A17D4D"/>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A17D4D"/>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A17D4D"/>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A17D4D"/>
  </w:style>
  <w:style w:type="numbering" w:customStyle="1" w:styleId="1ai627">
    <w:name w:val="1 / a / i627"/>
    <w:basedOn w:val="NoList"/>
    <w:next w:val="NoList"/>
    <w:rsid w:val="00A17D4D"/>
  </w:style>
  <w:style w:type="numbering" w:customStyle="1" w:styleId="111111637">
    <w:name w:val="1 / 1.1 / 1.1.1637"/>
    <w:basedOn w:val="NoList"/>
    <w:next w:val="NoList"/>
    <w:rsid w:val="00A17D4D"/>
  </w:style>
  <w:style w:type="numbering" w:customStyle="1" w:styleId="ImportierterStil127">
    <w:name w:val="Importierter Stil: 127"/>
    <w:rsid w:val="00A17D4D"/>
  </w:style>
  <w:style w:type="numbering" w:customStyle="1" w:styleId="List05117">
    <w:name w:val="List 05117"/>
    <w:basedOn w:val="NoList"/>
    <w:rsid w:val="00A17D4D"/>
  </w:style>
  <w:style w:type="numbering" w:customStyle="1" w:styleId="ImportierterStil1117">
    <w:name w:val="Importierter Stil: 1117"/>
    <w:rsid w:val="00A17D4D"/>
  </w:style>
  <w:style w:type="table" w:customStyle="1" w:styleId="TableGrid1816">
    <w:name w:val="Table Grid1816"/>
    <w:basedOn w:val="TableNormal"/>
    <w:next w:val="TableGrid"/>
    <w:uiPriority w:val="39"/>
    <w:rsid w:val="00A17D4D"/>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A17D4D"/>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A17D4D"/>
  </w:style>
  <w:style w:type="numbering" w:customStyle="1" w:styleId="ImportedStyle42535">
    <w:name w:val="Imported Style 42535"/>
    <w:rsid w:val="00A17D4D"/>
  </w:style>
  <w:style w:type="numbering" w:customStyle="1" w:styleId="ArticleSection2535">
    <w:name w:val="Article / Section2535"/>
    <w:basedOn w:val="NoList"/>
    <w:next w:val="NoList"/>
    <w:rsid w:val="00A17D4D"/>
  </w:style>
  <w:style w:type="numbering" w:customStyle="1" w:styleId="1ai2535">
    <w:name w:val="1 / a / i2535"/>
    <w:basedOn w:val="NoList"/>
    <w:next w:val="NoList"/>
    <w:rsid w:val="00A17D4D"/>
  </w:style>
  <w:style w:type="numbering" w:customStyle="1" w:styleId="1111112535">
    <w:name w:val="1 / 1.1 / 1.1.12535"/>
    <w:basedOn w:val="NoList"/>
    <w:next w:val="NoList"/>
    <w:rsid w:val="00A17D4D"/>
  </w:style>
  <w:style w:type="numbering" w:customStyle="1" w:styleId="List01535">
    <w:name w:val="List 01535"/>
    <w:basedOn w:val="NoList"/>
    <w:rsid w:val="00A17D4D"/>
  </w:style>
  <w:style w:type="numbering" w:customStyle="1" w:styleId="List0131135">
    <w:name w:val="List 0131135"/>
    <w:basedOn w:val="NoList"/>
    <w:rsid w:val="00A17D4D"/>
  </w:style>
  <w:style w:type="numbering" w:customStyle="1" w:styleId="ImportedStyle161135">
    <w:name w:val="Imported Style 161135"/>
    <w:rsid w:val="00A17D4D"/>
  </w:style>
  <w:style w:type="numbering" w:customStyle="1" w:styleId="111111575">
    <w:name w:val="1 / 1.1 / 1.1.1575"/>
    <w:basedOn w:val="NoList"/>
    <w:next w:val="NoList"/>
    <w:rsid w:val="00A17D4D"/>
  </w:style>
  <w:style w:type="numbering" w:customStyle="1" w:styleId="1ai5165">
    <w:name w:val="1 / a / i5165"/>
    <w:basedOn w:val="NoList"/>
    <w:next w:val="NoList"/>
    <w:rsid w:val="00A17D4D"/>
  </w:style>
  <w:style w:type="numbering" w:customStyle="1" w:styleId="1111115165">
    <w:name w:val="1 / 1.1 / 1.1.15165"/>
    <w:basedOn w:val="NoList"/>
    <w:next w:val="NoList"/>
    <w:rsid w:val="00A17D4D"/>
  </w:style>
  <w:style w:type="numbering" w:customStyle="1" w:styleId="List04165">
    <w:name w:val="List 04165"/>
    <w:basedOn w:val="NoList"/>
    <w:rsid w:val="00A17D4D"/>
  </w:style>
  <w:style w:type="numbering" w:customStyle="1" w:styleId="List215165">
    <w:name w:val="List 215165"/>
    <w:basedOn w:val="NoList"/>
    <w:rsid w:val="00A17D4D"/>
  </w:style>
  <w:style w:type="numbering" w:customStyle="1" w:styleId="1111117165">
    <w:name w:val="1 / 1.1 / 1.1.17165"/>
    <w:basedOn w:val="NoList"/>
    <w:next w:val="NoList"/>
    <w:rsid w:val="00A17D4D"/>
  </w:style>
  <w:style w:type="numbering" w:customStyle="1" w:styleId="ImportedStyle1865">
    <w:name w:val="Imported Style 1865"/>
    <w:rsid w:val="00A17D4D"/>
  </w:style>
  <w:style w:type="numbering" w:customStyle="1" w:styleId="List21765">
    <w:name w:val="List 21765"/>
    <w:basedOn w:val="NoList"/>
    <w:rsid w:val="00A17D4D"/>
  </w:style>
  <w:style w:type="numbering" w:customStyle="1" w:styleId="ImportedStyle42545">
    <w:name w:val="Imported Style 42545"/>
    <w:rsid w:val="00A17D4D"/>
  </w:style>
  <w:style w:type="numbering" w:customStyle="1" w:styleId="ArticleSection2546">
    <w:name w:val="Article / Section2546"/>
    <w:basedOn w:val="NoList"/>
    <w:next w:val="NoList"/>
    <w:rsid w:val="00A17D4D"/>
  </w:style>
  <w:style w:type="numbering" w:customStyle="1" w:styleId="1ai2545">
    <w:name w:val="1 / a / i2545"/>
    <w:basedOn w:val="NoList"/>
    <w:next w:val="NoList"/>
    <w:rsid w:val="00A17D4D"/>
  </w:style>
  <w:style w:type="numbering" w:customStyle="1" w:styleId="1111112545">
    <w:name w:val="1 / 1.1 / 1.1.12545"/>
    <w:basedOn w:val="NoList"/>
    <w:next w:val="NoList"/>
    <w:rsid w:val="00A17D4D"/>
  </w:style>
  <w:style w:type="numbering" w:customStyle="1" w:styleId="List01546">
    <w:name w:val="List 01546"/>
    <w:basedOn w:val="NoList"/>
    <w:rsid w:val="00A17D4D"/>
  </w:style>
  <w:style w:type="numbering" w:customStyle="1" w:styleId="List11546">
    <w:name w:val="List 11546"/>
    <w:basedOn w:val="NoList"/>
    <w:rsid w:val="00A17D4D"/>
  </w:style>
  <w:style w:type="numbering" w:customStyle="1" w:styleId="List211546">
    <w:name w:val="List 211546"/>
    <w:basedOn w:val="NoList"/>
    <w:rsid w:val="00A17D4D"/>
  </w:style>
  <w:style w:type="numbering" w:customStyle="1" w:styleId="1111115255">
    <w:name w:val="1 / 1.1 / 1.1.15255"/>
    <w:basedOn w:val="NoList"/>
    <w:next w:val="NoList"/>
    <w:rsid w:val="00A17D4D"/>
  </w:style>
  <w:style w:type="numbering" w:customStyle="1" w:styleId="ImportedStyle423245">
    <w:name w:val="Imported Style 423245"/>
    <w:rsid w:val="00A17D4D"/>
  </w:style>
  <w:style w:type="numbering" w:customStyle="1" w:styleId="ImportedStyle523245">
    <w:name w:val="Imported Style 523245"/>
    <w:rsid w:val="00A17D4D"/>
  </w:style>
  <w:style w:type="numbering" w:customStyle="1" w:styleId="ArticleSection23246">
    <w:name w:val="Article / Section23246"/>
    <w:basedOn w:val="NoList"/>
    <w:next w:val="NoList"/>
    <w:rsid w:val="00A17D4D"/>
  </w:style>
  <w:style w:type="numbering" w:customStyle="1" w:styleId="ImportedStyle46246">
    <w:name w:val="Imported Style 46246"/>
    <w:rsid w:val="00A17D4D"/>
  </w:style>
  <w:style w:type="numbering" w:customStyle="1" w:styleId="ImportedStyle56246">
    <w:name w:val="Imported Style 56246"/>
    <w:rsid w:val="00A17D4D"/>
  </w:style>
  <w:style w:type="numbering" w:customStyle="1" w:styleId="ImportedStyle16246">
    <w:name w:val="Imported Style 16246"/>
    <w:rsid w:val="00A17D4D"/>
  </w:style>
  <w:style w:type="numbering" w:customStyle="1" w:styleId="ArticleSection6246">
    <w:name w:val="Article / Section6246"/>
    <w:basedOn w:val="NoList"/>
    <w:next w:val="NoList"/>
    <w:rsid w:val="00A17D4D"/>
  </w:style>
  <w:style w:type="numbering" w:customStyle="1" w:styleId="1ai6245">
    <w:name w:val="1 / a / i6245"/>
    <w:basedOn w:val="NoList"/>
    <w:next w:val="NoList"/>
    <w:rsid w:val="00A17D4D"/>
  </w:style>
  <w:style w:type="numbering" w:customStyle="1" w:styleId="1111116345">
    <w:name w:val="1 / 1.1 / 1.1.16345"/>
    <w:basedOn w:val="NoList"/>
    <w:next w:val="NoList"/>
    <w:rsid w:val="00A17D4D"/>
  </w:style>
  <w:style w:type="numbering" w:customStyle="1" w:styleId="ImportierterStil1246">
    <w:name w:val="Importierter Stil: 1246"/>
    <w:rsid w:val="00A17D4D"/>
  </w:style>
  <w:style w:type="numbering" w:customStyle="1" w:styleId="1ai51155">
    <w:name w:val="1 / a / i51155"/>
    <w:basedOn w:val="NoList"/>
    <w:next w:val="NoList"/>
    <w:rsid w:val="00A17D4D"/>
  </w:style>
  <w:style w:type="numbering" w:customStyle="1" w:styleId="11111151155">
    <w:name w:val="1 / 1.1 / 1.1.151155"/>
    <w:basedOn w:val="NoList"/>
    <w:next w:val="NoList"/>
    <w:rsid w:val="00A17D4D"/>
  </w:style>
  <w:style w:type="numbering" w:customStyle="1" w:styleId="List041155">
    <w:name w:val="List 041155"/>
    <w:basedOn w:val="NoList"/>
    <w:rsid w:val="00A17D4D"/>
  </w:style>
  <w:style w:type="numbering" w:customStyle="1" w:styleId="List141145">
    <w:name w:val="List 141145"/>
    <w:basedOn w:val="NoList"/>
    <w:rsid w:val="00A17D4D"/>
  </w:style>
  <w:style w:type="numbering" w:customStyle="1" w:styleId="List2141145">
    <w:name w:val="List 2141145"/>
    <w:basedOn w:val="NoList"/>
    <w:rsid w:val="00A17D4D"/>
  </w:style>
  <w:style w:type="numbering" w:customStyle="1" w:styleId="ImportedStyle4231145">
    <w:name w:val="Imported Style 4231145"/>
    <w:rsid w:val="00A17D4D"/>
  </w:style>
  <w:style w:type="numbering" w:customStyle="1" w:styleId="List0131145">
    <w:name w:val="List 0131145"/>
    <w:basedOn w:val="NoList"/>
    <w:rsid w:val="00A17D4D"/>
  </w:style>
  <w:style w:type="numbering" w:customStyle="1" w:styleId="ImportedStyle161145">
    <w:name w:val="Imported Style 161145"/>
    <w:rsid w:val="00A17D4D"/>
  </w:style>
  <w:style w:type="numbering" w:customStyle="1" w:styleId="List051145">
    <w:name w:val="List 051145"/>
    <w:basedOn w:val="NoList"/>
    <w:rsid w:val="00A17D4D"/>
  </w:style>
  <w:style w:type="numbering" w:customStyle="1" w:styleId="List2151155">
    <w:name w:val="List 2151155"/>
    <w:basedOn w:val="NoList"/>
    <w:rsid w:val="00A17D4D"/>
  </w:style>
  <w:style w:type="numbering" w:customStyle="1" w:styleId="ImportierterStil11145">
    <w:name w:val="Importierter Stil: 11145"/>
    <w:rsid w:val="00A17D4D"/>
  </w:style>
  <w:style w:type="numbering" w:customStyle="1" w:styleId="11111171155">
    <w:name w:val="1 / 1.1 / 1.1.171155"/>
    <w:basedOn w:val="NoList"/>
    <w:next w:val="NoList"/>
    <w:rsid w:val="00A17D4D"/>
  </w:style>
  <w:style w:type="numbering" w:customStyle="1" w:styleId="ImportedStyle48145">
    <w:name w:val="Imported Style 48145"/>
    <w:rsid w:val="00A17D4D"/>
  </w:style>
  <w:style w:type="numbering" w:customStyle="1" w:styleId="ImportedStyle58145">
    <w:name w:val="Imported Style 58145"/>
    <w:rsid w:val="00A17D4D"/>
  </w:style>
  <w:style w:type="numbering" w:customStyle="1" w:styleId="ImportedStyle18155">
    <w:name w:val="Imported Style 18155"/>
    <w:rsid w:val="00A17D4D"/>
  </w:style>
  <w:style w:type="numbering" w:customStyle="1" w:styleId="ArticleSection8145">
    <w:name w:val="Article / Section8145"/>
    <w:basedOn w:val="NoList"/>
    <w:next w:val="NoList"/>
    <w:rsid w:val="00A17D4D"/>
  </w:style>
  <w:style w:type="numbering" w:customStyle="1" w:styleId="1ai8145">
    <w:name w:val="1 / a / i8145"/>
    <w:basedOn w:val="NoList"/>
    <w:next w:val="NoList"/>
    <w:rsid w:val="00A17D4D"/>
  </w:style>
  <w:style w:type="numbering" w:customStyle="1" w:styleId="List07145">
    <w:name w:val="List 07145"/>
    <w:basedOn w:val="NoList"/>
    <w:rsid w:val="00A17D4D"/>
  </w:style>
  <w:style w:type="numbering" w:customStyle="1" w:styleId="List17145">
    <w:name w:val="List 17145"/>
    <w:basedOn w:val="NoList"/>
    <w:rsid w:val="00A17D4D"/>
  </w:style>
  <w:style w:type="numbering" w:customStyle="1" w:styleId="List217155">
    <w:name w:val="List 217155"/>
    <w:basedOn w:val="NoList"/>
    <w:rsid w:val="00A17D4D"/>
  </w:style>
  <w:style w:type="numbering" w:customStyle="1" w:styleId="11111162145">
    <w:name w:val="1 / 1.1 / 1.1.162145"/>
    <w:basedOn w:val="NoList"/>
    <w:next w:val="NoList"/>
    <w:rsid w:val="00A17D4D"/>
  </w:style>
  <w:style w:type="numbering" w:customStyle="1" w:styleId="ArticleSection25431">
    <w:name w:val="Article / Section25431"/>
    <w:basedOn w:val="NoList"/>
    <w:next w:val="NoList"/>
    <w:rsid w:val="00A17D4D"/>
  </w:style>
  <w:style w:type="numbering" w:customStyle="1" w:styleId="1ai25421">
    <w:name w:val="1 / a / i25421"/>
    <w:basedOn w:val="NoList"/>
    <w:next w:val="NoList"/>
    <w:rsid w:val="00A17D4D"/>
  </w:style>
  <w:style w:type="numbering" w:customStyle="1" w:styleId="List051146">
    <w:name w:val="List 051146"/>
    <w:basedOn w:val="NoList"/>
    <w:rsid w:val="00A17D4D"/>
  </w:style>
  <w:style w:type="character" w:customStyle="1" w:styleId="findhit">
    <w:name w:val="findhit"/>
    <w:basedOn w:val="DefaultParagraphFont"/>
    <w:rsid w:val="00A17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www.woah.org/en/what-we-do/standards/codes-and-manuals/aquatic-code-online-access/index.php?id=169&amp;L=1&amp;htmfile=chapitre_criteria_specie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oah.org/en/what-we-offer/expertise-network/reference-labora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8197</Words>
  <Characters>46728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crayfish plague</dc:title>
  <dc:subject/>
  <dc:creator>Egrie, Paul - MRP-APHIS</dc:creator>
  <cp:keywords/>
  <dc:description/>
  <cp:lastModifiedBy>Egrie, Paul - MRP-APHIS</cp:lastModifiedBy>
  <cp:revision>1</cp:revision>
  <dcterms:created xsi:type="dcterms:W3CDTF">2023-04-10T13:28:00Z</dcterms:created>
  <dcterms:modified xsi:type="dcterms:W3CDTF">2023-04-10T13:30:00Z</dcterms:modified>
</cp:coreProperties>
</file>