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5DCB" w14:textId="77777777" w:rsidR="004F20A7" w:rsidRPr="00545201" w:rsidRDefault="004F20A7" w:rsidP="004F20A7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545201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11</w:t>
      </w:r>
      <w:r w:rsidRPr="00545201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7.7</w:t>
      </w:r>
      <w:r w:rsidRPr="00545201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Article 11.4.1. and 11.4.2. of Chapter 11.4. Infection with </w:t>
      </w:r>
      <w:proofErr w:type="spellStart"/>
      <w:r w:rsidRPr="00545201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Marteilia</w:t>
      </w:r>
      <w:proofErr w:type="spellEnd"/>
      <w:r w:rsidRPr="00545201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545201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refringens</w:t>
      </w:r>
      <w:bookmarkStart w:id="0" w:name="A14"/>
      <w:bookmarkEnd w:id="0"/>
      <w:proofErr w:type="spellEnd"/>
    </w:p>
    <w:p w14:paraId="0F93E36E" w14:textId="77777777" w:rsidR="004F20A7" w:rsidRPr="008B26A2" w:rsidRDefault="004F20A7" w:rsidP="004F20A7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8B26A2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11.4.</w:t>
      </w:r>
      <w:r w:rsidRPr="008B26A2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8B26A2">
        <w:rPr>
          <w:rFonts w:ascii="Arial" w:eastAsia="Calibri" w:hAnsi="Arial" w:cs="Arial"/>
          <w:sz w:val="18"/>
          <w:szCs w:val="18"/>
          <w:lang w:val="en-US"/>
        </w:rPr>
        <w:br/>
      </w:r>
      <w:r w:rsidRPr="008B26A2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</w:t>
      </w:r>
      <w:r w:rsidRPr="008B26A2">
        <w:rPr>
          <w:rFonts w:ascii="Söhne Halbfett" w:eastAsia="Calibri" w:hAnsi="Söhne Halbfett" w:cs="Arial"/>
          <w:i/>
          <w:iCs/>
          <w:spacing w:val="40"/>
          <w:sz w:val="28"/>
          <w:szCs w:val="28"/>
          <w:lang w:val="en-US"/>
        </w:rPr>
        <w:t>MARTEILIA REFRINGENS</w:t>
      </w:r>
    </w:p>
    <w:p w14:paraId="3788ACA8" w14:textId="77777777" w:rsidR="004F20A7" w:rsidRPr="008B26A2" w:rsidRDefault="004F20A7" w:rsidP="004F20A7">
      <w:pPr>
        <w:spacing w:after="240" w:line="240" w:lineRule="auto"/>
        <w:jc w:val="center"/>
        <w:rPr>
          <w:rFonts w:ascii="Söhne" w:eastAsia="Calibri" w:hAnsi="Söhne" w:cs="Arial"/>
          <w:sz w:val="18"/>
          <w:szCs w:val="18"/>
          <w:lang w:val="en-US"/>
        </w:rPr>
      </w:pPr>
      <w:r w:rsidRPr="008B26A2">
        <w:rPr>
          <w:rFonts w:ascii="Söhne" w:eastAsia="Calibri" w:hAnsi="Söhne" w:cs="Arial"/>
          <w:sz w:val="18"/>
          <w:szCs w:val="18"/>
          <w:lang w:val="en-US"/>
        </w:rPr>
        <w:t xml:space="preserve">Article 11.4.1. </w:t>
      </w:r>
    </w:p>
    <w:p w14:paraId="11547DA1" w14:textId="77777777" w:rsidR="004F20A7" w:rsidRPr="008B26A2" w:rsidRDefault="004F20A7" w:rsidP="004F20A7">
      <w:pPr>
        <w:widowControl w:val="0"/>
        <w:autoSpaceDE w:val="0"/>
        <w:autoSpaceDN w:val="0"/>
        <w:spacing w:after="240" w:line="240" w:lineRule="auto"/>
        <w:ind w:right="104" w:hanging="1"/>
        <w:rPr>
          <w:rFonts w:ascii="Söhne" w:eastAsia="Arial" w:hAnsi="Söhne" w:cs="Arial"/>
          <w:sz w:val="18"/>
          <w:szCs w:val="18"/>
          <w:lang w:val="en-US"/>
        </w:rPr>
      </w:pP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For the purposes of the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Aquatic Code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, infection with 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Marteilia</w:t>
      </w:r>
      <w:proofErr w:type="spellEnd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refringens</w:t>
      </w:r>
      <w:proofErr w:type="spellEnd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means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infection 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with 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the </w:t>
      </w:r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pathogenic agent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M. 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refringens</w:t>
      </w:r>
      <w:proofErr w:type="spellEnd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iCs/>
          <w:sz w:val="18"/>
          <w:szCs w:val="18"/>
          <w:highlight w:val="yellow"/>
          <w:u w:val="double"/>
          <w:lang w:val="en-US"/>
        </w:rPr>
        <w:t>(including O and M types)</w:t>
      </w:r>
      <w:r w:rsidRPr="008B26A2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 xml:space="preserve"> of the Family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proofErr w:type="spellStart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Marteiliidae</w:t>
      </w:r>
      <w:proofErr w:type="spellEnd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.</w:t>
      </w:r>
    </w:p>
    <w:p w14:paraId="71643FBC" w14:textId="77777777" w:rsidR="004F20A7" w:rsidRPr="008B26A2" w:rsidRDefault="004F20A7" w:rsidP="004F20A7">
      <w:pPr>
        <w:widowControl w:val="0"/>
        <w:autoSpaceDE w:val="0"/>
        <w:autoSpaceDN w:val="0"/>
        <w:spacing w:before="1" w:after="0" w:line="544" w:lineRule="auto"/>
        <w:ind w:right="104" w:hanging="1"/>
        <w:rPr>
          <w:rFonts w:ascii="Söhne" w:eastAsia="Arial" w:hAnsi="Söhne" w:cs="Arial"/>
          <w:sz w:val="18"/>
          <w:szCs w:val="18"/>
          <w:lang w:val="en-US"/>
        </w:rPr>
      </w:pP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Information on methods for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diagnosis 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is provided in the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Aquatic Manual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2DEDFC9E" w14:textId="77777777" w:rsidR="004F20A7" w:rsidRPr="008B26A2" w:rsidRDefault="004F20A7" w:rsidP="004F20A7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bookmarkStart w:id="1" w:name="_bookmark458"/>
      <w:bookmarkEnd w:id="1"/>
      <w:r w:rsidRPr="008B26A2">
        <w:rPr>
          <w:rFonts w:ascii="Söhne Halbfett" w:eastAsia="Calibri" w:hAnsi="Söhne Halbfett" w:cs="Arial"/>
          <w:sz w:val="18"/>
          <w:szCs w:val="18"/>
          <w:lang w:val="en-US"/>
        </w:rPr>
        <w:t xml:space="preserve">Article 11.4.2. </w:t>
      </w:r>
    </w:p>
    <w:p w14:paraId="1E0113D7" w14:textId="77777777" w:rsidR="004F20A7" w:rsidRPr="008B26A2" w:rsidRDefault="004F20A7" w:rsidP="004F20A7">
      <w:pPr>
        <w:widowControl w:val="0"/>
        <w:autoSpaceDE w:val="0"/>
        <w:autoSpaceDN w:val="0"/>
        <w:spacing w:after="240" w:line="240" w:lineRule="auto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8B26A2">
        <w:rPr>
          <w:rFonts w:ascii="Söhne Halbfett" w:eastAsia="Arial" w:hAnsi="Söhne Halbfett" w:cs="Arial"/>
          <w:sz w:val="18"/>
          <w:szCs w:val="18"/>
          <w:lang w:val="en-US"/>
        </w:rPr>
        <w:t>Scope</w:t>
      </w:r>
    </w:p>
    <w:p w14:paraId="2A62DBCD" w14:textId="77777777" w:rsidR="004F20A7" w:rsidRPr="008B26A2" w:rsidRDefault="004F20A7" w:rsidP="004F20A7">
      <w:pPr>
        <w:widowControl w:val="0"/>
        <w:autoSpaceDE w:val="0"/>
        <w:autoSpaceDN w:val="0"/>
        <w:spacing w:after="240" w:line="240" w:lineRule="auto"/>
        <w:ind w:right="102"/>
        <w:jc w:val="both"/>
        <w:rPr>
          <w:rFonts w:ascii="Söhne" w:eastAsia="Arial" w:hAnsi="Söhne" w:cs="Arial"/>
          <w:strike/>
          <w:sz w:val="18"/>
          <w:szCs w:val="18"/>
          <w:lang w:val="en-US"/>
        </w:rPr>
      </w:pP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The recommendations in this chapter apply </w:t>
      </w:r>
      <w:proofErr w:type="gramStart"/>
      <w:r w:rsidRPr="008B26A2">
        <w:rPr>
          <w:rFonts w:ascii="Söhne" w:eastAsia="Arial" w:hAnsi="Söhne" w:cs="Arial"/>
          <w:sz w:val="18"/>
          <w:szCs w:val="18"/>
          <w:lang w:val="en-US"/>
        </w:rPr>
        <w:t>to:</w:t>
      </w:r>
      <w:proofErr w:type="gramEnd"/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blue mussel (</w:t>
      </w:r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Mytilus edulis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), dwarf oyster (</w:t>
      </w:r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Ostrea </w:t>
      </w:r>
      <w:proofErr w:type="spellStart"/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stentina</w:t>
      </w:r>
      <w:proofErr w:type="spellEnd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),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 European</w:t>
      </w:r>
      <w:r w:rsidRPr="008B26A2" w:rsidDel="001D5EE3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>flat oyster (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Ostrea edulis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), 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European razor clam (</w:t>
      </w:r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Solen </w:t>
      </w:r>
      <w:proofErr w:type="spellStart"/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marginatus</w:t>
      </w:r>
      <w:proofErr w:type="spellEnd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), golden mussel (</w:t>
      </w:r>
      <w:proofErr w:type="spellStart"/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Xenostrobus</w:t>
      </w:r>
      <w:proofErr w:type="spellEnd"/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 </w:t>
      </w:r>
      <w:proofErr w:type="spellStart"/>
      <w:r w:rsidRPr="008B26A2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securis</w:t>
      </w:r>
      <w:proofErr w:type="spellEnd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),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 xml:space="preserve">Australian  mud  oyster 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(Ostrea </w:t>
      </w:r>
      <w:proofErr w:type="spellStart"/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angasi</w:t>
      </w:r>
      <w:proofErr w:type="spellEnd"/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)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 xml:space="preserve">, Argentinean oyster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(Ostrea </w:t>
      </w:r>
      <w:proofErr w:type="spellStart"/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puelchana</w:t>
      </w:r>
      <w:proofErr w:type="spellEnd"/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)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 xml:space="preserve">, Chilean flat oyster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(Ostrea chilensis)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 xml:space="preserve">, blue mussel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(Mytilus edulis)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and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 Mediterranean mussel </w:t>
      </w:r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(Mytilus 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>galloprovincialis</w:t>
      </w:r>
      <w:proofErr w:type="spellEnd"/>
      <w:r w:rsidRPr="008B26A2">
        <w:rPr>
          <w:rFonts w:ascii="Söhne" w:eastAsia="Arial" w:hAnsi="Söhne" w:cs="Arial"/>
          <w:i/>
          <w:sz w:val="18"/>
          <w:szCs w:val="18"/>
          <w:lang w:val="en-US"/>
        </w:rPr>
        <w:t xml:space="preserve">) </w:t>
      </w:r>
      <w:r w:rsidRPr="008B26A2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 xml:space="preserve">and striped </w:t>
      </w:r>
      <w:proofErr w:type="spellStart"/>
      <w:r w:rsidRPr="008B26A2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venus</w:t>
      </w:r>
      <w:proofErr w:type="spellEnd"/>
      <w:r w:rsidRPr="008B26A2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 xml:space="preserve"> </w:t>
      </w:r>
      <w:r w:rsidRPr="008B26A2">
        <w:rPr>
          <w:rFonts w:ascii="Söhne" w:eastAsia="Arial" w:hAnsi="Söhne" w:cs="Arial"/>
          <w:iCs/>
          <w:sz w:val="18"/>
          <w:szCs w:val="18"/>
          <w:highlight w:val="yellow"/>
          <w:u w:val="double"/>
          <w:lang w:val="en-US"/>
        </w:rPr>
        <w:t>clam</w:t>
      </w:r>
      <w:r w:rsidRPr="008B26A2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 </w:t>
      </w:r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(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Chamelea</w:t>
      </w:r>
      <w:proofErr w:type="spellEnd"/>
      <w:r w:rsidRPr="008B26A2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 </w:t>
      </w:r>
      <w:proofErr w:type="spellStart"/>
      <w:r w:rsidRPr="008B26A2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gallina</w:t>
      </w:r>
      <w:proofErr w:type="spellEnd"/>
      <w:r w:rsidRPr="008B26A2">
        <w:rPr>
          <w:rFonts w:ascii="Söhne" w:eastAsia="Arial" w:hAnsi="Söhne" w:cs="Arial"/>
          <w:sz w:val="18"/>
          <w:szCs w:val="18"/>
          <w:u w:val="double"/>
          <w:lang w:val="en-US"/>
        </w:rPr>
        <w:t>)</w:t>
      </w:r>
      <w:r w:rsidRPr="008B26A2">
        <w:rPr>
          <w:rFonts w:ascii="Söhne" w:eastAsia="Arial" w:hAnsi="Söhne" w:cs="Arial"/>
          <w:sz w:val="18"/>
          <w:szCs w:val="18"/>
          <w:lang w:val="en-US"/>
        </w:rPr>
        <w:t xml:space="preserve">.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 xml:space="preserve">These recommendations also apply to any other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susceptible</w:t>
      </w:r>
      <w:r w:rsidRPr="008B26A2">
        <w:rPr>
          <w:rFonts w:ascii="Söhne" w:eastAsia="Arial" w:hAnsi="Söhne" w:cs="Arial"/>
          <w:i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species</w:t>
      </w:r>
      <w:r w:rsidRPr="008B26A2">
        <w:rPr>
          <w:rFonts w:ascii="Söhne" w:eastAsia="Arial" w:hAnsi="Söhne" w:cs="Arial"/>
          <w:i/>
          <w:strike/>
          <w:spacing w:val="-4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referred</w:t>
      </w:r>
      <w:r w:rsidRPr="008B26A2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to</w:t>
      </w:r>
      <w:r w:rsidRPr="008B26A2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in</w:t>
      </w:r>
      <w:r w:rsidRPr="008B26A2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the</w:t>
      </w:r>
      <w:r w:rsidRPr="008B26A2">
        <w:rPr>
          <w:rFonts w:ascii="Söhne" w:eastAsia="Arial" w:hAnsi="Söhne" w:cs="Arial"/>
          <w:strike/>
          <w:spacing w:val="-9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Aquatic</w:t>
      </w:r>
      <w:r w:rsidRPr="008B26A2">
        <w:rPr>
          <w:rFonts w:ascii="Söhne" w:eastAsia="Arial" w:hAnsi="Söhne" w:cs="Arial"/>
          <w:i/>
          <w:strike/>
          <w:spacing w:val="-6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i/>
          <w:strike/>
          <w:sz w:val="18"/>
          <w:szCs w:val="18"/>
          <w:lang w:val="en-US"/>
        </w:rPr>
        <w:t>Manual</w:t>
      </w:r>
      <w:r w:rsidRPr="008B26A2">
        <w:rPr>
          <w:rFonts w:ascii="Söhne" w:eastAsia="Arial" w:hAnsi="Söhne" w:cs="Arial"/>
          <w:i/>
          <w:strike/>
          <w:spacing w:val="-9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when</w:t>
      </w:r>
      <w:r w:rsidRPr="008B26A2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traded</w:t>
      </w:r>
      <w:r w:rsidRPr="008B26A2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8B26A2">
        <w:rPr>
          <w:rFonts w:ascii="Söhne" w:eastAsia="Arial" w:hAnsi="Söhne" w:cs="Arial"/>
          <w:strike/>
          <w:sz w:val="18"/>
          <w:szCs w:val="18"/>
          <w:lang w:val="en-US"/>
        </w:rPr>
        <w:t>internationally.</w:t>
      </w:r>
    </w:p>
    <w:p w14:paraId="2D96FFE5" w14:textId="77777777" w:rsidR="004F20A7" w:rsidRPr="008B26A2" w:rsidRDefault="004F20A7" w:rsidP="004F20A7">
      <w:pPr>
        <w:widowControl w:val="0"/>
        <w:autoSpaceDE w:val="0"/>
        <w:autoSpaceDN w:val="0"/>
        <w:spacing w:after="240" w:line="240" w:lineRule="auto"/>
        <w:ind w:left="166"/>
        <w:jc w:val="center"/>
        <w:rPr>
          <w:rFonts w:ascii="Arial" w:eastAsia="Arial" w:hAnsi="Arial" w:cs="Arial"/>
          <w:sz w:val="18"/>
          <w:szCs w:val="18"/>
          <w:lang w:val="en-US" w:bidi="en-US"/>
        </w:rPr>
      </w:pPr>
      <w:r w:rsidRPr="008B26A2">
        <w:rPr>
          <w:rFonts w:ascii="Arial" w:eastAsia="Ottawa" w:hAnsi="Arial" w:cs="Arial"/>
          <w:sz w:val="18"/>
          <w:szCs w:val="18"/>
          <w:lang w:val="en-US" w:bidi="en-US"/>
        </w:rPr>
        <w:t>[…]</w:t>
      </w:r>
    </w:p>
    <w:p w14:paraId="14E3C56B" w14:textId="77777777" w:rsidR="004F20A7" w:rsidRPr="00626C87" w:rsidRDefault="004F20A7" w:rsidP="004F20A7">
      <w:pPr>
        <w:jc w:val="center"/>
        <w:rPr>
          <w:rFonts w:ascii="Arial" w:hAnsi="Arial"/>
          <w:sz w:val="20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1D329F20" w14:textId="77777777" w:rsidR="004F20A7" w:rsidRDefault="004F20A7"/>
    <w:sectPr w:rsidR="004F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A7"/>
    <w:rsid w:val="004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FACC"/>
  <w15:chartTrackingRefBased/>
  <w15:docId w15:val="{F3D44D4D-5650-4415-AD3B-DF8BB6E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A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11. Item 7.7. – Article 11.4.1. and 11.4.2. of Chapter 11.4. Infection with Marteilia refringens</dc:title>
  <dc:subject/>
  <dc:creator>Egrie, Paul - MRP-APHIS</dc:creator>
  <cp:keywords/>
  <dc:description/>
  <cp:lastModifiedBy>Egrie, Paul - MRP-APHIS</cp:lastModifiedBy>
  <cp:revision>1</cp:revision>
  <dcterms:created xsi:type="dcterms:W3CDTF">2023-04-06T05:08:00Z</dcterms:created>
  <dcterms:modified xsi:type="dcterms:W3CDTF">2023-04-06T05:09:00Z</dcterms:modified>
</cp:coreProperties>
</file>