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E329" w14:textId="7616BF7E" w:rsidR="00866A45" w:rsidRPr="00897119" w:rsidRDefault="00B26BFD" w:rsidP="00426A14">
      <w:pPr>
        <w:pStyle w:val="TITRE"/>
        <w:tabs>
          <w:tab w:val="right" w:pos="1843"/>
        </w:tabs>
        <w:spacing w:line="240" w:lineRule="auto"/>
        <w:rPr>
          <w:rFonts w:ascii="Ottawa" w:hAnsi="Ottawa"/>
          <w:b w:val="0"/>
          <w:smallCaps/>
          <w:spacing w:val="60"/>
          <w:sz w:val="24"/>
        </w:rPr>
      </w:pPr>
      <w:r w:rsidRPr="00897119">
        <w:rPr>
          <w:rFonts w:ascii="Ottawa" w:hAnsi="Ottawa"/>
          <w:b w:val="0"/>
          <w:spacing w:val="60"/>
          <w:sz w:val="24"/>
        </w:rPr>
        <w:t xml:space="preserve">chapter </w:t>
      </w:r>
      <w:r w:rsidR="00D87299">
        <w:rPr>
          <w:rFonts w:ascii="Ottawa" w:hAnsi="Ottawa"/>
          <w:b w:val="0"/>
          <w:spacing w:val="60"/>
          <w:sz w:val="24"/>
        </w:rPr>
        <w:t>3</w:t>
      </w:r>
      <w:r w:rsidR="00866A45" w:rsidRPr="00897119">
        <w:rPr>
          <w:rFonts w:ascii="Ottawa" w:hAnsi="Ottawa"/>
          <w:b w:val="0"/>
          <w:spacing w:val="60"/>
          <w:sz w:val="24"/>
        </w:rPr>
        <w:t>.</w:t>
      </w:r>
      <w:r w:rsidR="00274DA1">
        <w:rPr>
          <w:rFonts w:ascii="Ottawa" w:hAnsi="Ottawa"/>
          <w:b w:val="0"/>
          <w:spacing w:val="60"/>
          <w:sz w:val="24"/>
        </w:rPr>
        <w:t>10.7</w:t>
      </w:r>
      <w:r w:rsidR="00C106AD" w:rsidRPr="00897119">
        <w:rPr>
          <w:rFonts w:ascii="Ottawa" w:hAnsi="Ottawa"/>
          <w:b w:val="0"/>
          <w:spacing w:val="60"/>
          <w:sz w:val="24"/>
        </w:rPr>
        <w:t>.</w:t>
      </w:r>
    </w:p>
    <w:p w14:paraId="68A58431" w14:textId="77777777" w:rsidR="00866A45" w:rsidRPr="007A6412" w:rsidRDefault="00866A45">
      <w:pPr>
        <w:pStyle w:val="TITRE"/>
        <w:pBdr>
          <w:bottom w:val="single" w:sz="6" w:space="10" w:color="auto"/>
        </w:pBdr>
        <w:tabs>
          <w:tab w:val="right" w:pos="1843"/>
        </w:tabs>
        <w:spacing w:after="480" w:line="240" w:lineRule="auto"/>
        <w:rPr>
          <w:rFonts w:ascii="Ottawa" w:hAnsi="Ottawa"/>
          <w:spacing w:val="40"/>
          <w:sz w:val="32"/>
          <w:lang w:val="en-IE"/>
        </w:rPr>
      </w:pPr>
      <w:r w:rsidRPr="00897119">
        <w:rPr>
          <w:rFonts w:ascii="Ottawa" w:hAnsi="Ottawa"/>
          <w:spacing w:val="40"/>
          <w:sz w:val="32"/>
        </w:rPr>
        <w:t>SALMONELLOSIS*</w:t>
      </w:r>
      <w:r w:rsidR="0086263E">
        <w:rPr>
          <w:rStyle w:val="FootnoteReference"/>
          <w:rFonts w:ascii="Ottawa" w:hAnsi="Ottawa"/>
          <w:spacing w:val="40"/>
          <w:sz w:val="32"/>
          <w:lang w:val="es-ES_tradnl"/>
        </w:rPr>
        <w:footnoteReference w:id="2"/>
      </w:r>
    </w:p>
    <w:p w14:paraId="30CD4603" w14:textId="77777777" w:rsidR="00866A45" w:rsidRPr="00897119" w:rsidRDefault="00866A45" w:rsidP="007D4961">
      <w:pPr>
        <w:pStyle w:val="A0"/>
        <w:spacing w:before="1200"/>
      </w:pPr>
      <w:r w:rsidRPr="00897119">
        <w:t>SUMMARY</w:t>
      </w:r>
    </w:p>
    <w:p w14:paraId="4E039E61" w14:textId="7D071AC0" w:rsidR="00C3218B" w:rsidRPr="00897119" w:rsidRDefault="0066375C" w:rsidP="0066375C">
      <w:pPr>
        <w:pStyle w:val="sumtexte"/>
      </w:pPr>
      <w:r w:rsidRPr="00897119">
        <w:rPr>
          <w:b/>
        </w:rPr>
        <w:t>Description of the disease:</w:t>
      </w:r>
      <w:r w:rsidRPr="00897119">
        <w:t xml:space="preserve"> </w:t>
      </w:r>
      <w:r w:rsidR="00C3218B" w:rsidRPr="00897119">
        <w:t xml:space="preserve">Salmonellosis is an infectious disease of humans and animals caused by </w:t>
      </w:r>
      <w:r w:rsidR="00BB3ADB" w:rsidRPr="00897119">
        <w:t xml:space="preserve">bacteria of the genus </w:t>
      </w:r>
      <w:r w:rsidR="00C3218B" w:rsidRPr="00897119">
        <w:rPr>
          <w:i w:val="0"/>
        </w:rPr>
        <w:t xml:space="preserve">Salmonella. </w:t>
      </w:r>
      <w:r w:rsidR="00C3218B" w:rsidRPr="00897119">
        <w:t xml:space="preserve">Salmonellae are aetiological agents of diarrhoeal and systemic infections. They often cause subclinical infections and </w:t>
      </w:r>
      <w:r w:rsidR="0024142F" w:rsidRPr="00897119">
        <w:t xml:space="preserve">may be </w:t>
      </w:r>
      <w:r w:rsidR="00C3218B" w:rsidRPr="00897119">
        <w:t xml:space="preserve">shed </w:t>
      </w:r>
      <w:r w:rsidR="000804BC" w:rsidRPr="00897119">
        <w:t xml:space="preserve">in large numbers </w:t>
      </w:r>
      <w:r w:rsidR="00C3218B" w:rsidRPr="00897119">
        <w:t>with</w:t>
      </w:r>
      <w:r w:rsidR="0024142F" w:rsidRPr="00897119">
        <w:t>in</w:t>
      </w:r>
      <w:r w:rsidR="00C3218B" w:rsidRPr="00897119">
        <w:t xml:space="preserve"> the faeces</w:t>
      </w:r>
      <w:r w:rsidR="0024142F" w:rsidRPr="00897119">
        <w:t xml:space="preserve"> of clinical cases and carrier animals</w:t>
      </w:r>
      <w:r w:rsidR="00C3218B" w:rsidRPr="00897119">
        <w:t xml:space="preserve"> resulting in contamination of the environment. Infection in food animals often leads to contamination of meat, eggs</w:t>
      </w:r>
      <w:r w:rsidR="008969BE">
        <w:t xml:space="preserve">, milk </w:t>
      </w:r>
      <w:r w:rsidR="00BA6702">
        <w:t xml:space="preserve">and </w:t>
      </w:r>
      <w:r w:rsidR="00C3218B" w:rsidRPr="00F45B36">
        <w:rPr>
          <w:strike/>
        </w:rPr>
        <w:t>cheese</w:t>
      </w:r>
      <w:r w:rsidR="00F45B36" w:rsidRPr="00F45B36">
        <w:rPr>
          <w:strike/>
        </w:rPr>
        <w:t xml:space="preserve"> </w:t>
      </w:r>
      <w:r w:rsidR="00BA6702" w:rsidRPr="00F45B36">
        <w:rPr>
          <w:u w:val="double"/>
        </w:rPr>
        <w:t>milk products</w:t>
      </w:r>
      <w:r w:rsidR="00C3218B" w:rsidRPr="00897119">
        <w:t xml:space="preserve">. </w:t>
      </w:r>
      <w:r w:rsidR="0024142F" w:rsidRPr="00897119">
        <w:t>S</w:t>
      </w:r>
      <w:r w:rsidR="00C3218B" w:rsidRPr="00897119">
        <w:t xml:space="preserve">almonellosis is one of the most common and economically important </w:t>
      </w:r>
      <w:r w:rsidR="00FD7F0B" w:rsidRPr="00897119">
        <w:t>food</w:t>
      </w:r>
      <w:r w:rsidR="00D45B39" w:rsidRPr="00897119">
        <w:t>-</w:t>
      </w:r>
      <w:r w:rsidR="00FD7F0B" w:rsidRPr="00897119">
        <w:t xml:space="preserve">borne </w:t>
      </w:r>
      <w:r w:rsidR="00C3218B" w:rsidRPr="00897119">
        <w:t>zoonotic diseases</w:t>
      </w:r>
      <w:r w:rsidR="00866A45" w:rsidRPr="00897119">
        <w:t xml:space="preserve"> </w:t>
      </w:r>
      <w:r w:rsidR="0024142F" w:rsidRPr="00897119">
        <w:t xml:space="preserve">in </w:t>
      </w:r>
      <w:r w:rsidR="00F52424" w:rsidRPr="00897119">
        <w:t>humans</w:t>
      </w:r>
      <w:r w:rsidR="00C3218B" w:rsidRPr="00897119">
        <w:t xml:space="preserve">. </w:t>
      </w:r>
      <w:r w:rsidR="0024142F" w:rsidRPr="00897119">
        <w:t xml:space="preserve">The disease </w:t>
      </w:r>
      <w:r w:rsidR="00C3218B" w:rsidRPr="00897119">
        <w:t>has been recognised in all countries</w:t>
      </w:r>
      <w:r w:rsidR="0024142F" w:rsidRPr="00897119">
        <w:t xml:space="preserve"> and non-typhoidal </w:t>
      </w:r>
      <w:r w:rsidR="0024142F" w:rsidRPr="00897119">
        <w:rPr>
          <w:i w:val="0"/>
        </w:rPr>
        <w:t>Salmonella</w:t>
      </w:r>
      <w:r w:rsidR="00C3218B" w:rsidRPr="00897119">
        <w:t xml:space="preserve"> appears to be most prevalent in areas of intensive animal husbandry, especially in pigs</w:t>
      </w:r>
      <w:r w:rsidR="0024142F" w:rsidRPr="00897119">
        <w:t>,</w:t>
      </w:r>
      <w:r w:rsidR="00C3218B" w:rsidRPr="00897119">
        <w:t xml:space="preserve"> </w:t>
      </w:r>
      <w:r w:rsidR="0024142F" w:rsidRPr="00897119">
        <w:t xml:space="preserve">intensively reared </w:t>
      </w:r>
      <w:r w:rsidR="00C3218B" w:rsidRPr="00897119">
        <w:t>calves and poultry.</w:t>
      </w:r>
    </w:p>
    <w:p w14:paraId="7BDFDF67" w14:textId="49209E21" w:rsidR="00C3218B" w:rsidRPr="00897119" w:rsidRDefault="00C3218B" w:rsidP="00C3218B">
      <w:pPr>
        <w:pStyle w:val="sumtexte"/>
      </w:pPr>
      <w:r w:rsidRPr="00897119">
        <w:t>The disease can affect all species of domestic animals; young animals and pregnant and lactating animals are the most susceptible</w:t>
      </w:r>
      <w:r w:rsidR="00AA31E6">
        <w:t xml:space="preserve"> </w:t>
      </w:r>
      <w:r w:rsidR="00AA31E6" w:rsidRPr="00F45B36">
        <w:rPr>
          <w:u w:val="double"/>
        </w:rPr>
        <w:t>to clinical infections</w:t>
      </w:r>
      <w:r w:rsidRPr="00897119">
        <w:t xml:space="preserve">. Enteric disease is the commonest clinical manifestation, but a wide range of clinical signs, which include acute septicaemia, abortion, arthritis and respiratory disease, may be seen. Many animals, especially pigs and poultry, may be infected but show no clinical illness. Such </w:t>
      </w:r>
      <w:r w:rsidRPr="00F45B36">
        <w:rPr>
          <w:strike/>
        </w:rPr>
        <w:t>animals may be important</w:t>
      </w:r>
      <w:r w:rsidR="00F45B36">
        <w:rPr>
          <w:strike/>
        </w:rPr>
        <w:t xml:space="preserve"> </w:t>
      </w:r>
      <w:r w:rsidRPr="00F45B36">
        <w:rPr>
          <w:u w:val="double"/>
        </w:rPr>
        <w:t>animal</w:t>
      </w:r>
      <w:r w:rsidR="005F7505" w:rsidRPr="00F45B36">
        <w:rPr>
          <w:u w:val="double"/>
        </w:rPr>
        <w:t xml:space="preserve"> species</w:t>
      </w:r>
      <w:r w:rsidRPr="00F45B36">
        <w:rPr>
          <w:u w:val="double"/>
        </w:rPr>
        <w:t xml:space="preserve"> </w:t>
      </w:r>
      <w:r w:rsidR="005F7505" w:rsidRPr="00F45B36">
        <w:rPr>
          <w:u w:val="double"/>
        </w:rPr>
        <w:t>have a central role</w:t>
      </w:r>
      <w:r w:rsidR="005F7505">
        <w:t xml:space="preserve"> </w:t>
      </w:r>
      <w:r w:rsidRPr="00897119">
        <w:t xml:space="preserve">in relation to the spread of infection between flocks and herds and as sources of food contamination and human infection. </w:t>
      </w:r>
    </w:p>
    <w:p w14:paraId="568A6F66" w14:textId="7C89233F" w:rsidR="00C3218B" w:rsidRPr="00897119" w:rsidRDefault="00C3218B" w:rsidP="00C3218B">
      <w:pPr>
        <w:pStyle w:val="sumtexte"/>
      </w:pPr>
      <w:r w:rsidRPr="00897119">
        <w:t xml:space="preserve">Fowl typhoid and Pullorum disease, poultry diseases caused by </w:t>
      </w:r>
      <w:r w:rsidR="0024142F" w:rsidRPr="00897119">
        <w:t xml:space="preserve">host-specific </w:t>
      </w:r>
      <w:r w:rsidRPr="00897119">
        <w:rPr>
          <w:i w:val="0"/>
        </w:rPr>
        <w:t>Salmonella</w:t>
      </w:r>
      <w:r w:rsidR="005F7505">
        <w:rPr>
          <w:i w:val="0"/>
        </w:rPr>
        <w:t xml:space="preserve"> </w:t>
      </w:r>
      <w:r w:rsidR="005F7505" w:rsidRPr="00F45B36">
        <w:rPr>
          <w:i w:val="0"/>
          <w:u w:val="double"/>
        </w:rPr>
        <w:t>biovars</w:t>
      </w:r>
      <w:r w:rsidRPr="00897119">
        <w:t xml:space="preserve">, are addressed in chapter </w:t>
      </w:r>
      <w:r w:rsidR="00D87299">
        <w:t>3</w:t>
      </w:r>
      <w:r w:rsidRPr="00897119">
        <w:t>.3.11.</w:t>
      </w:r>
    </w:p>
    <w:p w14:paraId="17E074FF" w14:textId="011FE9A7" w:rsidR="00C3218B" w:rsidRPr="00897119" w:rsidRDefault="00B46130" w:rsidP="00C3218B">
      <w:pPr>
        <w:pStyle w:val="sumtexte"/>
      </w:pPr>
      <w:r w:rsidRPr="009A515F">
        <w:rPr>
          <w:b/>
        </w:rPr>
        <w:t>Detection</w:t>
      </w:r>
      <w:r w:rsidR="00C3218B" w:rsidRPr="00897119">
        <w:rPr>
          <w:b/>
        </w:rPr>
        <w:t xml:space="preserve"> of the agent:</w:t>
      </w:r>
      <w:r w:rsidR="00C3218B" w:rsidRPr="00897119">
        <w:t xml:space="preserve"> Diagnosis is based on the isolation </w:t>
      </w:r>
      <w:r w:rsidR="005F7505" w:rsidRPr="00274DA1">
        <w:rPr>
          <w:u w:val="double"/>
        </w:rPr>
        <w:t>and identification</w:t>
      </w:r>
      <w:r w:rsidR="005F7505">
        <w:t xml:space="preserve"> </w:t>
      </w:r>
      <w:r w:rsidR="00C3218B" w:rsidRPr="00897119">
        <w:t>of the organism either from tissues collected aseptically at necropsy or from faeces, rectal swabs</w:t>
      </w:r>
      <w:r w:rsidR="00C3218B" w:rsidRPr="00274DA1">
        <w:rPr>
          <w:strike/>
        </w:rPr>
        <w:t xml:space="preserve"> or</w:t>
      </w:r>
      <w:r w:rsidR="005F7505" w:rsidRPr="00274DA1">
        <w:rPr>
          <w:u w:val="double"/>
        </w:rPr>
        <w:t>,</w:t>
      </w:r>
      <w:r w:rsidR="005F7505">
        <w:t xml:space="preserve"> </w:t>
      </w:r>
      <w:r w:rsidR="00C3218B" w:rsidRPr="00897119">
        <w:t>environmental samples, food products and feedstuffs</w:t>
      </w:r>
      <w:r w:rsidR="00C3218B" w:rsidRPr="00274DA1">
        <w:rPr>
          <w:strike/>
        </w:rPr>
        <w:t xml:space="preserve">; </w:t>
      </w:r>
      <w:r w:rsidR="00B513DB" w:rsidRPr="00274DA1">
        <w:rPr>
          <w:u w:val="double"/>
        </w:rPr>
        <w:t>.</w:t>
      </w:r>
      <w:r w:rsidR="00C3218B" w:rsidRPr="00274DA1">
        <w:t xml:space="preserve"> </w:t>
      </w:r>
      <w:r w:rsidR="00B513DB" w:rsidRPr="00274DA1">
        <w:t>P</w:t>
      </w:r>
      <w:r w:rsidR="00C3218B" w:rsidRPr="00274DA1">
        <w:t xml:space="preserve">rior </w:t>
      </w:r>
      <w:r w:rsidR="00C3218B" w:rsidRPr="00897119">
        <w:t xml:space="preserve">or current infection of animals by some serovars may also be diagnosed serologically. When infection of the reproductive organs or abortion occurs, it is </w:t>
      </w:r>
      <w:r w:rsidR="00C3218B" w:rsidRPr="00274DA1">
        <w:rPr>
          <w:strike/>
        </w:rPr>
        <w:t>necessary</w:t>
      </w:r>
      <w:r w:rsidR="00274DA1">
        <w:rPr>
          <w:strike/>
        </w:rPr>
        <w:t xml:space="preserve"> </w:t>
      </w:r>
      <w:r w:rsidR="00B513DB" w:rsidRPr="00274DA1">
        <w:rPr>
          <w:u w:val="double"/>
        </w:rPr>
        <w:t>usual</w:t>
      </w:r>
      <w:r w:rsidR="00B513DB" w:rsidRPr="00897119">
        <w:t xml:space="preserve"> </w:t>
      </w:r>
      <w:r w:rsidR="00C3218B" w:rsidRPr="00897119">
        <w:t xml:space="preserve">to culture </w:t>
      </w:r>
      <w:r w:rsidR="00866A45" w:rsidRPr="00897119">
        <w:t>fetal</w:t>
      </w:r>
      <w:r w:rsidR="00C3218B" w:rsidRPr="00897119">
        <w:t xml:space="preserve"> stomach contents, placenta and vaginal swabs and, in the case of poultry, embryonated eggs</w:t>
      </w:r>
      <w:r w:rsidR="00B513DB" w:rsidRPr="00274DA1">
        <w:rPr>
          <w:u w:val="double"/>
        </w:rPr>
        <w:t xml:space="preserve"> or ovary/oviduct</w:t>
      </w:r>
      <w:r w:rsidR="00C3218B" w:rsidRPr="00897119">
        <w:t>.</w:t>
      </w:r>
    </w:p>
    <w:p w14:paraId="18F5256B" w14:textId="6BE12DB5" w:rsidR="00C3218B" w:rsidRPr="00897119" w:rsidRDefault="00C3218B" w:rsidP="00C3218B">
      <w:pPr>
        <w:pStyle w:val="sumtexte"/>
      </w:pPr>
      <w:r w:rsidRPr="00897119">
        <w:t xml:space="preserve">Salmonellae may be isolated using a variety of techniques that may include pre-enrichment to resuscitate </w:t>
      </w:r>
      <w:r w:rsidR="00BB3ADB" w:rsidRPr="00897119">
        <w:t xml:space="preserve">and multiply </w:t>
      </w:r>
      <w:r w:rsidR="00866A45" w:rsidRPr="00897119">
        <w:t>sub</w:t>
      </w:r>
      <w:r w:rsidR="00274DA1">
        <w:t>-</w:t>
      </w:r>
      <w:r w:rsidR="00866A45" w:rsidRPr="00897119">
        <w:t>lethally</w:t>
      </w:r>
      <w:r w:rsidRPr="00897119">
        <w:t xml:space="preserve"> damaged</w:t>
      </w:r>
      <w:r w:rsidR="0024142F" w:rsidRPr="00897119">
        <w:t xml:space="preserve"> </w:t>
      </w:r>
      <w:r w:rsidRPr="00BC43D2">
        <w:rPr>
          <w:strike/>
        </w:rPr>
        <w:t>salmonellae</w:t>
      </w:r>
      <w:r w:rsidR="00BC43D2">
        <w:rPr>
          <w:strike/>
        </w:rPr>
        <w:t xml:space="preserve"> </w:t>
      </w:r>
      <w:r w:rsidR="00B513DB" w:rsidRPr="00BC43D2">
        <w:rPr>
          <w:u w:val="double"/>
        </w:rPr>
        <w:t>organ</w:t>
      </w:r>
      <w:r w:rsidR="001E2780" w:rsidRPr="00BC43D2">
        <w:rPr>
          <w:u w:val="double"/>
        </w:rPr>
        <w:t>i</w:t>
      </w:r>
      <w:r w:rsidR="00B513DB" w:rsidRPr="00BC43D2">
        <w:rPr>
          <w:u w:val="double"/>
        </w:rPr>
        <w:t>sms</w:t>
      </w:r>
      <w:r w:rsidRPr="00897119">
        <w:t>, enrichment media that contain inhibitory substances to suppress competing organisms and selective plating agars to differentiate salmonellae from other enterobacteria.</w:t>
      </w:r>
      <w:r w:rsidR="004D75F8" w:rsidRPr="00897119">
        <w:t xml:space="preserve"> Alternative methods such as </w:t>
      </w:r>
      <w:r w:rsidR="00F52424" w:rsidRPr="00897119">
        <w:t xml:space="preserve">polymerase chain reaction </w:t>
      </w:r>
      <w:r w:rsidR="004D75F8" w:rsidRPr="00897119">
        <w:t xml:space="preserve">and immunological detection of </w:t>
      </w:r>
      <w:r w:rsidR="004D75F8" w:rsidRPr="00897119">
        <w:rPr>
          <w:i w:val="0"/>
        </w:rPr>
        <w:t>Salmonella</w:t>
      </w:r>
      <w:r w:rsidR="004D75F8" w:rsidRPr="00897119">
        <w:t xml:space="preserve"> antigens can also be used, according to legislative requirements. </w:t>
      </w:r>
    </w:p>
    <w:p w14:paraId="0FA937FD" w14:textId="2730231D" w:rsidR="00C3218B" w:rsidRPr="00897119" w:rsidRDefault="00C3218B" w:rsidP="00C3218B">
      <w:pPr>
        <w:pStyle w:val="sumtexte"/>
      </w:pPr>
      <w:r w:rsidRPr="00897119">
        <w:t xml:space="preserve">Various biochemical, serological and molecular tests can be applied to the pure culture to provide a definitive confirmation of an isolated strain. Salmonellae possess antigens designated somatic </w:t>
      </w:r>
      <w:r w:rsidRPr="00897119">
        <w:rPr>
          <w:i w:val="0"/>
          <w:iCs w:val="0"/>
        </w:rPr>
        <w:t>(</w:t>
      </w:r>
      <w:r w:rsidRPr="00897119">
        <w:t>O</w:t>
      </w:r>
      <w:r w:rsidRPr="00897119">
        <w:rPr>
          <w:i w:val="0"/>
          <w:iCs w:val="0"/>
        </w:rPr>
        <w:t>),</w:t>
      </w:r>
      <w:r w:rsidRPr="00897119">
        <w:t xml:space="preserve"> flagellar </w:t>
      </w:r>
      <w:r w:rsidRPr="00897119">
        <w:rPr>
          <w:i w:val="0"/>
          <w:iCs w:val="0"/>
        </w:rPr>
        <w:t>(</w:t>
      </w:r>
      <w:r w:rsidRPr="00897119">
        <w:t>H</w:t>
      </w:r>
      <w:r w:rsidRPr="00897119">
        <w:rPr>
          <w:i w:val="0"/>
          <w:iCs w:val="0"/>
        </w:rPr>
        <w:t>)</w:t>
      </w:r>
      <w:r w:rsidRPr="00897119">
        <w:t xml:space="preserve"> and virulence </w:t>
      </w:r>
      <w:r w:rsidRPr="00897119">
        <w:rPr>
          <w:i w:val="0"/>
          <w:iCs w:val="0"/>
        </w:rPr>
        <w:t>(</w:t>
      </w:r>
      <w:r w:rsidRPr="00897119">
        <w:t>Vi</w:t>
      </w:r>
      <w:r w:rsidRPr="00897119">
        <w:rPr>
          <w:i w:val="0"/>
          <w:iCs w:val="0"/>
        </w:rPr>
        <w:t>)</w:t>
      </w:r>
      <w:r w:rsidRPr="00897119">
        <w:t>, which may be identified by specific typing sera, and the serovar may be determined by reference to the antigenic formulae in the White-Kauffmann–Le</w:t>
      </w:r>
      <w:r w:rsidR="001E2780">
        <w:t xml:space="preserve"> </w:t>
      </w:r>
      <w:r w:rsidRPr="00897119">
        <w:t>Minor scheme. Many laboratories may need to send isolates to a reference laboratory</w:t>
      </w:r>
      <w:r w:rsidR="008D53D5">
        <w:t xml:space="preserve"> </w:t>
      </w:r>
      <w:r w:rsidR="008D53D5" w:rsidRPr="00BC43D2">
        <w:rPr>
          <w:u w:val="double"/>
        </w:rPr>
        <w:t>for the identification of the serotype and further characteri</w:t>
      </w:r>
      <w:r w:rsidR="00BC43D2">
        <w:rPr>
          <w:u w:val="double"/>
        </w:rPr>
        <w:t>s</w:t>
      </w:r>
      <w:r w:rsidR="008D53D5" w:rsidRPr="00BC43D2">
        <w:rPr>
          <w:u w:val="double"/>
        </w:rPr>
        <w:t>ation</w:t>
      </w:r>
      <w:r w:rsidRPr="00897119">
        <w:t xml:space="preserve">. </w:t>
      </w:r>
      <w:r w:rsidR="004D75F8" w:rsidRPr="00897119">
        <w:t xml:space="preserve">Alternative serotyping methods, </w:t>
      </w:r>
      <w:r w:rsidR="004D75F8" w:rsidRPr="00BC43D2">
        <w:rPr>
          <w:strike/>
        </w:rPr>
        <w:t xml:space="preserve">including </w:t>
      </w:r>
      <w:r w:rsidR="00F52424" w:rsidRPr="00BC43D2">
        <w:rPr>
          <w:strike/>
        </w:rPr>
        <w:t xml:space="preserve">multi-locus sequence typing </w:t>
      </w:r>
      <w:r w:rsidR="00F52424" w:rsidRPr="00BC43D2">
        <w:rPr>
          <w:i w:val="0"/>
          <w:strike/>
        </w:rPr>
        <w:t>(</w:t>
      </w:r>
      <w:r w:rsidR="004D75F8" w:rsidRPr="00BC43D2">
        <w:rPr>
          <w:strike/>
        </w:rPr>
        <w:t>MLST</w:t>
      </w:r>
      <w:r w:rsidR="00F52424" w:rsidRPr="00BC43D2">
        <w:rPr>
          <w:i w:val="0"/>
          <w:strike/>
        </w:rPr>
        <w:t>)</w:t>
      </w:r>
      <w:r w:rsidR="00F52424" w:rsidRPr="00BC43D2">
        <w:rPr>
          <w:strike/>
        </w:rPr>
        <w:t>-</w:t>
      </w:r>
      <w:r w:rsidR="004D75F8" w:rsidRPr="00BC43D2">
        <w:rPr>
          <w:u w:val="double"/>
        </w:rPr>
        <w:t>includ</w:t>
      </w:r>
      <w:r w:rsidR="004F132C" w:rsidRPr="00BC43D2">
        <w:rPr>
          <w:u w:val="double"/>
        </w:rPr>
        <w:t xml:space="preserve">e </w:t>
      </w:r>
      <w:r w:rsidR="00B513DB" w:rsidRPr="00BC43D2">
        <w:rPr>
          <w:u w:val="double"/>
        </w:rPr>
        <w:t>various methods</w:t>
      </w:r>
      <w:r w:rsidR="00B513DB" w:rsidRPr="00BC43D2">
        <w:t xml:space="preserve"> </w:t>
      </w:r>
      <w:r w:rsidR="00B513DB">
        <w:t>based</w:t>
      </w:r>
      <w:r w:rsidR="004D75F8" w:rsidRPr="00897119">
        <w:t xml:space="preserve"> on</w:t>
      </w:r>
      <w:r w:rsidR="00B513DB">
        <w:t xml:space="preserve"> </w:t>
      </w:r>
      <w:r w:rsidR="00E96A43" w:rsidRPr="00BC43D2">
        <w:rPr>
          <w:u w:val="double"/>
        </w:rPr>
        <w:t xml:space="preserve">molecular approaches, such as </w:t>
      </w:r>
      <w:r w:rsidR="00B513DB" w:rsidRPr="00BC43D2">
        <w:rPr>
          <w:u w:val="double"/>
        </w:rPr>
        <w:t>microarray or</w:t>
      </w:r>
      <w:r w:rsidR="004D75F8" w:rsidRPr="00BC43D2">
        <w:t xml:space="preserve"> </w:t>
      </w:r>
      <w:r w:rsidR="004D75F8" w:rsidRPr="00897119">
        <w:t xml:space="preserve">whole genome sequencing, </w:t>
      </w:r>
      <w:r w:rsidR="004F132C" w:rsidRPr="00BC43D2">
        <w:rPr>
          <w:u w:val="double"/>
        </w:rPr>
        <w:t>which</w:t>
      </w:r>
      <w:r w:rsidR="004F132C" w:rsidRPr="009A515F">
        <w:t xml:space="preserve"> </w:t>
      </w:r>
      <w:r w:rsidR="004D75F8" w:rsidRPr="00897119">
        <w:t>are increasingly used. Phage</w:t>
      </w:r>
      <w:r w:rsidR="00F52424" w:rsidRPr="00897119">
        <w:t>-</w:t>
      </w:r>
      <w:r w:rsidR="004D75F8" w:rsidRPr="00897119">
        <w:t>typing schemes are also available for some serovars</w:t>
      </w:r>
      <w:r w:rsidR="00B513DB" w:rsidRPr="00BC43D2">
        <w:rPr>
          <w:u w:val="double"/>
        </w:rPr>
        <w:t>, but are less commonly used than in former years</w:t>
      </w:r>
      <w:r w:rsidR="00064E16" w:rsidRPr="00BC43D2">
        <w:rPr>
          <w:u w:val="double"/>
        </w:rPr>
        <w:t>, having been largely superseded by molecular methods</w:t>
      </w:r>
      <w:r w:rsidR="004D75F8" w:rsidRPr="00897119">
        <w:t>.</w:t>
      </w:r>
    </w:p>
    <w:p w14:paraId="69D5AEA3" w14:textId="46EE01D2" w:rsidR="00C3218B" w:rsidRPr="00897119" w:rsidRDefault="00C3218B" w:rsidP="00C3218B">
      <w:pPr>
        <w:pStyle w:val="sumtexte"/>
      </w:pPr>
      <w:r w:rsidRPr="00897119">
        <w:rPr>
          <w:b/>
        </w:rPr>
        <w:lastRenderedPageBreak/>
        <w:t>Serological tests:</w:t>
      </w:r>
      <w:r w:rsidRPr="00897119">
        <w:t xml:space="preserve"> Serological tests should be conducted on a statistically representative sample of the population</w:t>
      </w:r>
      <w:r w:rsidR="00E96A43">
        <w:t xml:space="preserve"> and</w:t>
      </w:r>
      <w:r w:rsidRPr="00897119">
        <w:t xml:space="preserve"> results are not always indicative of active infection. In the laboratory, the tube agglutination test is the method of choice for export and diagnostic purposes for samples from all species of farm animals. Enzyme-linked immunosorbent assays are available for some serovars and may be used for serological diagnosis and surveillance, especially in poultry and pigs. </w:t>
      </w:r>
      <w:r w:rsidR="00AC1DC0" w:rsidRPr="00897119">
        <w:rPr>
          <w:i w:val="0"/>
        </w:rPr>
        <w:t xml:space="preserve">Salmonella </w:t>
      </w:r>
      <w:r w:rsidR="00AC1DC0" w:rsidRPr="00897119">
        <w:t>v</w:t>
      </w:r>
      <w:r w:rsidRPr="00897119">
        <w:t xml:space="preserve">accination </w:t>
      </w:r>
      <w:r w:rsidR="005601AB" w:rsidRPr="00897119">
        <w:t xml:space="preserve">may </w:t>
      </w:r>
      <w:r w:rsidRPr="00897119">
        <w:t>compromise the diagnostic value of serological tests.</w:t>
      </w:r>
    </w:p>
    <w:p w14:paraId="4599993A" w14:textId="3F3E5DA8" w:rsidR="00C3218B" w:rsidRPr="00897119" w:rsidRDefault="00C3218B" w:rsidP="00C3218B">
      <w:pPr>
        <w:pStyle w:val="sumtextelastpara"/>
        <w:keepLines/>
      </w:pPr>
      <w:r w:rsidRPr="00897119">
        <w:rPr>
          <w:b/>
        </w:rPr>
        <w:t>Requirements for vaccines:</w:t>
      </w:r>
      <w:r w:rsidRPr="00897119">
        <w:t xml:space="preserve"> </w:t>
      </w:r>
      <w:r w:rsidR="001E75FA" w:rsidRPr="00897119">
        <w:t xml:space="preserve">Inactivated and live vaccines are available commercially. </w:t>
      </w:r>
      <w:r w:rsidR="001E75FA" w:rsidRPr="00BC43D2">
        <w:rPr>
          <w:strike/>
        </w:rPr>
        <w:t xml:space="preserve">In the case of the </w:t>
      </w:r>
      <w:r w:rsidR="00615B14">
        <w:t>I</w:t>
      </w:r>
      <w:r w:rsidR="001E75FA" w:rsidRPr="00897119">
        <w:t>nactivated vaccines</w:t>
      </w:r>
      <w:r w:rsidR="001E75FA" w:rsidRPr="00BC43D2">
        <w:rPr>
          <w:strike/>
        </w:rPr>
        <w:t>, they</w:t>
      </w:r>
      <w:r w:rsidR="00615B14" w:rsidRPr="00BC43D2">
        <w:rPr>
          <w:u w:val="double"/>
        </w:rPr>
        <w:t xml:space="preserve"> usually</w:t>
      </w:r>
      <w:r w:rsidR="001E75FA" w:rsidRPr="00897119">
        <w:t xml:space="preserve"> contain oil or alhydrogel adjuvants to improve their efficacy. </w:t>
      </w:r>
    </w:p>
    <w:p w14:paraId="30982322" w14:textId="77777777" w:rsidR="00C3218B" w:rsidRPr="00897119" w:rsidRDefault="00C3218B" w:rsidP="00C3218B">
      <w:pPr>
        <w:pStyle w:val="A0"/>
      </w:pPr>
      <w:r w:rsidRPr="00897119">
        <w:t>A.  INTRODUCTION</w:t>
      </w:r>
    </w:p>
    <w:p w14:paraId="578899C1" w14:textId="24A1E28A" w:rsidR="00F8426F" w:rsidRDefault="00C3218B" w:rsidP="001612E6">
      <w:pPr>
        <w:pStyle w:val="paraA0"/>
      </w:pPr>
      <w:r w:rsidRPr="00897119">
        <w:t>Salmonellosis is an infectious disease of humans and animals, clinically characteri</w:t>
      </w:r>
      <w:r w:rsidR="00F52424" w:rsidRPr="00897119">
        <w:t>s</w:t>
      </w:r>
      <w:r w:rsidRPr="00897119">
        <w:t xml:space="preserve">ed by </w:t>
      </w:r>
      <w:r w:rsidRPr="00BC43D2">
        <w:rPr>
          <w:strike/>
        </w:rPr>
        <w:t xml:space="preserve">septicaemia, </w:t>
      </w:r>
      <w:r w:rsidRPr="00897119">
        <w:t xml:space="preserve">acute </w:t>
      </w:r>
      <w:r w:rsidRPr="00BC43D2">
        <w:rPr>
          <w:strike/>
        </w:rPr>
        <w:t xml:space="preserve">enteritis </w:t>
      </w:r>
      <w:r w:rsidRPr="00897119">
        <w:t>or chronic enteritis</w:t>
      </w:r>
      <w:r w:rsidR="009A6E78" w:rsidRPr="00BC43D2">
        <w:rPr>
          <w:u w:val="double"/>
        </w:rPr>
        <w:t>, septicaemia or abortion</w:t>
      </w:r>
      <w:r w:rsidRPr="00897119">
        <w:t>. Animals may be infected without being overtly ill. Salmonellae are primarily intestinal bacteria and may be shed continuously or intermittently with</w:t>
      </w:r>
      <w:r w:rsidR="00AC1DC0" w:rsidRPr="00897119">
        <w:t>in</w:t>
      </w:r>
      <w:r w:rsidRPr="00897119">
        <w:t xml:space="preserve"> the faeces, resulting in contamination of the environment</w:t>
      </w:r>
      <w:r w:rsidR="00B76597">
        <w:t xml:space="preserve"> </w:t>
      </w:r>
      <w:r w:rsidR="00B76597" w:rsidRPr="00BC43D2">
        <w:rPr>
          <w:u w:val="double"/>
        </w:rPr>
        <w:t xml:space="preserve">(Barrow </w:t>
      </w:r>
      <w:r w:rsidR="00F6464C" w:rsidRPr="00BC43D2">
        <w:rPr>
          <w:u w:val="double"/>
        </w:rPr>
        <w:t>&amp;</w:t>
      </w:r>
      <w:r w:rsidR="00B76597" w:rsidRPr="00BC43D2">
        <w:rPr>
          <w:u w:val="double"/>
        </w:rPr>
        <w:t xml:space="preserve"> Methner, 2013)</w:t>
      </w:r>
      <w:r w:rsidRPr="00897119">
        <w:t xml:space="preserve">. </w:t>
      </w:r>
    </w:p>
    <w:p w14:paraId="2E7F691D" w14:textId="2B031768" w:rsidR="00F8426F" w:rsidRPr="00897119" w:rsidRDefault="00F8426F" w:rsidP="00F8426F">
      <w:pPr>
        <w:pStyle w:val="1"/>
      </w:pPr>
      <w:r>
        <w:t>1</w:t>
      </w:r>
      <w:r w:rsidRPr="00897119">
        <w:t>.</w:t>
      </w:r>
      <w:r w:rsidRPr="00897119">
        <w:tab/>
      </w:r>
      <w:r w:rsidR="00C3218B" w:rsidRPr="00BC43D2">
        <w:rPr>
          <w:strike/>
        </w:rPr>
        <w:t>Causal</w:t>
      </w:r>
      <w:r w:rsidR="00BC43D2">
        <w:rPr>
          <w:strike/>
        </w:rPr>
        <w:t xml:space="preserve"> </w:t>
      </w:r>
      <w:r w:rsidRPr="005E3F47">
        <w:rPr>
          <w:strike/>
          <w:highlight w:val="yellow"/>
        </w:rPr>
        <w:t>Nature and</w:t>
      </w:r>
      <w:r w:rsidRPr="00A86E40">
        <w:rPr>
          <w:strike/>
        </w:rPr>
        <w:t xml:space="preserve"> </w:t>
      </w:r>
      <w:r w:rsidR="00864A93">
        <w:rPr>
          <w:u w:val="double"/>
        </w:rPr>
        <w:t>C</w:t>
      </w:r>
      <w:r w:rsidRPr="00BC43D2">
        <w:rPr>
          <w:u w:val="double"/>
        </w:rPr>
        <w:t>lassification</w:t>
      </w:r>
      <w:r w:rsidR="00864A93">
        <w:rPr>
          <w:u w:val="double"/>
        </w:rPr>
        <w:t xml:space="preserve"> </w:t>
      </w:r>
      <w:r w:rsidR="00864A93" w:rsidRPr="005E3F47">
        <w:rPr>
          <w:highlight w:val="yellow"/>
          <w:u w:val="double"/>
        </w:rPr>
        <w:t>and nomenclature</w:t>
      </w:r>
      <w:r w:rsidRPr="00BC43D2">
        <w:rPr>
          <w:u w:val="double"/>
        </w:rPr>
        <w:t xml:space="preserve"> of the</w:t>
      </w:r>
      <w:r>
        <w:t xml:space="preserve"> </w:t>
      </w:r>
      <w:r w:rsidRPr="005E3F47">
        <w:rPr>
          <w:strike/>
          <w:highlight w:val="yellow"/>
        </w:rPr>
        <w:t>pathogen</w:t>
      </w:r>
      <w:r w:rsidR="005E3F47" w:rsidRPr="005E3F47">
        <w:rPr>
          <w:strike/>
          <w:highlight w:val="yellow"/>
        </w:rPr>
        <w:t xml:space="preserve"> </w:t>
      </w:r>
      <w:r w:rsidR="000629C8" w:rsidRPr="005E3F47">
        <w:rPr>
          <w:highlight w:val="yellow"/>
          <w:u w:val="double"/>
        </w:rPr>
        <w:t>agent</w:t>
      </w:r>
    </w:p>
    <w:p w14:paraId="68F05BDE" w14:textId="7B73E1E3" w:rsidR="00F8426F" w:rsidRPr="00897119" w:rsidRDefault="00F8426F" w:rsidP="00F8426F">
      <w:pPr>
        <w:pStyle w:val="paraA0"/>
      </w:pPr>
      <w:r w:rsidRPr="00897119">
        <w:t xml:space="preserve">The genus </w:t>
      </w:r>
      <w:r w:rsidRPr="00897119">
        <w:rPr>
          <w:i/>
        </w:rPr>
        <w:t>Salmonella</w:t>
      </w:r>
      <w:r w:rsidRPr="00897119">
        <w:t xml:space="preserve"> consists of </w:t>
      </w:r>
      <w:r w:rsidR="00C3218B" w:rsidRPr="00BC43D2">
        <w:rPr>
          <w:strike/>
        </w:rPr>
        <w:t xml:space="preserve">only </w:t>
      </w:r>
      <w:r w:rsidRPr="00897119">
        <w:t xml:space="preserve">two species: </w:t>
      </w:r>
      <w:r w:rsidRPr="00897119">
        <w:rPr>
          <w:i/>
        </w:rPr>
        <w:t>S</w:t>
      </w:r>
      <w:r w:rsidRPr="00897119">
        <w:t xml:space="preserve">. </w:t>
      </w:r>
      <w:r w:rsidRPr="00897119">
        <w:rPr>
          <w:i/>
        </w:rPr>
        <w:t>enterica</w:t>
      </w:r>
      <w:r w:rsidRPr="00897119">
        <w:t xml:space="preserve"> and </w:t>
      </w:r>
      <w:r w:rsidRPr="00897119">
        <w:rPr>
          <w:i/>
        </w:rPr>
        <w:t>S. bongori</w:t>
      </w:r>
      <w:r w:rsidRPr="005E3F47">
        <w:rPr>
          <w:i/>
        </w:rPr>
        <w:t xml:space="preserve"> </w:t>
      </w:r>
      <w:r w:rsidRPr="005E3F47">
        <w:rPr>
          <w:highlight w:val="yellow"/>
          <w:u w:val="double"/>
        </w:rPr>
        <w:t>(</w:t>
      </w:r>
      <w:r w:rsidRPr="005E3F47">
        <w:rPr>
          <w:highlight w:val="yellow"/>
          <w:u w:val="double"/>
          <w:lang w:val="en-US"/>
        </w:rPr>
        <w:t>Grimont &amp; Weill, 2007</w:t>
      </w:r>
      <w:r w:rsidRPr="005E3F47">
        <w:rPr>
          <w:highlight w:val="yellow"/>
          <w:u w:val="double"/>
        </w:rPr>
        <w:t>)</w:t>
      </w:r>
      <w:r w:rsidRPr="00897119">
        <w:t xml:space="preserve">. </w:t>
      </w:r>
      <w:r w:rsidRPr="00897119">
        <w:rPr>
          <w:i/>
        </w:rPr>
        <w:t>Salmonella</w:t>
      </w:r>
      <w:r w:rsidRPr="00897119">
        <w:t xml:space="preserve"> </w:t>
      </w:r>
      <w:r w:rsidRPr="00897119">
        <w:rPr>
          <w:i/>
        </w:rPr>
        <w:t>enterica</w:t>
      </w:r>
      <w:r w:rsidRPr="00897119">
        <w:t xml:space="preserve"> is divided into six subspecies, which are distinguishable by certain biochemical characteristics and susceptibility to lysis by </w:t>
      </w:r>
      <w:r w:rsidRPr="00100ADE">
        <w:t>bacteriophage Felix O1</w:t>
      </w:r>
      <w:r w:rsidRPr="00897119">
        <w:t>. These subspecies are:</w:t>
      </w:r>
    </w:p>
    <w:tbl>
      <w:tblPr>
        <w:tblW w:w="0" w:type="auto"/>
        <w:tblInd w:w="496" w:type="dxa"/>
        <w:tblLayout w:type="fixed"/>
        <w:tblCellMar>
          <w:left w:w="70" w:type="dxa"/>
          <w:right w:w="70" w:type="dxa"/>
        </w:tblCellMar>
        <w:tblLook w:val="04A0" w:firstRow="1" w:lastRow="0" w:firstColumn="1" w:lastColumn="0" w:noHBand="0" w:noVBand="1"/>
      </w:tblPr>
      <w:tblGrid>
        <w:gridCol w:w="708"/>
        <w:gridCol w:w="1560"/>
        <w:gridCol w:w="1701"/>
        <w:gridCol w:w="3260"/>
      </w:tblGrid>
      <w:tr w:rsidR="00F8426F" w:rsidRPr="00897119" w14:paraId="2965BE37" w14:textId="77777777" w:rsidTr="00BC43D2">
        <w:trPr>
          <w:cantSplit/>
        </w:trPr>
        <w:tc>
          <w:tcPr>
            <w:tcW w:w="708" w:type="dxa"/>
          </w:tcPr>
          <w:p w14:paraId="680147C9" w14:textId="77777777" w:rsidR="00F8426F" w:rsidRPr="00897119" w:rsidRDefault="00F8426F" w:rsidP="000A78E9">
            <w:pPr>
              <w:pStyle w:val="paraA0"/>
              <w:spacing w:after="0"/>
            </w:pPr>
          </w:p>
        </w:tc>
        <w:tc>
          <w:tcPr>
            <w:tcW w:w="3261" w:type="dxa"/>
            <w:gridSpan w:val="2"/>
            <w:hideMark/>
          </w:tcPr>
          <w:p w14:paraId="142BD8B1" w14:textId="77777777" w:rsidR="00F8426F" w:rsidRPr="00897119" w:rsidRDefault="00F8426F" w:rsidP="000A78E9">
            <w:pPr>
              <w:pStyle w:val="paraA0"/>
              <w:spacing w:after="0"/>
              <w:jc w:val="left"/>
            </w:pPr>
            <w:r w:rsidRPr="00897119">
              <w:t>Original subgenera</w:t>
            </w:r>
          </w:p>
        </w:tc>
        <w:tc>
          <w:tcPr>
            <w:tcW w:w="3260" w:type="dxa"/>
            <w:hideMark/>
          </w:tcPr>
          <w:p w14:paraId="7124BCA3" w14:textId="77777777" w:rsidR="00F8426F" w:rsidRPr="00897119" w:rsidRDefault="00F8426F" w:rsidP="000A78E9">
            <w:pPr>
              <w:pStyle w:val="paraA0"/>
              <w:spacing w:after="0"/>
            </w:pPr>
            <w:r w:rsidRPr="00897119">
              <w:t>Current nomenclature</w:t>
            </w:r>
          </w:p>
        </w:tc>
      </w:tr>
      <w:tr w:rsidR="00F8426F" w:rsidRPr="00897119" w14:paraId="36A1A251" w14:textId="77777777" w:rsidTr="00BC43D2">
        <w:tc>
          <w:tcPr>
            <w:tcW w:w="708" w:type="dxa"/>
            <w:hideMark/>
          </w:tcPr>
          <w:p w14:paraId="3F3F0757" w14:textId="77777777" w:rsidR="00F8426F" w:rsidRPr="00897119" w:rsidRDefault="00F8426F" w:rsidP="000A78E9">
            <w:pPr>
              <w:pStyle w:val="paraA0"/>
              <w:spacing w:after="0"/>
            </w:pPr>
            <w:r w:rsidRPr="00897119">
              <w:t>•</w:t>
            </w:r>
          </w:p>
        </w:tc>
        <w:tc>
          <w:tcPr>
            <w:tcW w:w="1560" w:type="dxa"/>
            <w:hideMark/>
          </w:tcPr>
          <w:p w14:paraId="700979C2" w14:textId="77777777" w:rsidR="00F8426F" w:rsidRPr="00897119" w:rsidRDefault="00F8426F" w:rsidP="000A78E9">
            <w:pPr>
              <w:pStyle w:val="paraA0"/>
              <w:spacing w:after="0"/>
            </w:pPr>
            <w:r w:rsidRPr="00897119">
              <w:t>Subspecies I</w:t>
            </w:r>
          </w:p>
        </w:tc>
        <w:tc>
          <w:tcPr>
            <w:tcW w:w="1701" w:type="dxa"/>
            <w:hideMark/>
          </w:tcPr>
          <w:p w14:paraId="3690E98F" w14:textId="77777777" w:rsidR="00F8426F" w:rsidRPr="00897119" w:rsidRDefault="00F8426F" w:rsidP="000A78E9">
            <w:pPr>
              <w:pStyle w:val="paraA0"/>
              <w:spacing w:after="0"/>
              <w:jc w:val="center"/>
            </w:pPr>
            <w:r w:rsidRPr="00897119">
              <w:t>=</w:t>
            </w:r>
          </w:p>
        </w:tc>
        <w:tc>
          <w:tcPr>
            <w:tcW w:w="3260" w:type="dxa"/>
            <w:hideMark/>
          </w:tcPr>
          <w:p w14:paraId="705CE3F2" w14:textId="77777777" w:rsidR="00F8426F" w:rsidRPr="00897119" w:rsidRDefault="00F8426F" w:rsidP="000A78E9">
            <w:pPr>
              <w:pStyle w:val="paraA0"/>
              <w:spacing w:after="0"/>
            </w:pPr>
            <w:r w:rsidRPr="00897119">
              <w:t xml:space="preserve">subspecies </w:t>
            </w:r>
            <w:r w:rsidRPr="00897119">
              <w:rPr>
                <w:i/>
              </w:rPr>
              <w:t>enterica</w:t>
            </w:r>
          </w:p>
        </w:tc>
      </w:tr>
      <w:tr w:rsidR="00F8426F" w:rsidRPr="00897119" w14:paraId="43388987" w14:textId="77777777" w:rsidTr="00BC43D2">
        <w:tc>
          <w:tcPr>
            <w:tcW w:w="708" w:type="dxa"/>
            <w:hideMark/>
          </w:tcPr>
          <w:p w14:paraId="71DCCA60" w14:textId="77777777" w:rsidR="00F8426F" w:rsidRPr="00897119" w:rsidRDefault="00F8426F" w:rsidP="000A78E9">
            <w:pPr>
              <w:pStyle w:val="paraA0"/>
              <w:spacing w:after="0"/>
            </w:pPr>
            <w:r w:rsidRPr="00897119">
              <w:t>•</w:t>
            </w:r>
          </w:p>
        </w:tc>
        <w:tc>
          <w:tcPr>
            <w:tcW w:w="1560" w:type="dxa"/>
            <w:hideMark/>
          </w:tcPr>
          <w:p w14:paraId="3E4CB39F" w14:textId="77777777" w:rsidR="00F8426F" w:rsidRPr="00897119" w:rsidRDefault="00F8426F" w:rsidP="000A78E9">
            <w:pPr>
              <w:pStyle w:val="paraA0"/>
              <w:spacing w:after="0"/>
            </w:pPr>
            <w:r w:rsidRPr="00897119">
              <w:t>Subspecies II</w:t>
            </w:r>
          </w:p>
        </w:tc>
        <w:tc>
          <w:tcPr>
            <w:tcW w:w="1701" w:type="dxa"/>
            <w:hideMark/>
          </w:tcPr>
          <w:p w14:paraId="1F93A039" w14:textId="77777777" w:rsidR="00F8426F" w:rsidRPr="00897119" w:rsidRDefault="00F8426F" w:rsidP="000A78E9">
            <w:pPr>
              <w:pStyle w:val="paraA0"/>
              <w:spacing w:after="0"/>
              <w:jc w:val="center"/>
            </w:pPr>
            <w:r w:rsidRPr="00897119">
              <w:t>=</w:t>
            </w:r>
          </w:p>
        </w:tc>
        <w:tc>
          <w:tcPr>
            <w:tcW w:w="3260" w:type="dxa"/>
            <w:hideMark/>
          </w:tcPr>
          <w:p w14:paraId="7D766CCA" w14:textId="77777777" w:rsidR="00F8426F" w:rsidRPr="00897119" w:rsidRDefault="00F8426F" w:rsidP="000A78E9">
            <w:pPr>
              <w:pStyle w:val="paraA0"/>
              <w:spacing w:after="0"/>
            </w:pPr>
            <w:r w:rsidRPr="00897119">
              <w:t xml:space="preserve">subspecies </w:t>
            </w:r>
            <w:r w:rsidRPr="00897119">
              <w:rPr>
                <w:i/>
              </w:rPr>
              <w:t>salamae</w:t>
            </w:r>
          </w:p>
        </w:tc>
      </w:tr>
      <w:tr w:rsidR="00F8426F" w:rsidRPr="00897119" w14:paraId="42C2A079" w14:textId="77777777" w:rsidTr="00BC43D2">
        <w:tc>
          <w:tcPr>
            <w:tcW w:w="708" w:type="dxa"/>
            <w:hideMark/>
          </w:tcPr>
          <w:p w14:paraId="6B00DB87" w14:textId="77777777" w:rsidR="00F8426F" w:rsidRPr="00897119" w:rsidRDefault="00F8426F" w:rsidP="000A78E9">
            <w:pPr>
              <w:pStyle w:val="paraA0"/>
              <w:spacing w:after="0"/>
            </w:pPr>
            <w:r w:rsidRPr="00897119">
              <w:t>•</w:t>
            </w:r>
          </w:p>
        </w:tc>
        <w:tc>
          <w:tcPr>
            <w:tcW w:w="1560" w:type="dxa"/>
            <w:hideMark/>
          </w:tcPr>
          <w:p w14:paraId="1AF2C1EE" w14:textId="77777777" w:rsidR="00F8426F" w:rsidRPr="00897119" w:rsidRDefault="00F8426F" w:rsidP="000A78E9">
            <w:pPr>
              <w:pStyle w:val="paraA0"/>
              <w:spacing w:after="0"/>
            </w:pPr>
            <w:r w:rsidRPr="00897119">
              <w:t>Subspecies IIIa</w:t>
            </w:r>
          </w:p>
        </w:tc>
        <w:tc>
          <w:tcPr>
            <w:tcW w:w="1701" w:type="dxa"/>
            <w:hideMark/>
          </w:tcPr>
          <w:p w14:paraId="6E0692E9" w14:textId="77777777" w:rsidR="00F8426F" w:rsidRPr="00897119" w:rsidRDefault="00F8426F" w:rsidP="000A78E9">
            <w:pPr>
              <w:pStyle w:val="paraA0"/>
              <w:spacing w:after="0"/>
              <w:jc w:val="center"/>
            </w:pPr>
            <w:r w:rsidRPr="00897119">
              <w:t>=</w:t>
            </w:r>
          </w:p>
        </w:tc>
        <w:tc>
          <w:tcPr>
            <w:tcW w:w="3260" w:type="dxa"/>
            <w:hideMark/>
          </w:tcPr>
          <w:p w14:paraId="0D3EF17A" w14:textId="77777777" w:rsidR="00F8426F" w:rsidRPr="00897119" w:rsidRDefault="00F8426F" w:rsidP="000A78E9">
            <w:pPr>
              <w:pStyle w:val="paraA0"/>
              <w:spacing w:after="0"/>
            </w:pPr>
            <w:r w:rsidRPr="00897119">
              <w:t xml:space="preserve">subspecies </w:t>
            </w:r>
            <w:r w:rsidRPr="00897119">
              <w:rPr>
                <w:i/>
              </w:rPr>
              <w:t>arizonae</w:t>
            </w:r>
            <w:r w:rsidRPr="00897119">
              <w:t xml:space="preserve"> </w:t>
            </w:r>
          </w:p>
        </w:tc>
      </w:tr>
      <w:tr w:rsidR="00F8426F" w:rsidRPr="00897119" w14:paraId="2CCD004D" w14:textId="77777777" w:rsidTr="00BC43D2">
        <w:tc>
          <w:tcPr>
            <w:tcW w:w="708" w:type="dxa"/>
            <w:hideMark/>
          </w:tcPr>
          <w:p w14:paraId="3F9322EA" w14:textId="77777777" w:rsidR="00F8426F" w:rsidRPr="00897119" w:rsidRDefault="00F8426F" w:rsidP="000A78E9">
            <w:pPr>
              <w:pStyle w:val="paraA0"/>
              <w:spacing w:after="0"/>
            </w:pPr>
            <w:r w:rsidRPr="00897119">
              <w:t>•</w:t>
            </w:r>
          </w:p>
        </w:tc>
        <w:tc>
          <w:tcPr>
            <w:tcW w:w="1560" w:type="dxa"/>
            <w:hideMark/>
          </w:tcPr>
          <w:p w14:paraId="0AAF4680" w14:textId="77777777" w:rsidR="00F8426F" w:rsidRPr="00897119" w:rsidRDefault="00F8426F" w:rsidP="000A78E9">
            <w:pPr>
              <w:pStyle w:val="paraA0"/>
              <w:spacing w:after="0"/>
            </w:pPr>
            <w:r w:rsidRPr="00897119">
              <w:t>Subspecies IIIb</w:t>
            </w:r>
          </w:p>
        </w:tc>
        <w:tc>
          <w:tcPr>
            <w:tcW w:w="1701" w:type="dxa"/>
            <w:hideMark/>
          </w:tcPr>
          <w:p w14:paraId="013047AA" w14:textId="77777777" w:rsidR="00F8426F" w:rsidRPr="00897119" w:rsidRDefault="00F8426F" w:rsidP="000A78E9">
            <w:pPr>
              <w:pStyle w:val="paraA0"/>
              <w:spacing w:after="0"/>
              <w:jc w:val="center"/>
            </w:pPr>
            <w:r w:rsidRPr="00897119">
              <w:t>=</w:t>
            </w:r>
          </w:p>
        </w:tc>
        <w:tc>
          <w:tcPr>
            <w:tcW w:w="3260" w:type="dxa"/>
            <w:hideMark/>
          </w:tcPr>
          <w:p w14:paraId="3439E9D9" w14:textId="77777777" w:rsidR="00F8426F" w:rsidRPr="00897119" w:rsidRDefault="00F8426F" w:rsidP="000A78E9">
            <w:pPr>
              <w:pStyle w:val="paraA0"/>
              <w:spacing w:after="0"/>
            </w:pPr>
            <w:r w:rsidRPr="00897119">
              <w:t xml:space="preserve">subspecies </w:t>
            </w:r>
            <w:r w:rsidRPr="00897119">
              <w:rPr>
                <w:i/>
              </w:rPr>
              <w:t>diarizonae</w:t>
            </w:r>
          </w:p>
        </w:tc>
      </w:tr>
      <w:tr w:rsidR="00F8426F" w:rsidRPr="00897119" w14:paraId="1916D6A6" w14:textId="77777777" w:rsidTr="00BC43D2">
        <w:tc>
          <w:tcPr>
            <w:tcW w:w="708" w:type="dxa"/>
            <w:hideMark/>
          </w:tcPr>
          <w:p w14:paraId="4F91607A" w14:textId="77777777" w:rsidR="00F8426F" w:rsidRPr="00897119" w:rsidRDefault="00F8426F" w:rsidP="000A78E9">
            <w:pPr>
              <w:pStyle w:val="paraA0"/>
              <w:spacing w:after="0"/>
            </w:pPr>
            <w:r w:rsidRPr="00897119">
              <w:t>•</w:t>
            </w:r>
          </w:p>
        </w:tc>
        <w:tc>
          <w:tcPr>
            <w:tcW w:w="1560" w:type="dxa"/>
            <w:hideMark/>
          </w:tcPr>
          <w:p w14:paraId="172F09FE" w14:textId="77777777" w:rsidR="00F8426F" w:rsidRPr="00897119" w:rsidRDefault="00F8426F" w:rsidP="000A78E9">
            <w:pPr>
              <w:pStyle w:val="paraA0"/>
              <w:spacing w:after="0"/>
            </w:pPr>
            <w:r w:rsidRPr="00897119">
              <w:t>Subspecies IV</w:t>
            </w:r>
          </w:p>
        </w:tc>
        <w:tc>
          <w:tcPr>
            <w:tcW w:w="1701" w:type="dxa"/>
            <w:hideMark/>
          </w:tcPr>
          <w:p w14:paraId="029F1305" w14:textId="77777777" w:rsidR="00F8426F" w:rsidRPr="00897119" w:rsidRDefault="00F8426F" w:rsidP="000A78E9">
            <w:pPr>
              <w:pStyle w:val="paraA0"/>
              <w:spacing w:after="0"/>
              <w:jc w:val="center"/>
            </w:pPr>
            <w:r w:rsidRPr="00897119">
              <w:t>=</w:t>
            </w:r>
          </w:p>
        </w:tc>
        <w:tc>
          <w:tcPr>
            <w:tcW w:w="3260" w:type="dxa"/>
            <w:hideMark/>
          </w:tcPr>
          <w:p w14:paraId="2BA94DB5" w14:textId="77777777" w:rsidR="00F8426F" w:rsidRPr="00897119" w:rsidRDefault="00F8426F" w:rsidP="000A78E9">
            <w:pPr>
              <w:pStyle w:val="paraA0"/>
              <w:spacing w:after="0"/>
            </w:pPr>
            <w:r w:rsidRPr="00897119">
              <w:t xml:space="preserve">subspecies </w:t>
            </w:r>
            <w:r w:rsidRPr="00897119">
              <w:rPr>
                <w:i/>
              </w:rPr>
              <w:t>houtenae</w:t>
            </w:r>
          </w:p>
        </w:tc>
      </w:tr>
      <w:tr w:rsidR="00F8426F" w:rsidRPr="00897119" w14:paraId="62F4F5E7" w14:textId="77777777" w:rsidTr="00BC43D2">
        <w:tc>
          <w:tcPr>
            <w:tcW w:w="708" w:type="dxa"/>
            <w:hideMark/>
          </w:tcPr>
          <w:p w14:paraId="1C356A22" w14:textId="77777777" w:rsidR="00F8426F" w:rsidRPr="00897119" w:rsidRDefault="00F8426F" w:rsidP="000A78E9">
            <w:pPr>
              <w:pStyle w:val="paraA0"/>
            </w:pPr>
            <w:r w:rsidRPr="00897119">
              <w:t>•</w:t>
            </w:r>
          </w:p>
        </w:tc>
        <w:tc>
          <w:tcPr>
            <w:tcW w:w="1560" w:type="dxa"/>
            <w:hideMark/>
          </w:tcPr>
          <w:p w14:paraId="48356D4C" w14:textId="77777777" w:rsidR="00F8426F" w:rsidRPr="00897119" w:rsidRDefault="00F8426F" w:rsidP="000A78E9">
            <w:pPr>
              <w:pStyle w:val="paraA0"/>
            </w:pPr>
            <w:r w:rsidRPr="00897119">
              <w:t>Subspecies VI</w:t>
            </w:r>
          </w:p>
        </w:tc>
        <w:tc>
          <w:tcPr>
            <w:tcW w:w="1701" w:type="dxa"/>
            <w:hideMark/>
          </w:tcPr>
          <w:p w14:paraId="44AED95F" w14:textId="77777777" w:rsidR="00F8426F" w:rsidRPr="00897119" w:rsidRDefault="00F8426F" w:rsidP="000A78E9">
            <w:pPr>
              <w:pStyle w:val="paraA0"/>
              <w:jc w:val="center"/>
            </w:pPr>
            <w:r w:rsidRPr="00897119">
              <w:t>=</w:t>
            </w:r>
          </w:p>
        </w:tc>
        <w:tc>
          <w:tcPr>
            <w:tcW w:w="3260" w:type="dxa"/>
            <w:hideMark/>
          </w:tcPr>
          <w:p w14:paraId="02D5E669" w14:textId="77777777" w:rsidR="00F8426F" w:rsidRPr="00897119" w:rsidRDefault="00F8426F" w:rsidP="000A78E9">
            <w:pPr>
              <w:pStyle w:val="paraA0"/>
            </w:pPr>
            <w:r w:rsidRPr="00897119">
              <w:t xml:space="preserve">subspecies </w:t>
            </w:r>
            <w:r w:rsidRPr="00897119">
              <w:rPr>
                <w:i/>
              </w:rPr>
              <w:t>indica</w:t>
            </w:r>
          </w:p>
        </w:tc>
      </w:tr>
    </w:tbl>
    <w:p w14:paraId="6A8A7BC1" w14:textId="77777777" w:rsidR="00F8426F" w:rsidRPr="00897119" w:rsidRDefault="00F8426F" w:rsidP="00F8426F">
      <w:pPr>
        <w:pStyle w:val="paraA0"/>
      </w:pPr>
      <w:r w:rsidRPr="00897119">
        <w:t xml:space="preserve">For the serovars of </w:t>
      </w:r>
      <w:r w:rsidRPr="00897119">
        <w:rPr>
          <w:i/>
        </w:rPr>
        <w:t>S. bongori</w:t>
      </w:r>
      <w:r w:rsidRPr="00897119">
        <w:t xml:space="preserve">, the symbol V was retained to avoid confusion with the serovar names of </w:t>
      </w:r>
      <w:r w:rsidRPr="00897119">
        <w:rPr>
          <w:i/>
        </w:rPr>
        <w:t>S. enterica</w:t>
      </w:r>
      <w:r w:rsidRPr="00897119">
        <w:t xml:space="preserve"> subsp. </w:t>
      </w:r>
      <w:r w:rsidRPr="00897119">
        <w:rPr>
          <w:i/>
        </w:rPr>
        <w:t>enterica</w:t>
      </w:r>
      <w:r w:rsidRPr="00897119">
        <w:t>.</w:t>
      </w:r>
    </w:p>
    <w:p w14:paraId="5DBA8DFA" w14:textId="5DFE1089" w:rsidR="00F8426F" w:rsidRPr="00897119" w:rsidRDefault="00F8426F" w:rsidP="00F8426F">
      <w:pPr>
        <w:pStyle w:val="paraA0"/>
        <w:rPr>
          <w:iCs/>
        </w:rPr>
      </w:pPr>
      <w:r w:rsidRPr="00897119">
        <w:t xml:space="preserve">Strains of </w:t>
      </w:r>
      <w:r w:rsidRPr="00897119">
        <w:rPr>
          <w:i/>
        </w:rPr>
        <w:t>Salmonella</w:t>
      </w:r>
      <w:r w:rsidRPr="00897119">
        <w:t xml:space="preserve"> are classified into serovars on the basis of extensive diversity of </w:t>
      </w:r>
      <w:r w:rsidR="006D7019" w:rsidRPr="00897119">
        <w:t>lipopolysaccharide (LPS</w:t>
      </w:r>
      <w:r w:rsidR="00C3218B" w:rsidRPr="00BC43D2">
        <w:rPr>
          <w:strike/>
        </w:rPr>
        <w:t>) or</w:t>
      </w:r>
      <w:r w:rsidR="006D7019" w:rsidRPr="00BC43D2">
        <w:rPr>
          <w:u w:val="double"/>
        </w:rPr>
        <w:t>;</w:t>
      </w:r>
      <w:r w:rsidR="006D7019">
        <w:t xml:space="preserve"> O antigens</w:t>
      </w:r>
      <w:r w:rsidR="006D7019" w:rsidRPr="00BC43D2">
        <w:rPr>
          <w:u w:val="double"/>
        </w:rPr>
        <w:t>)</w:t>
      </w:r>
      <w:r w:rsidR="006D7019" w:rsidRPr="00897119">
        <w:t xml:space="preserve"> and flagellar protein</w:t>
      </w:r>
      <w:r w:rsidR="006D7019">
        <w:t xml:space="preserve"> </w:t>
      </w:r>
      <w:r w:rsidR="00C3218B" w:rsidRPr="00BC43D2">
        <w:rPr>
          <w:strike/>
        </w:rPr>
        <w:t xml:space="preserve">or </w:t>
      </w:r>
      <w:r w:rsidR="006D7019" w:rsidRPr="00BC43D2">
        <w:rPr>
          <w:u w:val="double"/>
        </w:rPr>
        <w:t>(</w:t>
      </w:r>
      <w:r w:rsidR="006D7019" w:rsidRPr="00897119">
        <w:t>H antigens</w:t>
      </w:r>
      <w:r w:rsidR="006D7019" w:rsidRPr="00BC43D2">
        <w:rPr>
          <w:u w:val="double"/>
        </w:rPr>
        <w:t>)</w:t>
      </w:r>
      <w:r w:rsidRPr="00897119">
        <w:t xml:space="preserve"> in accordance with the White-Kauffmann–Le Minor scheme</w:t>
      </w:r>
      <w:r w:rsidR="0020094B">
        <w:t xml:space="preserve"> </w:t>
      </w:r>
      <w:r w:rsidR="0020094B" w:rsidRPr="005E3F47">
        <w:rPr>
          <w:highlight w:val="yellow"/>
          <w:u w:val="double"/>
        </w:rPr>
        <w:t>(Gr</w:t>
      </w:r>
      <w:r w:rsidR="00BD790C" w:rsidRPr="005E3F47">
        <w:rPr>
          <w:highlight w:val="yellow"/>
          <w:u w:val="double"/>
        </w:rPr>
        <w:t>imont &amp; Weil, 2007)</w:t>
      </w:r>
      <w:r w:rsidRPr="00897119">
        <w:t>; currently more than 2600 serovars are recognised</w:t>
      </w:r>
      <w:r w:rsidR="00C3218B" w:rsidRPr="00BC43D2">
        <w:rPr>
          <w:strike/>
        </w:rPr>
        <w:t xml:space="preserve"> </w:t>
      </w:r>
      <w:r w:rsidR="007A6412" w:rsidRPr="00BC43D2">
        <w:rPr>
          <w:strike/>
        </w:rPr>
        <w:t>(</w:t>
      </w:r>
      <w:r w:rsidR="00BA7AC1" w:rsidRPr="00BC43D2">
        <w:rPr>
          <w:strike/>
          <w:color w:val="222222"/>
          <w:lang w:eastAsia="en-GB"/>
        </w:rPr>
        <w:t xml:space="preserve">Issenhuth-Jeanjean </w:t>
      </w:r>
      <w:r w:rsidR="00BA7AC1" w:rsidRPr="00BC43D2">
        <w:rPr>
          <w:i/>
          <w:strike/>
          <w:color w:val="222222"/>
          <w:lang w:eastAsia="en-GB"/>
        </w:rPr>
        <w:t>et al.,</w:t>
      </w:r>
      <w:r w:rsidR="00BA7AC1" w:rsidRPr="00BC43D2">
        <w:rPr>
          <w:strike/>
          <w:color w:val="222222"/>
          <w:lang w:eastAsia="en-GB"/>
        </w:rPr>
        <w:t xml:space="preserve"> 2014</w:t>
      </w:r>
      <w:r w:rsidR="00C3218B" w:rsidRPr="00BC43D2">
        <w:rPr>
          <w:strike/>
        </w:rPr>
        <w:t>).</w:t>
      </w:r>
      <w:r w:rsidRPr="00BC43D2">
        <w:rPr>
          <w:u w:val="double"/>
        </w:rPr>
        <w:t xml:space="preserve">, but there are also a number of stable monophasic variant clones of several serovars, and the list of serovars has not been updated for over </w:t>
      </w:r>
      <w:r w:rsidR="009A515F">
        <w:rPr>
          <w:u w:val="double"/>
        </w:rPr>
        <w:t>10 </w:t>
      </w:r>
      <w:r w:rsidRPr="00BC43D2">
        <w:rPr>
          <w:u w:val="double"/>
        </w:rPr>
        <w:t>years.</w:t>
      </w:r>
      <w:r w:rsidRPr="00897119">
        <w:t xml:space="preserve"> The most common serovars that cause infections in humans and food animals belong to subspecies </w:t>
      </w:r>
      <w:r w:rsidRPr="00897119">
        <w:rPr>
          <w:i/>
        </w:rPr>
        <w:t>enterica</w:t>
      </w:r>
      <w:r w:rsidRPr="00897119">
        <w:t xml:space="preserve">. The serovars of the other subspecies are more likely to be found in cold-blooded animals and in the environment, but are occasionally associated with human disease. Some serovars of subspecies </w:t>
      </w:r>
      <w:r w:rsidRPr="00897119">
        <w:rPr>
          <w:i/>
        </w:rPr>
        <w:t>arizonae</w:t>
      </w:r>
      <w:r w:rsidRPr="00897119">
        <w:t xml:space="preserve"> and subspecies </w:t>
      </w:r>
      <w:r w:rsidRPr="00897119">
        <w:rPr>
          <w:i/>
        </w:rPr>
        <w:t>diarizonae</w:t>
      </w:r>
      <w:r w:rsidRPr="00897119">
        <w:t xml:space="preserve"> may cause disease in turkeys and sheep and others may be carried by reptiles and amphibians. In accordance with the White-Kauffmann–Le Minor scheme</w:t>
      </w:r>
      <w:r>
        <w:t>,</w:t>
      </w:r>
      <w:r w:rsidRPr="00897119">
        <w:t xml:space="preserve"> only serovars of subspecies </w:t>
      </w:r>
      <w:r w:rsidRPr="00897119">
        <w:rPr>
          <w:i/>
        </w:rPr>
        <w:t>enterica</w:t>
      </w:r>
      <w:r w:rsidRPr="00897119">
        <w:t xml:space="preserve"> bear a name, e.g. </w:t>
      </w:r>
      <w:r w:rsidRPr="00897119">
        <w:rPr>
          <w:i/>
        </w:rPr>
        <w:t>S. enterica</w:t>
      </w:r>
      <w:r w:rsidRPr="00897119">
        <w:t xml:space="preserve"> subsp. </w:t>
      </w:r>
      <w:r w:rsidRPr="00897119">
        <w:rPr>
          <w:i/>
        </w:rPr>
        <w:t>enterica</w:t>
      </w:r>
      <w:r w:rsidRPr="00897119">
        <w:t xml:space="preserve"> serovar Enteritidis, or </w:t>
      </w:r>
      <w:r w:rsidRPr="00897119">
        <w:rPr>
          <w:i/>
        </w:rPr>
        <w:t>S. enterica</w:t>
      </w:r>
      <w:r w:rsidRPr="00897119">
        <w:t xml:space="preserve"> serovar Enteritidis, or, in short, </w:t>
      </w:r>
      <w:r w:rsidRPr="00897119">
        <w:rPr>
          <w:i/>
        </w:rPr>
        <w:t>S</w:t>
      </w:r>
      <w:r w:rsidRPr="00897119">
        <w:t xml:space="preserve">. Enteritidis. Serovars of other subspecies of </w:t>
      </w:r>
      <w:r w:rsidRPr="00897119">
        <w:rPr>
          <w:i/>
        </w:rPr>
        <w:t>S. enterica</w:t>
      </w:r>
      <w:r w:rsidRPr="00BC43D2">
        <w:rPr>
          <w:i/>
          <w:u w:val="double"/>
        </w:rPr>
        <w:t>, monophasic variants</w:t>
      </w:r>
      <w:r w:rsidRPr="00897119">
        <w:t xml:space="preserve"> and </w:t>
      </w:r>
      <w:r w:rsidR="005D21C2" w:rsidRPr="00BC43D2">
        <w:rPr>
          <w:strike/>
        </w:rPr>
        <w:t>those of</w:t>
      </w:r>
      <w:r w:rsidR="00BC43D2">
        <w:rPr>
          <w:strike/>
        </w:rPr>
        <w:t xml:space="preserve"> </w:t>
      </w:r>
      <w:r w:rsidRPr="00BC43D2">
        <w:rPr>
          <w:u w:val="double"/>
        </w:rPr>
        <w:t>serovars within</w:t>
      </w:r>
      <w:r w:rsidRPr="00897119">
        <w:t xml:space="preserve"> </w:t>
      </w:r>
      <w:r w:rsidRPr="00897119">
        <w:rPr>
          <w:i/>
        </w:rPr>
        <w:t>S.</w:t>
      </w:r>
      <w:r w:rsidR="009A515F">
        <w:rPr>
          <w:i/>
        </w:rPr>
        <w:t> </w:t>
      </w:r>
      <w:r w:rsidRPr="00897119">
        <w:rPr>
          <w:i/>
        </w:rPr>
        <w:t>bongori</w:t>
      </w:r>
      <w:r w:rsidRPr="00897119">
        <w:t xml:space="preserve"> are designated only by their antigenic formula (e.g. </w:t>
      </w:r>
      <w:r w:rsidRPr="00897119">
        <w:rPr>
          <w:i/>
        </w:rPr>
        <w:t xml:space="preserve">Salmonella </w:t>
      </w:r>
      <w:r w:rsidRPr="00897119">
        <w:t>IV 48:g.z51).</w:t>
      </w:r>
    </w:p>
    <w:p w14:paraId="58E59B1E" w14:textId="6E5D1BDA" w:rsidR="00F8426F" w:rsidRPr="00897119" w:rsidRDefault="00F8426F" w:rsidP="00F8426F">
      <w:pPr>
        <w:pStyle w:val="paraA0"/>
        <w:rPr>
          <w:iCs/>
        </w:rPr>
      </w:pPr>
      <w:r w:rsidRPr="00897119">
        <w:rPr>
          <w:iCs/>
        </w:rPr>
        <w:t xml:space="preserve">Changes to serovar classification may occur when different O antigens are expressed due to colony form variation or </w:t>
      </w:r>
      <w:r w:rsidR="00C3218B" w:rsidRPr="00BC43D2">
        <w:rPr>
          <w:iCs/>
          <w:strike/>
        </w:rPr>
        <w:t>lysogenation</w:t>
      </w:r>
      <w:r w:rsidR="00BC43D2">
        <w:rPr>
          <w:iCs/>
          <w:strike/>
        </w:rPr>
        <w:t xml:space="preserve"> </w:t>
      </w:r>
      <w:r w:rsidRPr="00BC43D2">
        <w:rPr>
          <w:iCs/>
          <w:u w:val="double"/>
        </w:rPr>
        <w:t>lysogeny</w:t>
      </w:r>
      <w:r w:rsidRPr="00897119">
        <w:rPr>
          <w:iCs/>
        </w:rPr>
        <w:t xml:space="preserve"> by bacteriophage(s) or when different flagellae are </w:t>
      </w:r>
      <w:r w:rsidR="00C3218B" w:rsidRPr="00BC43D2">
        <w:rPr>
          <w:iCs/>
          <w:strike/>
        </w:rPr>
        <w:t>produced</w:t>
      </w:r>
      <w:r w:rsidR="00BC43D2">
        <w:rPr>
          <w:iCs/>
          <w:strike/>
        </w:rPr>
        <w:t xml:space="preserve"> </w:t>
      </w:r>
      <w:r w:rsidRPr="00BC43D2">
        <w:rPr>
          <w:iCs/>
          <w:u w:val="double"/>
        </w:rPr>
        <w:t>expressed</w:t>
      </w:r>
      <w:r w:rsidRPr="00897119">
        <w:rPr>
          <w:iCs/>
        </w:rPr>
        <w:t xml:space="preserve"> as a result of phase variation</w:t>
      </w:r>
      <w:r>
        <w:rPr>
          <w:iCs/>
        </w:rPr>
        <w:t xml:space="preserve"> </w:t>
      </w:r>
      <w:r w:rsidRPr="00BC43D2">
        <w:rPr>
          <w:iCs/>
          <w:u w:val="double"/>
        </w:rPr>
        <w:t>or deletions or mutations in genes coding for flagellae or expression mechanisms</w:t>
      </w:r>
      <w:r>
        <w:rPr>
          <w:iCs/>
        </w:rPr>
        <w:t xml:space="preserve">. </w:t>
      </w:r>
    </w:p>
    <w:p w14:paraId="78DCC816" w14:textId="77777777" w:rsidR="00C33A12" w:rsidRPr="00897119" w:rsidRDefault="00F8426F" w:rsidP="00C33A12">
      <w:pPr>
        <w:pStyle w:val="1"/>
        <w:rPr>
          <w:iCs/>
        </w:rPr>
      </w:pPr>
      <w:r>
        <w:t>2</w:t>
      </w:r>
      <w:r w:rsidR="00C33A12" w:rsidRPr="00897119">
        <w:t>.</w:t>
      </w:r>
      <w:r w:rsidR="00C33A12" w:rsidRPr="00897119">
        <w:tab/>
        <w:t>Description</w:t>
      </w:r>
      <w:r w:rsidR="00C33A12">
        <w:t xml:space="preserve"> </w:t>
      </w:r>
      <w:r w:rsidR="00C33A12" w:rsidRPr="00BC43D2">
        <w:rPr>
          <w:u w:val="double"/>
        </w:rPr>
        <w:t>and impact</w:t>
      </w:r>
      <w:r w:rsidR="00C33A12" w:rsidRPr="00897119">
        <w:t xml:space="preserve"> of the </w:t>
      </w:r>
      <w:r w:rsidR="001B1ECC" w:rsidRPr="00897119">
        <w:t>disease</w:t>
      </w:r>
    </w:p>
    <w:p w14:paraId="48F4F34C" w14:textId="41C72945" w:rsidR="00C33A12" w:rsidRPr="00897119" w:rsidRDefault="00C33A12" w:rsidP="00C33A12">
      <w:pPr>
        <w:pStyle w:val="paraA0"/>
      </w:pPr>
      <w:r w:rsidRPr="00897119">
        <w:t>The course of infection, the clinical signs, the post-mortem findings and epidemiological patterns vary according to the serovar and the animal species involved. Most serovars can cause disease in a wide range of animal species (</w:t>
      </w:r>
      <w:r w:rsidR="001F70B8" w:rsidRPr="00BC43D2">
        <w:rPr>
          <w:strike/>
        </w:rPr>
        <w:t>Barrow &amp; Methner</w:t>
      </w:r>
      <w:r w:rsidR="00C3218B" w:rsidRPr="00BC43D2">
        <w:rPr>
          <w:strike/>
        </w:rPr>
        <w:t xml:space="preserve">, </w:t>
      </w:r>
      <w:r w:rsidR="001F70B8" w:rsidRPr="00BC43D2">
        <w:rPr>
          <w:strike/>
        </w:rPr>
        <w:t>2013</w:t>
      </w:r>
      <w:r w:rsidR="00BC43D2">
        <w:rPr>
          <w:strike/>
        </w:rPr>
        <w:t xml:space="preserve"> </w:t>
      </w:r>
      <w:r w:rsidRPr="00BC43D2">
        <w:rPr>
          <w:u w:val="double"/>
        </w:rPr>
        <w:t>Jajere, 2019</w:t>
      </w:r>
      <w:r w:rsidRPr="00897119">
        <w:t xml:space="preserve">), but some serovars are host-specific, e.g. </w:t>
      </w:r>
      <w:r w:rsidRPr="00897119">
        <w:rPr>
          <w:i/>
        </w:rPr>
        <w:t>S</w:t>
      </w:r>
      <w:r w:rsidRPr="00897119">
        <w:t xml:space="preserve">. Typhi in humans and </w:t>
      </w:r>
      <w:r w:rsidRPr="00897119">
        <w:rPr>
          <w:i/>
        </w:rPr>
        <w:t>S</w:t>
      </w:r>
      <w:r w:rsidRPr="00897119">
        <w:t>.</w:t>
      </w:r>
      <w:r w:rsidRPr="00897119">
        <w:rPr>
          <w:iCs/>
        </w:rPr>
        <w:t xml:space="preserve"> Abortusovis in sheep. </w:t>
      </w:r>
      <w:r w:rsidRPr="00897119">
        <w:t xml:space="preserve">Other serovars are host-adapted e.g. </w:t>
      </w:r>
      <w:r w:rsidRPr="00897119">
        <w:rPr>
          <w:i/>
        </w:rPr>
        <w:t>S</w:t>
      </w:r>
      <w:r w:rsidRPr="00897119">
        <w:t xml:space="preserve">. Choleraesuis in pigs and </w:t>
      </w:r>
      <w:r w:rsidRPr="00897119">
        <w:rPr>
          <w:i/>
        </w:rPr>
        <w:t>S</w:t>
      </w:r>
      <w:r w:rsidRPr="00897119">
        <w:t xml:space="preserve">. Dublin in cattle. Host-specific and host-adapted serovars often cause septicaemic disease. In poultry, </w:t>
      </w:r>
      <w:r w:rsidR="00C3218B" w:rsidRPr="00BC43D2">
        <w:rPr>
          <w:strike/>
        </w:rPr>
        <w:t xml:space="preserve">the host-specific diseases </w:t>
      </w:r>
      <w:r w:rsidRPr="00897119">
        <w:t>Pullorum disease or bacillary white diarrhoea and fowl typhoid are used to describe</w:t>
      </w:r>
      <w:r w:rsidRPr="00BC43D2">
        <w:rPr>
          <w:u w:val="double"/>
        </w:rPr>
        <w:t xml:space="preserve"> the host-specific</w:t>
      </w:r>
      <w:r w:rsidRPr="00897119">
        <w:t xml:space="preserve"> infections caused by </w:t>
      </w:r>
      <w:r w:rsidRPr="00897119">
        <w:rPr>
          <w:i/>
        </w:rPr>
        <w:t>S. </w:t>
      </w:r>
      <w:r w:rsidR="007B3E46" w:rsidRPr="005E3F47">
        <w:rPr>
          <w:highlight w:val="yellow"/>
          <w:u w:val="double"/>
        </w:rPr>
        <w:t>Gallinarum</w:t>
      </w:r>
      <w:r w:rsidR="005543B9" w:rsidRPr="0018723E">
        <w:t>, biovar</w:t>
      </w:r>
      <w:r w:rsidR="0018723E" w:rsidRPr="0018723E">
        <w:rPr>
          <w:highlight w:val="yellow"/>
          <w:u w:val="double"/>
        </w:rPr>
        <w:t>s</w:t>
      </w:r>
      <w:r w:rsidR="005543B9" w:rsidRPr="005E3F47">
        <w:t xml:space="preserve"> </w:t>
      </w:r>
      <w:r w:rsidRPr="00897119">
        <w:t xml:space="preserve">Pullorum and </w:t>
      </w:r>
      <w:r w:rsidRPr="0018723E">
        <w:rPr>
          <w:i/>
          <w:strike/>
          <w:highlight w:val="yellow"/>
        </w:rPr>
        <w:t>S. </w:t>
      </w:r>
      <w:r w:rsidRPr="0018723E">
        <w:rPr>
          <w:strike/>
          <w:highlight w:val="yellow"/>
        </w:rPr>
        <w:t>Gallinarum</w:t>
      </w:r>
      <w:r w:rsidR="007A4FE0" w:rsidRPr="0018723E">
        <w:rPr>
          <w:strike/>
          <w:highlight w:val="yellow"/>
        </w:rPr>
        <w:t xml:space="preserve">, </w:t>
      </w:r>
      <w:r w:rsidR="007A4FE0" w:rsidRPr="005E3F47">
        <w:rPr>
          <w:highlight w:val="yellow"/>
          <w:u w:val="double"/>
        </w:rPr>
        <w:t>Gallinarum</w:t>
      </w:r>
      <w:r w:rsidRPr="00996069">
        <w:rPr>
          <w:strike/>
        </w:rPr>
        <w:t xml:space="preserve"> (Barrow &amp; Neto, 2011)</w:t>
      </w:r>
      <w:r w:rsidRPr="00897119">
        <w:t xml:space="preserve">, respectively. Fowl typhoid and Pullorum disease are covered in detail in chapter </w:t>
      </w:r>
      <w:r>
        <w:t>3</w:t>
      </w:r>
      <w:r w:rsidRPr="00897119">
        <w:t>.3.11</w:t>
      </w:r>
      <w:r w:rsidRPr="00897119">
        <w:rPr>
          <w:i/>
        </w:rPr>
        <w:t>.</w:t>
      </w:r>
    </w:p>
    <w:p w14:paraId="78267576" w14:textId="7DCAD52A" w:rsidR="00C33A12" w:rsidRPr="00897119" w:rsidRDefault="00C33A12" w:rsidP="00C33A12">
      <w:pPr>
        <w:pStyle w:val="paraA0"/>
        <w:spacing w:after="200"/>
      </w:pPr>
      <w:r w:rsidRPr="00897119">
        <w:lastRenderedPageBreak/>
        <w:t>In humans, young children, the aged and</w:t>
      </w:r>
      <w:r>
        <w:t xml:space="preserve"> </w:t>
      </w:r>
      <w:r w:rsidR="00C3218B" w:rsidRPr="00B326AE">
        <w:rPr>
          <w:strike/>
        </w:rPr>
        <w:t>those</w:t>
      </w:r>
      <w:r w:rsidR="00B326AE">
        <w:rPr>
          <w:strike/>
        </w:rPr>
        <w:t xml:space="preserve"> </w:t>
      </w:r>
      <w:r w:rsidRPr="00B326AE">
        <w:rPr>
          <w:u w:val="double"/>
        </w:rPr>
        <w:t>people who are</w:t>
      </w:r>
      <w:r w:rsidRPr="00897119">
        <w:t xml:space="preserve"> immunologically compromised</w:t>
      </w:r>
      <w:r w:rsidRPr="009A515F">
        <w:t xml:space="preserve"> </w:t>
      </w:r>
      <w:r w:rsidRPr="00B326AE">
        <w:rPr>
          <w:u w:val="double"/>
        </w:rPr>
        <w:t>or taking proton pump inhibitors</w:t>
      </w:r>
      <w:r w:rsidRPr="00897119">
        <w:t xml:space="preserve"> are most susceptible to salmonellosis. The disease can affect all species of domestic animals; young animals and pregnant animals are particularly susceptible. A wide range of clinical signs, including acute septicaemia, acute or chronic diarrhoea, respiratory disease, abortion, and arthritis, may be seen. Chicks and</w:t>
      </w:r>
      <w:r w:rsidRPr="00B326AE">
        <w:rPr>
          <w:u w:val="double"/>
        </w:rPr>
        <w:t xml:space="preserve"> turkey</w:t>
      </w:r>
      <w:r>
        <w:t xml:space="preserve"> </w:t>
      </w:r>
      <w:r w:rsidRPr="00897119">
        <w:t xml:space="preserve">poults of less than 1 week of age are highly susceptible to </w:t>
      </w:r>
      <w:r w:rsidRPr="00897119">
        <w:rPr>
          <w:i/>
        </w:rPr>
        <w:t xml:space="preserve">Salmonella </w:t>
      </w:r>
      <w:r w:rsidRPr="00897119">
        <w:t>infection and may occasionally exhibit</w:t>
      </w:r>
      <w:r>
        <w:t xml:space="preserve"> </w:t>
      </w:r>
      <w:r w:rsidRPr="00B326AE">
        <w:rPr>
          <w:u w:val="double"/>
        </w:rPr>
        <w:t xml:space="preserve">clinical </w:t>
      </w:r>
      <w:r w:rsidRPr="00897119">
        <w:t>signs including anorexia, ad</w:t>
      </w:r>
      <w:r>
        <w:t>i</w:t>
      </w:r>
      <w:r w:rsidRPr="00897119">
        <w:t xml:space="preserve">psia, depression, ruffled feathers, huddling together, somnolence, dehydration, white diarrhoea and pasted vents with considerable mortality as a result, but even in young poultry, subclinical infection is most likely. In calves, septicaemic infection with the host-adapted </w:t>
      </w:r>
      <w:r w:rsidRPr="00897119">
        <w:rPr>
          <w:i/>
        </w:rPr>
        <w:t>S</w:t>
      </w:r>
      <w:r w:rsidRPr="00897119">
        <w:t xml:space="preserve">. Dublin serovar occurs mainly at 2–6 weeks of age. The calves are dull, pyrexic, </w:t>
      </w:r>
      <w:r w:rsidR="00C3218B" w:rsidRPr="00B326AE">
        <w:rPr>
          <w:strike/>
        </w:rPr>
        <w:t xml:space="preserve">are </w:t>
      </w:r>
      <w:r w:rsidRPr="00897119">
        <w:t>anorexic, have diarrhoea with blood and mucus in the faeces, may have pneumonia</w:t>
      </w:r>
      <w:r w:rsidRPr="009A515F">
        <w:t xml:space="preserve"> </w:t>
      </w:r>
      <w:r w:rsidRPr="00B326AE">
        <w:rPr>
          <w:u w:val="double"/>
        </w:rPr>
        <w:t>or necrosis of distal extremities</w:t>
      </w:r>
      <w:r w:rsidRPr="00897119">
        <w:t xml:space="preserve">, and often become quickly dehydrated and die if appropriate treatment is not given in a timely manner. In pregnant cows, infection with </w:t>
      </w:r>
      <w:r w:rsidRPr="00897119">
        <w:rPr>
          <w:i/>
        </w:rPr>
        <w:t>S</w:t>
      </w:r>
      <w:r w:rsidRPr="00897119">
        <w:t>. Dublin is a common cause of abortion. Pigs infected with the host-adapte</w:t>
      </w:r>
      <w:r w:rsidRPr="003F54B6">
        <w:t xml:space="preserve">d </w:t>
      </w:r>
      <w:r w:rsidRPr="003F54B6">
        <w:rPr>
          <w:i/>
        </w:rPr>
        <w:t>S</w:t>
      </w:r>
      <w:r w:rsidRPr="003F54B6">
        <w:t xml:space="preserve">. Choleraesuis may </w:t>
      </w:r>
      <w:r w:rsidR="00C3218B" w:rsidRPr="00B326AE">
        <w:rPr>
          <w:strike/>
        </w:rPr>
        <w:t>show clinical illness, are anorexic, have a high fever, become lethargic and the extremities</w:t>
      </w:r>
      <w:r w:rsidR="001F70B8" w:rsidRPr="00B326AE">
        <w:rPr>
          <w:strike/>
        </w:rPr>
        <w:t xml:space="preserve"> may appear cyanotic</w:t>
      </w:r>
      <w:r w:rsidR="00C3218B" w:rsidRPr="00B326AE">
        <w:rPr>
          <w:strike/>
        </w:rPr>
        <w:t xml:space="preserve">. </w:t>
      </w:r>
      <w:r w:rsidR="00B326AE">
        <w:rPr>
          <w:u w:val="double"/>
        </w:rPr>
        <w:t>show signs of</w:t>
      </w:r>
      <w:r w:rsidR="009A34DD" w:rsidRPr="00B326AE">
        <w:rPr>
          <w:u w:val="double"/>
        </w:rPr>
        <w:t xml:space="preserve"> </w:t>
      </w:r>
      <w:r w:rsidR="00ED623D" w:rsidRPr="00B326AE">
        <w:rPr>
          <w:u w:val="double"/>
        </w:rPr>
        <w:t>septicaemia</w:t>
      </w:r>
      <w:r w:rsidR="00B8447A" w:rsidRPr="00B326AE">
        <w:rPr>
          <w:u w:val="double"/>
        </w:rPr>
        <w:t xml:space="preserve"> that can result in death without </w:t>
      </w:r>
      <w:r w:rsidR="009A34DD" w:rsidRPr="00B326AE">
        <w:rPr>
          <w:u w:val="double"/>
        </w:rPr>
        <w:t xml:space="preserve">any preceding clinical </w:t>
      </w:r>
      <w:r w:rsidR="00B8447A" w:rsidRPr="00B326AE">
        <w:rPr>
          <w:u w:val="double"/>
        </w:rPr>
        <w:t>signs.</w:t>
      </w:r>
      <w:r w:rsidR="009A34DD" w:rsidRPr="00B326AE">
        <w:rPr>
          <w:u w:val="double"/>
        </w:rPr>
        <w:t xml:space="preserve"> </w:t>
      </w:r>
      <w:r w:rsidR="00B8447A" w:rsidRPr="00B326AE">
        <w:rPr>
          <w:u w:val="double"/>
        </w:rPr>
        <w:t>However, more commonly, clinical s</w:t>
      </w:r>
      <w:r w:rsidR="009A515F">
        <w:rPr>
          <w:u w:val="double"/>
        </w:rPr>
        <w:t>ign</w:t>
      </w:r>
      <w:r w:rsidR="00B8447A" w:rsidRPr="00B326AE">
        <w:rPr>
          <w:u w:val="double"/>
        </w:rPr>
        <w:t>s of affected pigs are</w:t>
      </w:r>
      <w:r w:rsidR="0048718F" w:rsidRPr="00B326AE">
        <w:rPr>
          <w:u w:val="double"/>
        </w:rPr>
        <w:t xml:space="preserve"> anorexia, high fever, lethargy</w:t>
      </w:r>
      <w:r w:rsidR="00B8447A" w:rsidRPr="00B326AE">
        <w:rPr>
          <w:u w:val="double"/>
        </w:rPr>
        <w:t>, shallow cough, difficulty in breathing</w:t>
      </w:r>
      <w:r w:rsidR="0048718F" w:rsidRPr="00B326AE">
        <w:rPr>
          <w:u w:val="double"/>
        </w:rPr>
        <w:t xml:space="preserve"> and cyanotic extremities.</w:t>
      </w:r>
      <w:r w:rsidRPr="00B326AE">
        <w:rPr>
          <w:u w:val="double"/>
        </w:rPr>
        <w:t xml:space="preserve"> </w:t>
      </w:r>
      <w:r w:rsidRPr="00B326AE">
        <w:rPr>
          <w:i/>
          <w:u w:val="double"/>
        </w:rPr>
        <w:t>Salmonella</w:t>
      </w:r>
      <w:r w:rsidRPr="00B326AE">
        <w:rPr>
          <w:u w:val="double"/>
        </w:rPr>
        <w:t xml:space="preserve"> Typhimurium is also a common cause of salmonellosis in cattle and weaned pigs</w:t>
      </w:r>
      <w:r w:rsidR="00F6464C" w:rsidRPr="00B326AE">
        <w:rPr>
          <w:u w:val="double"/>
        </w:rPr>
        <w:t>.</w:t>
      </w:r>
    </w:p>
    <w:p w14:paraId="76751B50" w14:textId="3CE195F3" w:rsidR="00C33A12" w:rsidRPr="00897119" w:rsidRDefault="00C33A12" w:rsidP="00C33A12">
      <w:pPr>
        <w:pStyle w:val="para1"/>
        <w:spacing w:after="200"/>
      </w:pPr>
      <w:r w:rsidRPr="00897119">
        <w:t>Many animals, especially poultry and pigs,</w:t>
      </w:r>
      <w:r>
        <w:t xml:space="preserve"> </w:t>
      </w:r>
      <w:r w:rsidRPr="00B326AE">
        <w:rPr>
          <w:u w:val="double"/>
        </w:rPr>
        <w:t>but also cattle and sheep,</w:t>
      </w:r>
      <w:r w:rsidRPr="00897119">
        <w:t xml:space="preserve"> may be infected but show no clinical illness (</w:t>
      </w:r>
      <w:r w:rsidR="00BC43D2" w:rsidRPr="00BC43D2">
        <w:rPr>
          <w:strike/>
        </w:rPr>
        <w:t>Barrow &amp; Methner, 2013</w:t>
      </w:r>
      <w:r w:rsidR="00BC43D2">
        <w:rPr>
          <w:strike/>
        </w:rPr>
        <w:t xml:space="preserve"> </w:t>
      </w:r>
      <w:r w:rsidR="00BC43D2" w:rsidRPr="00BC43D2">
        <w:rPr>
          <w:u w:val="double"/>
        </w:rPr>
        <w:t>Jajere, 2019</w:t>
      </w:r>
      <w:r w:rsidR="00BC43D2">
        <w:t xml:space="preserve">). </w:t>
      </w:r>
      <w:r w:rsidRPr="00897119">
        <w:t xml:space="preserve">Such animals </w:t>
      </w:r>
      <w:r w:rsidR="00C3218B" w:rsidRPr="00B326AE">
        <w:rPr>
          <w:strike/>
        </w:rPr>
        <w:t>may be important</w:t>
      </w:r>
      <w:r w:rsidR="00B326AE">
        <w:rPr>
          <w:strike/>
        </w:rPr>
        <w:t xml:space="preserve"> </w:t>
      </w:r>
      <w:r w:rsidR="0099726D" w:rsidRPr="00B326AE">
        <w:rPr>
          <w:u w:val="double"/>
        </w:rPr>
        <w:t>have a central role</w:t>
      </w:r>
      <w:r w:rsidRPr="00897119">
        <w:t xml:space="preserve"> in relation to the spread of the infection between</w:t>
      </w:r>
      <w:r w:rsidRPr="00B326AE">
        <w:rPr>
          <w:u w:val="double"/>
        </w:rPr>
        <w:t xml:space="preserve"> </w:t>
      </w:r>
      <w:r w:rsidR="0099726D" w:rsidRPr="00B326AE">
        <w:rPr>
          <w:u w:val="double"/>
        </w:rPr>
        <w:t>and within</w:t>
      </w:r>
      <w:r w:rsidR="0099726D">
        <w:t xml:space="preserve"> </w:t>
      </w:r>
      <w:r w:rsidRPr="00897119">
        <w:t xml:space="preserve">flocks and herds. Salmonellosis has been recognised in all countries, but non-typhoidal infection appears to be most prevalent in areas of intensive animal husbandry, especially of poultry </w:t>
      </w:r>
      <w:r w:rsidR="00C3218B" w:rsidRPr="00B326AE">
        <w:rPr>
          <w:strike/>
        </w:rPr>
        <w:t>or</w:t>
      </w:r>
      <w:r w:rsidR="00B326AE">
        <w:rPr>
          <w:strike/>
        </w:rPr>
        <w:t xml:space="preserve"> </w:t>
      </w:r>
      <w:r w:rsidR="00E0562C" w:rsidRPr="00B326AE">
        <w:rPr>
          <w:u w:val="double"/>
        </w:rPr>
        <w:t>and</w:t>
      </w:r>
      <w:r w:rsidR="00E0562C">
        <w:t xml:space="preserve"> </w:t>
      </w:r>
      <w:r w:rsidRPr="00897119">
        <w:t>pigs (</w:t>
      </w:r>
      <w:r w:rsidR="00BC43D2" w:rsidRPr="00BC43D2">
        <w:rPr>
          <w:strike/>
        </w:rPr>
        <w:t>Barrow &amp; Methner, 2013</w:t>
      </w:r>
      <w:r w:rsidR="00BC43D2">
        <w:rPr>
          <w:strike/>
        </w:rPr>
        <w:t xml:space="preserve"> </w:t>
      </w:r>
      <w:r w:rsidR="00BC43D2" w:rsidRPr="00BC43D2">
        <w:rPr>
          <w:u w:val="double"/>
        </w:rPr>
        <w:t>Jajere, 2019</w:t>
      </w:r>
      <w:r w:rsidRPr="00897119">
        <w:t xml:space="preserve">). </w:t>
      </w:r>
    </w:p>
    <w:p w14:paraId="4197C11C" w14:textId="2D309B46" w:rsidR="00C3218B" w:rsidRPr="00897119" w:rsidRDefault="0066375C" w:rsidP="0086263E">
      <w:pPr>
        <w:pStyle w:val="1"/>
        <w:spacing w:after="200"/>
      </w:pPr>
      <w:r w:rsidRPr="00897119">
        <w:t>3</w:t>
      </w:r>
      <w:r w:rsidR="00C3218B" w:rsidRPr="00897119">
        <w:t>.</w:t>
      </w:r>
      <w:r w:rsidR="008E0CDF" w:rsidRPr="00897119">
        <w:tab/>
      </w:r>
      <w:r w:rsidR="00C3218B" w:rsidRPr="00897119">
        <w:t xml:space="preserve">Zoonotic </w:t>
      </w:r>
      <w:r w:rsidR="00C3218B" w:rsidRPr="00B326AE">
        <w:rPr>
          <w:strike/>
        </w:rPr>
        <w:t>risk and</w:t>
      </w:r>
      <w:r w:rsidR="009A515F">
        <w:rPr>
          <w:strike/>
        </w:rPr>
        <w:t xml:space="preserve"> </w:t>
      </w:r>
      <w:r w:rsidR="00C33A12" w:rsidRPr="00B326AE">
        <w:rPr>
          <w:u w:val="double"/>
        </w:rPr>
        <w:t>potential</w:t>
      </w:r>
      <w:r w:rsidR="002916D6" w:rsidRPr="00B326AE">
        <w:rPr>
          <w:u w:val="double"/>
        </w:rPr>
        <w:t>,</w:t>
      </w:r>
      <w:r w:rsidR="002916D6">
        <w:t xml:space="preserve"> </w:t>
      </w:r>
      <w:r w:rsidR="00C3218B" w:rsidRPr="00897119">
        <w:t>biosafety</w:t>
      </w:r>
      <w:r w:rsidR="00C33A12" w:rsidRPr="009A515F">
        <w:t xml:space="preserve"> </w:t>
      </w:r>
      <w:r w:rsidR="00C33A12" w:rsidRPr="00B326AE">
        <w:rPr>
          <w:u w:val="double"/>
        </w:rPr>
        <w:t>and biosecurity</w:t>
      </w:r>
      <w:r w:rsidR="00C3218B" w:rsidRPr="00897119">
        <w:t xml:space="preserve"> requirements</w:t>
      </w:r>
    </w:p>
    <w:p w14:paraId="75D8276F" w14:textId="31A47258" w:rsidR="00C3218B" w:rsidRPr="00897119" w:rsidRDefault="00C3218B" w:rsidP="0086263E">
      <w:pPr>
        <w:pStyle w:val="para1"/>
        <w:spacing w:after="200"/>
        <w:rPr>
          <w:lang w:val="en-CA" w:eastAsia="en-CA"/>
        </w:rPr>
      </w:pPr>
      <w:r w:rsidRPr="00897119">
        <w:t xml:space="preserve">Human salmonellosis is one of the most common and economically important zoonotic diseases. The Centers for Disease Control and Prevention (CDC) estimates that salmonellosis causes more than </w:t>
      </w:r>
      <w:r w:rsidRPr="00B326AE">
        <w:rPr>
          <w:strike/>
        </w:rPr>
        <w:t>1.2</w:t>
      </w:r>
      <w:r w:rsidR="00B326AE">
        <w:rPr>
          <w:strike/>
        </w:rPr>
        <w:t xml:space="preserve"> </w:t>
      </w:r>
      <w:r w:rsidR="00B326AE">
        <w:rPr>
          <w:u w:val="double"/>
        </w:rPr>
        <w:t>1.3</w:t>
      </w:r>
      <w:r w:rsidR="001B1ECC" w:rsidRPr="00B326AE">
        <w:rPr>
          <w:u w:val="double"/>
        </w:rPr>
        <w:t>5</w:t>
      </w:r>
      <w:r w:rsidRPr="00897119">
        <w:t xml:space="preserve"> million illnesses each year in the United States</w:t>
      </w:r>
      <w:r w:rsidR="00CF7F93" w:rsidRPr="00897119">
        <w:t xml:space="preserve"> of America</w:t>
      </w:r>
      <w:r w:rsidRPr="00897119">
        <w:t xml:space="preserve">, with more than </w:t>
      </w:r>
      <w:r w:rsidRPr="00B326AE">
        <w:rPr>
          <w:strike/>
        </w:rPr>
        <w:t>23,000</w:t>
      </w:r>
      <w:r w:rsidR="00B326AE" w:rsidRPr="00B326AE">
        <w:rPr>
          <w:strike/>
        </w:rPr>
        <w:t xml:space="preserve"> </w:t>
      </w:r>
      <w:r w:rsidR="001B1ECC" w:rsidRPr="00B326AE">
        <w:rPr>
          <w:u w:val="double"/>
        </w:rPr>
        <w:t>26,500</w:t>
      </w:r>
      <w:r w:rsidR="001B1ECC">
        <w:t xml:space="preserve"> </w:t>
      </w:r>
      <w:r w:rsidRPr="00897119">
        <w:t xml:space="preserve">hospitalisations and </w:t>
      </w:r>
      <w:r w:rsidRPr="00B326AE">
        <w:rPr>
          <w:strike/>
        </w:rPr>
        <w:t>450</w:t>
      </w:r>
      <w:r w:rsidR="00B326AE">
        <w:rPr>
          <w:strike/>
        </w:rPr>
        <w:t xml:space="preserve"> </w:t>
      </w:r>
      <w:r w:rsidR="001B1ECC" w:rsidRPr="00B326AE">
        <w:rPr>
          <w:u w:val="double"/>
        </w:rPr>
        <w:t>429</w:t>
      </w:r>
      <w:r w:rsidRPr="00897119">
        <w:t xml:space="preserve"> </w:t>
      </w:r>
      <w:r w:rsidR="001B1ECC" w:rsidRPr="00897119">
        <w:t>deaths</w:t>
      </w:r>
      <w:r w:rsidRPr="00897119">
        <w:t xml:space="preserve"> (CDC, </w:t>
      </w:r>
      <w:r w:rsidRPr="002B544E">
        <w:rPr>
          <w:strike/>
        </w:rPr>
        <w:t>2013</w:t>
      </w:r>
      <w:r w:rsidR="00996069" w:rsidRPr="002B544E">
        <w:rPr>
          <w:strike/>
          <w:u w:val="double"/>
        </w:rPr>
        <w:t>;</w:t>
      </w:r>
      <w:r w:rsidR="009A515F" w:rsidRPr="002B544E">
        <w:rPr>
          <w:strike/>
        </w:rPr>
        <w:t xml:space="preserve"> </w:t>
      </w:r>
      <w:r w:rsidR="001B1ECC" w:rsidRPr="00B326AE">
        <w:rPr>
          <w:u w:val="double"/>
        </w:rPr>
        <w:t>2021</w:t>
      </w:r>
      <w:r w:rsidRPr="00B326AE">
        <w:rPr>
          <w:u w:val="double"/>
        </w:rPr>
        <w:t xml:space="preserve">). </w:t>
      </w:r>
      <w:r w:rsidR="002916D6" w:rsidRPr="00B326AE">
        <w:rPr>
          <w:u w:val="double"/>
          <w:lang w:val="en-CA" w:eastAsia="en-CA"/>
        </w:rPr>
        <w:t>A recent study in Australia reported that in 2015, there were nearly 91,000 non-typhoidal salmonellosis cases, of which over 4300 were hospitalised and 19 patients died, at a total societal cost of over 100</w:t>
      </w:r>
      <w:r w:rsidR="009A515F">
        <w:rPr>
          <w:u w:val="double"/>
          <w:lang w:val="en-CA" w:eastAsia="en-CA"/>
        </w:rPr>
        <w:t> </w:t>
      </w:r>
      <w:r w:rsidR="002916D6" w:rsidRPr="00B326AE">
        <w:rPr>
          <w:u w:val="double"/>
          <w:lang w:val="en-CA" w:eastAsia="en-CA"/>
        </w:rPr>
        <w:t xml:space="preserve">million US dollars (Ford </w:t>
      </w:r>
      <w:r w:rsidR="002916D6" w:rsidRPr="00B326AE">
        <w:rPr>
          <w:i/>
          <w:u w:val="double"/>
          <w:lang w:val="en-CA" w:eastAsia="en-CA"/>
        </w:rPr>
        <w:t>et al</w:t>
      </w:r>
      <w:r w:rsidR="003F54B6" w:rsidRPr="00B326AE">
        <w:rPr>
          <w:u w:val="double"/>
          <w:lang w:val="en-CA" w:eastAsia="en-CA"/>
        </w:rPr>
        <w:t>., 2019</w:t>
      </w:r>
      <w:r w:rsidR="003F54B6" w:rsidRPr="0044582A">
        <w:rPr>
          <w:lang w:val="en-CA"/>
        </w:rPr>
        <w:t xml:space="preserve">). </w:t>
      </w:r>
      <w:r w:rsidR="00BB3ADB" w:rsidRPr="00897119">
        <w:rPr>
          <w:lang w:val="en-CA" w:eastAsia="en-CA"/>
        </w:rPr>
        <w:t xml:space="preserve">The most common cause of infection with </w:t>
      </w:r>
      <w:r w:rsidR="00BB3ADB" w:rsidRPr="00897119">
        <w:rPr>
          <w:i/>
          <w:lang w:val="en-CA" w:eastAsia="en-CA"/>
        </w:rPr>
        <w:t>Salmonella</w:t>
      </w:r>
      <w:r w:rsidR="00BB3ADB" w:rsidRPr="00897119">
        <w:rPr>
          <w:lang w:val="en-CA" w:eastAsia="en-CA"/>
        </w:rPr>
        <w:t xml:space="preserve"> is e</w:t>
      </w:r>
      <w:r w:rsidRPr="00897119">
        <w:rPr>
          <w:lang w:val="en-CA" w:eastAsia="en-CA"/>
        </w:rPr>
        <w:t xml:space="preserve">ating contaminated foods including raw or undercooked eggs or egg products, </w:t>
      </w:r>
      <w:r w:rsidRPr="00B326AE">
        <w:rPr>
          <w:strike/>
          <w:lang w:val="en-CA" w:eastAsia="en-CA"/>
        </w:rPr>
        <w:t xml:space="preserve">meat, </w:t>
      </w:r>
      <w:r w:rsidR="00817F82">
        <w:rPr>
          <w:lang w:val="en-CA" w:eastAsia="en-CA"/>
        </w:rPr>
        <w:t>poultry</w:t>
      </w:r>
      <w:r w:rsidR="00817F82" w:rsidRPr="00B326AE">
        <w:rPr>
          <w:u w:val="double"/>
          <w:lang w:val="en-CA" w:eastAsia="en-CA"/>
        </w:rPr>
        <w:t xml:space="preserve"> and pig meat</w:t>
      </w:r>
      <w:r w:rsidRPr="00897119">
        <w:rPr>
          <w:lang w:val="en-CA" w:eastAsia="en-CA"/>
        </w:rPr>
        <w:t>, contaminated fresh fruit and vegetables and soft cheeses made from unpasteuri</w:t>
      </w:r>
      <w:r w:rsidR="009779A8" w:rsidRPr="00897119">
        <w:rPr>
          <w:lang w:val="en-CA" w:eastAsia="en-CA"/>
        </w:rPr>
        <w:t>s</w:t>
      </w:r>
      <w:r w:rsidRPr="00897119">
        <w:rPr>
          <w:lang w:val="en-CA" w:eastAsia="en-CA"/>
        </w:rPr>
        <w:t>ed milk.</w:t>
      </w:r>
    </w:p>
    <w:p w14:paraId="006DCC7B" w14:textId="7EC119B9" w:rsidR="00C3218B" w:rsidRPr="00897119" w:rsidRDefault="00C3218B" w:rsidP="0086263E">
      <w:pPr>
        <w:pStyle w:val="para1"/>
        <w:spacing w:after="200"/>
      </w:pPr>
      <w:r w:rsidRPr="00897119">
        <w:rPr>
          <w:i/>
          <w:lang w:val="en-CA" w:eastAsia="en-CA"/>
        </w:rPr>
        <w:t>Salmonella</w:t>
      </w:r>
      <w:r w:rsidRPr="00897119">
        <w:rPr>
          <w:lang w:val="en-CA" w:eastAsia="en-CA"/>
        </w:rPr>
        <w:t xml:space="preserve"> can also be spread to people through contact with infected birds, livestock, reptiles, amphibians, </w:t>
      </w:r>
      <w:r w:rsidRPr="00B326AE">
        <w:rPr>
          <w:strike/>
          <w:lang w:val="en-CA" w:eastAsia="en-CA"/>
        </w:rPr>
        <w:t>and</w:t>
      </w:r>
      <w:r w:rsidR="00B326AE">
        <w:rPr>
          <w:strike/>
          <w:lang w:val="en-CA" w:eastAsia="en-CA"/>
        </w:rPr>
        <w:t xml:space="preserve"> </w:t>
      </w:r>
      <w:r w:rsidR="00AA72A4" w:rsidRPr="00B326AE">
        <w:rPr>
          <w:u w:val="double"/>
          <w:lang w:val="en-CA" w:eastAsia="en-CA"/>
        </w:rPr>
        <w:t>rodents,</w:t>
      </w:r>
      <w:r w:rsidR="00AA72A4" w:rsidRPr="00897119">
        <w:rPr>
          <w:lang w:val="en-CA" w:eastAsia="en-CA"/>
        </w:rPr>
        <w:t xml:space="preserve"> </w:t>
      </w:r>
      <w:r w:rsidRPr="00897119">
        <w:rPr>
          <w:lang w:val="en-CA" w:eastAsia="en-CA"/>
        </w:rPr>
        <w:t xml:space="preserve">dogs and cats. These animals may carry the bacteria even when apparently healthy. </w:t>
      </w:r>
      <w:r w:rsidRPr="00897119">
        <w:t>Many serovars, including some that are host</w:t>
      </w:r>
      <w:r w:rsidR="00767EEF" w:rsidRPr="00897119">
        <w:t>-</w:t>
      </w:r>
      <w:r w:rsidRPr="00897119">
        <w:t xml:space="preserve">adapted such as </w:t>
      </w:r>
      <w:r w:rsidRPr="00B326AE">
        <w:rPr>
          <w:i/>
        </w:rPr>
        <w:t>S</w:t>
      </w:r>
      <w:r w:rsidRPr="00C0603C">
        <w:t>.</w:t>
      </w:r>
      <w:r w:rsidRPr="00897119">
        <w:t xml:space="preserve"> Choleraesuis and </w:t>
      </w:r>
      <w:r w:rsidRPr="00B326AE">
        <w:rPr>
          <w:i/>
        </w:rPr>
        <w:t>S</w:t>
      </w:r>
      <w:r w:rsidRPr="00C0603C">
        <w:t>.</w:t>
      </w:r>
      <w:r w:rsidRPr="00897119">
        <w:t> Dublin, have been shown to cause serious disease in humans. Abattoir workers, animal attendants and veterinarians may be infected directly during the course of their work when in contact with infected animals. Laboratory personnel may</w:t>
      </w:r>
      <w:r w:rsidR="00767EEF" w:rsidRPr="00897119">
        <w:t xml:space="preserve"> also</w:t>
      </w:r>
      <w:r w:rsidRPr="00897119">
        <w:t xml:space="preserve"> acquire the infection </w:t>
      </w:r>
      <w:r w:rsidR="00767EEF" w:rsidRPr="00897119">
        <w:t>if safe working practices are not implemented</w:t>
      </w:r>
      <w:r w:rsidRPr="00897119">
        <w:t xml:space="preserve">. </w:t>
      </w:r>
      <w:r w:rsidR="001813EF" w:rsidRPr="00494B2C">
        <w:rPr>
          <w:strike/>
        </w:rPr>
        <w:t>T</w:t>
      </w:r>
      <w:r w:rsidRPr="00494B2C">
        <w:rPr>
          <w:strike/>
        </w:rPr>
        <w:t xml:space="preserve">o prevent occurrences of laboratory infections, the biosafety and biosecurity measures in veterinary </w:t>
      </w:r>
      <w:r w:rsidR="00CF7F93" w:rsidRPr="00494B2C">
        <w:rPr>
          <w:strike/>
        </w:rPr>
        <w:t>diagnostic</w:t>
      </w:r>
      <w:r w:rsidRPr="00494B2C">
        <w:rPr>
          <w:strike/>
        </w:rPr>
        <w:t xml:space="preserve"> and animal facilities should be adhered to </w:t>
      </w:r>
      <w:r w:rsidR="00176659" w:rsidRPr="00494B2C">
        <w:rPr>
          <w:u w:val="double"/>
        </w:rPr>
        <w:t xml:space="preserve">All laboratory manipulations with live cultures or potentially infected or contaminated material must be performed </w:t>
      </w:r>
      <w:r w:rsidR="00176659" w:rsidRPr="00494B2C">
        <w:rPr>
          <w:u w:val="double"/>
          <w:lang w:val="en-IE"/>
        </w:rPr>
        <w:t>at an appropriate biosafety and containment level as determined by biological risk analysis</w:t>
      </w:r>
      <w:r w:rsidR="00176659" w:rsidRPr="00494B2C">
        <w:rPr>
          <w:lang w:val="en-IE"/>
        </w:rPr>
        <w:t xml:space="preserve"> </w:t>
      </w:r>
      <w:r w:rsidRPr="00897119">
        <w:t>(see Chapter 1.1.</w:t>
      </w:r>
      <w:r w:rsidR="00897119" w:rsidRPr="00897119">
        <w:t>4</w:t>
      </w:r>
      <w:r w:rsidR="002916D6">
        <w:t xml:space="preserve"> </w:t>
      </w:r>
      <w:r w:rsidR="001813EF" w:rsidRPr="00897119">
        <w:rPr>
          <w:i/>
        </w:rPr>
        <w:t xml:space="preserve">Biosafety and biosecurity: </w:t>
      </w:r>
      <w:r w:rsidR="00897119" w:rsidRPr="00897119">
        <w:rPr>
          <w:i/>
        </w:rPr>
        <w:t xml:space="preserve">Standard </w:t>
      </w:r>
      <w:r w:rsidR="001813EF" w:rsidRPr="00897119">
        <w:rPr>
          <w:i/>
        </w:rPr>
        <w:t>for managing biological risk in the veterinary laboratory and animal facilities</w:t>
      </w:r>
      <w:r w:rsidRPr="00897119">
        <w:t>).</w:t>
      </w:r>
    </w:p>
    <w:p w14:paraId="0F4A479B" w14:textId="77777777" w:rsidR="00C3218B" w:rsidRPr="00897119" w:rsidRDefault="0066375C" w:rsidP="0086263E">
      <w:pPr>
        <w:pStyle w:val="1"/>
        <w:spacing w:after="200"/>
      </w:pPr>
      <w:r w:rsidRPr="00897119">
        <w:t>4</w:t>
      </w:r>
      <w:r w:rsidR="00C3218B" w:rsidRPr="00897119">
        <w:t>.</w:t>
      </w:r>
      <w:r w:rsidR="008E0CDF" w:rsidRPr="00897119">
        <w:tab/>
      </w:r>
      <w:r w:rsidR="00C3218B" w:rsidRPr="00897119">
        <w:t>Differential diagnosis</w:t>
      </w:r>
    </w:p>
    <w:p w14:paraId="2FA9AC46" w14:textId="3BD41505" w:rsidR="00C3218B" w:rsidRPr="00897119" w:rsidRDefault="00C3218B" w:rsidP="0086263E">
      <w:pPr>
        <w:pStyle w:val="para1"/>
        <w:spacing w:after="440"/>
        <w:rPr>
          <w:i/>
        </w:rPr>
      </w:pPr>
      <w:r w:rsidRPr="00897119">
        <w:t>Signs in young birds with generali</w:t>
      </w:r>
      <w:r w:rsidR="008E0CDF" w:rsidRPr="00897119">
        <w:t>s</w:t>
      </w:r>
      <w:r w:rsidRPr="00897119">
        <w:t xml:space="preserve">ed salmonellosis closely resemble those seen in </w:t>
      </w:r>
      <w:r w:rsidR="00767EEF" w:rsidRPr="00897119">
        <w:t>P</w:t>
      </w:r>
      <w:r w:rsidRPr="00897119">
        <w:t xml:space="preserve">ullorum disease, fowl typhoid and those of other acute septicaemic illnesses caused by a wide variety of bacteria including </w:t>
      </w:r>
      <w:r w:rsidRPr="00897119">
        <w:rPr>
          <w:i/>
        </w:rPr>
        <w:t xml:space="preserve">Escherichia coli. </w:t>
      </w:r>
      <w:r w:rsidR="0009757D" w:rsidRPr="00897119">
        <w:t>In all avian species a</w:t>
      </w:r>
      <w:r w:rsidRPr="00897119">
        <w:t xml:space="preserve">rthritis caused by </w:t>
      </w:r>
      <w:r w:rsidRPr="00897119">
        <w:rPr>
          <w:i/>
        </w:rPr>
        <w:t xml:space="preserve">Salmonella </w:t>
      </w:r>
      <w:r w:rsidRPr="00897119">
        <w:t xml:space="preserve">infection may be mistaken </w:t>
      </w:r>
      <w:r w:rsidR="00767EEF" w:rsidRPr="00897119">
        <w:t xml:space="preserve">for </w:t>
      </w:r>
      <w:r w:rsidRPr="00897119">
        <w:t>syno</w:t>
      </w:r>
      <w:r w:rsidR="00803ACD" w:rsidRPr="00897119">
        <w:t>v</w:t>
      </w:r>
      <w:r w:rsidRPr="00897119">
        <w:t xml:space="preserve">itis or bursitis caused by other infections. Septicaemic salmonellosis in pigs caused by </w:t>
      </w:r>
      <w:r w:rsidRPr="00897119">
        <w:rPr>
          <w:i/>
        </w:rPr>
        <w:t>S</w:t>
      </w:r>
      <w:r w:rsidRPr="00897119">
        <w:t>. Choleraesuis may be mistaken for hog cholera. Septicaemic salmonellosis in calves</w:t>
      </w:r>
      <w:r w:rsidR="005901B3" w:rsidRPr="00B326AE">
        <w:rPr>
          <w:u w:val="double"/>
        </w:rPr>
        <w:t xml:space="preserve"> or weaned pigs</w:t>
      </w:r>
      <w:r w:rsidRPr="00897119">
        <w:t xml:space="preserve"> may be confused with colibacillosis, although the latter disease occurs usually at a younger age. The acute enteric form of salmonellosis in calves may resemble coccidiosis.</w:t>
      </w:r>
      <w:r w:rsidR="002F21FF" w:rsidRPr="00897119">
        <w:t xml:space="preserve"> Abortions in sheep </w:t>
      </w:r>
      <w:r w:rsidR="00A207A6" w:rsidRPr="00897119">
        <w:t xml:space="preserve">may </w:t>
      </w:r>
      <w:r w:rsidR="002F21FF" w:rsidRPr="00897119">
        <w:t xml:space="preserve">be caused </w:t>
      </w:r>
      <w:r w:rsidR="0009757D" w:rsidRPr="00897119">
        <w:t xml:space="preserve">not only </w:t>
      </w:r>
      <w:r w:rsidR="002F21FF" w:rsidRPr="00897119">
        <w:t xml:space="preserve">by </w:t>
      </w:r>
      <w:r w:rsidR="00B5483D" w:rsidRPr="00897119">
        <w:rPr>
          <w:i/>
        </w:rPr>
        <w:t>S</w:t>
      </w:r>
      <w:r w:rsidR="001813EF" w:rsidRPr="00897119">
        <w:rPr>
          <w:i/>
        </w:rPr>
        <w:t>.</w:t>
      </w:r>
      <w:r w:rsidR="00B5483D" w:rsidRPr="00897119">
        <w:rPr>
          <w:i/>
        </w:rPr>
        <w:t xml:space="preserve"> </w:t>
      </w:r>
      <w:r w:rsidR="003239A6" w:rsidRPr="00176539">
        <w:t>Abortusovis</w:t>
      </w:r>
      <w:r w:rsidR="00542F4E">
        <w:t>,</w:t>
      </w:r>
      <w:r w:rsidR="003239A6" w:rsidRPr="00897119">
        <w:t xml:space="preserve"> </w:t>
      </w:r>
      <w:r w:rsidR="00A207A6" w:rsidRPr="00897119">
        <w:t>but also by</w:t>
      </w:r>
      <w:r w:rsidR="00225BBC" w:rsidRPr="00897119">
        <w:t xml:space="preserve"> </w:t>
      </w:r>
      <w:r w:rsidR="00225BBC" w:rsidRPr="00B326AE">
        <w:rPr>
          <w:i/>
          <w:u w:val="double"/>
        </w:rPr>
        <w:t>Chlamyd</w:t>
      </w:r>
      <w:r w:rsidR="006D7019" w:rsidRPr="00B326AE">
        <w:rPr>
          <w:i/>
          <w:u w:val="double"/>
        </w:rPr>
        <w:t xml:space="preserve">ia </w:t>
      </w:r>
      <w:r w:rsidR="00225BBC" w:rsidRPr="00B326AE">
        <w:rPr>
          <w:i/>
          <w:u w:val="double"/>
        </w:rPr>
        <w:t>abortus,</w:t>
      </w:r>
      <w:r w:rsidR="007F05AB" w:rsidRPr="00B326AE">
        <w:rPr>
          <w:i/>
          <w:u w:val="double"/>
        </w:rPr>
        <w:t xml:space="preserve"> Campylobacter </w:t>
      </w:r>
      <w:r w:rsidR="007F05AB" w:rsidRPr="00B326AE">
        <w:rPr>
          <w:iCs/>
          <w:u w:val="double"/>
        </w:rPr>
        <w:t>spp.,</w:t>
      </w:r>
      <w:r w:rsidR="00225BBC" w:rsidRPr="00B326AE">
        <w:rPr>
          <w:i/>
          <w:u w:val="double"/>
        </w:rPr>
        <w:t xml:space="preserve"> </w:t>
      </w:r>
      <w:r w:rsidR="007F05AB" w:rsidRPr="00897119">
        <w:rPr>
          <w:i/>
        </w:rPr>
        <w:t>Coxiella burnetii</w:t>
      </w:r>
      <w:r w:rsidR="00225BBC" w:rsidRPr="00B326AE">
        <w:rPr>
          <w:i/>
          <w:strike/>
        </w:rPr>
        <w:t>, Chlamydophila abortus</w:t>
      </w:r>
      <w:r w:rsidR="007F05AB">
        <w:rPr>
          <w:i/>
        </w:rPr>
        <w:t>,</w:t>
      </w:r>
      <w:r w:rsidR="007F05AB" w:rsidRPr="00897119">
        <w:rPr>
          <w:i/>
        </w:rPr>
        <w:t xml:space="preserve"> </w:t>
      </w:r>
      <w:r w:rsidR="00225BBC" w:rsidRPr="00897119">
        <w:rPr>
          <w:i/>
        </w:rPr>
        <w:t xml:space="preserve">Brucella ovis </w:t>
      </w:r>
      <w:r w:rsidR="0009757D" w:rsidRPr="00897119">
        <w:t xml:space="preserve">or </w:t>
      </w:r>
      <w:r w:rsidR="00225BBC" w:rsidRPr="00897119">
        <w:t>other pathogens.</w:t>
      </w:r>
    </w:p>
    <w:p w14:paraId="3DEB6CEA" w14:textId="77777777" w:rsidR="009A515F" w:rsidRDefault="009A515F">
      <w:pPr>
        <w:tabs>
          <w:tab w:val="clear" w:pos="-720"/>
        </w:tabs>
        <w:spacing w:line="240" w:lineRule="auto"/>
        <w:jc w:val="left"/>
        <w:rPr>
          <w:rFonts w:ascii="Ottawa" w:hAnsi="Ottawa"/>
          <w:b/>
          <w:bCs/>
          <w:sz w:val="24"/>
          <w:szCs w:val="24"/>
        </w:rPr>
      </w:pPr>
      <w:r>
        <w:br w:type="page"/>
      </w:r>
    </w:p>
    <w:p w14:paraId="1B42C9CB" w14:textId="2630EC71" w:rsidR="00C3218B" w:rsidRPr="00897119" w:rsidRDefault="00C3218B" w:rsidP="0086263E">
      <w:pPr>
        <w:pStyle w:val="A0"/>
        <w:spacing w:after="200"/>
      </w:pPr>
      <w:r w:rsidRPr="00897119">
        <w:lastRenderedPageBreak/>
        <w:t>B.  DIAGNOSTIC TECHNIQUES</w:t>
      </w:r>
    </w:p>
    <w:p w14:paraId="6C443018" w14:textId="77777777" w:rsidR="00C3218B" w:rsidRPr="00897119" w:rsidRDefault="00C3218B" w:rsidP="008E0CDF">
      <w:pPr>
        <w:pStyle w:val="Tabletitle"/>
        <w:rPr>
          <w:u w:val="none"/>
        </w:rPr>
      </w:pPr>
      <w:r w:rsidRPr="00897119">
        <w:rPr>
          <w:u w:val="none"/>
        </w:rPr>
        <w:t xml:space="preserve">Table </w:t>
      </w:r>
      <w:r w:rsidRPr="00897119">
        <w:rPr>
          <w:noProof/>
          <w:u w:val="none"/>
        </w:rPr>
        <w:t>1</w:t>
      </w:r>
      <w:r w:rsidRPr="00897119">
        <w:rPr>
          <w:u w:val="none"/>
        </w:rPr>
        <w:t xml:space="preserve">. </w:t>
      </w:r>
      <w:r w:rsidRPr="00897119">
        <w:rPr>
          <w:b w:val="0"/>
          <w:u w:val="none"/>
        </w:rPr>
        <w:t>Test methods available for the diagnosis of salmonellosis and their purpose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264"/>
        <w:gridCol w:w="1134"/>
        <w:gridCol w:w="1418"/>
        <w:gridCol w:w="1275"/>
        <w:gridCol w:w="1134"/>
        <w:gridCol w:w="1134"/>
        <w:gridCol w:w="1688"/>
      </w:tblGrid>
      <w:tr w:rsidR="00C3218B" w:rsidRPr="00897119" w14:paraId="018D70A9" w14:textId="77777777" w:rsidTr="00B326AE">
        <w:trPr>
          <w:trHeight w:val="402"/>
          <w:tblHeader/>
          <w:jc w:val="center"/>
        </w:trPr>
        <w:tc>
          <w:tcPr>
            <w:tcW w:w="1264" w:type="dxa"/>
            <w:vMerge w:val="restart"/>
            <w:vAlign w:val="center"/>
          </w:tcPr>
          <w:p w14:paraId="0EF60BE2" w14:textId="77777777" w:rsidR="00C3218B" w:rsidRPr="00897119" w:rsidRDefault="00C3218B" w:rsidP="0086263E">
            <w:pPr>
              <w:pStyle w:val="TableHead"/>
              <w:spacing w:before="100" w:after="100"/>
              <w:rPr>
                <w:rFonts w:ascii="Arial" w:hAnsi="Arial" w:cs="Arial"/>
                <w:sz w:val="16"/>
                <w:szCs w:val="16"/>
                <w:lang w:val="en-GB"/>
              </w:rPr>
            </w:pPr>
            <w:r w:rsidRPr="00897119">
              <w:rPr>
                <w:rFonts w:ascii="Arial" w:hAnsi="Arial" w:cs="Arial"/>
                <w:lang w:val="en-GB"/>
              </w:rPr>
              <w:t>Method</w:t>
            </w:r>
          </w:p>
        </w:tc>
        <w:tc>
          <w:tcPr>
            <w:tcW w:w="7783" w:type="dxa"/>
            <w:gridSpan w:val="6"/>
            <w:vAlign w:val="center"/>
          </w:tcPr>
          <w:p w14:paraId="1032A26A" w14:textId="77777777" w:rsidR="00C3218B" w:rsidRPr="00897119" w:rsidRDefault="00C3218B" w:rsidP="0086263E">
            <w:pPr>
              <w:pStyle w:val="Tabletext"/>
              <w:spacing w:before="100" w:after="100"/>
              <w:rPr>
                <w:b/>
                <w:sz w:val="16"/>
                <w:szCs w:val="16"/>
                <w:lang w:val="en-GB"/>
              </w:rPr>
            </w:pPr>
            <w:r w:rsidRPr="00897119">
              <w:rPr>
                <w:b/>
                <w:lang w:val="en-GB"/>
              </w:rPr>
              <w:t>Purpose</w:t>
            </w:r>
          </w:p>
        </w:tc>
      </w:tr>
      <w:tr w:rsidR="00C3218B" w:rsidRPr="00897119" w14:paraId="79022FA7" w14:textId="77777777" w:rsidTr="00B326AE">
        <w:trPr>
          <w:trHeight w:val="402"/>
          <w:tblHeader/>
          <w:jc w:val="center"/>
        </w:trPr>
        <w:tc>
          <w:tcPr>
            <w:tcW w:w="1264" w:type="dxa"/>
            <w:vMerge/>
            <w:vAlign w:val="center"/>
          </w:tcPr>
          <w:p w14:paraId="2A27C70E" w14:textId="77777777" w:rsidR="00C3218B" w:rsidRPr="00897119" w:rsidRDefault="00C3218B" w:rsidP="0086263E">
            <w:pPr>
              <w:pStyle w:val="TableHead"/>
              <w:spacing w:before="100" w:after="100"/>
              <w:jc w:val="both"/>
              <w:rPr>
                <w:rFonts w:ascii="Arial" w:hAnsi="Arial" w:cs="Arial"/>
                <w:sz w:val="16"/>
                <w:szCs w:val="16"/>
                <w:lang w:val="en-GB"/>
              </w:rPr>
            </w:pPr>
          </w:p>
        </w:tc>
        <w:tc>
          <w:tcPr>
            <w:tcW w:w="1134" w:type="dxa"/>
            <w:vAlign w:val="center"/>
          </w:tcPr>
          <w:p w14:paraId="530C3EC0" w14:textId="77777777" w:rsidR="00C3218B" w:rsidRPr="00897119" w:rsidRDefault="00C3218B" w:rsidP="0086263E">
            <w:pPr>
              <w:pStyle w:val="Tabletext"/>
              <w:spacing w:before="100" w:after="100"/>
              <w:rPr>
                <w:sz w:val="16"/>
                <w:szCs w:val="16"/>
                <w:lang w:val="en-GB"/>
              </w:rPr>
            </w:pPr>
            <w:r w:rsidRPr="00897119">
              <w:rPr>
                <w:sz w:val="16"/>
                <w:szCs w:val="16"/>
                <w:lang w:val="en-GB"/>
              </w:rPr>
              <w:t>Population freedom from infection</w:t>
            </w:r>
          </w:p>
        </w:tc>
        <w:tc>
          <w:tcPr>
            <w:tcW w:w="1418" w:type="dxa"/>
            <w:vAlign w:val="center"/>
          </w:tcPr>
          <w:p w14:paraId="17D028DA" w14:textId="77777777" w:rsidR="00C3218B" w:rsidRPr="00897119" w:rsidRDefault="00C3218B" w:rsidP="0086263E">
            <w:pPr>
              <w:pStyle w:val="Tabletext"/>
              <w:spacing w:before="100" w:after="100"/>
              <w:rPr>
                <w:sz w:val="16"/>
                <w:szCs w:val="16"/>
                <w:lang w:val="en-GB"/>
              </w:rPr>
            </w:pPr>
            <w:r w:rsidRPr="00897119">
              <w:rPr>
                <w:sz w:val="16"/>
                <w:szCs w:val="16"/>
                <w:lang w:val="en-GB"/>
              </w:rPr>
              <w:t>Individual animal freedom from infection prior to movement</w:t>
            </w:r>
          </w:p>
        </w:tc>
        <w:tc>
          <w:tcPr>
            <w:tcW w:w="1275" w:type="dxa"/>
            <w:vAlign w:val="center"/>
          </w:tcPr>
          <w:p w14:paraId="27BBEDF1" w14:textId="77777777" w:rsidR="00C3218B" w:rsidRPr="00897119" w:rsidRDefault="00C3218B" w:rsidP="0086263E">
            <w:pPr>
              <w:pStyle w:val="Tabletext"/>
              <w:spacing w:before="100" w:after="100"/>
              <w:rPr>
                <w:sz w:val="16"/>
                <w:szCs w:val="16"/>
                <w:lang w:val="en-GB"/>
              </w:rPr>
            </w:pPr>
            <w:r w:rsidRPr="00897119">
              <w:rPr>
                <w:sz w:val="16"/>
                <w:szCs w:val="16"/>
                <w:lang w:val="en-GB"/>
              </w:rPr>
              <w:t>Contribute to eradication policies</w:t>
            </w:r>
          </w:p>
        </w:tc>
        <w:tc>
          <w:tcPr>
            <w:tcW w:w="1134" w:type="dxa"/>
            <w:vAlign w:val="center"/>
          </w:tcPr>
          <w:p w14:paraId="6FA3F99C" w14:textId="77777777" w:rsidR="00C3218B" w:rsidRPr="00897119" w:rsidRDefault="00C3218B" w:rsidP="0086263E">
            <w:pPr>
              <w:pStyle w:val="Tabletext"/>
              <w:spacing w:before="100" w:after="100"/>
              <w:rPr>
                <w:sz w:val="16"/>
                <w:szCs w:val="16"/>
                <w:lang w:val="en-GB"/>
              </w:rPr>
            </w:pPr>
            <w:r w:rsidRPr="00897119">
              <w:rPr>
                <w:sz w:val="16"/>
                <w:szCs w:val="16"/>
                <w:lang w:val="en-GB"/>
              </w:rPr>
              <w:t>Confirmation of clinical cases</w:t>
            </w:r>
          </w:p>
        </w:tc>
        <w:tc>
          <w:tcPr>
            <w:tcW w:w="1134" w:type="dxa"/>
            <w:vAlign w:val="center"/>
          </w:tcPr>
          <w:p w14:paraId="00ABC552" w14:textId="77777777" w:rsidR="00C3218B" w:rsidRPr="00897119" w:rsidRDefault="00C3218B" w:rsidP="0086263E">
            <w:pPr>
              <w:pStyle w:val="Tabletext"/>
              <w:spacing w:before="100" w:after="100"/>
              <w:rPr>
                <w:sz w:val="16"/>
                <w:szCs w:val="16"/>
                <w:lang w:val="en-GB"/>
              </w:rPr>
            </w:pPr>
            <w:r w:rsidRPr="00897119">
              <w:rPr>
                <w:sz w:val="16"/>
                <w:szCs w:val="16"/>
                <w:lang w:val="en-GB"/>
              </w:rPr>
              <w:t>Prevalence of infection – surveillance</w:t>
            </w:r>
          </w:p>
        </w:tc>
        <w:tc>
          <w:tcPr>
            <w:tcW w:w="1688" w:type="dxa"/>
            <w:vAlign w:val="center"/>
          </w:tcPr>
          <w:p w14:paraId="58BD80C7" w14:textId="77777777" w:rsidR="00C3218B" w:rsidRPr="00897119" w:rsidRDefault="00C3218B" w:rsidP="0086263E">
            <w:pPr>
              <w:pStyle w:val="Tabletext"/>
              <w:spacing w:before="100" w:after="100"/>
              <w:rPr>
                <w:sz w:val="16"/>
                <w:szCs w:val="16"/>
                <w:lang w:val="en-GB"/>
              </w:rPr>
            </w:pPr>
            <w:r w:rsidRPr="00897119">
              <w:rPr>
                <w:sz w:val="16"/>
                <w:szCs w:val="16"/>
                <w:lang w:val="en-GB"/>
              </w:rPr>
              <w:t>Immune status in individual animals or populations post-vaccination</w:t>
            </w:r>
          </w:p>
        </w:tc>
      </w:tr>
      <w:tr w:rsidR="00C3218B" w:rsidRPr="00897119" w14:paraId="4B218ACB" w14:textId="77777777" w:rsidTr="00B326AE">
        <w:trPr>
          <w:trHeight w:val="402"/>
          <w:jc w:val="center"/>
        </w:trPr>
        <w:tc>
          <w:tcPr>
            <w:tcW w:w="9047" w:type="dxa"/>
            <w:gridSpan w:val="7"/>
            <w:shd w:val="pct10" w:color="auto" w:fill="auto"/>
          </w:tcPr>
          <w:p w14:paraId="63EB0B68" w14:textId="289D223C" w:rsidR="00C3218B" w:rsidRPr="00897119" w:rsidRDefault="00B46130" w:rsidP="0086263E">
            <w:pPr>
              <w:pStyle w:val="Tabletext"/>
              <w:spacing w:before="100" w:after="100"/>
              <w:rPr>
                <w:lang w:val="en-GB"/>
              </w:rPr>
            </w:pPr>
            <w:r w:rsidRPr="009A515F">
              <w:rPr>
                <w:b/>
                <w:sz w:val="16"/>
                <w:szCs w:val="16"/>
              </w:rPr>
              <w:t>Detection of the agent</w:t>
            </w:r>
            <w:r w:rsidR="005E3F47" w:rsidRPr="005E3F47">
              <w:rPr>
                <w:b/>
                <w:sz w:val="16"/>
                <w:szCs w:val="16"/>
                <w:vertAlign w:val="superscript"/>
              </w:rPr>
              <w:t>(a)</w:t>
            </w:r>
            <w:r w:rsidR="00C3218B" w:rsidRPr="00897119">
              <w:rPr>
                <w:b/>
                <w:sz w:val="16"/>
                <w:szCs w:val="16"/>
              </w:rPr>
              <w:t xml:space="preserve"> </w:t>
            </w:r>
          </w:p>
        </w:tc>
      </w:tr>
      <w:tr w:rsidR="00C3218B" w:rsidRPr="00897119" w14:paraId="62200267" w14:textId="77777777" w:rsidTr="00B326AE">
        <w:trPr>
          <w:trHeight w:val="402"/>
          <w:jc w:val="center"/>
        </w:trPr>
        <w:tc>
          <w:tcPr>
            <w:tcW w:w="1264" w:type="dxa"/>
            <w:vAlign w:val="center"/>
          </w:tcPr>
          <w:p w14:paraId="60D66ACE" w14:textId="77777777" w:rsidR="00C3218B" w:rsidRPr="00897119" w:rsidRDefault="00C3218B" w:rsidP="0086263E">
            <w:pPr>
              <w:spacing w:before="100" w:after="100" w:line="240" w:lineRule="auto"/>
              <w:jc w:val="center"/>
              <w:rPr>
                <w:rFonts w:ascii="Arial" w:hAnsi="Arial" w:cs="Arial"/>
                <w:b/>
                <w:sz w:val="16"/>
              </w:rPr>
            </w:pPr>
            <w:r w:rsidRPr="00897119">
              <w:rPr>
                <w:rFonts w:ascii="Arial" w:hAnsi="Arial" w:cs="Arial"/>
                <w:b/>
                <w:i/>
                <w:sz w:val="16"/>
              </w:rPr>
              <w:t xml:space="preserve">Salmonella </w:t>
            </w:r>
            <w:r w:rsidRPr="00897119">
              <w:rPr>
                <w:rFonts w:ascii="Arial" w:hAnsi="Arial" w:cs="Arial"/>
                <w:b/>
                <w:sz w:val="16"/>
              </w:rPr>
              <w:t>isolation</w:t>
            </w:r>
          </w:p>
        </w:tc>
        <w:tc>
          <w:tcPr>
            <w:tcW w:w="1134" w:type="dxa"/>
            <w:vAlign w:val="center"/>
          </w:tcPr>
          <w:p w14:paraId="1CCC519B" w14:textId="77777777" w:rsidR="00C3218B" w:rsidRPr="006C2454" w:rsidRDefault="00C3218B" w:rsidP="0086263E">
            <w:pPr>
              <w:pStyle w:val="Tabletext"/>
              <w:spacing w:before="100" w:after="100"/>
              <w:rPr>
                <w:sz w:val="16"/>
                <w:szCs w:val="16"/>
                <w:lang w:val="en-GB"/>
              </w:rPr>
            </w:pPr>
            <w:r w:rsidRPr="006C2454">
              <w:rPr>
                <w:sz w:val="16"/>
                <w:szCs w:val="16"/>
                <w:lang w:val="en-GB"/>
              </w:rPr>
              <w:t>+++</w:t>
            </w:r>
          </w:p>
        </w:tc>
        <w:tc>
          <w:tcPr>
            <w:tcW w:w="1418" w:type="dxa"/>
            <w:vAlign w:val="center"/>
          </w:tcPr>
          <w:p w14:paraId="656368F2" w14:textId="77777777" w:rsidR="00C3218B" w:rsidRPr="006C2454" w:rsidRDefault="00C3218B" w:rsidP="0086263E">
            <w:pPr>
              <w:pStyle w:val="Tabletext"/>
              <w:spacing w:before="100" w:after="100"/>
              <w:rPr>
                <w:sz w:val="16"/>
                <w:szCs w:val="16"/>
                <w:lang w:val="en-GB"/>
              </w:rPr>
            </w:pPr>
            <w:r w:rsidRPr="006C2454">
              <w:rPr>
                <w:sz w:val="16"/>
                <w:szCs w:val="16"/>
                <w:lang w:val="en-GB"/>
              </w:rPr>
              <w:t>++</w:t>
            </w:r>
            <w:r w:rsidR="00767EEF" w:rsidRPr="006C2454">
              <w:rPr>
                <w:sz w:val="16"/>
                <w:szCs w:val="16"/>
                <w:lang w:val="en-GB"/>
              </w:rPr>
              <w:t>+</w:t>
            </w:r>
          </w:p>
        </w:tc>
        <w:tc>
          <w:tcPr>
            <w:tcW w:w="1275" w:type="dxa"/>
            <w:vAlign w:val="center"/>
          </w:tcPr>
          <w:p w14:paraId="31BDEA40" w14:textId="77777777" w:rsidR="00C3218B" w:rsidRPr="006C2454" w:rsidRDefault="00C3218B" w:rsidP="0086263E">
            <w:pPr>
              <w:pStyle w:val="Tabletext"/>
              <w:spacing w:before="100" w:after="100"/>
              <w:rPr>
                <w:sz w:val="16"/>
                <w:szCs w:val="16"/>
                <w:lang w:val="en-GB"/>
              </w:rPr>
            </w:pPr>
            <w:r w:rsidRPr="006C2454">
              <w:rPr>
                <w:sz w:val="16"/>
                <w:szCs w:val="16"/>
                <w:lang w:val="en-GB"/>
              </w:rPr>
              <w:t>+++</w:t>
            </w:r>
          </w:p>
        </w:tc>
        <w:tc>
          <w:tcPr>
            <w:tcW w:w="1134" w:type="dxa"/>
            <w:vAlign w:val="center"/>
          </w:tcPr>
          <w:p w14:paraId="5DD06706" w14:textId="77777777" w:rsidR="00C3218B" w:rsidRPr="006C2454" w:rsidRDefault="00C3218B" w:rsidP="0086263E">
            <w:pPr>
              <w:pStyle w:val="Tabletext"/>
              <w:spacing w:before="100" w:after="100"/>
              <w:rPr>
                <w:sz w:val="16"/>
                <w:szCs w:val="16"/>
                <w:lang w:val="en-GB"/>
              </w:rPr>
            </w:pPr>
            <w:r w:rsidRPr="006C2454">
              <w:rPr>
                <w:sz w:val="16"/>
                <w:szCs w:val="16"/>
                <w:lang w:val="en-GB"/>
              </w:rPr>
              <w:t>++</w:t>
            </w:r>
            <w:r w:rsidR="00767EEF" w:rsidRPr="006C2454">
              <w:rPr>
                <w:sz w:val="16"/>
                <w:szCs w:val="16"/>
                <w:lang w:val="en-GB"/>
              </w:rPr>
              <w:t>+</w:t>
            </w:r>
          </w:p>
        </w:tc>
        <w:tc>
          <w:tcPr>
            <w:tcW w:w="1134" w:type="dxa"/>
            <w:vAlign w:val="center"/>
          </w:tcPr>
          <w:p w14:paraId="1F0D3FDA" w14:textId="77777777" w:rsidR="00C3218B" w:rsidRPr="006C2454" w:rsidRDefault="00C3218B" w:rsidP="0086263E">
            <w:pPr>
              <w:pStyle w:val="Tabletext"/>
              <w:spacing w:before="100" w:after="100"/>
              <w:rPr>
                <w:sz w:val="16"/>
                <w:szCs w:val="16"/>
                <w:lang w:val="en-GB"/>
              </w:rPr>
            </w:pPr>
            <w:r w:rsidRPr="006C2454">
              <w:rPr>
                <w:sz w:val="16"/>
                <w:szCs w:val="16"/>
                <w:lang w:val="en-GB"/>
              </w:rPr>
              <w:t>+++</w:t>
            </w:r>
          </w:p>
        </w:tc>
        <w:tc>
          <w:tcPr>
            <w:tcW w:w="1688" w:type="dxa"/>
            <w:vAlign w:val="center"/>
          </w:tcPr>
          <w:p w14:paraId="5A574C89" w14:textId="3526D6C8" w:rsidR="00C3218B" w:rsidRPr="006C2454" w:rsidRDefault="00491DB5" w:rsidP="0086263E">
            <w:pPr>
              <w:pStyle w:val="Tabletext"/>
              <w:spacing w:before="100" w:after="100"/>
              <w:rPr>
                <w:sz w:val="16"/>
                <w:szCs w:val="16"/>
                <w:lang w:val="en-GB"/>
              </w:rPr>
            </w:pPr>
            <w:r>
              <w:rPr>
                <w:sz w:val="16"/>
                <w:szCs w:val="16"/>
                <w:lang w:val="en-GB"/>
              </w:rPr>
              <w:t>–</w:t>
            </w:r>
          </w:p>
        </w:tc>
      </w:tr>
      <w:tr w:rsidR="00DE0C85" w:rsidRPr="00897119" w14:paraId="3EBB0E20" w14:textId="77777777" w:rsidTr="00B326AE">
        <w:trPr>
          <w:trHeight w:val="402"/>
          <w:jc w:val="center"/>
        </w:trPr>
        <w:tc>
          <w:tcPr>
            <w:tcW w:w="1264" w:type="dxa"/>
            <w:vAlign w:val="center"/>
          </w:tcPr>
          <w:p w14:paraId="01091312" w14:textId="77777777" w:rsidR="00DE0C85" w:rsidRPr="00897119" w:rsidRDefault="00DE0C85" w:rsidP="0086263E">
            <w:pPr>
              <w:spacing w:before="100" w:after="100" w:line="240" w:lineRule="auto"/>
              <w:jc w:val="center"/>
              <w:rPr>
                <w:rFonts w:ascii="Arial" w:hAnsi="Arial" w:cs="Arial"/>
                <w:b/>
                <w:sz w:val="16"/>
              </w:rPr>
            </w:pPr>
            <w:r w:rsidRPr="00897119">
              <w:rPr>
                <w:rFonts w:ascii="Arial" w:hAnsi="Arial" w:cs="Arial"/>
                <w:b/>
                <w:sz w:val="16"/>
              </w:rPr>
              <w:t>Rapid alternative methods, e.g. PCR</w:t>
            </w:r>
          </w:p>
        </w:tc>
        <w:tc>
          <w:tcPr>
            <w:tcW w:w="1134" w:type="dxa"/>
            <w:vAlign w:val="center"/>
          </w:tcPr>
          <w:p w14:paraId="542D515C" w14:textId="77777777" w:rsidR="00DE0C85" w:rsidRPr="006C2454" w:rsidRDefault="00DE0C85" w:rsidP="0086263E">
            <w:pPr>
              <w:pStyle w:val="Tabletext"/>
              <w:spacing w:before="100" w:after="100"/>
              <w:rPr>
                <w:sz w:val="16"/>
                <w:szCs w:val="16"/>
                <w:lang w:val="en-GB"/>
              </w:rPr>
            </w:pPr>
            <w:r w:rsidRPr="006C2454">
              <w:rPr>
                <w:sz w:val="16"/>
                <w:szCs w:val="16"/>
                <w:lang w:val="en-GB"/>
              </w:rPr>
              <w:t>+</w:t>
            </w:r>
          </w:p>
        </w:tc>
        <w:tc>
          <w:tcPr>
            <w:tcW w:w="1418" w:type="dxa"/>
            <w:vAlign w:val="center"/>
          </w:tcPr>
          <w:p w14:paraId="69971C9F" w14:textId="77777777" w:rsidR="00DE0C85" w:rsidRPr="006C2454" w:rsidRDefault="00DE0C85" w:rsidP="0086263E">
            <w:pPr>
              <w:pStyle w:val="Tabletext"/>
              <w:spacing w:before="100" w:after="100"/>
              <w:rPr>
                <w:sz w:val="16"/>
                <w:szCs w:val="16"/>
                <w:lang w:val="en-GB"/>
              </w:rPr>
            </w:pPr>
            <w:r w:rsidRPr="006C2454">
              <w:rPr>
                <w:sz w:val="16"/>
                <w:szCs w:val="16"/>
                <w:lang w:val="en-GB"/>
              </w:rPr>
              <w:t>+</w:t>
            </w:r>
          </w:p>
        </w:tc>
        <w:tc>
          <w:tcPr>
            <w:tcW w:w="1275" w:type="dxa"/>
            <w:vAlign w:val="center"/>
          </w:tcPr>
          <w:p w14:paraId="65320223" w14:textId="77777777" w:rsidR="00DE0C85" w:rsidRPr="006C2454" w:rsidRDefault="00DE0C85" w:rsidP="0086263E">
            <w:pPr>
              <w:pStyle w:val="Tabletext"/>
              <w:spacing w:before="100" w:after="100"/>
              <w:rPr>
                <w:sz w:val="16"/>
                <w:szCs w:val="16"/>
                <w:lang w:val="en-GB"/>
              </w:rPr>
            </w:pPr>
            <w:r w:rsidRPr="006C2454">
              <w:rPr>
                <w:sz w:val="16"/>
                <w:szCs w:val="16"/>
                <w:lang w:val="en-GB"/>
              </w:rPr>
              <w:t>+</w:t>
            </w:r>
          </w:p>
        </w:tc>
        <w:tc>
          <w:tcPr>
            <w:tcW w:w="1134" w:type="dxa"/>
            <w:vAlign w:val="center"/>
          </w:tcPr>
          <w:p w14:paraId="4A88D4A7" w14:textId="77777777" w:rsidR="00DE0C85" w:rsidRPr="006C2454" w:rsidRDefault="00DE0C85" w:rsidP="0086263E">
            <w:pPr>
              <w:pStyle w:val="Tabletext"/>
              <w:spacing w:before="100" w:after="100"/>
              <w:rPr>
                <w:sz w:val="16"/>
                <w:szCs w:val="16"/>
                <w:lang w:val="en-GB"/>
              </w:rPr>
            </w:pPr>
            <w:r w:rsidRPr="006C2454">
              <w:rPr>
                <w:sz w:val="16"/>
                <w:szCs w:val="16"/>
                <w:lang w:val="en-GB"/>
              </w:rPr>
              <w:t>+</w:t>
            </w:r>
          </w:p>
        </w:tc>
        <w:tc>
          <w:tcPr>
            <w:tcW w:w="1134" w:type="dxa"/>
            <w:vAlign w:val="center"/>
          </w:tcPr>
          <w:p w14:paraId="7E52DFA2" w14:textId="77777777" w:rsidR="00DE0C85" w:rsidRPr="006C2454" w:rsidRDefault="00DE0C85" w:rsidP="0086263E">
            <w:pPr>
              <w:pStyle w:val="Tabletext"/>
              <w:spacing w:before="100" w:after="100"/>
              <w:rPr>
                <w:sz w:val="16"/>
                <w:szCs w:val="16"/>
                <w:lang w:val="en-GB"/>
              </w:rPr>
            </w:pPr>
            <w:r w:rsidRPr="006C2454">
              <w:rPr>
                <w:sz w:val="16"/>
                <w:szCs w:val="16"/>
                <w:lang w:val="en-GB"/>
              </w:rPr>
              <w:t>+</w:t>
            </w:r>
          </w:p>
        </w:tc>
        <w:tc>
          <w:tcPr>
            <w:tcW w:w="1688" w:type="dxa"/>
            <w:vAlign w:val="center"/>
          </w:tcPr>
          <w:p w14:paraId="4C5A494E" w14:textId="662B0BBF" w:rsidR="00DE0C85" w:rsidRPr="006C2454" w:rsidRDefault="00491DB5" w:rsidP="0086263E">
            <w:pPr>
              <w:pStyle w:val="Tabletext"/>
              <w:spacing w:before="100" w:after="100"/>
              <w:rPr>
                <w:sz w:val="16"/>
                <w:szCs w:val="16"/>
                <w:lang w:val="en-GB"/>
              </w:rPr>
            </w:pPr>
            <w:r>
              <w:rPr>
                <w:sz w:val="16"/>
                <w:szCs w:val="16"/>
                <w:lang w:val="en-GB"/>
              </w:rPr>
              <w:t>–</w:t>
            </w:r>
          </w:p>
        </w:tc>
      </w:tr>
      <w:tr w:rsidR="00C3218B" w:rsidRPr="00897119" w14:paraId="5CA0E5BC" w14:textId="77777777" w:rsidTr="00B326AE">
        <w:trPr>
          <w:trHeight w:val="402"/>
          <w:jc w:val="center"/>
        </w:trPr>
        <w:tc>
          <w:tcPr>
            <w:tcW w:w="9047" w:type="dxa"/>
            <w:gridSpan w:val="7"/>
            <w:shd w:val="pct10" w:color="auto" w:fill="auto"/>
          </w:tcPr>
          <w:p w14:paraId="2919C4D5" w14:textId="77777777" w:rsidR="00C3218B" w:rsidRPr="00897119" w:rsidRDefault="00C3218B" w:rsidP="000804BC">
            <w:pPr>
              <w:pStyle w:val="Tabletext"/>
              <w:rPr>
                <w:lang w:val="en-GB"/>
              </w:rPr>
            </w:pPr>
            <w:r w:rsidRPr="00897119">
              <w:rPr>
                <w:b/>
                <w:sz w:val="16"/>
                <w:szCs w:val="16"/>
              </w:rPr>
              <w:t>Detection of immune response</w:t>
            </w:r>
          </w:p>
        </w:tc>
      </w:tr>
      <w:tr w:rsidR="00C3218B" w:rsidRPr="00897119" w14:paraId="2FAD5D35" w14:textId="77777777" w:rsidTr="00B326AE">
        <w:trPr>
          <w:trHeight w:val="402"/>
          <w:jc w:val="center"/>
        </w:trPr>
        <w:tc>
          <w:tcPr>
            <w:tcW w:w="1264" w:type="dxa"/>
            <w:vAlign w:val="center"/>
          </w:tcPr>
          <w:p w14:paraId="239A4CA4" w14:textId="77777777" w:rsidR="00C3218B" w:rsidRPr="00897119" w:rsidRDefault="00C3218B" w:rsidP="001813EF">
            <w:pPr>
              <w:spacing w:before="120" w:after="120" w:line="240" w:lineRule="auto"/>
              <w:jc w:val="center"/>
              <w:rPr>
                <w:rFonts w:ascii="Arial" w:hAnsi="Arial" w:cs="Arial"/>
                <w:b/>
                <w:sz w:val="16"/>
              </w:rPr>
            </w:pPr>
            <w:r w:rsidRPr="00897119">
              <w:rPr>
                <w:rFonts w:ascii="Arial" w:hAnsi="Arial" w:cs="Arial"/>
                <w:b/>
                <w:sz w:val="16"/>
              </w:rPr>
              <w:t>SAT</w:t>
            </w:r>
          </w:p>
        </w:tc>
        <w:tc>
          <w:tcPr>
            <w:tcW w:w="1134" w:type="dxa"/>
            <w:vAlign w:val="center"/>
          </w:tcPr>
          <w:p w14:paraId="717B0644" w14:textId="77777777" w:rsidR="00C3218B" w:rsidRPr="006C2454" w:rsidRDefault="00515E25" w:rsidP="001813EF">
            <w:pPr>
              <w:pStyle w:val="Tabletext"/>
              <w:rPr>
                <w:sz w:val="16"/>
                <w:szCs w:val="16"/>
                <w:lang w:val="en-GB"/>
              </w:rPr>
            </w:pPr>
            <w:r w:rsidRPr="006C2454">
              <w:rPr>
                <w:sz w:val="16"/>
                <w:szCs w:val="16"/>
                <w:lang w:val="en-GB"/>
              </w:rPr>
              <w:t>+</w:t>
            </w:r>
            <w:r w:rsidR="00C201CB" w:rsidRPr="006C2454">
              <w:rPr>
                <w:sz w:val="16"/>
                <w:szCs w:val="16"/>
                <w:lang w:val="en-GB"/>
              </w:rPr>
              <w:t>+</w:t>
            </w:r>
          </w:p>
        </w:tc>
        <w:tc>
          <w:tcPr>
            <w:tcW w:w="1418" w:type="dxa"/>
            <w:vAlign w:val="center"/>
          </w:tcPr>
          <w:p w14:paraId="17AC64FA" w14:textId="77777777" w:rsidR="00C3218B" w:rsidRPr="006C2454" w:rsidRDefault="008E0CDF" w:rsidP="001813EF">
            <w:pPr>
              <w:pStyle w:val="Tabletext"/>
              <w:rPr>
                <w:sz w:val="16"/>
                <w:szCs w:val="16"/>
                <w:lang w:val="en-GB"/>
              </w:rPr>
            </w:pPr>
            <w:r w:rsidRPr="006C2454">
              <w:rPr>
                <w:sz w:val="16"/>
                <w:szCs w:val="16"/>
                <w:lang w:val="en-GB"/>
              </w:rPr>
              <w:t>–</w:t>
            </w:r>
          </w:p>
        </w:tc>
        <w:tc>
          <w:tcPr>
            <w:tcW w:w="1275" w:type="dxa"/>
            <w:vAlign w:val="center"/>
          </w:tcPr>
          <w:p w14:paraId="4BAA917A" w14:textId="77777777" w:rsidR="00C3218B" w:rsidRPr="006C2454" w:rsidRDefault="00C3218B" w:rsidP="001813EF">
            <w:pPr>
              <w:pStyle w:val="Tabletext"/>
              <w:rPr>
                <w:sz w:val="16"/>
                <w:szCs w:val="16"/>
                <w:lang w:val="en-GB"/>
              </w:rPr>
            </w:pPr>
            <w:r w:rsidRPr="006C2454">
              <w:rPr>
                <w:sz w:val="16"/>
                <w:szCs w:val="16"/>
                <w:lang w:val="en-GB"/>
              </w:rPr>
              <w:t>+</w:t>
            </w:r>
            <w:r w:rsidR="00C201CB" w:rsidRPr="006C2454">
              <w:rPr>
                <w:sz w:val="16"/>
                <w:szCs w:val="16"/>
                <w:lang w:val="en-GB"/>
              </w:rPr>
              <w:t>+</w:t>
            </w:r>
          </w:p>
        </w:tc>
        <w:tc>
          <w:tcPr>
            <w:tcW w:w="1134" w:type="dxa"/>
            <w:vAlign w:val="center"/>
          </w:tcPr>
          <w:p w14:paraId="699BDA2C" w14:textId="77777777" w:rsidR="00C3218B" w:rsidRPr="006C2454" w:rsidRDefault="008E0CDF" w:rsidP="001813EF">
            <w:pPr>
              <w:pStyle w:val="Tabletext"/>
              <w:rPr>
                <w:sz w:val="16"/>
                <w:szCs w:val="16"/>
                <w:lang w:val="en-GB"/>
              </w:rPr>
            </w:pPr>
            <w:r w:rsidRPr="006C2454">
              <w:rPr>
                <w:sz w:val="16"/>
                <w:szCs w:val="16"/>
                <w:lang w:val="en-GB"/>
              </w:rPr>
              <w:t>–</w:t>
            </w:r>
          </w:p>
        </w:tc>
        <w:tc>
          <w:tcPr>
            <w:tcW w:w="1134" w:type="dxa"/>
            <w:vAlign w:val="center"/>
          </w:tcPr>
          <w:p w14:paraId="1B0DB68F" w14:textId="77777777" w:rsidR="00C3218B" w:rsidRPr="006C2454" w:rsidRDefault="00C3218B" w:rsidP="001813EF">
            <w:pPr>
              <w:pStyle w:val="Tabletext"/>
              <w:rPr>
                <w:sz w:val="16"/>
                <w:szCs w:val="16"/>
                <w:lang w:val="en-GB"/>
              </w:rPr>
            </w:pPr>
            <w:r w:rsidRPr="006C2454">
              <w:rPr>
                <w:sz w:val="16"/>
                <w:szCs w:val="16"/>
                <w:lang w:val="en-GB"/>
              </w:rPr>
              <w:t>+</w:t>
            </w:r>
          </w:p>
        </w:tc>
        <w:tc>
          <w:tcPr>
            <w:tcW w:w="1688" w:type="dxa"/>
            <w:vAlign w:val="center"/>
          </w:tcPr>
          <w:p w14:paraId="782146FD" w14:textId="77777777" w:rsidR="00C3218B" w:rsidRPr="006C2454" w:rsidRDefault="00515E25" w:rsidP="001813EF">
            <w:pPr>
              <w:pStyle w:val="Tabletext"/>
              <w:rPr>
                <w:sz w:val="16"/>
                <w:szCs w:val="16"/>
                <w:lang w:val="en-GB"/>
              </w:rPr>
            </w:pPr>
            <w:r w:rsidRPr="006C2454">
              <w:rPr>
                <w:sz w:val="16"/>
                <w:szCs w:val="16"/>
                <w:lang w:val="en-GB"/>
              </w:rPr>
              <w:t>+</w:t>
            </w:r>
            <w:r w:rsidR="00DE0C85" w:rsidRPr="006C2454">
              <w:rPr>
                <w:sz w:val="16"/>
                <w:szCs w:val="16"/>
                <w:lang w:val="en-GB"/>
              </w:rPr>
              <w:t>+</w:t>
            </w:r>
          </w:p>
        </w:tc>
      </w:tr>
      <w:tr w:rsidR="00C3218B" w:rsidRPr="00897119" w14:paraId="15395DD7" w14:textId="77777777" w:rsidTr="00B326AE">
        <w:trPr>
          <w:trHeight w:val="402"/>
          <w:jc w:val="center"/>
        </w:trPr>
        <w:tc>
          <w:tcPr>
            <w:tcW w:w="1264" w:type="dxa"/>
            <w:vAlign w:val="center"/>
          </w:tcPr>
          <w:p w14:paraId="28DD997D" w14:textId="77777777" w:rsidR="00C3218B" w:rsidRPr="00897119" w:rsidRDefault="00C3218B" w:rsidP="001813EF">
            <w:pPr>
              <w:spacing w:before="120" w:after="120" w:line="240" w:lineRule="auto"/>
              <w:jc w:val="center"/>
              <w:rPr>
                <w:rFonts w:ascii="Arial" w:hAnsi="Arial" w:cs="Arial"/>
                <w:b/>
                <w:sz w:val="16"/>
              </w:rPr>
            </w:pPr>
            <w:r w:rsidRPr="00897119">
              <w:rPr>
                <w:rFonts w:ascii="Arial" w:hAnsi="Arial" w:cs="Arial"/>
                <w:b/>
                <w:sz w:val="16"/>
              </w:rPr>
              <w:t>ELISA</w:t>
            </w:r>
          </w:p>
        </w:tc>
        <w:tc>
          <w:tcPr>
            <w:tcW w:w="1134" w:type="dxa"/>
            <w:vAlign w:val="center"/>
          </w:tcPr>
          <w:p w14:paraId="58562514" w14:textId="77777777" w:rsidR="00C3218B" w:rsidRPr="006C2454" w:rsidRDefault="00C3218B" w:rsidP="001813EF">
            <w:pPr>
              <w:pStyle w:val="Tabletext"/>
              <w:rPr>
                <w:sz w:val="16"/>
                <w:szCs w:val="16"/>
                <w:lang w:val="en-GB"/>
              </w:rPr>
            </w:pPr>
            <w:r w:rsidRPr="006C2454">
              <w:rPr>
                <w:sz w:val="16"/>
                <w:szCs w:val="16"/>
                <w:lang w:val="en-GB"/>
              </w:rPr>
              <w:t>++</w:t>
            </w:r>
          </w:p>
        </w:tc>
        <w:tc>
          <w:tcPr>
            <w:tcW w:w="1418" w:type="dxa"/>
            <w:vAlign w:val="center"/>
          </w:tcPr>
          <w:p w14:paraId="7BD953D8" w14:textId="77777777" w:rsidR="00C3218B" w:rsidRPr="006C2454" w:rsidRDefault="008E0CDF" w:rsidP="001813EF">
            <w:pPr>
              <w:pStyle w:val="Tabletext"/>
              <w:rPr>
                <w:sz w:val="16"/>
                <w:szCs w:val="16"/>
                <w:lang w:val="en-GB"/>
              </w:rPr>
            </w:pPr>
            <w:r w:rsidRPr="006C2454">
              <w:rPr>
                <w:sz w:val="16"/>
                <w:szCs w:val="16"/>
                <w:lang w:val="en-GB"/>
              </w:rPr>
              <w:t>–</w:t>
            </w:r>
          </w:p>
        </w:tc>
        <w:tc>
          <w:tcPr>
            <w:tcW w:w="1275" w:type="dxa"/>
            <w:vAlign w:val="center"/>
          </w:tcPr>
          <w:p w14:paraId="5B726EAB" w14:textId="77777777" w:rsidR="00C3218B" w:rsidRPr="006C2454" w:rsidRDefault="00C3218B" w:rsidP="001813EF">
            <w:pPr>
              <w:pStyle w:val="Tabletext"/>
              <w:rPr>
                <w:sz w:val="16"/>
                <w:szCs w:val="16"/>
                <w:lang w:val="en-GB"/>
              </w:rPr>
            </w:pPr>
            <w:r w:rsidRPr="006C2454">
              <w:rPr>
                <w:sz w:val="16"/>
                <w:szCs w:val="16"/>
                <w:lang w:val="en-GB"/>
              </w:rPr>
              <w:t>+++</w:t>
            </w:r>
          </w:p>
        </w:tc>
        <w:tc>
          <w:tcPr>
            <w:tcW w:w="1134" w:type="dxa"/>
            <w:vAlign w:val="center"/>
          </w:tcPr>
          <w:p w14:paraId="500C70DC" w14:textId="77777777" w:rsidR="00C3218B" w:rsidRPr="006C2454" w:rsidRDefault="00515E25" w:rsidP="001813EF">
            <w:pPr>
              <w:pStyle w:val="Tabletext"/>
              <w:rPr>
                <w:sz w:val="16"/>
                <w:szCs w:val="16"/>
                <w:lang w:val="en-GB"/>
              </w:rPr>
            </w:pPr>
            <w:r w:rsidRPr="006C2454">
              <w:rPr>
                <w:sz w:val="16"/>
                <w:szCs w:val="16"/>
                <w:lang w:val="en-GB"/>
              </w:rPr>
              <w:t>+</w:t>
            </w:r>
          </w:p>
        </w:tc>
        <w:tc>
          <w:tcPr>
            <w:tcW w:w="1134" w:type="dxa"/>
            <w:vAlign w:val="center"/>
          </w:tcPr>
          <w:p w14:paraId="0852807E" w14:textId="77777777" w:rsidR="00C3218B" w:rsidRPr="006C2454" w:rsidRDefault="00C3218B" w:rsidP="001813EF">
            <w:pPr>
              <w:pStyle w:val="Tabletext"/>
              <w:rPr>
                <w:sz w:val="16"/>
                <w:szCs w:val="16"/>
                <w:lang w:val="en-GB"/>
              </w:rPr>
            </w:pPr>
            <w:r w:rsidRPr="006C2454">
              <w:rPr>
                <w:sz w:val="16"/>
                <w:szCs w:val="16"/>
                <w:lang w:val="en-GB"/>
              </w:rPr>
              <w:t>++</w:t>
            </w:r>
          </w:p>
        </w:tc>
        <w:tc>
          <w:tcPr>
            <w:tcW w:w="1688" w:type="dxa"/>
            <w:vAlign w:val="center"/>
          </w:tcPr>
          <w:p w14:paraId="601809B5" w14:textId="77777777" w:rsidR="00C3218B" w:rsidRPr="006C2454" w:rsidRDefault="00C3218B" w:rsidP="001813EF">
            <w:pPr>
              <w:pStyle w:val="Tabletext"/>
              <w:rPr>
                <w:sz w:val="16"/>
                <w:szCs w:val="16"/>
                <w:lang w:val="en-GB"/>
              </w:rPr>
            </w:pPr>
            <w:r w:rsidRPr="006C2454">
              <w:rPr>
                <w:sz w:val="16"/>
                <w:szCs w:val="16"/>
                <w:lang w:val="en-GB"/>
              </w:rPr>
              <w:t>+</w:t>
            </w:r>
            <w:r w:rsidR="00DE0C85" w:rsidRPr="006C2454">
              <w:rPr>
                <w:sz w:val="16"/>
                <w:szCs w:val="16"/>
                <w:lang w:val="en-GB"/>
              </w:rPr>
              <w:t>+</w:t>
            </w:r>
          </w:p>
        </w:tc>
      </w:tr>
    </w:tbl>
    <w:p w14:paraId="0F1766A1" w14:textId="69590DF0" w:rsidR="00C3218B" w:rsidRPr="00897119" w:rsidRDefault="00491DB5" w:rsidP="00491DB5">
      <w:pPr>
        <w:pStyle w:val="paraA0"/>
        <w:spacing w:before="120"/>
        <w:jc w:val="center"/>
        <w:rPr>
          <w:b/>
          <w:sz w:val="16"/>
          <w:szCs w:val="16"/>
        </w:rPr>
      </w:pPr>
      <w:r w:rsidRPr="007F7727">
        <w:rPr>
          <w:color w:val="000000"/>
          <w:sz w:val="16"/>
          <w:szCs w:val="16"/>
        </w:rPr>
        <w:t xml:space="preserve">Key: +++ = recommended for this purpose; ++ recommended but has limitations; </w:t>
      </w:r>
      <w:r w:rsidRPr="007F7727">
        <w:rPr>
          <w:color w:val="000000"/>
          <w:sz w:val="16"/>
          <w:szCs w:val="16"/>
        </w:rPr>
        <w:br/>
        <w:t>+ = suitable in very limited circumstances</w:t>
      </w:r>
      <w:r w:rsidRPr="007F7727">
        <w:rPr>
          <w:sz w:val="16"/>
          <w:szCs w:val="16"/>
        </w:rPr>
        <w:t xml:space="preserve">; </w:t>
      </w:r>
      <w:r w:rsidRPr="007F7727">
        <w:rPr>
          <w:color w:val="000000"/>
          <w:sz w:val="16"/>
          <w:szCs w:val="16"/>
        </w:rPr>
        <w:t>– = not appropriate for this purpose.</w:t>
      </w:r>
      <w:r w:rsidR="00C3218B" w:rsidRPr="00897119">
        <w:rPr>
          <w:sz w:val="16"/>
          <w:szCs w:val="16"/>
        </w:rPr>
        <w:t xml:space="preserve"> </w:t>
      </w:r>
      <w:r w:rsidR="00C3218B" w:rsidRPr="00897119">
        <w:rPr>
          <w:sz w:val="16"/>
          <w:szCs w:val="16"/>
        </w:rPr>
        <w:br/>
      </w:r>
      <w:r w:rsidR="00D41B30" w:rsidRPr="00897119">
        <w:rPr>
          <w:sz w:val="16"/>
          <w:szCs w:val="16"/>
        </w:rPr>
        <w:t xml:space="preserve">PCR = </w:t>
      </w:r>
      <w:r w:rsidR="008E0CDF" w:rsidRPr="00897119">
        <w:rPr>
          <w:sz w:val="16"/>
          <w:szCs w:val="16"/>
        </w:rPr>
        <w:t>polymerase chain reaction</w:t>
      </w:r>
      <w:r w:rsidR="00D41B30" w:rsidRPr="00897119">
        <w:rPr>
          <w:sz w:val="16"/>
          <w:szCs w:val="16"/>
        </w:rPr>
        <w:t xml:space="preserve">-based tests; SAT = </w:t>
      </w:r>
      <w:r w:rsidR="008E0CDF" w:rsidRPr="00897119">
        <w:rPr>
          <w:sz w:val="16"/>
          <w:szCs w:val="16"/>
        </w:rPr>
        <w:t>serum agglutination test</w:t>
      </w:r>
      <w:r w:rsidR="00D41B30" w:rsidRPr="00897119">
        <w:rPr>
          <w:sz w:val="16"/>
          <w:szCs w:val="16"/>
        </w:rPr>
        <w:t>; ELISA = enzyme-linked immunosorbent assay</w:t>
      </w:r>
      <w:r w:rsidR="00C3218B" w:rsidRPr="00897119">
        <w:rPr>
          <w:sz w:val="16"/>
          <w:szCs w:val="16"/>
        </w:rPr>
        <w:t>.</w:t>
      </w:r>
      <w:r w:rsidR="00DE0C85" w:rsidRPr="00897119">
        <w:rPr>
          <w:sz w:val="16"/>
          <w:szCs w:val="16"/>
        </w:rPr>
        <w:t xml:space="preserve"> </w:t>
      </w:r>
      <w:r w:rsidR="005E3F47">
        <w:rPr>
          <w:sz w:val="16"/>
          <w:szCs w:val="16"/>
        </w:rPr>
        <w:br/>
      </w:r>
      <w:r w:rsidR="005E3F47" w:rsidRPr="005E3F47">
        <w:rPr>
          <w:sz w:val="16"/>
          <w:szCs w:val="16"/>
          <w:vertAlign w:val="superscript"/>
        </w:rPr>
        <w:t>(a)</w:t>
      </w:r>
      <w:r w:rsidR="005E3F47" w:rsidRPr="000804BC">
        <w:rPr>
          <w:sz w:val="16"/>
          <w:szCs w:val="16"/>
        </w:rPr>
        <w:t xml:space="preserve">A combination of agent </w:t>
      </w:r>
      <w:r w:rsidR="005E3F47">
        <w:rPr>
          <w:sz w:val="16"/>
          <w:szCs w:val="16"/>
        </w:rPr>
        <w:t>detection</w:t>
      </w:r>
      <w:r w:rsidR="005E3F47" w:rsidRPr="000804BC">
        <w:rPr>
          <w:sz w:val="16"/>
          <w:szCs w:val="16"/>
        </w:rPr>
        <w:t xml:space="preserve"> methods applied on the same clinical sample is recommended.</w:t>
      </w:r>
    </w:p>
    <w:p w14:paraId="0FC8D920" w14:textId="3D180EDC" w:rsidR="00C3218B" w:rsidRPr="00897119" w:rsidRDefault="00C3218B" w:rsidP="00C3218B">
      <w:pPr>
        <w:pStyle w:val="1"/>
      </w:pPr>
      <w:r w:rsidRPr="00897119">
        <w:t>1.</w:t>
      </w:r>
      <w:r w:rsidRPr="00897119">
        <w:tab/>
      </w:r>
      <w:r w:rsidR="00B46130" w:rsidRPr="009A515F">
        <w:t>Detection</w:t>
      </w:r>
      <w:r w:rsidRPr="00897119">
        <w:t xml:space="preserve"> of the agent</w:t>
      </w:r>
    </w:p>
    <w:p w14:paraId="273E61AA" w14:textId="5C001AE6" w:rsidR="00C3218B" w:rsidRPr="00897119" w:rsidRDefault="00C3218B" w:rsidP="00C3218B">
      <w:pPr>
        <w:pStyle w:val="para1"/>
      </w:pPr>
      <w:r w:rsidRPr="00897119">
        <w:t>The frequency of sampling and the type of samples obtained will depend largely on the objectives of the testing programme</w:t>
      </w:r>
      <w:r w:rsidR="00866A45" w:rsidRPr="00897119">
        <w:t>,</w:t>
      </w:r>
      <w:r w:rsidR="0066035E">
        <w:t xml:space="preserve"> </w:t>
      </w:r>
      <w:r w:rsidRPr="00180469">
        <w:rPr>
          <w:strike/>
        </w:rPr>
        <w:t>import and export</w:t>
      </w:r>
      <w:r w:rsidR="00180469">
        <w:rPr>
          <w:strike/>
        </w:rPr>
        <w:t xml:space="preserve"> </w:t>
      </w:r>
      <w:r w:rsidR="0066035E" w:rsidRPr="00180469">
        <w:rPr>
          <w:u w:val="double"/>
        </w:rPr>
        <w:t>monitoring or international trade</w:t>
      </w:r>
      <w:r w:rsidRPr="00897119">
        <w:t xml:space="preserve"> regulations, clinical findings, level of detection or precision of prevalence estimates required, cost and availability of sampling resources and laboratory facilities. General guidelines </w:t>
      </w:r>
      <w:r w:rsidR="001813EF" w:rsidRPr="00897119">
        <w:t>on</w:t>
      </w:r>
      <w:r w:rsidRPr="00897119">
        <w:t xml:space="preserve"> the collection</w:t>
      </w:r>
      <w:r w:rsidR="0066035E">
        <w:t>,</w:t>
      </w:r>
      <w:r w:rsidRPr="00897119">
        <w:t xml:space="preserve"> </w:t>
      </w:r>
      <w:r w:rsidR="00897119" w:rsidRPr="00897119">
        <w:t xml:space="preserve">submission and storage </w:t>
      </w:r>
      <w:r w:rsidRPr="00897119">
        <w:t>of diagnostic or survey samples, the sample size, the information to be sent with the samples and the packaging and transportation of samples are described in Chapter</w:t>
      </w:r>
      <w:r w:rsidR="001D004C" w:rsidRPr="00897119">
        <w:t>s</w:t>
      </w:r>
      <w:r w:rsidRPr="00897119">
        <w:t xml:space="preserve"> 1.1.</w:t>
      </w:r>
      <w:r w:rsidR="000804BC" w:rsidRPr="00897119">
        <w:t>2</w:t>
      </w:r>
      <w:r w:rsidR="001D004C" w:rsidRPr="00897119">
        <w:t xml:space="preserve"> and 1.1.</w:t>
      </w:r>
      <w:r w:rsidR="000804BC" w:rsidRPr="00897119">
        <w:t>3</w:t>
      </w:r>
      <w:r w:rsidRPr="00897119">
        <w:t xml:space="preserve"> of this </w:t>
      </w:r>
      <w:r w:rsidRPr="00897119">
        <w:rPr>
          <w:i/>
        </w:rPr>
        <w:t xml:space="preserve">Terrestrial Manual. </w:t>
      </w:r>
    </w:p>
    <w:p w14:paraId="1F3583B6" w14:textId="3935F9DC" w:rsidR="00C3218B" w:rsidRPr="00897119" w:rsidRDefault="00C3218B" w:rsidP="00C3218B">
      <w:pPr>
        <w:pStyle w:val="para1"/>
      </w:pPr>
      <w:r w:rsidRPr="00897119">
        <w:t>Individual samples for bacteriological tests are collected as aseptically as possible and in the case of clinical disease or routine monitoring, samples should be collected before any antibiotic treatment has commenced. Clinical samples are preferably collected during the acute phase of the disease or as soon as possible after death. In the case of flocks of poultry or other avian species, environmental samples, such as naturally pooled faeces, litter and dust or drag or boot swabs from floor surfaces</w:t>
      </w:r>
      <w:r w:rsidRPr="00996069">
        <w:rPr>
          <w:strike/>
        </w:rPr>
        <w:t xml:space="preserve"> (</w:t>
      </w:r>
      <w:r w:rsidRPr="00996069">
        <w:rPr>
          <w:strike/>
          <w:lang w:val="en-US"/>
        </w:rPr>
        <w:t>Carrique-Mas &amp; Davies, 2008</w:t>
      </w:r>
      <w:r w:rsidRPr="00996069">
        <w:rPr>
          <w:strike/>
        </w:rPr>
        <w:t>)</w:t>
      </w:r>
      <w:r w:rsidRPr="00897119">
        <w:t>,</w:t>
      </w:r>
      <w:r w:rsidR="00635740">
        <w:t xml:space="preserve"> </w:t>
      </w:r>
      <w:r w:rsidR="00635740" w:rsidRPr="00180469">
        <w:rPr>
          <w:u w:val="double"/>
        </w:rPr>
        <w:t>or large</w:t>
      </w:r>
      <w:r w:rsidR="0094745F" w:rsidRPr="00180469">
        <w:rPr>
          <w:u w:val="double"/>
        </w:rPr>
        <w:t>, moist</w:t>
      </w:r>
      <w:r w:rsidR="00635740" w:rsidRPr="00180469">
        <w:rPr>
          <w:u w:val="double"/>
        </w:rPr>
        <w:t xml:space="preserve"> fabric swabs</w:t>
      </w:r>
      <w:r w:rsidRPr="00180469">
        <w:rPr>
          <w:u w:val="double"/>
        </w:rPr>
        <w:t xml:space="preserve"> </w:t>
      </w:r>
      <w:r w:rsidRPr="00897119">
        <w:t>may be the most cost-effective way to identify infected flocks</w:t>
      </w:r>
      <w:r w:rsidR="00635740" w:rsidRPr="00180469">
        <w:rPr>
          <w:u w:val="double"/>
        </w:rPr>
        <w:t>, and can also be useful for other types of livestock unit</w:t>
      </w:r>
      <w:r w:rsidRPr="00180469">
        <w:rPr>
          <w:u w:val="double"/>
        </w:rPr>
        <w:t xml:space="preserve">. </w:t>
      </w:r>
      <w:r w:rsidR="00635740" w:rsidRPr="00180469">
        <w:rPr>
          <w:u w:val="double"/>
        </w:rPr>
        <w:t>In dairy herds, milk filters can be a useful sample type</w:t>
      </w:r>
      <w:r w:rsidR="00635740">
        <w:t xml:space="preserve">. </w:t>
      </w:r>
      <w:r w:rsidRPr="00897119">
        <w:t>For smaller animal species, it may be preferable to submit a representative number of sick or recently dead animals to the laboratory</w:t>
      </w:r>
      <w:r w:rsidR="000804BC" w:rsidRPr="00180469">
        <w:rPr>
          <w:strike/>
        </w:rPr>
        <w:t xml:space="preserve"> </w:t>
      </w:r>
      <w:r w:rsidRPr="00180469">
        <w:rPr>
          <w:strike/>
        </w:rPr>
        <w:t>(WHO,</w:t>
      </w:r>
      <w:r w:rsidR="0088258F" w:rsidRPr="00180469">
        <w:rPr>
          <w:strike/>
        </w:rPr>
        <w:t xml:space="preserve"> </w:t>
      </w:r>
      <w:r w:rsidRPr="00180469">
        <w:rPr>
          <w:strike/>
        </w:rPr>
        <w:t>1994)</w:t>
      </w:r>
      <w:r w:rsidR="00180469">
        <w:t>.</w:t>
      </w:r>
      <w:r w:rsidRPr="00897119">
        <w:t xml:space="preserve"> Host-adapted serovars are usually more difficult to isolate from faeces so if these are suspected, infected tissues should be cultured where possible.</w:t>
      </w:r>
    </w:p>
    <w:p w14:paraId="630AA57F" w14:textId="7358F69E" w:rsidR="00C3218B" w:rsidRDefault="00C3218B" w:rsidP="00C3218B">
      <w:pPr>
        <w:pStyle w:val="para1"/>
      </w:pPr>
      <w:r w:rsidRPr="00897119">
        <w:t xml:space="preserve">Particular attention should be given to the isolation of salmonellae from animals with subclinical infection, as these may only </w:t>
      </w:r>
      <w:r w:rsidRPr="00180469">
        <w:rPr>
          <w:strike/>
        </w:rPr>
        <w:t>excrete</w:t>
      </w:r>
      <w:r w:rsidR="00180469">
        <w:rPr>
          <w:strike/>
        </w:rPr>
        <w:t xml:space="preserve"> </w:t>
      </w:r>
      <w:r w:rsidR="004A47C7" w:rsidRPr="00180469">
        <w:rPr>
          <w:u w:val="double"/>
        </w:rPr>
        <w:t>shed</w:t>
      </w:r>
      <w:r w:rsidR="004A47C7" w:rsidRPr="00897119">
        <w:t xml:space="preserve"> </w:t>
      </w:r>
      <w:r w:rsidRPr="00897119">
        <w:t>bacteria intermittently and in low numbers. An increased sample size, increased number of samples representing more individuals, combined in some ca</w:t>
      </w:r>
      <w:r w:rsidRPr="009E0746">
        <w:t>ses with pooling of samples</w:t>
      </w:r>
      <w:r w:rsidR="004A47C7" w:rsidRPr="009E0746">
        <w:t xml:space="preserve"> </w:t>
      </w:r>
      <w:r w:rsidR="004A47C7" w:rsidRPr="00180469">
        <w:rPr>
          <w:u w:val="double"/>
        </w:rPr>
        <w:t>to reduce the cost,</w:t>
      </w:r>
      <w:r w:rsidRPr="00180469">
        <w:rPr>
          <w:u w:val="double"/>
        </w:rPr>
        <w:t xml:space="preserve"> </w:t>
      </w:r>
      <w:r w:rsidRPr="009E0746">
        <w:t>and repeat sampling can provide an increased diagnostic sensitivity</w:t>
      </w:r>
      <w:r w:rsidR="00E76ED0" w:rsidRPr="00180469">
        <w:rPr>
          <w:u w:val="double"/>
        </w:rPr>
        <w:t>, but pooling can also reduce detection if the sample prevalence or concentration of target bacteria is low</w:t>
      </w:r>
      <w:r w:rsidRPr="00176539">
        <w:t xml:space="preserve">. </w:t>
      </w:r>
      <w:r w:rsidR="001813EF" w:rsidRPr="00176539">
        <w:t>As</w:t>
      </w:r>
      <w:r w:rsidRPr="00176539">
        <w:t xml:space="preserve"> bacteria </w:t>
      </w:r>
      <w:r w:rsidRPr="00897119">
        <w:t>are usually clustered in faecal samples, a thorough mixing of the sample before culture may also increase the sensitivity of the procedure</w:t>
      </w:r>
      <w:r w:rsidRPr="00996069">
        <w:rPr>
          <w:strike/>
        </w:rPr>
        <w:t xml:space="preserve"> (Cannon </w:t>
      </w:r>
      <w:r w:rsidR="001813EF" w:rsidRPr="00996069">
        <w:rPr>
          <w:strike/>
        </w:rPr>
        <w:t>&amp;</w:t>
      </w:r>
      <w:r w:rsidRPr="00996069">
        <w:rPr>
          <w:strike/>
        </w:rPr>
        <w:t xml:space="preserve"> Nicholls</w:t>
      </w:r>
      <w:r w:rsidR="00C201CB" w:rsidRPr="00996069">
        <w:rPr>
          <w:strike/>
        </w:rPr>
        <w:t>,</w:t>
      </w:r>
      <w:r w:rsidRPr="00996069">
        <w:rPr>
          <w:strike/>
        </w:rPr>
        <w:t xml:space="preserve"> 2002)</w:t>
      </w:r>
      <w:r w:rsidRPr="00897119">
        <w:t>. Bacteriological and also serological methods may be used to identify infected flocks or herds</w:t>
      </w:r>
      <w:r w:rsidRPr="00180469">
        <w:rPr>
          <w:strike/>
        </w:rPr>
        <w:t>, rather than to identify</w:t>
      </w:r>
      <w:r w:rsidR="001566D3" w:rsidRPr="00180469">
        <w:rPr>
          <w:u w:val="double"/>
        </w:rPr>
        <w:t xml:space="preserve"> and</w:t>
      </w:r>
      <w:r w:rsidR="001566D3">
        <w:t xml:space="preserve"> </w:t>
      </w:r>
      <w:r w:rsidRPr="00897119">
        <w:t>infected individual animals.</w:t>
      </w:r>
    </w:p>
    <w:p w14:paraId="2A7BE4CF" w14:textId="77777777" w:rsidR="00C3218B" w:rsidRPr="00897119" w:rsidRDefault="00C3218B" w:rsidP="00D87747">
      <w:pPr>
        <w:pStyle w:val="11"/>
      </w:pPr>
      <w:r w:rsidRPr="00897119">
        <w:t>1.1.</w:t>
      </w:r>
      <w:r w:rsidRPr="00897119">
        <w:tab/>
        <w:t>Culture</w:t>
      </w:r>
    </w:p>
    <w:p w14:paraId="6E05B3B6" w14:textId="41162335" w:rsidR="00C3218B" w:rsidRPr="00897119" w:rsidRDefault="00C3218B" w:rsidP="00F71F23">
      <w:pPr>
        <w:pStyle w:val="11Para"/>
        <w:rPr>
          <w:lang w:val="en-US"/>
        </w:rPr>
      </w:pPr>
      <w:r w:rsidRPr="00897119">
        <w:t>There are numerous methods for isolation</w:t>
      </w:r>
      <w:r w:rsidR="00D72D37" w:rsidRPr="00897119">
        <w:t xml:space="preserve"> and detection</w:t>
      </w:r>
      <w:r w:rsidRPr="00897119">
        <w:t xml:space="preserve"> of </w:t>
      </w:r>
      <w:r w:rsidRPr="00897119">
        <w:rPr>
          <w:i/>
        </w:rPr>
        <w:t>Salmonella</w:t>
      </w:r>
      <w:r w:rsidRPr="00897119">
        <w:t xml:space="preserve"> in use world-wide (</w:t>
      </w:r>
      <w:r w:rsidRPr="00180469">
        <w:rPr>
          <w:strike/>
        </w:rPr>
        <w:t>Fricker, 1987; Harvey &amp; Price, 1974</w:t>
      </w:r>
      <w:r w:rsidR="0020682B">
        <w:t xml:space="preserve">; </w:t>
      </w:r>
      <w:r w:rsidR="00D87747" w:rsidRPr="00996069">
        <w:rPr>
          <w:strike/>
        </w:rPr>
        <w:t xml:space="preserve">Lee </w:t>
      </w:r>
      <w:r w:rsidR="00D87747" w:rsidRPr="00996069">
        <w:rPr>
          <w:i/>
          <w:strike/>
        </w:rPr>
        <w:t>et al.,</w:t>
      </w:r>
      <w:r w:rsidR="00D87747" w:rsidRPr="00996069">
        <w:rPr>
          <w:strike/>
        </w:rPr>
        <w:t xml:space="preserve"> 2015; Park </w:t>
      </w:r>
      <w:r w:rsidR="00D87747" w:rsidRPr="00996069">
        <w:rPr>
          <w:i/>
          <w:strike/>
        </w:rPr>
        <w:t>et al.,</w:t>
      </w:r>
      <w:r w:rsidR="00D87747" w:rsidRPr="00996069">
        <w:rPr>
          <w:strike/>
        </w:rPr>
        <w:t xml:space="preserve"> 2014;</w:t>
      </w:r>
      <w:r w:rsidR="0020682B" w:rsidRPr="00996069">
        <w:rPr>
          <w:strike/>
        </w:rPr>
        <w:t xml:space="preserve"> </w:t>
      </w:r>
      <w:r w:rsidRPr="00180469">
        <w:rPr>
          <w:strike/>
        </w:rPr>
        <w:t>Reissbrodt, 1995</w:t>
      </w:r>
      <w:r w:rsidRPr="00897119">
        <w:t>). Some of the more common methods are described below. T</w:t>
      </w:r>
      <w:r w:rsidRPr="00897119">
        <w:rPr>
          <w:lang w:val="en-US"/>
        </w:rPr>
        <w:t xml:space="preserve">he culture techniques and media that may work best in a particular </w:t>
      </w:r>
      <w:r w:rsidRPr="00897119">
        <w:rPr>
          <w:lang w:val="en-US"/>
        </w:rPr>
        <w:lastRenderedPageBreak/>
        <w:t xml:space="preserve">diagnostic situation depend on a variety of factors, including the </w:t>
      </w:r>
      <w:r w:rsidRPr="00897119">
        <w:rPr>
          <w:i/>
          <w:lang w:val="en-US"/>
        </w:rPr>
        <w:t>Salmonella</w:t>
      </w:r>
      <w:r w:rsidRPr="00897119">
        <w:rPr>
          <w:lang w:val="en-US"/>
        </w:rPr>
        <w:t xml:space="preserve"> serovar, source and type of specimens, animal species of origin, experience of the microbiologist, and availability of selective enrichment and selective plating media. </w:t>
      </w:r>
    </w:p>
    <w:p w14:paraId="6BCC3723" w14:textId="7742AB0C" w:rsidR="00C3218B" w:rsidRPr="00897119" w:rsidRDefault="00C3218B" w:rsidP="00F71F23">
      <w:pPr>
        <w:pStyle w:val="11Para"/>
        <w:rPr>
          <w:lang w:val="en-US"/>
        </w:rPr>
      </w:pPr>
      <w:r w:rsidRPr="00897119">
        <w:t xml:space="preserve">All culture media should be subjected to quality control and must support growth of the </w:t>
      </w:r>
      <w:r w:rsidRPr="00180469">
        <w:rPr>
          <w:strike/>
        </w:rPr>
        <w:t>suspect organism</w:t>
      </w:r>
      <w:r w:rsidR="00180469">
        <w:rPr>
          <w:strike/>
        </w:rPr>
        <w:t xml:space="preserve"> </w:t>
      </w:r>
      <w:r w:rsidR="009E0746" w:rsidRPr="00180469">
        <w:rPr>
          <w:i/>
          <w:u w:val="double"/>
        </w:rPr>
        <w:t>Salmonella</w:t>
      </w:r>
      <w:r w:rsidR="009E0746">
        <w:t xml:space="preserve"> </w:t>
      </w:r>
      <w:r w:rsidRPr="00897119">
        <w:t>from a small inoculum in the presence of a relevant sample matrix</w:t>
      </w:r>
      <w:r w:rsidR="0006469B" w:rsidRPr="00CE05A8">
        <w:t xml:space="preserve"> </w:t>
      </w:r>
      <w:r w:rsidR="0006469B" w:rsidRPr="00180469">
        <w:rPr>
          <w:u w:val="double"/>
        </w:rPr>
        <w:t>or competing flora</w:t>
      </w:r>
      <w:r w:rsidRPr="00180469">
        <w:rPr>
          <w:u w:val="double"/>
          <w:lang w:val="en-US"/>
        </w:rPr>
        <w:t>.</w:t>
      </w:r>
      <w:r w:rsidRPr="00897119">
        <w:rPr>
          <w:lang w:val="en-US"/>
        </w:rPr>
        <w:t xml:space="preserve"> The routine use of a reference strain in parallel with routine samples may lead to cross</w:t>
      </w:r>
      <w:r w:rsidR="00180469">
        <w:rPr>
          <w:lang w:val="en-US"/>
        </w:rPr>
        <w:t>-</w:t>
      </w:r>
      <w:r w:rsidRPr="00897119">
        <w:rPr>
          <w:lang w:val="en-US"/>
        </w:rPr>
        <w:t>contamination of samples if careless techniques are used; therefore, a rare serovar with typical growth characteristics that are similar to the highest priority target strains should be used. It is also possible to use strains with antimicrobial resistance</w:t>
      </w:r>
      <w:r w:rsidR="00D72D37" w:rsidRPr="00897119">
        <w:rPr>
          <w:lang w:val="en-US"/>
        </w:rPr>
        <w:t xml:space="preserve"> or other</w:t>
      </w:r>
      <w:r w:rsidRPr="00897119">
        <w:rPr>
          <w:lang w:val="en-US"/>
        </w:rPr>
        <w:t xml:space="preserve"> markers</w:t>
      </w:r>
      <w:r w:rsidR="00D72D37" w:rsidRPr="00897119">
        <w:rPr>
          <w:lang w:val="en-US"/>
        </w:rPr>
        <w:t>, such as fluorescence</w:t>
      </w:r>
      <w:r w:rsidRPr="00897119">
        <w:rPr>
          <w:lang w:val="en-US"/>
        </w:rPr>
        <w:t>.</w:t>
      </w:r>
    </w:p>
    <w:p w14:paraId="146C3AD2" w14:textId="12EB5FBE" w:rsidR="00C3218B" w:rsidRPr="00897119" w:rsidRDefault="00C3218B" w:rsidP="00F71F23">
      <w:pPr>
        <w:pStyle w:val="11Para"/>
        <w:rPr>
          <w:lang w:val="en-US"/>
        </w:rPr>
      </w:pPr>
      <w:r w:rsidRPr="00897119">
        <w:t>The increasing application of external quality assurance programmes has led to greater use of international standard methods, such as ISO 6579</w:t>
      </w:r>
      <w:r w:rsidRPr="00180469">
        <w:rPr>
          <w:strike/>
        </w:rPr>
        <w:t>:2002</w:t>
      </w:r>
      <w:r w:rsidR="00255519" w:rsidRPr="00180469">
        <w:rPr>
          <w:strike/>
        </w:rPr>
        <w:t>,</w:t>
      </w:r>
      <w:r w:rsidRPr="00180469">
        <w:rPr>
          <w:strike/>
        </w:rPr>
        <w:t xml:space="preserve"> even though this</w:t>
      </w:r>
      <w:r w:rsidR="00D5026A" w:rsidRPr="00180469">
        <w:rPr>
          <w:u w:val="double"/>
        </w:rPr>
        <w:t>-1</w:t>
      </w:r>
      <w:r w:rsidRPr="00180469">
        <w:rPr>
          <w:u w:val="double"/>
        </w:rPr>
        <w:t>:</w:t>
      </w:r>
      <w:r w:rsidR="0006469B" w:rsidRPr="00180469">
        <w:rPr>
          <w:u w:val="double"/>
        </w:rPr>
        <w:t>2017 (as amended in 2020)</w:t>
      </w:r>
      <w:r w:rsidR="00D5026A" w:rsidRPr="00180469">
        <w:rPr>
          <w:u w:val="double"/>
        </w:rPr>
        <w:t xml:space="preserve">. </w:t>
      </w:r>
      <w:r w:rsidR="00D5026A" w:rsidRPr="00CE05A8">
        <w:rPr>
          <w:u w:val="double"/>
        </w:rPr>
        <w:t>T</w:t>
      </w:r>
      <w:r w:rsidR="00EE0DA2" w:rsidRPr="00CE05A8">
        <w:rPr>
          <w:u w:val="double"/>
        </w:rPr>
        <w:t xml:space="preserve">he </w:t>
      </w:r>
      <w:r w:rsidR="00CE05A8" w:rsidRPr="00CE05A8">
        <w:rPr>
          <w:u w:val="double"/>
          <w:lang w:val="en-US"/>
        </w:rPr>
        <w:t>modified</w:t>
      </w:r>
      <w:r w:rsidR="00CE05A8" w:rsidRPr="00CE05A8">
        <w:rPr>
          <w:u w:val="double"/>
        </w:rPr>
        <w:t xml:space="preserve"> semi-solid Rappaport–Vassiliadis (MSRV)</w:t>
      </w:r>
      <w:r w:rsidR="00147164">
        <w:rPr>
          <w:u w:val="double"/>
        </w:rPr>
        <w:t xml:space="preserve"> </w:t>
      </w:r>
      <w:r w:rsidR="006D783B" w:rsidRPr="005E3F47">
        <w:rPr>
          <w:highlight w:val="yellow"/>
          <w:u w:val="double"/>
        </w:rPr>
        <w:t>agar</w:t>
      </w:r>
      <w:r w:rsidR="00EE0DA2" w:rsidRPr="00CE05A8">
        <w:rPr>
          <w:u w:val="double"/>
        </w:rPr>
        <w:t>-based</w:t>
      </w:r>
      <w:r w:rsidR="00EE0DA2">
        <w:t xml:space="preserve"> method has</w:t>
      </w:r>
      <w:r w:rsidR="0006469B">
        <w:t xml:space="preserve"> </w:t>
      </w:r>
      <w:r w:rsidRPr="00180469">
        <w:rPr>
          <w:strike/>
        </w:rPr>
        <w:t xml:space="preserve">not </w:t>
      </w:r>
      <w:r w:rsidR="00EE0DA2">
        <w:t>been</w:t>
      </w:r>
      <w:r w:rsidRPr="00897119">
        <w:t xml:space="preserve"> validated for faecal and </w:t>
      </w:r>
      <w:r w:rsidRPr="00180469">
        <w:rPr>
          <w:strike/>
        </w:rPr>
        <w:t>environmental</w:t>
      </w:r>
      <w:r w:rsidR="00180469">
        <w:rPr>
          <w:strike/>
        </w:rPr>
        <w:t xml:space="preserve"> </w:t>
      </w:r>
      <w:r w:rsidR="00C95C2A" w:rsidRPr="00180469">
        <w:rPr>
          <w:u w:val="double"/>
        </w:rPr>
        <w:t>food</w:t>
      </w:r>
      <w:r w:rsidR="00711292" w:rsidRPr="005E3F47">
        <w:rPr>
          <w:highlight w:val="yellow"/>
          <w:u w:val="double"/>
        </w:rPr>
        <w:t>,</w:t>
      </w:r>
      <w:r w:rsidR="00711292" w:rsidRPr="005E3F47">
        <w:t xml:space="preserve"> </w:t>
      </w:r>
      <w:r w:rsidR="00C95C2A" w:rsidRPr="005E3F47">
        <w:rPr>
          <w:strike/>
          <w:highlight w:val="yellow"/>
        </w:rPr>
        <w:t>/</w:t>
      </w:r>
      <w:r w:rsidR="00C95C2A" w:rsidRPr="00180469">
        <w:rPr>
          <w:u w:val="double"/>
        </w:rPr>
        <w:t>feed</w:t>
      </w:r>
      <w:r w:rsidR="00C95C2A" w:rsidRPr="005E3F47">
        <w:rPr>
          <w:u w:val="double"/>
        </w:rPr>
        <w:t xml:space="preserve"> </w:t>
      </w:r>
      <w:r w:rsidR="001B1D24" w:rsidRPr="005E3F47">
        <w:rPr>
          <w:highlight w:val="yellow"/>
          <w:u w:val="double"/>
        </w:rPr>
        <w:t>and environmental</w:t>
      </w:r>
      <w:r w:rsidR="001B1D24">
        <w:t xml:space="preserve"> </w:t>
      </w:r>
      <w:r w:rsidRPr="00897119">
        <w:t xml:space="preserve">samples </w:t>
      </w:r>
      <w:r w:rsidR="00536C8E" w:rsidRPr="00180469">
        <w:rPr>
          <w:lang w:val="en-US"/>
        </w:rPr>
        <w:t xml:space="preserve">and </w:t>
      </w:r>
      <w:r w:rsidRPr="00180469">
        <w:rPr>
          <w:strike/>
        </w:rPr>
        <w:t>was intended for foodstuffs and feeding</w:t>
      </w:r>
      <w:r w:rsidR="00515E25" w:rsidRPr="00180469">
        <w:rPr>
          <w:strike/>
        </w:rPr>
        <w:t xml:space="preserve"> </w:t>
      </w:r>
      <w:r w:rsidRPr="00180469">
        <w:rPr>
          <w:strike/>
        </w:rPr>
        <w:t>stuffs</w:t>
      </w:r>
      <w:r w:rsidR="00255519" w:rsidRPr="00180469">
        <w:rPr>
          <w:strike/>
        </w:rPr>
        <w:t xml:space="preserve"> (ISO, 2002)</w:t>
      </w:r>
      <w:r w:rsidRPr="00180469">
        <w:rPr>
          <w:strike/>
        </w:rPr>
        <w:t xml:space="preserve">. </w:t>
      </w:r>
      <w:r w:rsidR="003453C5" w:rsidRPr="00180469">
        <w:rPr>
          <w:strike/>
          <w:lang w:val="en-US"/>
        </w:rPr>
        <w:t>A</w:t>
      </w:r>
      <w:r w:rsidRPr="00180469">
        <w:rPr>
          <w:strike/>
          <w:lang w:val="en-US"/>
        </w:rPr>
        <w:t xml:space="preserve"> standard</w:t>
      </w:r>
      <w:r w:rsidR="00180469">
        <w:rPr>
          <w:strike/>
          <w:lang w:val="en-US"/>
        </w:rPr>
        <w:t xml:space="preserve"> </w:t>
      </w:r>
      <w:r w:rsidR="00536C8E" w:rsidRPr="00180469">
        <w:rPr>
          <w:u w:val="double"/>
          <w:lang w:val="en-US"/>
        </w:rPr>
        <w:t>is the required</w:t>
      </w:r>
      <w:r w:rsidR="00536C8E">
        <w:rPr>
          <w:lang w:val="en-US"/>
        </w:rPr>
        <w:t xml:space="preserve"> method for </w:t>
      </w:r>
      <w:r w:rsidRPr="00897119">
        <w:rPr>
          <w:lang w:val="en-US"/>
        </w:rPr>
        <w:t xml:space="preserve">detection of </w:t>
      </w:r>
      <w:r w:rsidRPr="00897119">
        <w:rPr>
          <w:i/>
          <w:lang w:val="en-US"/>
        </w:rPr>
        <w:t xml:space="preserve">Salmonella </w:t>
      </w:r>
      <w:r w:rsidRPr="00897119">
        <w:rPr>
          <w:lang w:val="en-US"/>
        </w:rPr>
        <w:t>from primary animal production</w:t>
      </w:r>
      <w:r w:rsidR="00EE0DA2">
        <w:rPr>
          <w:lang w:val="en-US"/>
        </w:rPr>
        <w:t xml:space="preserve"> </w:t>
      </w:r>
      <w:r w:rsidRPr="00180469">
        <w:rPr>
          <w:strike/>
          <w:lang w:val="en-US"/>
        </w:rPr>
        <w:t xml:space="preserve">has been </w:t>
      </w:r>
      <w:r w:rsidR="003453C5" w:rsidRPr="00180469">
        <w:rPr>
          <w:strike/>
          <w:lang w:val="en-US"/>
        </w:rPr>
        <w:t>published</w:t>
      </w:r>
      <w:r w:rsidRPr="00180469">
        <w:rPr>
          <w:strike/>
          <w:lang w:val="en-US"/>
        </w:rPr>
        <w:t>, and the ISO</w:t>
      </w:r>
      <w:r w:rsidR="002D2119" w:rsidRPr="00180469">
        <w:rPr>
          <w:strike/>
          <w:lang w:val="en-US"/>
        </w:rPr>
        <w:t xml:space="preserve"> </w:t>
      </w:r>
      <w:r w:rsidRPr="00180469">
        <w:rPr>
          <w:strike/>
          <w:lang w:val="en-US"/>
        </w:rPr>
        <w:t>method has now been adopted (</w:t>
      </w:r>
      <w:r w:rsidRPr="00180469">
        <w:rPr>
          <w:strike/>
        </w:rPr>
        <w:t>ISO, 2007</w:t>
      </w:r>
      <w:r w:rsidRPr="00180469">
        <w:rPr>
          <w:strike/>
          <w:lang w:val="en-US"/>
        </w:rPr>
        <w:t>).</w:t>
      </w:r>
      <w:r w:rsidR="00CE05A8">
        <w:rPr>
          <w:strike/>
          <w:lang w:val="en-US"/>
        </w:rPr>
        <w:t xml:space="preserve"> </w:t>
      </w:r>
      <w:r w:rsidR="00EE0DA2" w:rsidRPr="00180469">
        <w:rPr>
          <w:u w:val="double"/>
          <w:lang w:val="en-US"/>
        </w:rPr>
        <w:t>and</w:t>
      </w:r>
      <w:r w:rsidR="00357E53" w:rsidRPr="00180469">
        <w:rPr>
          <w:u w:val="double"/>
          <w:lang w:val="en-US"/>
        </w:rPr>
        <w:t xml:space="preserve"> optional for </w:t>
      </w:r>
      <w:r w:rsidR="00EE0DA2" w:rsidRPr="00180469">
        <w:rPr>
          <w:u w:val="double"/>
          <w:lang w:val="en-US"/>
        </w:rPr>
        <w:t>food or feeding</w:t>
      </w:r>
      <w:r w:rsidR="00147330" w:rsidRPr="00180469">
        <w:rPr>
          <w:u w:val="double"/>
          <w:lang w:val="en-US"/>
        </w:rPr>
        <w:t xml:space="preserve"> </w:t>
      </w:r>
      <w:r w:rsidR="00EE0DA2" w:rsidRPr="00180469">
        <w:rPr>
          <w:u w:val="double"/>
          <w:lang w:val="en-US"/>
        </w:rPr>
        <w:t>stuffs</w:t>
      </w:r>
      <w:r w:rsidRPr="00180469">
        <w:rPr>
          <w:u w:val="double"/>
          <w:lang w:val="en-US"/>
        </w:rPr>
        <w:t>.</w:t>
      </w:r>
      <w:r w:rsidRPr="00897119">
        <w:rPr>
          <w:lang w:val="en-US"/>
        </w:rPr>
        <w:t xml:space="preserve"> The </w:t>
      </w:r>
      <w:r w:rsidR="0009757D" w:rsidRPr="00897119">
        <w:rPr>
          <w:lang w:val="en-US"/>
        </w:rPr>
        <w:t xml:space="preserve">basis </w:t>
      </w:r>
      <w:r w:rsidRPr="00897119">
        <w:rPr>
          <w:lang w:val="en-US"/>
        </w:rPr>
        <w:t xml:space="preserve">of the standard method is pre-enrichment in </w:t>
      </w:r>
      <w:r w:rsidRPr="00897119">
        <w:rPr>
          <w:color w:val="000000"/>
        </w:rPr>
        <w:t>buffered peptone water</w:t>
      </w:r>
      <w:r w:rsidRPr="00897119">
        <w:rPr>
          <w:lang w:val="en-US"/>
        </w:rPr>
        <w:t xml:space="preserve">, </w:t>
      </w:r>
      <w:r w:rsidR="0009757D" w:rsidRPr="00897119">
        <w:rPr>
          <w:lang w:val="en-US"/>
        </w:rPr>
        <w:t xml:space="preserve">followed by </w:t>
      </w:r>
      <w:r w:rsidR="00CF20B8" w:rsidRPr="00180469">
        <w:rPr>
          <w:u w:val="double"/>
          <w:lang w:val="en-US"/>
        </w:rPr>
        <w:t>mandatory selective</w:t>
      </w:r>
      <w:r w:rsidR="00CF20B8" w:rsidRPr="00CE05A8">
        <w:rPr>
          <w:lang w:val="en-US"/>
        </w:rPr>
        <w:t xml:space="preserve"> </w:t>
      </w:r>
      <w:r w:rsidRPr="00897119">
        <w:rPr>
          <w:lang w:val="en-US"/>
        </w:rPr>
        <w:t xml:space="preserve">enrichment on </w:t>
      </w:r>
      <w:r w:rsidRPr="00897119">
        <w:t>MSRV</w:t>
      </w:r>
      <w:r w:rsidR="002449B4">
        <w:t xml:space="preserve"> </w:t>
      </w:r>
      <w:r w:rsidR="002449B4" w:rsidRPr="005E3F47">
        <w:rPr>
          <w:highlight w:val="yellow"/>
          <w:u w:val="double"/>
        </w:rPr>
        <w:t>agar</w:t>
      </w:r>
      <w:r w:rsidRPr="00897119">
        <w:rPr>
          <w:lang w:val="en-US"/>
        </w:rPr>
        <w:t xml:space="preserve"> </w:t>
      </w:r>
      <w:r w:rsidRPr="00180469">
        <w:rPr>
          <w:strike/>
          <w:lang w:val="en-US"/>
        </w:rPr>
        <w:t>and</w:t>
      </w:r>
      <w:r w:rsidR="00180469">
        <w:rPr>
          <w:strike/>
          <w:lang w:val="en-US"/>
        </w:rPr>
        <w:t xml:space="preserve"> </w:t>
      </w:r>
      <w:r w:rsidR="00CF20B8" w:rsidRPr="00180469">
        <w:rPr>
          <w:u w:val="double"/>
          <w:lang w:val="en-US"/>
        </w:rPr>
        <w:t>for samples of primary production, whereas for food and feedstuffs the prescribe</w:t>
      </w:r>
      <w:r w:rsidR="004645BA" w:rsidRPr="00180469">
        <w:rPr>
          <w:u w:val="double"/>
          <w:lang w:val="en-US"/>
        </w:rPr>
        <w:t>d</w:t>
      </w:r>
      <w:r w:rsidR="00CF20B8" w:rsidRPr="00180469">
        <w:rPr>
          <w:u w:val="double"/>
          <w:lang w:val="en-US"/>
        </w:rPr>
        <w:t xml:space="preserve"> selective enrichment is </w:t>
      </w:r>
      <w:r w:rsidR="00FB6DF3" w:rsidRPr="00180469">
        <w:rPr>
          <w:u w:val="double"/>
        </w:rPr>
        <w:t xml:space="preserve">Müller–Kauffmann tetrathionate broth </w:t>
      </w:r>
      <w:r w:rsidR="004645BA" w:rsidRPr="00180469">
        <w:rPr>
          <w:u w:val="double"/>
          <w:lang w:val="en-US"/>
        </w:rPr>
        <w:t>(</w:t>
      </w:r>
      <w:r w:rsidR="00CF20B8" w:rsidRPr="00180469">
        <w:rPr>
          <w:u w:val="double"/>
          <w:lang w:val="en-US"/>
        </w:rPr>
        <w:t>MKTTn</w:t>
      </w:r>
      <w:r w:rsidR="004645BA" w:rsidRPr="00180469">
        <w:rPr>
          <w:u w:val="double"/>
          <w:lang w:val="en-US"/>
        </w:rPr>
        <w:t>)</w:t>
      </w:r>
      <w:r w:rsidR="00CF20B8" w:rsidRPr="00180469">
        <w:rPr>
          <w:u w:val="double"/>
          <w:lang w:val="en-US"/>
        </w:rPr>
        <w:t xml:space="preserve"> and </w:t>
      </w:r>
      <w:r w:rsidR="004645BA" w:rsidRPr="00180469">
        <w:rPr>
          <w:u w:val="double"/>
        </w:rPr>
        <w:t>Rappaport–Vassiliadis</w:t>
      </w:r>
      <w:r w:rsidR="0018723E">
        <w:rPr>
          <w:u w:val="double"/>
        </w:rPr>
        <w:t>-</w:t>
      </w:r>
      <w:r w:rsidR="0018723E" w:rsidRPr="0018723E">
        <w:rPr>
          <w:highlight w:val="yellow"/>
          <w:u w:val="double"/>
        </w:rPr>
        <w:t>soya</w:t>
      </w:r>
      <w:r w:rsidR="0018723E">
        <w:rPr>
          <w:u w:val="double"/>
        </w:rPr>
        <w:t xml:space="preserve"> </w:t>
      </w:r>
      <w:r w:rsidR="004645BA" w:rsidRPr="00180469">
        <w:rPr>
          <w:u w:val="double"/>
          <w:lang w:val="en-US"/>
        </w:rPr>
        <w:t>(</w:t>
      </w:r>
      <w:r w:rsidR="00CF20B8" w:rsidRPr="00180469">
        <w:rPr>
          <w:u w:val="double"/>
          <w:lang w:val="en-US"/>
        </w:rPr>
        <w:t>RVS</w:t>
      </w:r>
      <w:r w:rsidR="004645BA" w:rsidRPr="00180469">
        <w:rPr>
          <w:u w:val="double"/>
          <w:lang w:val="en-US"/>
        </w:rPr>
        <w:t>)</w:t>
      </w:r>
      <w:r w:rsidR="00CF20B8" w:rsidRPr="00180469">
        <w:rPr>
          <w:u w:val="double"/>
          <w:lang w:val="en-US"/>
        </w:rPr>
        <w:t xml:space="preserve"> </w:t>
      </w:r>
      <w:r w:rsidR="0018723E" w:rsidRPr="00180469">
        <w:rPr>
          <w:u w:val="double"/>
        </w:rPr>
        <w:t>broth</w:t>
      </w:r>
      <w:r w:rsidR="0018723E" w:rsidRPr="00180469">
        <w:rPr>
          <w:u w:val="double"/>
          <w:lang w:val="en-US"/>
        </w:rPr>
        <w:t xml:space="preserve"> </w:t>
      </w:r>
      <w:r w:rsidR="00CF20B8" w:rsidRPr="00180469">
        <w:rPr>
          <w:u w:val="double"/>
          <w:lang w:val="en-US"/>
        </w:rPr>
        <w:t>or MSRV, then</w:t>
      </w:r>
      <w:r w:rsidRPr="00897119">
        <w:rPr>
          <w:lang w:val="en-US"/>
        </w:rPr>
        <w:t xml:space="preserve"> isolation </w:t>
      </w:r>
      <w:r w:rsidR="00CF20B8" w:rsidRPr="00180469">
        <w:rPr>
          <w:u w:val="double"/>
          <w:lang w:val="en-US"/>
        </w:rPr>
        <w:t xml:space="preserve">is carried out </w:t>
      </w:r>
      <w:r w:rsidRPr="00897119">
        <w:rPr>
          <w:lang w:val="en-US"/>
        </w:rPr>
        <w:t xml:space="preserve">on </w:t>
      </w:r>
      <w:r w:rsidRPr="00897119">
        <w:rPr>
          <w:shd w:val="clear" w:color="auto" w:fill="FFFFFF"/>
        </w:rPr>
        <w:t>xylose-lysine-deoxycholate</w:t>
      </w:r>
      <w:r w:rsidRPr="00897119">
        <w:rPr>
          <w:lang w:val="en-US"/>
        </w:rPr>
        <w:t xml:space="preserve"> (XLD) agar and an additional plate medium of choice</w:t>
      </w:r>
      <w:r w:rsidR="00180469">
        <w:rPr>
          <w:lang w:val="en-US"/>
        </w:rPr>
        <w:t xml:space="preserve">, </w:t>
      </w:r>
      <w:r w:rsidR="00C95C2A" w:rsidRPr="00180469">
        <w:rPr>
          <w:u w:val="double"/>
          <w:lang w:val="en-US"/>
        </w:rPr>
        <w:t>which is based on a different biochemical indicator</w:t>
      </w:r>
      <w:r w:rsidR="00180469">
        <w:rPr>
          <w:lang w:val="en-US"/>
        </w:rPr>
        <w:t>.</w:t>
      </w:r>
      <w:r w:rsidRPr="00897119">
        <w:rPr>
          <w:lang w:val="en-US"/>
        </w:rPr>
        <w:t xml:space="preserve"> </w:t>
      </w:r>
      <w:r w:rsidRPr="005E3F47">
        <w:rPr>
          <w:strike/>
          <w:highlight w:val="yellow"/>
          <w:lang w:val="en-US"/>
        </w:rPr>
        <w:t xml:space="preserve">This method </w:t>
      </w:r>
      <w:r w:rsidR="004D40D0" w:rsidRPr="005E3F47">
        <w:rPr>
          <w:highlight w:val="yellow"/>
          <w:u w:val="double"/>
          <w:lang w:val="en-US"/>
        </w:rPr>
        <w:t>MS</w:t>
      </w:r>
      <w:r w:rsidR="0018723E" w:rsidRPr="005E3F47">
        <w:rPr>
          <w:highlight w:val="yellow"/>
          <w:u w:val="double"/>
          <w:lang w:val="en-US"/>
        </w:rPr>
        <w:t>R</w:t>
      </w:r>
      <w:r w:rsidR="004D40D0" w:rsidRPr="005E3F47">
        <w:rPr>
          <w:highlight w:val="yellow"/>
          <w:u w:val="double"/>
          <w:lang w:val="en-US"/>
        </w:rPr>
        <w:t>V agar</w:t>
      </w:r>
      <w:r w:rsidR="004D40D0">
        <w:rPr>
          <w:lang w:val="en-US"/>
        </w:rPr>
        <w:t xml:space="preserve"> </w:t>
      </w:r>
      <w:r w:rsidRPr="00897119">
        <w:rPr>
          <w:lang w:val="en-US"/>
        </w:rPr>
        <w:t xml:space="preserve">has </w:t>
      </w:r>
      <w:r w:rsidRPr="00180469">
        <w:rPr>
          <w:strike/>
          <w:lang w:val="en-US"/>
        </w:rPr>
        <w:t xml:space="preserve">also </w:t>
      </w:r>
      <w:r w:rsidRPr="00897119">
        <w:rPr>
          <w:lang w:val="en-US"/>
        </w:rPr>
        <w:t>been shown to be highly effective for</w:t>
      </w:r>
      <w:r w:rsidR="000C184D">
        <w:rPr>
          <w:lang w:val="en-US"/>
        </w:rPr>
        <w:t xml:space="preserve"> </w:t>
      </w:r>
      <w:r w:rsidRPr="00180469">
        <w:rPr>
          <w:strike/>
          <w:lang w:val="en-US"/>
        </w:rPr>
        <w:t>animal feed</w:t>
      </w:r>
      <w:r w:rsidR="00255519" w:rsidRPr="00180469">
        <w:rPr>
          <w:strike/>
          <w:lang w:val="en-US"/>
        </w:rPr>
        <w:t xml:space="preserve">, animal </w:t>
      </w:r>
      <w:r w:rsidR="00711CA3" w:rsidRPr="00180469">
        <w:rPr>
          <w:strike/>
          <w:lang w:val="en-US"/>
        </w:rPr>
        <w:t xml:space="preserve">environmental </w:t>
      </w:r>
      <w:r w:rsidR="00255519" w:rsidRPr="00180469">
        <w:rPr>
          <w:strike/>
          <w:lang w:val="en-US"/>
        </w:rPr>
        <w:t>samples</w:t>
      </w:r>
      <w:r w:rsidRPr="00180469">
        <w:rPr>
          <w:strike/>
          <w:lang w:val="en-US"/>
        </w:rPr>
        <w:t xml:space="preserve"> and meat products, and is simpler and less expensive than the full ISO method</w:t>
      </w:r>
      <w:r w:rsidR="00180469">
        <w:rPr>
          <w:strike/>
          <w:lang w:val="en-US"/>
        </w:rPr>
        <w:t xml:space="preserve"> </w:t>
      </w:r>
      <w:r w:rsidR="000C184D" w:rsidRPr="00180469">
        <w:rPr>
          <w:u w:val="double"/>
          <w:lang w:val="en-US"/>
        </w:rPr>
        <w:t>detection of motile salmonellae</w:t>
      </w:r>
      <w:r w:rsidR="00357E53">
        <w:rPr>
          <w:lang w:val="en-US"/>
        </w:rPr>
        <w:t xml:space="preserve">. </w:t>
      </w:r>
      <w:r w:rsidR="00255519" w:rsidRPr="00897119">
        <w:rPr>
          <w:lang w:val="en-US"/>
        </w:rPr>
        <w:t xml:space="preserve">Diagnostic methods and assays should be validated as described in </w:t>
      </w:r>
      <w:r w:rsidR="00897119" w:rsidRPr="00897119">
        <w:rPr>
          <w:lang w:val="en-US"/>
        </w:rPr>
        <w:t>C</w:t>
      </w:r>
      <w:r w:rsidR="00255519" w:rsidRPr="00897119">
        <w:rPr>
          <w:lang w:val="en-US"/>
        </w:rPr>
        <w:t>hapter 1.1.</w:t>
      </w:r>
      <w:r w:rsidR="00897119" w:rsidRPr="00897119">
        <w:rPr>
          <w:lang w:val="en-US"/>
        </w:rPr>
        <w:t xml:space="preserve">6 </w:t>
      </w:r>
      <w:r w:rsidR="00897119" w:rsidRPr="00897119">
        <w:rPr>
          <w:i/>
        </w:rPr>
        <w:t>Principles and methods of validation of diagnostic assays for infectious diseases</w:t>
      </w:r>
      <w:r w:rsidR="00255519" w:rsidRPr="00897119">
        <w:rPr>
          <w:lang w:val="en-US"/>
        </w:rPr>
        <w:t>.</w:t>
      </w:r>
    </w:p>
    <w:p w14:paraId="17193C92" w14:textId="77777777" w:rsidR="00C3218B" w:rsidRPr="00897119" w:rsidRDefault="00C3218B" w:rsidP="00D87747">
      <w:pPr>
        <w:pStyle w:val="111"/>
      </w:pPr>
      <w:r w:rsidRPr="00897119">
        <w:t>1.1.1.</w:t>
      </w:r>
      <w:r w:rsidRPr="00897119">
        <w:tab/>
        <w:t>Pre-enrichment media</w:t>
      </w:r>
    </w:p>
    <w:p w14:paraId="3E355BF2" w14:textId="2E846C20" w:rsidR="00C3218B" w:rsidRPr="00897119" w:rsidRDefault="00C3218B" w:rsidP="00F71F23">
      <w:pPr>
        <w:pStyle w:val="111Para"/>
      </w:pPr>
      <w:r w:rsidRPr="00897119">
        <w:t xml:space="preserve">The number of </w:t>
      </w:r>
      <w:r w:rsidR="000C184D">
        <w:t>s</w:t>
      </w:r>
      <w:r w:rsidRPr="00897119">
        <w:t xml:space="preserve">almonellae in faeces from asymptomatic animals, environmental samples, animal feed and food is </w:t>
      </w:r>
      <w:r w:rsidRPr="006B680A">
        <w:rPr>
          <w:strike/>
        </w:rPr>
        <w:t>usually</w:t>
      </w:r>
      <w:r w:rsidR="006B680A">
        <w:rPr>
          <w:strike/>
        </w:rPr>
        <w:t xml:space="preserve"> </w:t>
      </w:r>
      <w:r w:rsidR="00505690" w:rsidRPr="006B680A">
        <w:rPr>
          <w:u w:val="double"/>
        </w:rPr>
        <w:t>often</w:t>
      </w:r>
      <w:r w:rsidR="00505690" w:rsidRPr="00897119">
        <w:t xml:space="preserve"> </w:t>
      </w:r>
      <w:r w:rsidRPr="00897119">
        <w:t>low,</w:t>
      </w:r>
      <w:r w:rsidR="00EB1680">
        <w:t xml:space="preserve"> and </w:t>
      </w:r>
      <w:r w:rsidR="00EB1680" w:rsidRPr="006B680A">
        <w:rPr>
          <w:u w:val="double"/>
        </w:rPr>
        <w:t xml:space="preserve">sometimes </w:t>
      </w:r>
      <w:r w:rsidR="00147330" w:rsidRPr="006B680A">
        <w:rPr>
          <w:u w:val="double"/>
        </w:rPr>
        <w:t>damaged</w:t>
      </w:r>
      <w:r w:rsidR="00EB1680" w:rsidRPr="006B680A">
        <w:rPr>
          <w:u w:val="double"/>
        </w:rPr>
        <w:t>, thus</w:t>
      </w:r>
      <w:r w:rsidR="00EB1680" w:rsidRPr="00CE05A8">
        <w:t xml:space="preserve"> </w:t>
      </w:r>
      <w:r w:rsidRPr="00897119">
        <w:t>it is</w:t>
      </w:r>
      <w:r w:rsidRPr="006B680A">
        <w:rPr>
          <w:strike/>
        </w:rPr>
        <w:t xml:space="preserve"> </w:t>
      </w:r>
      <w:r w:rsidR="001813EF" w:rsidRPr="006B680A">
        <w:rPr>
          <w:strike/>
        </w:rPr>
        <w:t>often</w:t>
      </w:r>
      <w:r w:rsidRPr="00897119">
        <w:t xml:space="preserve"> necessary to use pre-enrichment media, such as buffered peptone water to </w:t>
      </w:r>
      <w:r w:rsidRPr="006B680A">
        <w:rPr>
          <w:strike/>
        </w:rPr>
        <w:t>assist isolation</w:t>
      </w:r>
      <w:r w:rsidR="006B680A">
        <w:rPr>
          <w:strike/>
        </w:rPr>
        <w:t xml:space="preserve"> </w:t>
      </w:r>
      <w:r w:rsidR="00505690" w:rsidRPr="006B680A">
        <w:rPr>
          <w:u w:val="double"/>
        </w:rPr>
        <w:t>maximise detection</w:t>
      </w:r>
      <w:r w:rsidRPr="00897119">
        <w:t xml:space="preserve">. This may allow the small numbers of salmonellae, which may otherwise be killed by the toxic effect of selective enrichment media, to multiply, and it may help to resuscitate salmonellae that have been sub-lethally damaged, e.g. by freezing, heating, desiccation, </w:t>
      </w:r>
      <w:r w:rsidR="0009757D" w:rsidRPr="00897119">
        <w:t xml:space="preserve">or </w:t>
      </w:r>
      <w:r w:rsidRPr="00897119">
        <w:t>exposure to biocides or organic acids</w:t>
      </w:r>
      <w:r w:rsidRPr="00F32643">
        <w:rPr>
          <w:strike/>
        </w:rPr>
        <w:t xml:space="preserve"> (Harvey &amp; Price, 1974)</w:t>
      </w:r>
      <w:r w:rsidRPr="00897119">
        <w:t>.</w:t>
      </w:r>
      <w:r w:rsidR="00B11938" w:rsidRPr="00897119">
        <w:t xml:space="preserve"> </w:t>
      </w:r>
      <w:r w:rsidR="00B11938" w:rsidRPr="006B680A">
        <w:rPr>
          <w:strike/>
        </w:rPr>
        <w:t>For intermittent shedders</w:t>
      </w:r>
      <w:r w:rsidR="006B680A">
        <w:rPr>
          <w:strike/>
        </w:rPr>
        <w:t xml:space="preserve"> </w:t>
      </w:r>
      <w:r w:rsidR="00505690" w:rsidRPr="006B680A">
        <w:rPr>
          <w:u w:val="double"/>
        </w:rPr>
        <w:t>If acid-treated samples are being tested, it can be advantageous to increase the buffering capacity of the pre-enrichment medium</w:t>
      </w:r>
      <w:r w:rsidR="00B54C93" w:rsidRPr="006B680A">
        <w:rPr>
          <w:u w:val="double"/>
        </w:rPr>
        <w:t>. F</w:t>
      </w:r>
      <w:r w:rsidR="00505690" w:rsidRPr="006B680A">
        <w:rPr>
          <w:u w:val="double"/>
        </w:rPr>
        <w:t xml:space="preserve">or highly absorptive samples or fresh faeces and intestinal contents, increasing the ratio of broth to sample weight can improve detection. </w:t>
      </w:r>
      <w:r w:rsidR="00B11938" w:rsidRPr="006B680A">
        <w:rPr>
          <w:u w:val="double"/>
        </w:rPr>
        <w:t>For intermittent shedder</w:t>
      </w:r>
      <w:r w:rsidR="00505690" w:rsidRPr="006B680A">
        <w:rPr>
          <w:u w:val="double"/>
        </w:rPr>
        <w:t xml:space="preserve"> animals</w:t>
      </w:r>
      <w:r w:rsidR="00B11938" w:rsidRPr="00480231">
        <w:t xml:space="preserve">, it is advantageous to test at least three consecutive </w:t>
      </w:r>
      <w:r w:rsidR="00B11938" w:rsidRPr="00EB1680">
        <w:t>faecal samples.</w:t>
      </w:r>
    </w:p>
    <w:p w14:paraId="20152184" w14:textId="77777777" w:rsidR="00C3218B" w:rsidRPr="00897119" w:rsidRDefault="00C3218B" w:rsidP="00F71F23">
      <w:pPr>
        <w:pStyle w:val="111"/>
      </w:pPr>
      <w:r w:rsidRPr="00897119">
        <w:t>1.1.2.</w:t>
      </w:r>
      <w:r w:rsidRPr="00897119">
        <w:tab/>
      </w:r>
      <w:r w:rsidR="003453C5" w:rsidRPr="00897119">
        <w:t xml:space="preserve">Selective </w:t>
      </w:r>
      <w:r w:rsidR="00D45B39" w:rsidRPr="00897119">
        <w:t>e</w:t>
      </w:r>
      <w:r w:rsidRPr="00897119">
        <w:t>nrichment media</w:t>
      </w:r>
    </w:p>
    <w:p w14:paraId="65B38D2F" w14:textId="160A3AFB" w:rsidR="00492B70" w:rsidRDefault="00C3218B" w:rsidP="005D6971">
      <w:pPr>
        <w:pStyle w:val="111Para"/>
      </w:pPr>
      <w:r w:rsidRPr="00492B70">
        <w:t>Enrichment media are liquid or semi-solid agar media contain</w:t>
      </w:r>
      <w:r w:rsidR="0009757D" w:rsidRPr="00492B70">
        <w:t>ing</w:t>
      </w:r>
      <w:r w:rsidRPr="00492B70">
        <w:t xml:space="preserve"> additives that selectively permit salmonellae to grow while inhibiting the growth of other bacteria. Examples of selective enrichment media are tetrathionate, as in Müller–Kauffmann broth, selenite cystine, brilliant green broth</w:t>
      </w:r>
      <w:r w:rsidR="003453C5" w:rsidRPr="00492B70">
        <w:t>,</w:t>
      </w:r>
      <w:r w:rsidRPr="00492B70">
        <w:t xml:space="preserve"> </w:t>
      </w:r>
      <w:r w:rsidR="00CE05A8" w:rsidRPr="00B71D8D">
        <w:rPr>
          <w:strike/>
          <w:highlight w:val="yellow"/>
        </w:rPr>
        <w:t xml:space="preserve">RSV </w:t>
      </w:r>
      <w:r w:rsidR="00AC6542" w:rsidRPr="00B71D8D">
        <w:rPr>
          <w:highlight w:val="yellow"/>
          <w:u w:val="double"/>
        </w:rPr>
        <w:t>RVS</w:t>
      </w:r>
      <w:r w:rsidR="00AC6542">
        <w:t xml:space="preserve"> </w:t>
      </w:r>
      <w:r w:rsidR="00CE05A8">
        <w:t>broth</w:t>
      </w:r>
      <w:r w:rsidR="003453C5" w:rsidRPr="00492B70">
        <w:t xml:space="preserve"> and MS</w:t>
      </w:r>
      <w:r w:rsidR="0018723E" w:rsidRPr="00492B70">
        <w:t>R</w:t>
      </w:r>
      <w:r w:rsidR="003453C5" w:rsidRPr="00492B70">
        <w:t>V agar</w:t>
      </w:r>
      <w:r w:rsidRPr="00492B70">
        <w:t>. Some</w:t>
      </w:r>
      <w:r w:rsidR="0009757D" w:rsidRPr="00492B70">
        <w:t xml:space="preserve"> additives</w:t>
      </w:r>
      <w:r w:rsidRPr="00492B70">
        <w:t xml:space="preserve">, however, </w:t>
      </w:r>
      <w:r w:rsidRPr="006B680A">
        <w:rPr>
          <w:strike/>
        </w:rPr>
        <w:t>are also</w:t>
      </w:r>
      <w:r w:rsidR="00E27104">
        <w:rPr>
          <w:strike/>
        </w:rPr>
        <w:t xml:space="preserve"> </w:t>
      </w:r>
      <w:r w:rsidR="00D91A7A" w:rsidRPr="006B680A">
        <w:rPr>
          <w:u w:val="double"/>
        </w:rPr>
        <w:t>can be</w:t>
      </w:r>
      <w:r w:rsidR="00D91A7A" w:rsidRPr="00492B70">
        <w:t xml:space="preserve"> </w:t>
      </w:r>
      <w:r w:rsidRPr="00492B70">
        <w:t xml:space="preserve">relatively toxic to certain serovars of </w:t>
      </w:r>
      <w:r w:rsidRPr="00492B70">
        <w:rPr>
          <w:i/>
        </w:rPr>
        <w:t xml:space="preserve">Salmonella, </w:t>
      </w:r>
      <w:r w:rsidRPr="00492B70">
        <w:t xml:space="preserve">e.g. selenite inhibits </w:t>
      </w:r>
      <w:r w:rsidRPr="00492B70">
        <w:rPr>
          <w:i/>
        </w:rPr>
        <w:t>S.</w:t>
      </w:r>
      <w:r w:rsidRPr="00492B70">
        <w:t xml:space="preserve"> Choleraesuis, and brilliant green is toxic to many strains of </w:t>
      </w:r>
      <w:r w:rsidRPr="00492B70">
        <w:rPr>
          <w:i/>
        </w:rPr>
        <w:t xml:space="preserve">S. </w:t>
      </w:r>
      <w:r w:rsidRPr="00492B70">
        <w:t xml:space="preserve">Dublin. Elevated temperatures have also been used to increase the selectivity, </w:t>
      </w:r>
      <w:r w:rsidR="0009757D" w:rsidRPr="00492B70">
        <w:t xml:space="preserve">with </w:t>
      </w:r>
      <w:r w:rsidRPr="00492B70">
        <w:t xml:space="preserve">a temperature of 43°C </w:t>
      </w:r>
      <w:r w:rsidR="0009757D" w:rsidRPr="00492B70">
        <w:t xml:space="preserve">being </w:t>
      </w:r>
      <w:r w:rsidRPr="00492B70">
        <w:t>used in some laboratories, although this may be inhibitory with some media, e.g. tetrathionate</w:t>
      </w:r>
      <w:r w:rsidR="0009757D" w:rsidRPr="00492B70">
        <w:t>.</w:t>
      </w:r>
      <w:r w:rsidRPr="00492B70">
        <w:t xml:space="preserve"> </w:t>
      </w:r>
    </w:p>
    <w:p w14:paraId="343C21D0" w14:textId="455A8D24" w:rsidR="00C3218B" w:rsidRPr="00897119" w:rsidRDefault="0009757D" w:rsidP="00F71F23">
      <w:pPr>
        <w:pStyle w:val="111Para"/>
      </w:pPr>
      <w:r w:rsidRPr="00897119">
        <w:t xml:space="preserve">With </w:t>
      </w:r>
      <w:r w:rsidR="00C3218B" w:rsidRPr="00897119">
        <w:t xml:space="preserve">Rappaport–Vassiliadis at 43°C temperature-sensitive strains, especially </w:t>
      </w:r>
      <w:r w:rsidR="00C3218B" w:rsidRPr="00897119">
        <w:rPr>
          <w:i/>
        </w:rPr>
        <w:t xml:space="preserve">S. </w:t>
      </w:r>
      <w:r w:rsidR="00C3218B" w:rsidRPr="00897119">
        <w:t xml:space="preserve">Dublin, </w:t>
      </w:r>
      <w:r w:rsidR="0094513E" w:rsidRPr="00897119">
        <w:t xml:space="preserve">are inhibited </w:t>
      </w:r>
      <w:r w:rsidR="00C3218B" w:rsidRPr="00897119">
        <w:t xml:space="preserve">and 41.5°C is </w:t>
      </w:r>
      <w:r w:rsidR="00C3218B" w:rsidRPr="006B680A">
        <w:rPr>
          <w:strike/>
        </w:rPr>
        <w:t xml:space="preserve">now </w:t>
      </w:r>
      <w:r w:rsidR="00C3218B" w:rsidRPr="00897119">
        <w:t xml:space="preserve">recommended for incubation of </w:t>
      </w:r>
      <w:r w:rsidR="00B71D8D" w:rsidRPr="00B71D8D">
        <w:rPr>
          <w:strike/>
          <w:highlight w:val="yellow"/>
        </w:rPr>
        <w:t xml:space="preserve">RSV </w:t>
      </w:r>
      <w:r w:rsidR="00B71D8D" w:rsidRPr="00B71D8D">
        <w:rPr>
          <w:highlight w:val="yellow"/>
          <w:u w:val="double"/>
        </w:rPr>
        <w:t>RVS</w:t>
      </w:r>
      <w:r w:rsidR="00C3218B" w:rsidRPr="00897119">
        <w:t xml:space="preserve"> broth-based media</w:t>
      </w:r>
      <w:r w:rsidR="00E27104">
        <w:t xml:space="preserve"> </w:t>
      </w:r>
      <w:r w:rsidR="004645BA" w:rsidRPr="00CE05A8">
        <w:rPr>
          <w:u w:val="double"/>
        </w:rPr>
        <w:t xml:space="preserve">and </w:t>
      </w:r>
      <w:r w:rsidR="00CE05A8" w:rsidRPr="00CE05A8">
        <w:rPr>
          <w:u w:val="double"/>
        </w:rPr>
        <w:t>MS</w:t>
      </w:r>
      <w:r w:rsidR="0018723E" w:rsidRPr="00CE05A8">
        <w:rPr>
          <w:u w:val="double"/>
        </w:rPr>
        <w:t>R</w:t>
      </w:r>
      <w:r w:rsidR="00CE05A8" w:rsidRPr="00CE05A8">
        <w:rPr>
          <w:u w:val="double"/>
        </w:rPr>
        <w:t>V</w:t>
      </w:r>
      <w:r w:rsidR="009364FC">
        <w:rPr>
          <w:u w:val="double"/>
        </w:rPr>
        <w:t xml:space="preserve"> </w:t>
      </w:r>
      <w:r w:rsidR="009364FC" w:rsidRPr="00B71D8D">
        <w:rPr>
          <w:highlight w:val="yellow"/>
          <w:u w:val="double"/>
        </w:rPr>
        <w:t>agar</w:t>
      </w:r>
      <w:r w:rsidR="00E27104">
        <w:t>.</w:t>
      </w:r>
      <w:r w:rsidR="00C3218B" w:rsidRPr="00897119">
        <w:t xml:space="preserve"> Selective motility enrichment media such as MSRV</w:t>
      </w:r>
      <w:r w:rsidR="00B9366B">
        <w:t xml:space="preserve"> </w:t>
      </w:r>
      <w:r w:rsidR="00B9366B" w:rsidRPr="00B71D8D">
        <w:rPr>
          <w:highlight w:val="yellow"/>
          <w:u w:val="double"/>
        </w:rPr>
        <w:t>agar</w:t>
      </w:r>
      <w:r w:rsidR="00C3218B" w:rsidRPr="00E27104">
        <w:rPr>
          <w:strike/>
        </w:rPr>
        <w:t xml:space="preserve"> or diagnostic semi-solid </w:t>
      </w:r>
      <w:r w:rsidR="00C3218B" w:rsidRPr="00E27104">
        <w:rPr>
          <w:i/>
          <w:strike/>
        </w:rPr>
        <w:t>Salmonella</w:t>
      </w:r>
      <w:r w:rsidR="00C3218B" w:rsidRPr="00E27104">
        <w:rPr>
          <w:strike/>
        </w:rPr>
        <w:t xml:space="preserve"> medium (DIASALM</w:t>
      </w:r>
      <w:r w:rsidR="00866A45" w:rsidRPr="00E27104">
        <w:rPr>
          <w:strike/>
        </w:rPr>
        <w:t>)</w:t>
      </w:r>
      <w:r w:rsidR="00C3218B" w:rsidRPr="00897119">
        <w:t xml:space="preserve"> are commonly used to increase the sensitivity of the </w:t>
      </w:r>
      <w:r w:rsidR="00C3218B" w:rsidRPr="00897119">
        <w:rPr>
          <w:i/>
        </w:rPr>
        <w:t>Salmonella</w:t>
      </w:r>
      <w:r w:rsidR="00C3218B" w:rsidRPr="00897119">
        <w:t xml:space="preserve"> isolation procedure</w:t>
      </w:r>
      <w:r w:rsidR="00C3218B" w:rsidRPr="00F32643">
        <w:rPr>
          <w:strike/>
        </w:rPr>
        <w:t xml:space="preserve"> (Voogt </w:t>
      </w:r>
      <w:r w:rsidR="00C3218B" w:rsidRPr="00F32643">
        <w:rPr>
          <w:i/>
          <w:strike/>
        </w:rPr>
        <w:t>et al</w:t>
      </w:r>
      <w:r w:rsidR="00C3218B" w:rsidRPr="00F32643">
        <w:rPr>
          <w:strike/>
        </w:rPr>
        <w:t>., 2001)</w:t>
      </w:r>
      <w:r w:rsidR="00C3218B" w:rsidRPr="00897119">
        <w:t xml:space="preserve">. </w:t>
      </w:r>
      <w:r w:rsidR="0094513E" w:rsidRPr="00897119">
        <w:t xml:space="preserve">Use of at least </w:t>
      </w:r>
      <w:r w:rsidR="0094513E" w:rsidRPr="005D6971">
        <w:t xml:space="preserve">two </w:t>
      </w:r>
      <w:r w:rsidR="00D54F74" w:rsidRPr="00E27104">
        <w:rPr>
          <w:u w:val="double"/>
        </w:rPr>
        <w:t>selective</w:t>
      </w:r>
      <w:r w:rsidR="00D54F74" w:rsidRPr="00CE05A8">
        <w:t xml:space="preserve"> </w:t>
      </w:r>
      <w:r w:rsidR="0094513E" w:rsidRPr="005D6971">
        <w:t xml:space="preserve">enrichment </w:t>
      </w:r>
      <w:r w:rsidR="0094513E" w:rsidRPr="00E27104">
        <w:rPr>
          <w:strike/>
        </w:rPr>
        <w:t>broths</w:t>
      </w:r>
      <w:r w:rsidR="00E27104">
        <w:rPr>
          <w:strike/>
        </w:rPr>
        <w:t xml:space="preserve"> </w:t>
      </w:r>
      <w:r w:rsidR="00D54F74" w:rsidRPr="00E27104">
        <w:rPr>
          <w:u w:val="double"/>
        </w:rPr>
        <w:t>media</w:t>
      </w:r>
      <w:r w:rsidR="00D54F74" w:rsidRPr="005D6971">
        <w:t xml:space="preserve"> </w:t>
      </w:r>
      <w:r w:rsidR="0094513E" w:rsidRPr="005D6971">
        <w:t>is recommended</w:t>
      </w:r>
      <w:r w:rsidR="00E65FED" w:rsidRPr="00CE05A8">
        <w:t xml:space="preserve"> </w:t>
      </w:r>
      <w:r w:rsidR="00E65FED" w:rsidRPr="00E27104">
        <w:rPr>
          <w:u w:val="double"/>
        </w:rPr>
        <w:t>for maximum recovery</w:t>
      </w:r>
      <w:r w:rsidR="0094513E" w:rsidRPr="00E27104">
        <w:rPr>
          <w:u w:val="double"/>
        </w:rPr>
        <w:t>,</w:t>
      </w:r>
      <w:r w:rsidR="00FD6A41" w:rsidRPr="00E27104">
        <w:rPr>
          <w:u w:val="double"/>
        </w:rPr>
        <w:t xml:space="preserve"> and detection of mixed serovar contamination</w:t>
      </w:r>
      <w:r w:rsidR="00FD6A41" w:rsidRPr="005D6971">
        <w:t>,</w:t>
      </w:r>
      <w:r w:rsidR="0094513E" w:rsidRPr="005D6971">
        <w:t xml:space="preserve"> with one incubated at 37°C and the other at a suitable higher temperature. </w:t>
      </w:r>
      <w:r w:rsidR="00C3218B" w:rsidRPr="005D6971">
        <w:t>The formulation of the medium,</w:t>
      </w:r>
      <w:r w:rsidR="00C3218B" w:rsidRPr="00897119">
        <w:t xml:space="preserve"> which may vary between suppliers, or even between batches in some cases, temperature and duration of incubation, and the volume of the samples used to inoculate the medium, may all serve to influence the isolation rate, and these variables should always be taken into account.</w:t>
      </w:r>
      <w:r w:rsidR="00C3218B" w:rsidRPr="00897119">
        <w:rPr>
          <w:rStyle w:val="CommentReference"/>
        </w:rPr>
        <w:t xml:space="preserve"> </w:t>
      </w:r>
      <w:r w:rsidR="00533B75" w:rsidRPr="00E27104">
        <w:rPr>
          <w:u w:val="double"/>
        </w:rPr>
        <w:t xml:space="preserve">The selectivity of these media is based on the motility of the organism, the presence of malachite green dye and novobiocin, and a high concentration of magnesium chloride. The semi-solid medium allows motility to be detected as halos of growth spreading within the agar from the site of inoculation. If there is no such growth, the sample can often be considered to be negative for </w:t>
      </w:r>
      <w:r w:rsidR="00533B75" w:rsidRPr="00E27104">
        <w:rPr>
          <w:i/>
          <w:u w:val="double"/>
        </w:rPr>
        <w:lastRenderedPageBreak/>
        <w:t>Salmonella</w:t>
      </w:r>
      <w:r w:rsidR="00533B75" w:rsidRPr="00E27104">
        <w:rPr>
          <w:u w:val="double"/>
        </w:rPr>
        <w:t xml:space="preserve"> without further plating. Non-motile strains however cannot be detected using semi-solid selective enrichment.</w:t>
      </w:r>
      <w:r w:rsidR="00533B75">
        <w:t xml:space="preserve"> </w:t>
      </w:r>
      <w:r w:rsidR="00C3218B" w:rsidRPr="00897119">
        <w:t>Additi</w:t>
      </w:r>
      <w:r w:rsidR="0094513E" w:rsidRPr="00897119">
        <w:t>ve</w:t>
      </w:r>
      <w:r w:rsidR="00C3218B" w:rsidRPr="00897119">
        <w:t>s</w:t>
      </w:r>
      <w:r w:rsidR="001813EF" w:rsidRPr="00897119">
        <w:t>,</w:t>
      </w:r>
      <w:r w:rsidR="00C3218B" w:rsidRPr="00897119">
        <w:t xml:space="preserve"> such as ferrioxamine E</w:t>
      </w:r>
      <w:r w:rsidR="001813EF" w:rsidRPr="00897119">
        <w:t>,</w:t>
      </w:r>
      <w:r w:rsidR="00C3218B" w:rsidRPr="00897119">
        <w:t xml:space="preserve"> may be added to selective </w:t>
      </w:r>
      <w:r w:rsidR="0094513E" w:rsidRPr="00897119">
        <w:t xml:space="preserve">enrichment </w:t>
      </w:r>
      <w:r w:rsidR="00C3218B" w:rsidRPr="00897119">
        <w:t xml:space="preserve">media to enhance isolation of </w:t>
      </w:r>
      <w:r w:rsidR="00C3218B" w:rsidRPr="00897119">
        <w:rPr>
          <w:i/>
        </w:rPr>
        <w:t>Salmonella</w:t>
      </w:r>
      <w:r w:rsidR="00C3218B" w:rsidRPr="00897119">
        <w:t xml:space="preserve"> from iron or nutrient-limited sampl</w:t>
      </w:r>
      <w:r w:rsidR="00585917">
        <w:t xml:space="preserve">es such as eggs, water </w:t>
      </w:r>
      <w:r w:rsidR="00585917" w:rsidRPr="00C0603C">
        <w:t xml:space="preserve">or soil </w:t>
      </w:r>
      <w:r w:rsidR="00C3218B" w:rsidRPr="00E27104">
        <w:rPr>
          <w:strike/>
        </w:rPr>
        <w:t xml:space="preserve">(Reissbrodt, 1995) </w:t>
      </w:r>
      <w:r w:rsidR="00C3218B" w:rsidRPr="00C0603C">
        <w:t>or</w:t>
      </w:r>
      <w:r w:rsidR="00C3218B" w:rsidRPr="00897119">
        <w:t xml:space="preserve"> antibiotics such as novobiocin may be added to suppress most Gram-positive organisms or other Gram-negative bacteria</w:t>
      </w:r>
      <w:r w:rsidR="001813EF" w:rsidRPr="00897119">
        <w:t>,</w:t>
      </w:r>
      <w:r w:rsidR="00C3218B" w:rsidRPr="00897119">
        <w:t xml:space="preserve"> such as </w:t>
      </w:r>
      <w:r w:rsidR="00C3218B" w:rsidRPr="00897119">
        <w:rPr>
          <w:i/>
        </w:rPr>
        <w:t>Proteus</w:t>
      </w:r>
      <w:r w:rsidR="00C3218B" w:rsidRPr="00897119">
        <w:t xml:space="preserve">. Specific antibiotics can be added to enhance the isolation of antimicrobial resistant </w:t>
      </w:r>
      <w:r w:rsidR="00C3218B" w:rsidRPr="00897119">
        <w:rPr>
          <w:i/>
          <w:iCs/>
        </w:rPr>
        <w:t>Salmonella</w:t>
      </w:r>
      <w:r w:rsidR="00C3218B" w:rsidRPr="00897119">
        <w:t xml:space="preserve"> strains.</w:t>
      </w:r>
    </w:p>
    <w:p w14:paraId="01E9E4F5" w14:textId="77777777" w:rsidR="00C3218B" w:rsidRPr="00897119" w:rsidRDefault="00C3218B" w:rsidP="00F71F23">
      <w:pPr>
        <w:pStyle w:val="111"/>
      </w:pPr>
      <w:r w:rsidRPr="00897119">
        <w:t>1.1.3.</w:t>
      </w:r>
      <w:r w:rsidRPr="00897119">
        <w:tab/>
        <w:t>Selective plating media</w:t>
      </w:r>
    </w:p>
    <w:p w14:paraId="05014DEB" w14:textId="3E43080D" w:rsidR="00C3218B" w:rsidRPr="00897119" w:rsidRDefault="00C3218B" w:rsidP="005D524E">
      <w:pPr>
        <w:pStyle w:val="111Para"/>
        <w:spacing w:line="220" w:lineRule="exact"/>
      </w:pPr>
      <w:r w:rsidRPr="00897119">
        <w:t xml:space="preserve">These are solid, selective agars that permit differential growth to varying degrees. They inhibit growth of bacteria other than </w:t>
      </w:r>
      <w:r w:rsidRPr="00897119">
        <w:rPr>
          <w:i/>
        </w:rPr>
        <w:t>Salmonella</w:t>
      </w:r>
      <w:r w:rsidRPr="00897119">
        <w:t xml:space="preserve"> and give information on some of the principal differential biochemical characteristics – usually non-lactose fermentation and hydrogen sulphide (H</w:t>
      </w:r>
      <w:r w:rsidRPr="00FC294E">
        <w:rPr>
          <w:vertAlign w:val="subscript"/>
        </w:rPr>
        <w:t>2</w:t>
      </w:r>
      <w:r w:rsidRPr="00897119">
        <w:t xml:space="preserve">S) production. The results are read after 24 and 48 hours of culture at 37°C. Salmonellae form characteristic colonies on such media that are usually distinguishable from the colonies of other bacteria on the plate, with the possible exceptions of </w:t>
      </w:r>
      <w:r w:rsidRPr="00897119">
        <w:rPr>
          <w:i/>
        </w:rPr>
        <w:t>Proteus, Pseudomonas,</w:t>
      </w:r>
      <w:r w:rsidRPr="00897119">
        <w:t xml:space="preserve"> </w:t>
      </w:r>
      <w:r w:rsidRPr="00897119">
        <w:rPr>
          <w:i/>
        </w:rPr>
        <w:t xml:space="preserve">Citrobacter </w:t>
      </w:r>
      <w:r w:rsidRPr="00897119">
        <w:t xml:space="preserve">and </w:t>
      </w:r>
      <w:r w:rsidRPr="00897119">
        <w:rPr>
          <w:i/>
        </w:rPr>
        <w:t>Hafnia</w:t>
      </w:r>
      <w:r w:rsidRPr="00897119">
        <w:t>. Lactose-fermenting salmonellae may occasionally be isolated and H</w:t>
      </w:r>
      <w:r w:rsidRPr="00FC294E">
        <w:rPr>
          <w:vertAlign w:val="subscript"/>
        </w:rPr>
        <w:t>2</w:t>
      </w:r>
      <w:r w:rsidRPr="00897119">
        <w:t>S production may be variable. Such atypical strains may be more effectively detected when semi-solid</w:t>
      </w:r>
      <w:r w:rsidR="00897119" w:rsidRPr="00897119">
        <w:t xml:space="preserve"> </w:t>
      </w:r>
      <w:r w:rsidRPr="00897119">
        <w:t>motility media are used</w:t>
      </w:r>
      <w:r w:rsidR="00E27104" w:rsidRPr="00E27104">
        <w:t xml:space="preserve"> </w:t>
      </w:r>
      <w:r w:rsidR="00E27104" w:rsidRPr="00E27104">
        <w:rPr>
          <w:u w:val="double"/>
        </w:rPr>
        <w:t>for selective enrichment</w:t>
      </w:r>
      <w:r w:rsidRPr="00E27104">
        <w:t>.</w:t>
      </w:r>
      <w:r w:rsidR="00E27104" w:rsidRPr="00897119">
        <w:t xml:space="preserve"> </w:t>
      </w:r>
      <w:r w:rsidR="00E27104" w:rsidRPr="00E27104">
        <w:rPr>
          <w:strike/>
        </w:rPr>
        <w:t xml:space="preserve">Examples are the modified semi-solid MSRV and DIASALM. The selectivity of these media is based on the motility of the organism, the presence of malachite green dye and novobiocin, and a high concentration of magnesium chloride. The semi-solid medium allows motility to be detected as halos of growth away from the site of inoculation. DIASALM medium is particularly useful for the detection of atypical strains as presumptive confirmation by slide agglutination testing using polyvalent O, H or specific antisera can be carried out on liquid from the growth zone in the plate. Also, </w:t>
      </w:r>
      <w:r w:rsidR="00E27104" w:rsidRPr="00897119">
        <w:t xml:space="preserve">Plates </w:t>
      </w:r>
      <w:r w:rsidRPr="00897119">
        <w:t>such as desoxycholate-citrate agar</w:t>
      </w:r>
      <w:r w:rsidR="00196086" w:rsidRPr="00897119">
        <w:t xml:space="preserve"> (DCA)</w:t>
      </w:r>
      <w:r w:rsidRPr="00897119">
        <w:t>, brilliant green agar (BG</w:t>
      </w:r>
      <w:r w:rsidR="00196086" w:rsidRPr="00897119">
        <w:t>A</w:t>
      </w:r>
      <w:r w:rsidRPr="00897119">
        <w:t>)</w:t>
      </w:r>
      <w:r w:rsidR="00196086" w:rsidRPr="00897119">
        <w:t xml:space="preserve"> or bismuth-sulphite agar</w:t>
      </w:r>
      <w:r w:rsidRPr="00897119">
        <w:t xml:space="preserve"> can be used, but these are subject to a higher frequency of false-positive colonies. </w:t>
      </w:r>
      <w:r w:rsidRPr="00897119">
        <w:rPr>
          <w:i/>
        </w:rPr>
        <w:t xml:space="preserve">Salmonella </w:t>
      </w:r>
      <w:r w:rsidRPr="00897119">
        <w:t xml:space="preserve">Abortusovis is a slow-growing serovar and it is usual to incubate plates for up to 72 hours and to use </w:t>
      </w:r>
      <w:r w:rsidRPr="00E27104">
        <w:rPr>
          <w:strike/>
        </w:rPr>
        <w:t xml:space="preserve">the </w:t>
      </w:r>
      <w:r w:rsidRPr="00897119">
        <w:t>non-selective blood agar</w:t>
      </w:r>
      <w:r w:rsidRPr="00E27104">
        <w:rPr>
          <w:strike/>
        </w:rPr>
        <w:t>. Examples of</w:t>
      </w:r>
      <w:r w:rsidR="00997A26" w:rsidRPr="00E27104">
        <w:rPr>
          <w:u w:val="double"/>
        </w:rPr>
        <w:t>, or minimally</w:t>
      </w:r>
      <w:r w:rsidR="00997A26">
        <w:t xml:space="preserve"> selective </w:t>
      </w:r>
      <w:r w:rsidRPr="00E27104">
        <w:rPr>
          <w:strike/>
        </w:rPr>
        <w:t xml:space="preserve">plating media are </w:t>
      </w:r>
      <w:r w:rsidR="00196086" w:rsidRPr="00E27104">
        <w:rPr>
          <w:strike/>
        </w:rPr>
        <w:t>BGA</w:t>
      </w:r>
      <w:r w:rsidRPr="00E27104">
        <w:rPr>
          <w:strike/>
        </w:rPr>
        <w:t xml:space="preserve">, </w:t>
      </w:r>
      <w:r w:rsidR="0009757D" w:rsidRPr="00E27104">
        <w:rPr>
          <w:strike/>
        </w:rPr>
        <w:t>XLD</w:t>
      </w:r>
      <w:r w:rsidR="00E27104">
        <w:rPr>
          <w:strike/>
        </w:rPr>
        <w:t xml:space="preserve"> </w:t>
      </w:r>
      <w:r w:rsidR="00997A26" w:rsidRPr="00E27104">
        <w:rPr>
          <w:u w:val="double"/>
        </w:rPr>
        <w:t>MacConkey</w:t>
      </w:r>
      <w:r w:rsidR="00997A26">
        <w:t xml:space="preserve"> agar</w:t>
      </w:r>
      <w:r w:rsidRPr="00E27104">
        <w:rPr>
          <w:strike/>
        </w:rPr>
        <w:t xml:space="preserve">, </w:t>
      </w:r>
      <w:r w:rsidR="00196086" w:rsidRPr="00E27104">
        <w:rPr>
          <w:strike/>
        </w:rPr>
        <w:t>DCA</w:t>
      </w:r>
      <w:r w:rsidRPr="00E27104">
        <w:rPr>
          <w:strike/>
        </w:rPr>
        <w:t>, and bismuth</w:t>
      </w:r>
      <w:r w:rsidR="007D681B" w:rsidRPr="00E27104">
        <w:rPr>
          <w:strike/>
        </w:rPr>
        <w:t>-</w:t>
      </w:r>
      <w:r w:rsidRPr="00E27104">
        <w:rPr>
          <w:strike/>
        </w:rPr>
        <w:t>sulphite agar</w:t>
      </w:r>
      <w:r w:rsidRPr="00897119">
        <w:t xml:space="preserve">. A wide range of chromogenic agars </w:t>
      </w:r>
      <w:r w:rsidRPr="00E27104">
        <w:rPr>
          <w:strike/>
        </w:rPr>
        <w:t>such as Rambach agar and SMID (</w:t>
      </w:r>
      <w:r w:rsidRPr="00E27104">
        <w:rPr>
          <w:i/>
          <w:strike/>
        </w:rPr>
        <w:t>Salmonella</w:t>
      </w:r>
      <w:r w:rsidRPr="00E27104">
        <w:rPr>
          <w:strike/>
        </w:rPr>
        <w:t xml:space="preserve"> </w:t>
      </w:r>
      <w:r w:rsidR="000158A2" w:rsidRPr="00E27104">
        <w:rPr>
          <w:strike/>
        </w:rPr>
        <w:t>detection and identification agar</w:t>
      </w:r>
      <w:r w:rsidRPr="00E27104">
        <w:rPr>
          <w:strike/>
        </w:rPr>
        <w:t xml:space="preserve">) </w:t>
      </w:r>
      <w:r w:rsidRPr="00897119">
        <w:t xml:space="preserve">are </w:t>
      </w:r>
      <w:r w:rsidRPr="00B71D8D">
        <w:rPr>
          <w:strike/>
          <w:highlight w:val="yellow"/>
        </w:rPr>
        <w:t xml:space="preserve">now </w:t>
      </w:r>
      <w:r w:rsidR="00344F87" w:rsidRPr="00B71D8D">
        <w:rPr>
          <w:highlight w:val="yellow"/>
          <w:u w:val="double"/>
        </w:rPr>
        <w:t>also</w:t>
      </w:r>
      <w:r w:rsidR="00344F87" w:rsidRPr="00897119">
        <w:t xml:space="preserve"> </w:t>
      </w:r>
      <w:r w:rsidRPr="00897119">
        <w:t>available</w:t>
      </w:r>
      <w:r w:rsidR="00EB024D">
        <w:t xml:space="preserve"> </w:t>
      </w:r>
      <w:r w:rsidR="00EB024D" w:rsidRPr="00B71D8D">
        <w:rPr>
          <w:highlight w:val="yellow"/>
          <w:u w:val="double"/>
        </w:rPr>
        <w:t>for the selective isolation of salmonellae</w:t>
      </w:r>
      <w:r w:rsidRPr="00897119">
        <w:t>. Many of these may aid differentiation of suspect colonies</w:t>
      </w:r>
      <w:r w:rsidRPr="00E27104">
        <w:rPr>
          <w:u w:val="double"/>
        </w:rPr>
        <w:t>,</w:t>
      </w:r>
      <w:r w:rsidR="00997A26" w:rsidRPr="00E27104">
        <w:rPr>
          <w:u w:val="double"/>
        </w:rPr>
        <w:t xml:space="preserve"> especially from faecal samples</w:t>
      </w:r>
      <w:r w:rsidR="00997A26">
        <w:t>,</w:t>
      </w:r>
      <w:r w:rsidRPr="00897119">
        <w:t xml:space="preserve"> but must be validated for the sample matrices, culture systems and serovar range targeted as sensitivity can be poor in some circumstances</w:t>
      </w:r>
      <w:r w:rsidRPr="00E27104">
        <w:rPr>
          <w:strike/>
        </w:rPr>
        <w:t>.</w:t>
      </w:r>
      <w:r w:rsidR="00997A26" w:rsidRPr="00E27104">
        <w:rPr>
          <w:u w:val="double"/>
        </w:rPr>
        <w:t xml:space="preserve">, e.g. for host-adapted or some </w:t>
      </w:r>
      <w:r w:rsidR="00997A26" w:rsidRPr="00E27104">
        <w:rPr>
          <w:i/>
          <w:u w:val="double"/>
        </w:rPr>
        <w:t>arizonae</w:t>
      </w:r>
      <w:r w:rsidR="00997A26" w:rsidRPr="00E27104">
        <w:rPr>
          <w:u w:val="double"/>
        </w:rPr>
        <w:t xml:space="preserve"> or </w:t>
      </w:r>
      <w:r w:rsidR="00997A26" w:rsidRPr="00E27104">
        <w:rPr>
          <w:i/>
          <w:u w:val="double"/>
        </w:rPr>
        <w:t>diarizonae</w:t>
      </w:r>
      <w:r w:rsidR="00997A26" w:rsidRPr="00E27104">
        <w:rPr>
          <w:u w:val="double"/>
        </w:rPr>
        <w:t xml:space="preserve"> serovars</w:t>
      </w:r>
      <w:r w:rsidRPr="00E27104">
        <w:rPr>
          <w:u w:val="double"/>
        </w:rPr>
        <w:t>.</w:t>
      </w:r>
      <w:r w:rsidR="00761278" w:rsidRPr="00897119">
        <w:t xml:space="preserve"> Certain chromogenic agar media</w:t>
      </w:r>
      <w:r w:rsidR="00761278" w:rsidRPr="00E27104">
        <w:rPr>
          <w:strike/>
        </w:rPr>
        <w:t>, such as Brilliance or Rapid</w:t>
      </w:r>
      <w:r w:rsidR="00761278" w:rsidRPr="00897119">
        <w:t>, may</w:t>
      </w:r>
      <w:r w:rsidR="007D681B" w:rsidRPr="00897119">
        <w:t>,</w:t>
      </w:r>
      <w:r w:rsidR="00761278" w:rsidRPr="00897119">
        <w:t xml:space="preserve"> however</w:t>
      </w:r>
      <w:r w:rsidR="007D681B" w:rsidRPr="00897119">
        <w:t>,</w:t>
      </w:r>
      <w:r w:rsidR="00761278" w:rsidRPr="00897119">
        <w:t xml:space="preserve"> be more efficient for detection of biochemically atypical salmonellae.</w:t>
      </w:r>
    </w:p>
    <w:p w14:paraId="1E16EBB8" w14:textId="77777777" w:rsidR="00A05DC3" w:rsidRPr="00897119" w:rsidRDefault="00A05DC3" w:rsidP="00A05DC3">
      <w:pPr>
        <w:pStyle w:val="111"/>
        <w:jc w:val="both"/>
      </w:pPr>
      <w:r w:rsidRPr="00897119">
        <w:t>1.1.4.</w:t>
      </w:r>
      <w:r w:rsidRPr="00897119">
        <w:tab/>
        <w:t xml:space="preserve">Example test procedures for isolation of </w:t>
      </w:r>
      <w:r w:rsidRPr="00897119">
        <w:rPr>
          <w:i/>
          <w:iCs/>
        </w:rPr>
        <w:t>Salmonella</w:t>
      </w:r>
      <w:r w:rsidRPr="00897119">
        <w:t xml:space="preserve"> from food, feedstuffs, faecal and environmental samples</w:t>
      </w:r>
    </w:p>
    <w:p w14:paraId="705DB6EA" w14:textId="676A3394" w:rsidR="00A05DC3" w:rsidRPr="00897119" w:rsidRDefault="00A05DC3" w:rsidP="00A05DC3">
      <w:pPr>
        <w:pStyle w:val="ifourthlevellist"/>
      </w:pPr>
      <w:r w:rsidRPr="00897119">
        <w:t>i)</w:t>
      </w:r>
      <w:r w:rsidRPr="00897119">
        <w:tab/>
        <w:t>Add a 10–25 g sample to</w:t>
      </w:r>
      <w:r w:rsidR="00997A26">
        <w:t xml:space="preserve"> </w:t>
      </w:r>
      <w:r w:rsidR="00997A26" w:rsidRPr="00E27104">
        <w:rPr>
          <w:u w:val="double"/>
        </w:rPr>
        <w:t>at least</w:t>
      </w:r>
      <w:r w:rsidRPr="00897119">
        <w:t xml:space="preserve"> ×10 volume of buffered peptone water at ambient temperature. (NB: for many host-adapted serovars and some </w:t>
      </w:r>
      <w:r w:rsidRPr="00897119">
        <w:rPr>
          <w:i/>
        </w:rPr>
        <w:t>arizonae</w:t>
      </w:r>
      <w:r w:rsidRPr="00897119">
        <w:t xml:space="preserve"> serovars, it is preferable to add the sample to selective enrichment medium, such as selenite cysteine broth, and to test tissue samples where possible [including</w:t>
      </w:r>
      <w:r w:rsidR="00997A26">
        <w:t xml:space="preserve"> </w:t>
      </w:r>
      <w:r w:rsidR="00997A26" w:rsidRPr="00E27104">
        <w:rPr>
          <w:u w:val="double"/>
        </w:rPr>
        <w:t>by</w:t>
      </w:r>
      <w:r w:rsidRPr="00E27104">
        <w:rPr>
          <w:u w:val="double"/>
        </w:rPr>
        <w:t xml:space="preserve"> </w:t>
      </w:r>
      <w:r w:rsidRPr="00897119">
        <w:t xml:space="preserve">direct plating]; see culture method for </w:t>
      </w:r>
      <w:r w:rsidRPr="00897119">
        <w:rPr>
          <w:i/>
        </w:rPr>
        <w:t>S.</w:t>
      </w:r>
      <w:r w:rsidR="001D004C" w:rsidRPr="00897119">
        <w:rPr>
          <w:i/>
        </w:rPr>
        <w:t> </w:t>
      </w:r>
      <w:r w:rsidRPr="00B71D8D">
        <w:rPr>
          <w:strike/>
          <w:highlight w:val="yellow"/>
        </w:rPr>
        <w:t>Pullorum</w:t>
      </w:r>
      <w:r w:rsidRPr="00B71D8D">
        <w:rPr>
          <w:i/>
          <w:strike/>
          <w:highlight w:val="yellow"/>
        </w:rPr>
        <w:t>/</w:t>
      </w:r>
      <w:r w:rsidRPr="00897119">
        <w:t>Gallinarum</w:t>
      </w:r>
      <w:r w:rsidR="0043406C">
        <w:t xml:space="preserve"> </w:t>
      </w:r>
      <w:r w:rsidR="0043406C" w:rsidRPr="00B71D8D">
        <w:rPr>
          <w:highlight w:val="yellow"/>
          <w:u w:val="double"/>
        </w:rPr>
        <w:t>(biovars</w:t>
      </w:r>
      <w:r w:rsidR="00804C20" w:rsidRPr="00B71D8D">
        <w:rPr>
          <w:highlight w:val="yellow"/>
          <w:u w:val="double"/>
        </w:rPr>
        <w:t xml:space="preserve"> Gallinarum and Pullorum)</w:t>
      </w:r>
      <w:r w:rsidRPr="00897119">
        <w:t xml:space="preserve"> in Chapter </w:t>
      </w:r>
      <w:r w:rsidR="00D87299">
        <w:t>3</w:t>
      </w:r>
      <w:r w:rsidRPr="00897119">
        <w:t>.3.11</w:t>
      </w:r>
      <w:r w:rsidRPr="00E27104">
        <w:rPr>
          <w:u w:val="double"/>
        </w:rPr>
        <w:t xml:space="preserve"> </w:t>
      </w:r>
      <w:r w:rsidRPr="00E27104">
        <w:rPr>
          <w:i/>
          <w:u w:val="double"/>
        </w:rPr>
        <w:t>Fowl typhoid and Pullorum disease</w:t>
      </w:r>
      <w:r w:rsidRPr="00897119">
        <w:rPr>
          <w:i/>
        </w:rPr>
        <w:t>.</w:t>
      </w:r>
      <w:r w:rsidRPr="00897119">
        <w:t>)</w:t>
      </w:r>
    </w:p>
    <w:p w14:paraId="563F3218" w14:textId="4D696CD1" w:rsidR="00A05DC3" w:rsidRPr="00897119" w:rsidRDefault="00A05DC3" w:rsidP="00A05DC3">
      <w:pPr>
        <w:pStyle w:val="ifourthlevellist"/>
      </w:pPr>
      <w:r w:rsidRPr="00897119">
        <w:t>ii)</w:t>
      </w:r>
      <w:r w:rsidRPr="00897119">
        <w:tab/>
        <w:t>Incubate</w:t>
      </w:r>
      <w:r w:rsidR="00141BEF">
        <w:t xml:space="preserve"> </w:t>
      </w:r>
      <w:r w:rsidR="00141BEF" w:rsidRPr="00E27104">
        <w:rPr>
          <w:u w:val="double"/>
        </w:rPr>
        <w:t>in pre-warmed</w:t>
      </w:r>
      <w:r w:rsidRPr="00E27104">
        <w:rPr>
          <w:u w:val="double"/>
        </w:rPr>
        <w:t xml:space="preserve"> </w:t>
      </w:r>
      <w:r w:rsidRPr="00897119">
        <w:t xml:space="preserve">buffered peptone water for 16–20 hours at </w:t>
      </w:r>
      <w:r w:rsidRPr="00E27104">
        <w:rPr>
          <w:strike/>
        </w:rPr>
        <w:t>37</w:t>
      </w:r>
      <w:r w:rsidR="00E27104">
        <w:rPr>
          <w:strike/>
        </w:rPr>
        <w:t xml:space="preserve"> </w:t>
      </w:r>
      <w:r w:rsidRPr="00E27104">
        <w:rPr>
          <w:u w:val="double"/>
        </w:rPr>
        <w:t>3</w:t>
      </w:r>
      <w:r w:rsidR="00236076" w:rsidRPr="00E27104">
        <w:rPr>
          <w:u w:val="double"/>
        </w:rPr>
        <w:t>4</w:t>
      </w:r>
      <w:r w:rsidR="00E27104">
        <w:rPr>
          <w:u w:val="double"/>
        </w:rPr>
        <w:t>–</w:t>
      </w:r>
      <w:r w:rsidR="00236076" w:rsidRPr="00E27104">
        <w:rPr>
          <w:u w:val="double"/>
        </w:rPr>
        <w:t>38</w:t>
      </w:r>
      <w:r w:rsidRPr="00897119">
        <w:t>°C.</w:t>
      </w:r>
    </w:p>
    <w:p w14:paraId="5171A759" w14:textId="5855A90A" w:rsidR="00A05DC3" w:rsidRPr="00897119" w:rsidRDefault="00A05DC3" w:rsidP="00A05DC3">
      <w:pPr>
        <w:pStyle w:val="ifourthlevellist"/>
      </w:pPr>
      <w:r w:rsidRPr="00897119">
        <w:t>iii)</w:t>
      </w:r>
      <w:r w:rsidRPr="00897119">
        <w:tab/>
        <w:t xml:space="preserve">Inoculate </w:t>
      </w:r>
      <w:r w:rsidR="0000735C" w:rsidRPr="00B71D8D">
        <w:rPr>
          <w:highlight w:val="yellow"/>
          <w:u w:val="double"/>
        </w:rPr>
        <w:t>15</w:t>
      </w:r>
      <w:r w:rsidR="00B71D8D" w:rsidRPr="00B71D8D">
        <w:rPr>
          <w:highlight w:val="yellow"/>
          <w:u w:val="double"/>
        </w:rPr>
        <w:t>–</w:t>
      </w:r>
      <w:r w:rsidRPr="00897119">
        <w:t xml:space="preserve">20 ml MSRV </w:t>
      </w:r>
      <w:r w:rsidR="0000735C" w:rsidRPr="00B71D8D">
        <w:rPr>
          <w:highlight w:val="yellow"/>
          <w:u w:val="double"/>
        </w:rPr>
        <w:t>agar</w:t>
      </w:r>
      <w:r w:rsidR="00C64040">
        <w:t xml:space="preserve"> </w:t>
      </w:r>
      <w:r w:rsidRPr="00E27104">
        <w:rPr>
          <w:strike/>
        </w:rPr>
        <w:t xml:space="preserve">or DIASALM </w:t>
      </w:r>
      <w:r w:rsidRPr="00897119">
        <w:t xml:space="preserve">in a </w:t>
      </w:r>
      <w:r w:rsidR="00C64040" w:rsidRPr="00B71D8D">
        <w:rPr>
          <w:highlight w:val="yellow"/>
          <w:u w:val="double"/>
        </w:rPr>
        <w:t>90 mm diameter</w:t>
      </w:r>
      <w:r w:rsidR="00C64040">
        <w:t xml:space="preserve"> </w:t>
      </w:r>
      <w:r w:rsidRPr="00897119">
        <w:t>Petri dish with 0.1 ml incubated buffered peptone water</w:t>
      </w:r>
      <w:r w:rsidR="00141BEF" w:rsidRPr="00E27104">
        <w:rPr>
          <w:u w:val="double"/>
        </w:rPr>
        <w:t>, preferably as three separate drops</w:t>
      </w:r>
      <w:r w:rsidRPr="00897119">
        <w:t>.</w:t>
      </w:r>
    </w:p>
    <w:p w14:paraId="102DD900" w14:textId="580859CE" w:rsidR="00A05DC3" w:rsidRPr="00897119" w:rsidRDefault="00A05DC3" w:rsidP="00A05DC3">
      <w:pPr>
        <w:pStyle w:val="ifourthlevellist"/>
      </w:pPr>
      <w:r w:rsidRPr="00897119">
        <w:t>iv)</w:t>
      </w:r>
      <w:r w:rsidRPr="00897119">
        <w:tab/>
        <w:t>Inoculate 10 ml Müller–Kauffmann tetrathionate broth with 1 ml incubated buffered peptone water</w:t>
      </w:r>
      <w:r w:rsidRPr="00B71D8D">
        <w:rPr>
          <w:strike/>
        </w:rPr>
        <w:t xml:space="preserve"> </w:t>
      </w:r>
      <w:r w:rsidRPr="00B71D8D">
        <w:rPr>
          <w:strike/>
          <w:highlight w:val="yellow"/>
        </w:rPr>
        <w:t>broth</w:t>
      </w:r>
      <w:r w:rsidRPr="00897119">
        <w:t>.</w:t>
      </w:r>
    </w:p>
    <w:p w14:paraId="49EA9C68" w14:textId="6A8D0482" w:rsidR="00A05DC3" w:rsidRPr="00897119" w:rsidRDefault="00A05DC3" w:rsidP="00A05DC3">
      <w:pPr>
        <w:pStyle w:val="ifourthlevellist"/>
      </w:pPr>
      <w:r w:rsidRPr="00897119">
        <w:t>v)</w:t>
      </w:r>
      <w:r w:rsidRPr="00897119">
        <w:tab/>
        <w:t xml:space="preserve">Incubate MSRV </w:t>
      </w:r>
      <w:r w:rsidRPr="00E27104">
        <w:rPr>
          <w:strike/>
        </w:rPr>
        <w:t xml:space="preserve">or DIASALM </w:t>
      </w:r>
      <w:r w:rsidRPr="00897119">
        <w:t xml:space="preserve">at </w:t>
      </w:r>
      <w:r w:rsidRPr="00E27104">
        <w:rPr>
          <w:strike/>
        </w:rPr>
        <w:t>41</w:t>
      </w:r>
      <w:r w:rsidR="00E27104">
        <w:rPr>
          <w:strike/>
        </w:rPr>
        <w:t xml:space="preserve"> </w:t>
      </w:r>
      <w:r w:rsidRPr="00E27104">
        <w:rPr>
          <w:u w:val="double"/>
        </w:rPr>
        <w:t>4</w:t>
      </w:r>
      <w:r w:rsidR="00236076" w:rsidRPr="00E27104">
        <w:rPr>
          <w:u w:val="double"/>
        </w:rPr>
        <w:t>0</w:t>
      </w:r>
      <w:r w:rsidRPr="00E27104">
        <w:rPr>
          <w:u w:val="double"/>
        </w:rPr>
        <w:t>.5</w:t>
      </w:r>
      <w:r w:rsidR="006E3B34" w:rsidRPr="00E27104">
        <w:rPr>
          <w:u w:val="double"/>
        </w:rPr>
        <w:t>–42</w:t>
      </w:r>
      <w:r w:rsidR="006E3B34">
        <w:t>.</w:t>
      </w:r>
      <w:r w:rsidR="00236076">
        <w:t>5</w:t>
      </w:r>
      <w:r w:rsidRPr="00897119">
        <w:t xml:space="preserve">°C and tetrathionate broth at </w:t>
      </w:r>
      <w:r w:rsidR="00E27104" w:rsidRPr="00E27104">
        <w:rPr>
          <w:strike/>
        </w:rPr>
        <w:t>37</w:t>
      </w:r>
      <w:r w:rsidR="00E27104">
        <w:rPr>
          <w:strike/>
        </w:rPr>
        <w:t xml:space="preserve"> </w:t>
      </w:r>
      <w:r w:rsidR="00E27104" w:rsidRPr="00E27104">
        <w:rPr>
          <w:u w:val="double"/>
        </w:rPr>
        <w:t>34</w:t>
      </w:r>
      <w:r w:rsidR="00E27104">
        <w:rPr>
          <w:u w:val="double"/>
        </w:rPr>
        <w:t>–</w:t>
      </w:r>
      <w:r w:rsidR="00E27104" w:rsidRPr="00E27104">
        <w:rPr>
          <w:u w:val="double"/>
        </w:rPr>
        <w:t>38</w:t>
      </w:r>
      <w:r w:rsidR="00E27104" w:rsidRPr="00897119">
        <w:t>°C</w:t>
      </w:r>
      <w:r w:rsidRPr="00E27104">
        <w:rPr>
          <w:strike/>
        </w:rPr>
        <w:t xml:space="preserve"> (ensure that a reputable brand</w:t>
      </w:r>
      <w:r w:rsidRPr="00AC3BA3">
        <w:rPr>
          <w:u w:val="double"/>
        </w:rPr>
        <w:t>.</w:t>
      </w:r>
      <w:r w:rsidR="0005784B" w:rsidRPr="00AC3BA3">
        <w:rPr>
          <w:u w:val="double"/>
        </w:rPr>
        <w:t xml:space="preserve"> The higher end</w:t>
      </w:r>
      <w:r w:rsidR="0005784B" w:rsidRPr="006E3B34">
        <w:t xml:space="preserve"> of </w:t>
      </w:r>
      <w:r w:rsidRPr="00AC3BA3">
        <w:rPr>
          <w:strike/>
        </w:rPr>
        <w:t>tetrathionate</w:t>
      </w:r>
      <w:r w:rsidR="00AC3BA3">
        <w:rPr>
          <w:strike/>
        </w:rPr>
        <w:t xml:space="preserve"> </w:t>
      </w:r>
      <w:r w:rsidR="0005784B" w:rsidRPr="00AC3BA3">
        <w:rPr>
          <w:u w:val="double"/>
        </w:rPr>
        <w:t>the temperature range</w:t>
      </w:r>
      <w:r w:rsidR="00246AAD" w:rsidRPr="00AC3BA3">
        <w:rPr>
          <w:u w:val="double"/>
        </w:rPr>
        <w:t xml:space="preserve"> for both pre-enrichment and selective enrichment</w:t>
      </w:r>
      <w:r w:rsidR="0005784B" w:rsidRPr="00AC3BA3">
        <w:rPr>
          <w:u w:val="double"/>
        </w:rPr>
        <w:t xml:space="preserve"> is recommended for improved isolation of </w:t>
      </w:r>
      <w:r w:rsidR="0005784B" w:rsidRPr="00AC3BA3">
        <w:rPr>
          <w:i/>
          <w:u w:val="double"/>
        </w:rPr>
        <w:t>Salmonella</w:t>
      </w:r>
      <w:r w:rsidR="0005784B" w:rsidRPr="00AC3BA3">
        <w:rPr>
          <w:u w:val="double"/>
        </w:rPr>
        <w:t xml:space="preserve"> from faecal and intestinal samples, or environmental samples with a complex flora</w:t>
      </w:r>
      <w:r w:rsidR="00246AAD" w:rsidRPr="00AC3BA3">
        <w:rPr>
          <w:u w:val="double"/>
        </w:rPr>
        <w:t>. The lower part of the range may be more</w:t>
      </w:r>
      <w:r w:rsidR="00246AAD" w:rsidRPr="006E3B34">
        <w:t xml:space="preserve"> suitable for </w:t>
      </w:r>
      <w:r w:rsidRPr="00AC3BA3">
        <w:rPr>
          <w:strike/>
        </w:rPr>
        <w:t>use at 37°C is used)</w:t>
      </w:r>
      <w:r w:rsidR="00AC3BA3">
        <w:t xml:space="preserve"> </w:t>
      </w:r>
      <w:r w:rsidR="00246AAD" w:rsidRPr="00AC3BA3">
        <w:rPr>
          <w:u w:val="double"/>
        </w:rPr>
        <w:t>some food</w:t>
      </w:r>
      <w:r w:rsidR="00585917" w:rsidRPr="00AC3BA3">
        <w:rPr>
          <w:u w:val="double"/>
        </w:rPr>
        <w:t>/feed</w:t>
      </w:r>
      <w:r w:rsidR="00246AAD" w:rsidRPr="00AC3BA3">
        <w:rPr>
          <w:u w:val="double"/>
        </w:rPr>
        <w:t xml:space="preserve"> and dry environmental samples</w:t>
      </w:r>
      <w:r w:rsidR="00AC3BA3">
        <w:t>.</w:t>
      </w:r>
    </w:p>
    <w:p w14:paraId="487F1F97" w14:textId="2B1822F8" w:rsidR="00A05DC3" w:rsidRPr="00897119" w:rsidRDefault="00A05DC3" w:rsidP="00A05DC3">
      <w:pPr>
        <w:pStyle w:val="ifourthlevellist"/>
      </w:pPr>
      <w:r w:rsidRPr="00897119">
        <w:t>vi)</w:t>
      </w:r>
      <w:r w:rsidRPr="00897119">
        <w:tab/>
        <w:t>After 24 and 48 hours of selective enrichment, plate out MSRV</w:t>
      </w:r>
      <w:r w:rsidRPr="00AC3BA3">
        <w:rPr>
          <w:strike/>
        </w:rPr>
        <w:t xml:space="preserve"> or DIASALM</w:t>
      </w:r>
      <w:r w:rsidRPr="00897119">
        <w:t xml:space="preserve"> by taking 1 µl loop of material from the edge of the turbid growth zone and streaking over one plate of </w:t>
      </w:r>
      <w:r w:rsidR="003453C5" w:rsidRPr="00897119">
        <w:t xml:space="preserve">chromogenic agar </w:t>
      </w:r>
      <w:r w:rsidR="003453C5" w:rsidRPr="00AC3BA3">
        <w:rPr>
          <w:strike/>
        </w:rPr>
        <w:t xml:space="preserve">(e.g. </w:t>
      </w:r>
      <w:r w:rsidRPr="00AC3BA3">
        <w:rPr>
          <w:strike/>
        </w:rPr>
        <w:t>Rambach agar</w:t>
      </w:r>
      <w:r w:rsidR="003453C5" w:rsidRPr="00AC3BA3">
        <w:rPr>
          <w:strike/>
        </w:rPr>
        <w:t>)</w:t>
      </w:r>
      <w:r w:rsidRPr="00AC3BA3">
        <w:rPr>
          <w:strike/>
        </w:rPr>
        <w:t xml:space="preserve"> </w:t>
      </w:r>
      <w:r w:rsidRPr="00897119">
        <w:t xml:space="preserve">or BGA plus novobiocin and one plate of </w:t>
      </w:r>
      <w:r w:rsidR="0009757D" w:rsidRPr="00897119">
        <w:t>XLD</w:t>
      </w:r>
      <w:r w:rsidRPr="00897119">
        <w:t xml:space="preserve"> agar.</w:t>
      </w:r>
    </w:p>
    <w:p w14:paraId="4FEBCD94" w14:textId="58025697" w:rsidR="00A05DC3" w:rsidRPr="00897119" w:rsidRDefault="00A05DC3" w:rsidP="00A05DC3">
      <w:pPr>
        <w:pStyle w:val="ifourthlevellist"/>
      </w:pPr>
      <w:r w:rsidRPr="00897119">
        <w:t>vii)</w:t>
      </w:r>
      <w:r w:rsidRPr="00897119">
        <w:tab/>
        <w:t xml:space="preserve">Plate out 10 µl of tetrathionate broth on </w:t>
      </w:r>
      <w:r w:rsidR="003453C5" w:rsidRPr="00897119">
        <w:t xml:space="preserve">one plate of chromogenic agar </w:t>
      </w:r>
      <w:r w:rsidR="003453C5" w:rsidRPr="00AC3BA3">
        <w:rPr>
          <w:strike/>
        </w:rPr>
        <w:t xml:space="preserve">(e.g. </w:t>
      </w:r>
      <w:r w:rsidRPr="00AC3BA3">
        <w:rPr>
          <w:strike/>
        </w:rPr>
        <w:t>Rambach agar</w:t>
      </w:r>
      <w:r w:rsidR="003453C5" w:rsidRPr="00AC3BA3">
        <w:rPr>
          <w:strike/>
        </w:rPr>
        <w:t>)</w:t>
      </w:r>
      <w:r w:rsidRPr="00AC3BA3">
        <w:rPr>
          <w:strike/>
        </w:rPr>
        <w:t xml:space="preserve"> </w:t>
      </w:r>
      <w:r w:rsidRPr="00897119">
        <w:t xml:space="preserve">or BGA plus novobiocin and </w:t>
      </w:r>
      <w:r w:rsidR="0009757D" w:rsidRPr="00897119">
        <w:t>XLD</w:t>
      </w:r>
      <w:r w:rsidRPr="00897119">
        <w:t xml:space="preserve"> agar.</w:t>
      </w:r>
    </w:p>
    <w:p w14:paraId="243A8BEC" w14:textId="74BCF5D2" w:rsidR="00A05DC3" w:rsidRPr="00897119" w:rsidRDefault="00A05DC3" w:rsidP="00A05DC3">
      <w:pPr>
        <w:pStyle w:val="ifourthlevellist"/>
      </w:pPr>
      <w:r w:rsidRPr="00897119">
        <w:lastRenderedPageBreak/>
        <w:t>viii)</w:t>
      </w:r>
      <w:r w:rsidRPr="00897119">
        <w:tab/>
        <w:t xml:space="preserve">Incubate plates at </w:t>
      </w:r>
      <w:r w:rsidR="00AC3BA3" w:rsidRPr="00E27104">
        <w:rPr>
          <w:strike/>
        </w:rPr>
        <w:t>37</w:t>
      </w:r>
      <w:r w:rsidR="00AC3BA3">
        <w:rPr>
          <w:strike/>
        </w:rPr>
        <w:t xml:space="preserve"> </w:t>
      </w:r>
      <w:r w:rsidR="00AC3BA3" w:rsidRPr="00E27104">
        <w:rPr>
          <w:u w:val="double"/>
        </w:rPr>
        <w:t>34</w:t>
      </w:r>
      <w:r w:rsidR="00AC3BA3">
        <w:rPr>
          <w:u w:val="double"/>
        </w:rPr>
        <w:t>–</w:t>
      </w:r>
      <w:r w:rsidR="00AC3BA3" w:rsidRPr="00E27104">
        <w:rPr>
          <w:u w:val="double"/>
        </w:rPr>
        <w:t>38</w:t>
      </w:r>
      <w:r w:rsidR="00AC3BA3" w:rsidRPr="00897119">
        <w:t xml:space="preserve">°C </w:t>
      </w:r>
      <w:r w:rsidRPr="00897119">
        <w:t xml:space="preserve">for </w:t>
      </w:r>
      <w:r w:rsidRPr="00AC3BA3">
        <w:rPr>
          <w:strike/>
        </w:rPr>
        <w:t>24</w:t>
      </w:r>
      <w:r w:rsidR="00AC3BA3">
        <w:rPr>
          <w:strike/>
        </w:rPr>
        <w:t xml:space="preserve"> </w:t>
      </w:r>
      <w:r w:rsidRPr="00AC3BA3">
        <w:rPr>
          <w:u w:val="double"/>
        </w:rPr>
        <w:t>2</w:t>
      </w:r>
      <w:r w:rsidR="000E487E" w:rsidRPr="00AC3BA3">
        <w:rPr>
          <w:u w:val="double"/>
        </w:rPr>
        <w:t>1</w:t>
      </w:r>
      <w:r w:rsidR="00AC3BA3" w:rsidRPr="00AC3BA3">
        <w:rPr>
          <w:u w:val="double"/>
        </w:rPr>
        <w:t>–</w:t>
      </w:r>
      <w:r w:rsidR="000E487E" w:rsidRPr="00AC3BA3">
        <w:rPr>
          <w:u w:val="double"/>
        </w:rPr>
        <w:t>2</w:t>
      </w:r>
      <w:r w:rsidR="004A365A" w:rsidRPr="00AC3BA3">
        <w:rPr>
          <w:u w:val="double"/>
        </w:rPr>
        <w:t>7</w:t>
      </w:r>
      <w:r w:rsidRPr="00897119">
        <w:t xml:space="preserve"> hours.</w:t>
      </w:r>
    </w:p>
    <w:p w14:paraId="75169873" w14:textId="415D40F1" w:rsidR="00A05DC3" w:rsidRPr="00897119" w:rsidRDefault="00A05DC3" w:rsidP="00A05DC3">
      <w:pPr>
        <w:pStyle w:val="ifourthlevellist"/>
      </w:pPr>
      <w:r w:rsidRPr="00897119">
        <w:t>ix)</w:t>
      </w:r>
      <w:r w:rsidRPr="00897119">
        <w:tab/>
        <w:t xml:space="preserve">Check up to five suspect colonies (red/pink with reddening of the </w:t>
      </w:r>
      <w:r w:rsidRPr="0042738F">
        <w:rPr>
          <w:strike/>
        </w:rPr>
        <w:t>media on BGA, crimson with pale borders or orange/colourless on Rambach agar</w:t>
      </w:r>
      <w:r w:rsidR="0042738F">
        <w:rPr>
          <w:strike/>
        </w:rPr>
        <w:t xml:space="preserve"> </w:t>
      </w:r>
      <w:r w:rsidRPr="0042738F">
        <w:rPr>
          <w:u w:val="double"/>
        </w:rPr>
        <w:t>medi</w:t>
      </w:r>
      <w:r w:rsidR="00141BEF" w:rsidRPr="0042738F">
        <w:rPr>
          <w:u w:val="double"/>
        </w:rPr>
        <w:t>um</w:t>
      </w:r>
      <w:r w:rsidRPr="0042738F">
        <w:rPr>
          <w:u w:val="double"/>
        </w:rPr>
        <w:t xml:space="preserve"> on BGA</w:t>
      </w:r>
      <w:r w:rsidRPr="00897119">
        <w:t xml:space="preserve">, red with black centre (or </w:t>
      </w:r>
      <w:r w:rsidRPr="003F54B6">
        <w:t>occasionally translucent red in the case of H</w:t>
      </w:r>
      <w:r w:rsidRPr="003F54B6">
        <w:rPr>
          <w:szCs w:val="14"/>
          <w:vertAlign w:val="subscript"/>
        </w:rPr>
        <w:t>2</w:t>
      </w:r>
      <w:r w:rsidRPr="003F54B6">
        <w:t>S negative strains</w:t>
      </w:r>
      <w:r w:rsidRPr="0042738F">
        <w:rPr>
          <w:strike/>
        </w:rPr>
        <w:t>)</w:t>
      </w:r>
      <w:r w:rsidRPr="003F54B6">
        <w:t xml:space="preserve"> on </w:t>
      </w:r>
      <w:r w:rsidR="0009757D" w:rsidRPr="003F54B6">
        <w:t>XLD</w:t>
      </w:r>
      <w:r w:rsidRPr="003F54B6">
        <w:t xml:space="preserve"> agar) </w:t>
      </w:r>
      <w:r w:rsidR="003453C5" w:rsidRPr="003F54B6">
        <w:t xml:space="preserve">biochemically, using composite media such as TSI, LDC and urea, or commercial biochemical </w:t>
      </w:r>
      <w:r w:rsidR="003453C5" w:rsidRPr="0042738F">
        <w:rPr>
          <w:strike/>
        </w:rPr>
        <w:t>tests</w:t>
      </w:r>
      <w:r w:rsidR="0042738F">
        <w:rPr>
          <w:strike/>
        </w:rPr>
        <w:t xml:space="preserve"> </w:t>
      </w:r>
      <w:r w:rsidR="003453C5" w:rsidRPr="0042738F">
        <w:rPr>
          <w:u w:val="double"/>
        </w:rPr>
        <w:t>test</w:t>
      </w:r>
      <w:r w:rsidR="001F6C40" w:rsidRPr="0042738F">
        <w:rPr>
          <w:u w:val="double"/>
        </w:rPr>
        <w:t xml:space="preserve"> kit</w:t>
      </w:r>
      <w:r w:rsidR="003453C5" w:rsidRPr="0042738F">
        <w:rPr>
          <w:u w:val="double"/>
        </w:rPr>
        <w:t>s</w:t>
      </w:r>
      <w:r w:rsidR="00141BEF" w:rsidRPr="0042738F">
        <w:rPr>
          <w:u w:val="double"/>
        </w:rPr>
        <w:t xml:space="preserve">, </w:t>
      </w:r>
      <w:r w:rsidR="009E41D7" w:rsidRPr="0042738F">
        <w:rPr>
          <w:u w:val="double"/>
        </w:rPr>
        <w:t xml:space="preserve">and </w:t>
      </w:r>
      <w:r w:rsidR="00141BEF" w:rsidRPr="0042738F">
        <w:rPr>
          <w:u w:val="double"/>
        </w:rPr>
        <w:t>by slide agglutination with polyvalent ‘O’ (A-S) and poly ‘H’ (phase 1 and phase 2 antisera</w:t>
      </w:r>
      <w:r w:rsidR="00FB6DF3" w:rsidRPr="0042738F">
        <w:rPr>
          <w:u w:val="double"/>
        </w:rPr>
        <w:t>)</w:t>
      </w:r>
      <w:r w:rsidR="00590BBD" w:rsidRPr="0042738F">
        <w:t>.</w:t>
      </w:r>
      <w:r w:rsidR="00590BBD" w:rsidRPr="00897119">
        <w:t xml:space="preserve"> Confirm to </w:t>
      </w:r>
      <w:r w:rsidR="00B8132B">
        <w:t xml:space="preserve">the </w:t>
      </w:r>
      <w:r w:rsidR="00590BBD" w:rsidRPr="00897119">
        <w:t xml:space="preserve">serogroup level by </w:t>
      </w:r>
      <w:r w:rsidRPr="00897119">
        <w:t xml:space="preserve">using </w:t>
      </w:r>
      <w:r w:rsidRPr="0042738F">
        <w:rPr>
          <w:strike/>
        </w:rPr>
        <w:t>poly ‘O’ and poly ‘H’ (phase 1 and phase 2)</w:t>
      </w:r>
      <w:r w:rsidR="0042738F">
        <w:rPr>
          <w:strike/>
        </w:rPr>
        <w:t xml:space="preserve"> </w:t>
      </w:r>
      <w:r w:rsidR="001E2780" w:rsidRPr="0042738F">
        <w:rPr>
          <w:u w:val="double"/>
        </w:rPr>
        <w:t>sp</w:t>
      </w:r>
      <w:r w:rsidR="00141BEF" w:rsidRPr="0042738F">
        <w:rPr>
          <w:u w:val="double"/>
        </w:rPr>
        <w:t xml:space="preserve">ecific </w:t>
      </w:r>
      <w:r w:rsidRPr="0042738F">
        <w:rPr>
          <w:u w:val="double"/>
        </w:rPr>
        <w:t xml:space="preserve">‘O’ </w:t>
      </w:r>
      <w:r w:rsidR="00141BEF" w:rsidRPr="0042738F">
        <w:rPr>
          <w:u w:val="double"/>
        </w:rPr>
        <w:t>group</w:t>
      </w:r>
      <w:r w:rsidRPr="00897119">
        <w:t xml:space="preserve"> antiserum</w:t>
      </w:r>
      <w:r w:rsidRPr="0042738F">
        <w:rPr>
          <w:strike/>
        </w:rPr>
        <w:t xml:space="preserve"> or composite</w:t>
      </w:r>
      <w:r w:rsidRPr="0042738F">
        <w:rPr>
          <w:u w:val="double"/>
        </w:rPr>
        <w:t>.</w:t>
      </w:r>
      <w:r w:rsidR="009E41D7" w:rsidRPr="0042738F">
        <w:rPr>
          <w:u w:val="double"/>
        </w:rPr>
        <w:t xml:space="preserve"> The combination of the</w:t>
      </w:r>
      <w:r w:rsidR="009E41D7">
        <w:t xml:space="preserve"> </w:t>
      </w:r>
      <w:r w:rsidR="009E41D7" w:rsidRPr="009E41D7">
        <w:t xml:space="preserve">biochemical </w:t>
      </w:r>
      <w:r w:rsidRPr="0042738F">
        <w:rPr>
          <w:strike/>
        </w:rPr>
        <w:t>media.</w:t>
      </w:r>
      <w:r w:rsidR="00B11938" w:rsidRPr="0042738F">
        <w:rPr>
          <w:strike/>
        </w:rPr>
        <w:t xml:space="preserve"> </w:t>
      </w:r>
      <w:r w:rsidR="009E41D7" w:rsidRPr="0042738F">
        <w:rPr>
          <w:u w:val="double"/>
        </w:rPr>
        <w:t xml:space="preserve">and serological results can provide confirmation of </w:t>
      </w:r>
      <w:r w:rsidR="009E41D7" w:rsidRPr="0042738F">
        <w:rPr>
          <w:i/>
          <w:u w:val="double"/>
        </w:rPr>
        <w:t>Salmonella</w:t>
      </w:r>
      <w:r w:rsidR="009E41D7" w:rsidRPr="0042738F">
        <w:rPr>
          <w:u w:val="double"/>
        </w:rPr>
        <w:t xml:space="preserve"> spp. </w:t>
      </w:r>
      <w:r w:rsidR="00B11938" w:rsidRPr="00897119">
        <w:t>Sero-grouping alone is not sufficient</w:t>
      </w:r>
      <w:r w:rsidR="00141BEF">
        <w:t xml:space="preserve"> </w:t>
      </w:r>
      <w:r w:rsidR="00141BEF" w:rsidRPr="0042738F">
        <w:rPr>
          <w:u w:val="double"/>
        </w:rPr>
        <w:t>to rule out false positives</w:t>
      </w:r>
      <w:r w:rsidR="00B11938" w:rsidRPr="00B8132B">
        <w:t xml:space="preserve"> </w:t>
      </w:r>
      <w:r w:rsidR="00B11938" w:rsidRPr="00897119">
        <w:t xml:space="preserve">because of cross-reactions </w:t>
      </w:r>
      <w:r w:rsidR="00B11938" w:rsidRPr="0042738F">
        <w:rPr>
          <w:strike/>
        </w:rPr>
        <w:t xml:space="preserve">with polyvalent sera, </w:t>
      </w:r>
      <w:r w:rsidR="00B11938" w:rsidRPr="00897119">
        <w:t xml:space="preserve">e.g. </w:t>
      </w:r>
      <w:r w:rsidR="00B51422" w:rsidRPr="00897119">
        <w:t xml:space="preserve">by </w:t>
      </w:r>
      <w:r w:rsidR="00B51422" w:rsidRPr="00897119">
        <w:rPr>
          <w:i/>
        </w:rPr>
        <w:t>Citrobacter</w:t>
      </w:r>
      <w:r w:rsidR="00141BEF">
        <w:rPr>
          <w:i/>
        </w:rPr>
        <w:t xml:space="preserve"> </w:t>
      </w:r>
      <w:r w:rsidR="00141BEF" w:rsidRPr="0042738F">
        <w:rPr>
          <w:u w:val="double"/>
        </w:rPr>
        <w:t xml:space="preserve">or </w:t>
      </w:r>
      <w:r w:rsidR="00141BEF" w:rsidRPr="0042738F">
        <w:rPr>
          <w:i/>
          <w:u w:val="double"/>
        </w:rPr>
        <w:t>Enterobacter</w:t>
      </w:r>
      <w:r w:rsidR="00B51422" w:rsidRPr="00B8132B">
        <w:rPr>
          <w:i/>
        </w:rPr>
        <w:t xml:space="preserve"> </w:t>
      </w:r>
      <w:r w:rsidR="00B51422" w:rsidRPr="00897119">
        <w:t>spp</w:t>
      </w:r>
      <w:r w:rsidR="00B51422" w:rsidRPr="00897119">
        <w:rPr>
          <w:i/>
        </w:rPr>
        <w:t>.</w:t>
      </w:r>
      <w:r w:rsidR="00B51422" w:rsidRPr="00897119">
        <w:t xml:space="preserve"> </w:t>
      </w:r>
      <w:r w:rsidR="00B51422" w:rsidRPr="0042738F">
        <w:rPr>
          <w:strike/>
        </w:rPr>
        <w:t>Multiple</w:t>
      </w:r>
      <w:r w:rsidR="0042738F">
        <w:rPr>
          <w:strike/>
        </w:rPr>
        <w:t xml:space="preserve"> </w:t>
      </w:r>
      <w:r w:rsidR="00B75BB7" w:rsidRPr="0042738F">
        <w:rPr>
          <w:u w:val="double"/>
        </w:rPr>
        <w:t>Composite</w:t>
      </w:r>
      <w:r w:rsidR="00B75BB7">
        <w:t xml:space="preserve"> b</w:t>
      </w:r>
      <w:r w:rsidR="00B51422" w:rsidRPr="00897119">
        <w:t>iochemical tests</w:t>
      </w:r>
      <w:r w:rsidR="00141BEF" w:rsidRPr="0042738F">
        <w:rPr>
          <w:u w:val="double"/>
        </w:rPr>
        <w:t xml:space="preserve">, </w:t>
      </w:r>
      <w:r w:rsidR="007F1B6D" w:rsidRPr="007F1B6D">
        <w:rPr>
          <w:u w:val="double"/>
        </w:rPr>
        <w:t>polymerase chain reaction (PCR)</w:t>
      </w:r>
      <w:r w:rsidR="00141BEF" w:rsidRPr="007F1B6D">
        <w:rPr>
          <w:u w:val="double"/>
        </w:rPr>
        <w:t xml:space="preserve"> or </w:t>
      </w:r>
      <w:r w:rsidR="007F1B6D" w:rsidRPr="007F1B6D">
        <w:rPr>
          <w:rStyle w:val="title-text"/>
          <w:u w:val="double"/>
        </w:rPr>
        <w:t>matrix assisted laser desorption ionisation time of flight</w:t>
      </w:r>
      <w:r w:rsidR="007F1B6D" w:rsidRPr="007F1B6D">
        <w:rPr>
          <w:u w:val="double"/>
        </w:rPr>
        <w:t xml:space="preserve"> (</w:t>
      </w:r>
      <w:r w:rsidR="00141BEF" w:rsidRPr="007F1B6D">
        <w:rPr>
          <w:u w:val="double"/>
        </w:rPr>
        <w:t>MALDI-ToF</w:t>
      </w:r>
      <w:r w:rsidR="007F1B6D">
        <w:rPr>
          <w:u w:val="double"/>
        </w:rPr>
        <w:t>) mass spectrometry</w:t>
      </w:r>
      <w:r w:rsidR="00B51422" w:rsidRPr="00897119">
        <w:t xml:space="preserve"> can </w:t>
      </w:r>
      <w:r w:rsidR="009E41D7" w:rsidRPr="0042738F">
        <w:rPr>
          <w:u w:val="double"/>
        </w:rPr>
        <w:t>also</w:t>
      </w:r>
      <w:r w:rsidR="009E41D7" w:rsidRPr="00B8132B">
        <w:t xml:space="preserve"> </w:t>
      </w:r>
      <w:r w:rsidR="00B51422" w:rsidRPr="00897119">
        <w:t>provide confirmation</w:t>
      </w:r>
      <w:r w:rsidR="00141BEF" w:rsidRPr="00B8132B">
        <w:t xml:space="preserve"> </w:t>
      </w:r>
      <w:r w:rsidR="00141BEF" w:rsidRPr="0042738F">
        <w:rPr>
          <w:u w:val="double"/>
        </w:rPr>
        <w:t xml:space="preserve">of </w:t>
      </w:r>
      <w:r w:rsidR="00141BEF" w:rsidRPr="0042738F">
        <w:rPr>
          <w:i/>
          <w:u w:val="double"/>
        </w:rPr>
        <w:t>Salmonella</w:t>
      </w:r>
      <w:r w:rsidR="00141BEF" w:rsidRPr="0042738F">
        <w:rPr>
          <w:u w:val="double"/>
        </w:rPr>
        <w:t xml:space="preserve"> spp</w:t>
      </w:r>
      <w:r w:rsidR="00B51422" w:rsidRPr="00897119">
        <w:t>.</w:t>
      </w:r>
    </w:p>
    <w:p w14:paraId="7EE36B0F" w14:textId="4787BEE1" w:rsidR="00A05DC3" w:rsidRPr="00897119" w:rsidRDefault="00A05DC3" w:rsidP="00A05DC3">
      <w:pPr>
        <w:pStyle w:val="ifourthlevellist"/>
      </w:pPr>
      <w:r w:rsidRPr="00897119">
        <w:t>x)</w:t>
      </w:r>
      <w:r w:rsidRPr="00897119">
        <w:tab/>
        <w:t xml:space="preserve">Subculture strongly suspect colonies that do not agglutinate with poly H antisera on to non-selective media then repeat testing. If a strong poly ‘O’ and poly ‘H’ agglutination can be obtained, this is sufficient for presumptive confirmation. </w:t>
      </w:r>
      <w:r w:rsidR="00590BBD" w:rsidRPr="00897119">
        <w:t xml:space="preserve">Biochemically and serologically confirmed </w:t>
      </w:r>
      <w:r w:rsidRPr="00897119">
        <w:t>isolates can then be submitted to a reference laboratory</w:t>
      </w:r>
      <w:r w:rsidR="0094513E" w:rsidRPr="00897119">
        <w:t xml:space="preserve"> for serotyping</w:t>
      </w:r>
      <w:r w:rsidRPr="00897119">
        <w:t xml:space="preserve">. </w:t>
      </w:r>
      <w:r w:rsidRPr="0042738F">
        <w:rPr>
          <w:strike/>
        </w:rPr>
        <w:t>If agglutination results are unclear then carry out further biochemical testing using composite media, such as TSI or use ONPG (</w:t>
      </w:r>
      <w:r w:rsidRPr="0042738F">
        <w:rPr>
          <w:i/>
          <w:strike/>
        </w:rPr>
        <w:t>o</w:t>
      </w:r>
      <w:r w:rsidRPr="0042738F">
        <w:rPr>
          <w:strike/>
        </w:rPr>
        <w:t>-nitrophenyl-beta-d-galactopyranoside) and urea or commercial biochemical test</w:t>
      </w:r>
      <w:r w:rsidR="0094513E" w:rsidRPr="0042738F">
        <w:rPr>
          <w:strike/>
        </w:rPr>
        <w:t xml:space="preserve"> kit</w:t>
      </w:r>
      <w:r w:rsidRPr="0042738F">
        <w:rPr>
          <w:strike/>
        </w:rPr>
        <w:t>s.</w:t>
      </w:r>
    </w:p>
    <w:p w14:paraId="3DB2AA9C" w14:textId="77777777" w:rsidR="00A05DC3" w:rsidRPr="0042738F" w:rsidRDefault="00A05DC3" w:rsidP="00A05DC3">
      <w:pPr>
        <w:pStyle w:val="111Para"/>
        <w:rPr>
          <w:strike/>
        </w:rPr>
      </w:pPr>
      <w:r w:rsidRPr="0042738F">
        <w:rPr>
          <w:strike/>
        </w:rPr>
        <w:t xml:space="preserve">This method differs from ISO 6579:2002 and its Annex D method in that it allows for inoculation of DIASALM in place of MSRV for selective enrichment and uses the chromogenic Rambach agar as its first plating agar. However, it provides the possibility of additional detection by combining elements of broth and semi-solid agar enrichment (Carrique-Mas </w:t>
      </w:r>
      <w:r w:rsidRPr="0042738F">
        <w:rPr>
          <w:i/>
          <w:strike/>
        </w:rPr>
        <w:t>et al</w:t>
      </w:r>
      <w:r w:rsidRPr="0042738F">
        <w:rPr>
          <w:strike/>
        </w:rPr>
        <w:t>., 2009).</w:t>
      </w:r>
    </w:p>
    <w:p w14:paraId="758F253E" w14:textId="77777777" w:rsidR="00C3218B" w:rsidRPr="00897119" w:rsidRDefault="00C3218B" w:rsidP="00F71F23">
      <w:pPr>
        <w:pStyle w:val="11"/>
      </w:pPr>
      <w:r w:rsidRPr="00897119">
        <w:t>1.2.</w:t>
      </w:r>
      <w:r w:rsidRPr="00897119">
        <w:tab/>
        <w:t>Quantification methods</w:t>
      </w:r>
    </w:p>
    <w:p w14:paraId="0F94B30A" w14:textId="7FAA1134" w:rsidR="00C3218B" w:rsidRPr="00897119" w:rsidRDefault="00C3218B" w:rsidP="00F71F23">
      <w:pPr>
        <w:pStyle w:val="11Para"/>
      </w:pPr>
      <w:r w:rsidRPr="00897119">
        <w:rPr>
          <w:i/>
          <w:iCs/>
        </w:rPr>
        <w:t>Salmonella</w:t>
      </w:r>
      <w:r w:rsidRPr="00897119">
        <w:t xml:space="preserve"> from infected tissues can be enumerated by direct plating, but most probable number (MPN) techniques are necessary for faecal, feed or environmental samples. </w:t>
      </w:r>
      <w:r w:rsidR="00590BBD" w:rsidRPr="00897119">
        <w:t xml:space="preserve">A </w:t>
      </w:r>
      <w:r w:rsidRPr="00897119">
        <w:t xml:space="preserve">miniaturised MPN method has been </w:t>
      </w:r>
      <w:r w:rsidR="00590BBD" w:rsidRPr="00897119">
        <w:t>described</w:t>
      </w:r>
      <w:r w:rsidR="00C32715">
        <w:t xml:space="preserve"> </w:t>
      </w:r>
      <w:r w:rsidR="00590BBD" w:rsidRPr="0042738F">
        <w:rPr>
          <w:strike/>
        </w:rPr>
        <w:t>(</w:t>
      </w:r>
      <w:r w:rsidR="00C32715" w:rsidRPr="0042738F">
        <w:rPr>
          <w:u w:val="double"/>
        </w:rPr>
        <w:t>and listed by ISO</w:t>
      </w:r>
      <w:r w:rsidR="00922C27">
        <w:rPr>
          <w:u w:val="double"/>
        </w:rPr>
        <w:t xml:space="preserve">, </w:t>
      </w:r>
      <w:r w:rsidR="00922C27" w:rsidRPr="00B71D8D">
        <w:rPr>
          <w:highlight w:val="yellow"/>
          <w:u w:val="double"/>
        </w:rPr>
        <w:t>2012</w:t>
      </w:r>
      <w:r w:rsidR="00590BBD" w:rsidRPr="0042738F">
        <w:rPr>
          <w:u w:val="double"/>
        </w:rPr>
        <w:t xml:space="preserve"> (</w:t>
      </w:r>
      <w:r w:rsidR="00C32715" w:rsidRPr="0042738F">
        <w:rPr>
          <w:u w:val="double"/>
        </w:rPr>
        <w:t>ISO</w:t>
      </w:r>
      <w:r w:rsidR="004B3331" w:rsidRPr="00B71D8D">
        <w:rPr>
          <w:highlight w:val="yellow"/>
          <w:u w:val="double"/>
        </w:rPr>
        <w:t>/TS</w:t>
      </w:r>
      <w:r w:rsidR="00C32715" w:rsidRPr="0042738F">
        <w:rPr>
          <w:u w:val="double"/>
        </w:rPr>
        <w:t xml:space="preserve"> 6579</w:t>
      </w:r>
      <w:r w:rsidR="0028076F" w:rsidRPr="00B71D8D">
        <w:rPr>
          <w:highlight w:val="yellow"/>
          <w:u w:val="double"/>
        </w:rPr>
        <w:t>-2</w:t>
      </w:r>
      <w:r w:rsidR="00C32715" w:rsidRPr="00B71D8D">
        <w:rPr>
          <w:highlight w:val="yellow"/>
          <w:u w:val="double"/>
        </w:rPr>
        <w:t>:</w:t>
      </w:r>
      <w:r w:rsidR="00C32715" w:rsidRPr="00B71D8D">
        <w:rPr>
          <w:strike/>
          <w:highlight w:val="yellow"/>
        </w:rPr>
        <w:t xml:space="preserve">17-2; </w:t>
      </w:r>
      <w:r w:rsidR="00590BBD" w:rsidRPr="00B71D8D">
        <w:rPr>
          <w:strike/>
          <w:highlight w:val="yellow"/>
        </w:rPr>
        <w:t>ISO,</w:t>
      </w:r>
      <w:r w:rsidR="00590BBD" w:rsidRPr="00897119">
        <w:t xml:space="preserve"> 2012</w:t>
      </w:r>
      <w:r w:rsidR="00590BBD" w:rsidRPr="0042738F">
        <w:rPr>
          <w:strike/>
        </w:rPr>
        <w:t>)</w:t>
      </w:r>
      <w:r w:rsidRPr="0042738F">
        <w:rPr>
          <w:strike/>
        </w:rPr>
        <w:t xml:space="preserve"> </w:t>
      </w:r>
      <w:r w:rsidR="00590BBD" w:rsidRPr="0042738F">
        <w:rPr>
          <w:strike/>
        </w:rPr>
        <w:t xml:space="preserve">based on </w:t>
      </w:r>
      <w:r w:rsidRPr="0042738F">
        <w:rPr>
          <w:strike/>
        </w:rPr>
        <w:t xml:space="preserve">Fravalo </w:t>
      </w:r>
      <w:r w:rsidRPr="0042738F">
        <w:rPr>
          <w:i/>
          <w:strike/>
        </w:rPr>
        <w:t>et al.,</w:t>
      </w:r>
      <w:r w:rsidRPr="0042738F">
        <w:rPr>
          <w:strike/>
        </w:rPr>
        <w:t xml:space="preserve"> </w:t>
      </w:r>
      <w:r w:rsidR="00590BBD" w:rsidRPr="0042738F">
        <w:rPr>
          <w:strike/>
        </w:rPr>
        <w:t>(</w:t>
      </w:r>
      <w:r w:rsidRPr="0042738F">
        <w:rPr>
          <w:strike/>
        </w:rPr>
        <w:t>2003</w:t>
      </w:r>
      <w:r w:rsidRPr="0042738F">
        <w:t>)</w:t>
      </w:r>
      <w:r w:rsidR="00BB3ADB" w:rsidRPr="0042738F">
        <w:t>.</w:t>
      </w:r>
      <w:r w:rsidR="00761278" w:rsidRPr="0042738F">
        <w:t xml:space="preserve"> </w:t>
      </w:r>
      <w:r w:rsidR="00BB3ADB" w:rsidRPr="00897119">
        <w:t>Furthermore</w:t>
      </w:r>
      <w:r w:rsidR="00767D80">
        <w:t>,</w:t>
      </w:r>
      <w:r w:rsidR="00761278" w:rsidRPr="00897119">
        <w:t xml:space="preserve"> quantitative real</w:t>
      </w:r>
      <w:r w:rsidR="008120C2" w:rsidRPr="00897119">
        <w:t>-</w:t>
      </w:r>
      <w:r w:rsidR="00761278" w:rsidRPr="00897119">
        <w:t>time PCR methods have also been developed</w:t>
      </w:r>
      <w:r w:rsidR="00767D80" w:rsidRPr="0042738F">
        <w:rPr>
          <w:u w:val="double"/>
        </w:rPr>
        <w:t xml:space="preserve"> (Zhang </w:t>
      </w:r>
      <w:r w:rsidR="00767D80" w:rsidRPr="0042738F">
        <w:rPr>
          <w:i/>
          <w:u w:val="double"/>
        </w:rPr>
        <w:t>et al</w:t>
      </w:r>
      <w:r w:rsidR="00767D80" w:rsidRPr="0042738F">
        <w:rPr>
          <w:u w:val="double"/>
        </w:rPr>
        <w:t>., 2020)</w:t>
      </w:r>
      <w:r w:rsidRPr="0042738F">
        <w:t>.</w:t>
      </w:r>
    </w:p>
    <w:p w14:paraId="1A152878" w14:textId="77777777" w:rsidR="00C3218B" w:rsidRPr="00897119" w:rsidRDefault="00C3218B" w:rsidP="00F71F23">
      <w:pPr>
        <w:pStyle w:val="11"/>
      </w:pPr>
      <w:r w:rsidRPr="00897119">
        <w:t>1.3.</w:t>
      </w:r>
      <w:r w:rsidRPr="00897119">
        <w:tab/>
        <w:t>Identification of suspect colonies</w:t>
      </w:r>
    </w:p>
    <w:p w14:paraId="38BE489A" w14:textId="7E710EFD" w:rsidR="00C3218B" w:rsidRPr="00897119" w:rsidRDefault="00C3218B" w:rsidP="000A78E9">
      <w:pPr>
        <w:pStyle w:val="11Para"/>
      </w:pPr>
      <w:r w:rsidRPr="00897119">
        <w:t xml:space="preserve">Suspect colonies are </w:t>
      </w:r>
      <w:r w:rsidR="00866A45" w:rsidRPr="00897119">
        <w:t>subcultured</w:t>
      </w:r>
      <w:r w:rsidRPr="00897119">
        <w:t xml:space="preserve"> onto selective and non-selective agars to ensure </w:t>
      </w:r>
      <w:r w:rsidR="0094513E" w:rsidRPr="00897119">
        <w:t xml:space="preserve">the absence of </w:t>
      </w:r>
      <w:r w:rsidRPr="00897119">
        <w:t xml:space="preserve">possible contaminants, such as </w:t>
      </w:r>
      <w:r w:rsidRPr="00897119">
        <w:rPr>
          <w:i/>
        </w:rPr>
        <w:t>Proteus</w:t>
      </w:r>
      <w:r w:rsidRPr="00897119">
        <w:t xml:space="preserve"> spp. If there is an abundant pure growth, suspect colonies may be tested by slide agglutination with polyvalent </w:t>
      </w:r>
      <w:r w:rsidRPr="00897119">
        <w:rPr>
          <w:i/>
        </w:rPr>
        <w:t>Salmonella</w:t>
      </w:r>
      <w:r w:rsidRPr="00897119">
        <w:t xml:space="preserve">-typing </w:t>
      </w:r>
      <w:r w:rsidR="00BB3ADB" w:rsidRPr="00897119">
        <w:t>anti</w:t>
      </w:r>
      <w:r w:rsidRPr="00897119">
        <w:t xml:space="preserve">sera (Ellis </w:t>
      </w:r>
      <w:r w:rsidRPr="00897119">
        <w:rPr>
          <w:i/>
        </w:rPr>
        <w:t>et al.,</w:t>
      </w:r>
      <w:r w:rsidRPr="00897119">
        <w:t xml:space="preserve"> 1976). In some cases, the suspect colony may not agglutinate or</w:t>
      </w:r>
      <w:r w:rsidR="002C5B44">
        <w:t xml:space="preserve"> </w:t>
      </w:r>
      <w:r w:rsidR="002C5B44" w:rsidRPr="0042738F">
        <w:rPr>
          <w:u w:val="double"/>
        </w:rPr>
        <w:t>may</w:t>
      </w:r>
      <w:r w:rsidRPr="00EF53A6">
        <w:t xml:space="preserve"> </w:t>
      </w:r>
      <w:r w:rsidRPr="00897119">
        <w:t xml:space="preserve">auto-agglutinate and it is necessary to use biochemical tests to confirm the identity. These tests can be performed </w:t>
      </w:r>
      <w:r w:rsidR="0094513E" w:rsidRPr="00897119">
        <w:t xml:space="preserve">using </w:t>
      </w:r>
      <w:r w:rsidRPr="00897119">
        <w:t>peptone water sugars or commercial systems or composite media (such as triple sugar iron agar [TSI</w:t>
      </w:r>
      <w:r w:rsidRPr="0042738F">
        <w:rPr>
          <w:strike/>
        </w:rPr>
        <w:t>]), can be used to screen organisms</w:t>
      </w:r>
      <w:r w:rsidRPr="0042738F">
        <w:rPr>
          <w:u w:val="double"/>
        </w:rPr>
        <w:t>])</w:t>
      </w:r>
      <w:r w:rsidRPr="00F32643">
        <w:rPr>
          <w:strike/>
        </w:rPr>
        <w:t xml:space="preserve"> (Ewing, 1986)</w:t>
      </w:r>
      <w:r w:rsidRPr="00897119">
        <w:t xml:space="preserve">. It is particularly important to ensure that </w:t>
      </w:r>
      <w:r w:rsidRPr="00897119">
        <w:rPr>
          <w:i/>
          <w:iCs/>
        </w:rPr>
        <w:t>Salmonella</w:t>
      </w:r>
      <w:r w:rsidRPr="00897119">
        <w:t xml:space="preserve"> cultures used for determination of antimicrobial resistance</w:t>
      </w:r>
      <w:r w:rsidR="002C5B44">
        <w:t xml:space="preserve"> </w:t>
      </w:r>
      <w:r w:rsidR="002C5B44" w:rsidRPr="0042738F">
        <w:rPr>
          <w:u w:val="double"/>
        </w:rPr>
        <w:t>of live vaccine testing</w:t>
      </w:r>
      <w:r w:rsidRPr="00EF53A6">
        <w:t xml:space="preserve"> </w:t>
      </w:r>
      <w:r w:rsidRPr="00897119">
        <w:t xml:space="preserve">are not mixed with other organisms such as </w:t>
      </w:r>
      <w:r w:rsidRPr="00897119">
        <w:rPr>
          <w:i/>
        </w:rPr>
        <w:t>Pseudomonas</w:t>
      </w:r>
      <w:r w:rsidRPr="00897119">
        <w:t xml:space="preserve"> that are more likely to be multi-resistant</w:t>
      </w:r>
      <w:r w:rsidR="002C5B44" w:rsidRPr="00EF53A6">
        <w:t xml:space="preserve"> </w:t>
      </w:r>
      <w:r w:rsidR="002C5B44" w:rsidRPr="0042738F">
        <w:rPr>
          <w:u w:val="double"/>
        </w:rPr>
        <w:t>or to mask auxotropism</w:t>
      </w:r>
      <w:r w:rsidR="0042738F">
        <w:t>.</w:t>
      </w:r>
      <w:r w:rsidR="00B51422" w:rsidRPr="00897119">
        <w:t xml:space="preserve"> MALDI-TOF is also an </w:t>
      </w:r>
      <w:r w:rsidR="00934260" w:rsidRPr="00897119">
        <w:t>acceptable</w:t>
      </w:r>
      <w:r w:rsidR="002C5B44">
        <w:t xml:space="preserve"> </w:t>
      </w:r>
      <w:r w:rsidR="002C5B44" w:rsidRPr="0042738F">
        <w:rPr>
          <w:u w:val="double"/>
        </w:rPr>
        <w:t>and rapid</w:t>
      </w:r>
      <w:r w:rsidR="00B51422" w:rsidRPr="0042738F">
        <w:rPr>
          <w:u w:val="double"/>
        </w:rPr>
        <w:t xml:space="preserve"> </w:t>
      </w:r>
      <w:r w:rsidR="00B51422" w:rsidRPr="00897119">
        <w:t xml:space="preserve">method for identification of </w:t>
      </w:r>
      <w:r w:rsidR="001B1ECC" w:rsidRPr="00897119">
        <w:rPr>
          <w:i/>
        </w:rPr>
        <w:t>Salmonella</w:t>
      </w:r>
      <w:r w:rsidR="000A78E9" w:rsidRPr="00EF53A6">
        <w:rPr>
          <w:i/>
        </w:rPr>
        <w:t xml:space="preserve"> </w:t>
      </w:r>
      <w:r w:rsidR="000A78E9" w:rsidRPr="0042738F">
        <w:rPr>
          <w:u w:val="double"/>
        </w:rPr>
        <w:t>(Dieckmann</w:t>
      </w:r>
      <w:r w:rsidR="00053CBE" w:rsidRPr="0042738F">
        <w:rPr>
          <w:u w:val="double"/>
        </w:rPr>
        <w:t xml:space="preserve"> &amp; Malorney</w:t>
      </w:r>
      <w:r w:rsidR="000A78E9" w:rsidRPr="0042738F">
        <w:rPr>
          <w:i/>
          <w:u w:val="double"/>
        </w:rPr>
        <w:t xml:space="preserve">, </w:t>
      </w:r>
      <w:r w:rsidR="000A78E9" w:rsidRPr="0042738F">
        <w:rPr>
          <w:u w:val="double"/>
        </w:rPr>
        <w:t>2011)</w:t>
      </w:r>
      <w:r w:rsidR="0042738F">
        <w:rPr>
          <w:i/>
        </w:rPr>
        <w:t>.</w:t>
      </w:r>
    </w:p>
    <w:p w14:paraId="76F420F2" w14:textId="4541B8BF" w:rsidR="00C3218B" w:rsidRPr="00897119" w:rsidRDefault="00C3218B" w:rsidP="00F71F23">
      <w:pPr>
        <w:pStyle w:val="11Para"/>
      </w:pPr>
      <w:r w:rsidRPr="00897119">
        <w:t xml:space="preserve">The determination of the O factor(s) and the H antigen(s), and in special circumstances the Vi antigen (present in </w:t>
      </w:r>
      <w:r w:rsidRPr="00897119">
        <w:rPr>
          <w:i/>
          <w:iCs/>
        </w:rPr>
        <w:t>S.</w:t>
      </w:r>
      <w:r w:rsidRPr="00897119">
        <w:t xml:space="preserve"> Typhi, </w:t>
      </w:r>
      <w:r w:rsidRPr="00897119">
        <w:rPr>
          <w:i/>
          <w:iCs/>
        </w:rPr>
        <w:t>S.</w:t>
      </w:r>
      <w:r w:rsidRPr="00897119">
        <w:t xml:space="preserve"> Paratyphi C and </w:t>
      </w:r>
      <w:r w:rsidRPr="00897119">
        <w:rPr>
          <w:i/>
          <w:iCs/>
        </w:rPr>
        <w:t>S.</w:t>
      </w:r>
      <w:r w:rsidRPr="00897119">
        <w:t xml:space="preserve"> Dublin), is performed by direct slide agglutination or tube agglutination using specific antisera. In the case of biphasic organisms, it is necessary to determine both </w:t>
      </w:r>
      <w:r w:rsidR="003A62D1" w:rsidRPr="0042738F">
        <w:rPr>
          <w:u w:val="double"/>
        </w:rPr>
        <w:t xml:space="preserve">H </w:t>
      </w:r>
      <w:r w:rsidRPr="00897119">
        <w:t>phases, by the use of phase inversion – this involves passage through semi-solid agar containing antiserum to the known phase. Screening is facilitated by the availability of antisera directed against several factors, which can be pursued further by the use of monovalent typing sera.</w:t>
      </w:r>
      <w:r w:rsidR="00BB3ADB" w:rsidRPr="00897119">
        <w:t xml:space="preserve"> More details on serotyping of </w:t>
      </w:r>
      <w:r w:rsidR="00BB3ADB" w:rsidRPr="00897119">
        <w:rPr>
          <w:i/>
        </w:rPr>
        <w:t>Salmonella</w:t>
      </w:r>
      <w:r w:rsidR="00BB3ADB" w:rsidRPr="00897119">
        <w:t xml:space="preserve"> are described in </w:t>
      </w:r>
      <w:r w:rsidR="002C5B44" w:rsidRPr="00897119">
        <w:t>ISO</w:t>
      </w:r>
      <w:r w:rsidR="00096C4E" w:rsidRPr="00B71D8D">
        <w:rPr>
          <w:highlight w:val="yellow"/>
          <w:u w:val="double"/>
        </w:rPr>
        <w:t>/TR</w:t>
      </w:r>
      <w:r w:rsidR="002C5B44" w:rsidRPr="00897119">
        <w:t xml:space="preserve"> </w:t>
      </w:r>
      <w:r w:rsidR="00BB3ADB" w:rsidRPr="0042738F">
        <w:rPr>
          <w:strike/>
        </w:rPr>
        <w:t>(2014)</w:t>
      </w:r>
      <w:r w:rsidR="0042738F">
        <w:rPr>
          <w:strike/>
        </w:rPr>
        <w:t xml:space="preserve"> </w:t>
      </w:r>
      <w:r w:rsidR="002C5B44" w:rsidRPr="0042738F">
        <w:rPr>
          <w:u w:val="double"/>
        </w:rPr>
        <w:t>6579</w:t>
      </w:r>
      <w:r w:rsidR="00C145C6" w:rsidRPr="00237856">
        <w:rPr>
          <w:highlight w:val="yellow"/>
          <w:u w:val="double"/>
        </w:rPr>
        <w:t>-3</w:t>
      </w:r>
      <w:r w:rsidR="002C5B44" w:rsidRPr="00237856">
        <w:rPr>
          <w:highlight w:val="yellow"/>
          <w:u w:val="double"/>
        </w:rPr>
        <w:t>:</w:t>
      </w:r>
      <w:r w:rsidR="00237856" w:rsidRPr="00237856">
        <w:rPr>
          <w:highlight w:val="yellow"/>
          <w:u w:val="double"/>
        </w:rPr>
        <w:t>2014</w:t>
      </w:r>
      <w:r w:rsidR="00237856" w:rsidRPr="00237856">
        <w:rPr>
          <w:highlight w:val="yellow"/>
        </w:rPr>
        <w:t xml:space="preserve"> </w:t>
      </w:r>
      <w:r w:rsidR="002C5B44" w:rsidRPr="00237856">
        <w:rPr>
          <w:strike/>
          <w:highlight w:val="yellow"/>
        </w:rPr>
        <w:t>2017</w:t>
      </w:r>
      <w:r w:rsidR="00237856">
        <w:rPr>
          <w:strike/>
        </w:rPr>
        <w:t>-3</w:t>
      </w:r>
      <w:r w:rsidR="002C5B44" w:rsidRPr="00F32643">
        <w:rPr>
          <w:strike/>
        </w:rPr>
        <w:t xml:space="preserve"> </w:t>
      </w:r>
      <w:r w:rsidR="00BB3ADB" w:rsidRPr="00F32643">
        <w:rPr>
          <w:strike/>
        </w:rPr>
        <w:t xml:space="preserve">and by Grimont </w:t>
      </w:r>
      <w:r w:rsidR="00934260" w:rsidRPr="00F32643">
        <w:rPr>
          <w:strike/>
        </w:rPr>
        <w:t>&amp;</w:t>
      </w:r>
      <w:r w:rsidR="00BB3ADB" w:rsidRPr="00F32643">
        <w:rPr>
          <w:strike/>
        </w:rPr>
        <w:t xml:space="preserve"> Weill (2007)</w:t>
      </w:r>
      <w:r w:rsidR="007A2A7C" w:rsidRPr="00C0603C">
        <w:t xml:space="preserve">. </w:t>
      </w:r>
      <w:r w:rsidRPr="00C0603C">
        <w:t>W</w:t>
      </w:r>
      <w:r w:rsidRPr="00897119">
        <w:t>hile many laboratories can identify the more common serovars, it is usually necessary to use the facilities of a reference laboratory to confirm the identity of an isolate</w:t>
      </w:r>
      <w:r w:rsidRPr="00B71D8D">
        <w:rPr>
          <w:strike/>
          <w:highlight w:val="yellow"/>
        </w:rPr>
        <w:t>,</w:t>
      </w:r>
      <w:r w:rsidRPr="00B71D8D">
        <w:rPr>
          <w:strike/>
        </w:rPr>
        <w:t xml:space="preserve"> </w:t>
      </w:r>
      <w:r w:rsidR="00B11938" w:rsidRPr="0042738F">
        <w:rPr>
          <w:strike/>
        </w:rPr>
        <w:t>including</w:t>
      </w:r>
      <w:r w:rsidR="0042738F" w:rsidRPr="00B71D8D">
        <w:t xml:space="preserve"> </w:t>
      </w:r>
      <w:r w:rsidR="002C5B44" w:rsidRPr="0042738F">
        <w:rPr>
          <w:u w:val="double"/>
        </w:rPr>
        <w:t>or to conduct</w:t>
      </w:r>
      <w:r w:rsidR="002C5B44" w:rsidRPr="00897119">
        <w:t xml:space="preserve"> </w:t>
      </w:r>
      <w:r w:rsidRPr="00897119">
        <w:t>phage typing, if serovar-specific typing phages are available, and for genetic characterisation. Additional biochemical</w:t>
      </w:r>
      <w:r w:rsidR="002C5B44" w:rsidRPr="007F1B6D">
        <w:t xml:space="preserve"> </w:t>
      </w:r>
      <w:r w:rsidR="002C5B44" w:rsidRPr="0042738F">
        <w:rPr>
          <w:u w:val="double"/>
        </w:rPr>
        <w:t>or PCR</w:t>
      </w:r>
      <w:r w:rsidRPr="00897119">
        <w:t xml:space="preserve"> tests may be necessary to identify some serovar variants, e.g. </w:t>
      </w:r>
      <w:r w:rsidRPr="00897119">
        <w:rPr>
          <w:bCs/>
        </w:rPr>
        <w:t>d</w:t>
      </w:r>
      <w:r w:rsidRPr="00897119">
        <w:t xml:space="preserve">-tartrate fermentation, which can be used to differentiate </w:t>
      </w:r>
      <w:r w:rsidRPr="00897119">
        <w:rPr>
          <w:i/>
        </w:rPr>
        <w:t>S.</w:t>
      </w:r>
      <w:r w:rsidRPr="00897119">
        <w:t xml:space="preserve"> Paratyphi B var. Java (d-tartrate +) from </w:t>
      </w:r>
      <w:r w:rsidRPr="00897119">
        <w:rPr>
          <w:i/>
        </w:rPr>
        <w:t>S.</w:t>
      </w:r>
      <w:r w:rsidR="00CA21DE" w:rsidRPr="00897119">
        <w:t> </w:t>
      </w:r>
      <w:r w:rsidRPr="00897119">
        <w:t>Paratyphi B. Isolates should also be tested for their sensitivity to a range of antimicrobial agents as there is increasing concern about the emergence of new multiple resistant strains harbouring (transferable) resistance genes to cephalosporins</w:t>
      </w:r>
      <w:r w:rsidR="00067230" w:rsidRPr="0042738F">
        <w:rPr>
          <w:u w:val="double"/>
        </w:rPr>
        <w:t>, colistin</w:t>
      </w:r>
      <w:r w:rsidR="00067230">
        <w:t xml:space="preserve"> and</w:t>
      </w:r>
      <w:r w:rsidR="00067230" w:rsidRPr="00897119">
        <w:t xml:space="preserve"> </w:t>
      </w:r>
      <w:r w:rsidRPr="00897119">
        <w:t>fluoroquinolones (</w:t>
      </w:r>
      <w:r w:rsidR="0042738F" w:rsidRPr="0042738F">
        <w:rPr>
          <w:strike/>
        </w:rPr>
        <w:t xml:space="preserve">Figueiredo </w:t>
      </w:r>
      <w:r w:rsidR="0042738F" w:rsidRPr="0042738F">
        <w:rPr>
          <w:i/>
          <w:strike/>
        </w:rPr>
        <w:t xml:space="preserve">et al., </w:t>
      </w:r>
      <w:r w:rsidR="0042738F" w:rsidRPr="0042738F">
        <w:rPr>
          <w:strike/>
        </w:rPr>
        <w:t>2015;</w:t>
      </w:r>
      <w:r w:rsidR="0042738F" w:rsidRPr="0042738F">
        <w:rPr>
          <w:i/>
          <w:strike/>
        </w:rPr>
        <w:t xml:space="preserve"> </w:t>
      </w:r>
      <w:r w:rsidR="0042738F" w:rsidRPr="0042738F">
        <w:rPr>
          <w:strike/>
          <w:lang w:val="en-US"/>
        </w:rPr>
        <w:t xml:space="preserve">Greene </w:t>
      </w:r>
      <w:r w:rsidR="0042738F" w:rsidRPr="0042738F">
        <w:rPr>
          <w:i/>
          <w:strike/>
          <w:lang w:val="en-US"/>
        </w:rPr>
        <w:t>et al.,</w:t>
      </w:r>
      <w:r w:rsidR="0042738F" w:rsidRPr="0042738F">
        <w:rPr>
          <w:strike/>
          <w:lang w:val="en-US"/>
        </w:rPr>
        <w:t xml:space="preserve"> 2008</w:t>
      </w:r>
      <w:r w:rsidR="0042738F" w:rsidRPr="0042738F">
        <w:rPr>
          <w:strike/>
        </w:rPr>
        <w:t xml:space="preserve"> </w:t>
      </w:r>
      <w:r w:rsidR="00067230" w:rsidRPr="0042738F">
        <w:rPr>
          <w:u w:val="double"/>
        </w:rPr>
        <w:t xml:space="preserve">Antonelli </w:t>
      </w:r>
      <w:r w:rsidR="00067230" w:rsidRPr="0042738F">
        <w:rPr>
          <w:i/>
          <w:u w:val="double"/>
        </w:rPr>
        <w:t>et al</w:t>
      </w:r>
      <w:r w:rsidR="00067230" w:rsidRPr="0042738F">
        <w:rPr>
          <w:u w:val="double"/>
        </w:rPr>
        <w:t>., 2019; Jajere, 2019</w:t>
      </w:r>
      <w:r w:rsidRPr="00897119">
        <w:t>). Live vaccine strains are also commonly identified by antimicrobial resistance markers</w:t>
      </w:r>
      <w:r w:rsidR="002C5B44">
        <w:t xml:space="preserve"> </w:t>
      </w:r>
      <w:r w:rsidR="002C5B44" w:rsidRPr="0042738F">
        <w:rPr>
          <w:u w:val="double"/>
        </w:rPr>
        <w:t>or</w:t>
      </w:r>
      <w:r w:rsidRPr="00897119">
        <w:t xml:space="preserve"> biochemical changes such as auxotrophism or roughness</w:t>
      </w:r>
      <w:r w:rsidR="00694F7C" w:rsidRPr="0042738F">
        <w:rPr>
          <w:u w:val="double"/>
        </w:rPr>
        <w:t>, as well as by</w:t>
      </w:r>
      <w:r w:rsidR="00881D99" w:rsidRPr="0042738F">
        <w:rPr>
          <w:u w:val="double"/>
        </w:rPr>
        <w:t xml:space="preserve"> commercial</w:t>
      </w:r>
      <w:r w:rsidR="00694F7C" w:rsidRPr="0042738F">
        <w:rPr>
          <w:u w:val="double"/>
        </w:rPr>
        <w:t xml:space="preserve"> PCR</w:t>
      </w:r>
      <w:r w:rsidR="00881D99" w:rsidRPr="0042738F">
        <w:rPr>
          <w:u w:val="double"/>
        </w:rPr>
        <w:t xml:space="preserve"> kits</w:t>
      </w:r>
      <w:r w:rsidR="009E41D7" w:rsidRPr="0042738F">
        <w:rPr>
          <w:u w:val="double"/>
        </w:rPr>
        <w:t xml:space="preserve"> or published PCR assays</w:t>
      </w:r>
      <w:r w:rsidRPr="00897119">
        <w:t>.</w:t>
      </w:r>
    </w:p>
    <w:p w14:paraId="0EA0DE6D" w14:textId="77777777" w:rsidR="00C3218B" w:rsidRPr="00897119" w:rsidRDefault="00C3218B" w:rsidP="00F71F23">
      <w:pPr>
        <w:pStyle w:val="11"/>
      </w:pPr>
      <w:r w:rsidRPr="00B3713D">
        <w:lastRenderedPageBreak/>
        <w:t>1.4.</w:t>
      </w:r>
      <w:r w:rsidRPr="00B3713D">
        <w:tab/>
        <w:t>Immunological and nucleic acid recognition methods</w:t>
      </w:r>
    </w:p>
    <w:p w14:paraId="4C81AE79" w14:textId="728AD369" w:rsidR="00E26BE1" w:rsidRDefault="00C3218B" w:rsidP="00F71F23">
      <w:pPr>
        <w:pStyle w:val="11Para"/>
      </w:pPr>
      <w:r w:rsidRPr="00897119">
        <w:t xml:space="preserve">Numerous alternative </w:t>
      </w:r>
      <w:r w:rsidRPr="00897119">
        <w:rPr>
          <w:i/>
        </w:rPr>
        <w:t>Salmonella</w:t>
      </w:r>
      <w:r w:rsidRPr="00897119">
        <w:t xml:space="preserve"> detection methods are in use</w:t>
      </w:r>
      <w:r w:rsidRPr="00657D7F">
        <w:t xml:space="preserve"> </w:t>
      </w:r>
      <w:r w:rsidRPr="00897119">
        <w:t>and some are commercially available</w:t>
      </w:r>
      <w:r w:rsidR="00E83537" w:rsidRPr="0042738F">
        <w:t xml:space="preserve">. </w:t>
      </w:r>
      <w:r w:rsidRPr="0042738F">
        <w:rPr>
          <w:strike/>
        </w:rPr>
        <w:t xml:space="preserve">These include immunomagnetic separation (IMS) (Park </w:t>
      </w:r>
      <w:r w:rsidRPr="0042738F">
        <w:rPr>
          <w:i/>
          <w:strike/>
        </w:rPr>
        <w:t>et al.</w:t>
      </w:r>
      <w:r w:rsidR="00BD2102" w:rsidRPr="0042738F">
        <w:rPr>
          <w:i/>
          <w:strike/>
        </w:rPr>
        <w:t>,</w:t>
      </w:r>
      <w:r w:rsidRPr="0042738F">
        <w:rPr>
          <w:i/>
          <w:strike/>
        </w:rPr>
        <w:t xml:space="preserve"> </w:t>
      </w:r>
      <w:r w:rsidRPr="0042738F">
        <w:rPr>
          <w:strike/>
        </w:rPr>
        <w:t xml:space="preserve">2011), reverse transcriptase </w:t>
      </w:r>
      <w:r w:rsidR="00BD2102" w:rsidRPr="0042738F">
        <w:rPr>
          <w:strike/>
        </w:rPr>
        <w:t>r</w:t>
      </w:r>
      <w:r w:rsidRPr="0042738F">
        <w:rPr>
          <w:strike/>
        </w:rPr>
        <w:t>eal</w:t>
      </w:r>
      <w:r w:rsidR="00BD2102" w:rsidRPr="0042738F">
        <w:rPr>
          <w:strike/>
        </w:rPr>
        <w:t>-</w:t>
      </w:r>
      <w:r w:rsidRPr="0042738F">
        <w:rPr>
          <w:strike/>
        </w:rPr>
        <w:t xml:space="preserve">time (RT)-PCR (Park </w:t>
      </w:r>
      <w:r w:rsidRPr="0042738F">
        <w:rPr>
          <w:i/>
          <w:strike/>
        </w:rPr>
        <w:t>et al.</w:t>
      </w:r>
      <w:r w:rsidR="00BD2102" w:rsidRPr="0042738F">
        <w:rPr>
          <w:i/>
          <w:strike/>
        </w:rPr>
        <w:t>,</w:t>
      </w:r>
      <w:r w:rsidRPr="0042738F">
        <w:rPr>
          <w:i/>
          <w:strike/>
        </w:rPr>
        <w:t xml:space="preserve"> </w:t>
      </w:r>
      <w:r w:rsidR="00D41B30" w:rsidRPr="0042738F">
        <w:rPr>
          <w:strike/>
        </w:rPr>
        <w:t>2014)</w:t>
      </w:r>
      <w:r w:rsidRPr="0042738F">
        <w:rPr>
          <w:strike/>
        </w:rPr>
        <w:t>, enzyme-linked immunosorbent assay (ELISA</w:t>
      </w:r>
      <w:r w:rsidR="00581CC3" w:rsidRPr="0042738F">
        <w:rPr>
          <w:strike/>
        </w:rPr>
        <w:t>)</w:t>
      </w:r>
      <w:r w:rsidRPr="0042738F">
        <w:rPr>
          <w:strike/>
        </w:rPr>
        <w:t xml:space="preserve"> (Barrow, 1992; Wang </w:t>
      </w:r>
      <w:r w:rsidRPr="0042738F">
        <w:rPr>
          <w:i/>
          <w:strike/>
        </w:rPr>
        <w:t>et al</w:t>
      </w:r>
      <w:r w:rsidRPr="0042738F">
        <w:rPr>
          <w:strike/>
        </w:rPr>
        <w:t xml:space="preserve">., 2015), real time PCR (Malorny </w:t>
      </w:r>
      <w:r w:rsidRPr="0042738F">
        <w:rPr>
          <w:i/>
          <w:strike/>
        </w:rPr>
        <w:t>et al</w:t>
      </w:r>
      <w:r w:rsidR="004E1754" w:rsidRPr="0042738F">
        <w:rPr>
          <w:strike/>
        </w:rPr>
        <w:t>.,</w:t>
      </w:r>
      <w:r w:rsidRPr="0042738F">
        <w:rPr>
          <w:strike/>
        </w:rPr>
        <w:t xml:space="preserve"> 2004), quantitative PCR (Piknova </w:t>
      </w:r>
      <w:r w:rsidRPr="0042738F">
        <w:rPr>
          <w:i/>
          <w:strike/>
        </w:rPr>
        <w:t>et al</w:t>
      </w:r>
      <w:r w:rsidR="006D6A37" w:rsidRPr="0042738F">
        <w:rPr>
          <w:strike/>
        </w:rPr>
        <w:t xml:space="preserve">., </w:t>
      </w:r>
      <w:r w:rsidRPr="0042738F">
        <w:rPr>
          <w:strike/>
        </w:rPr>
        <w:t>2005) and microarray analysis (</w:t>
      </w:r>
      <w:r w:rsidR="00302786" w:rsidRPr="0042738F">
        <w:rPr>
          <w:strike/>
        </w:rPr>
        <w:t xml:space="preserve">Porwollik </w:t>
      </w:r>
      <w:r w:rsidR="00302786" w:rsidRPr="0042738F">
        <w:rPr>
          <w:i/>
          <w:strike/>
        </w:rPr>
        <w:t>et al</w:t>
      </w:r>
      <w:r w:rsidR="00302786" w:rsidRPr="0042738F">
        <w:rPr>
          <w:strike/>
        </w:rPr>
        <w:t>.</w:t>
      </w:r>
      <w:r w:rsidR="00BD2102" w:rsidRPr="0042738F">
        <w:rPr>
          <w:strike/>
        </w:rPr>
        <w:t>,</w:t>
      </w:r>
      <w:r w:rsidR="00302786" w:rsidRPr="0042738F">
        <w:rPr>
          <w:strike/>
        </w:rPr>
        <w:t xml:space="preserve"> 200</w:t>
      </w:r>
      <w:r w:rsidR="002B1D43" w:rsidRPr="0042738F">
        <w:rPr>
          <w:strike/>
        </w:rPr>
        <w:t>4</w:t>
      </w:r>
      <w:r w:rsidR="00302786" w:rsidRPr="0042738F">
        <w:rPr>
          <w:strike/>
        </w:rPr>
        <w:t>;</w:t>
      </w:r>
      <w:r w:rsidR="00302786" w:rsidRPr="0042738F">
        <w:rPr>
          <w:i/>
          <w:strike/>
        </w:rPr>
        <w:t xml:space="preserve"> </w:t>
      </w:r>
      <w:r w:rsidRPr="0042738F">
        <w:rPr>
          <w:strike/>
          <w:lang w:val="en-US"/>
        </w:rPr>
        <w:t>Rasooly &amp; Herold, 2008</w:t>
      </w:r>
      <w:r w:rsidRPr="0042738F">
        <w:rPr>
          <w:strike/>
        </w:rPr>
        <w:t xml:space="preserve">). These methods may be used to identify specific </w:t>
      </w:r>
      <w:r w:rsidRPr="0042738F">
        <w:rPr>
          <w:i/>
          <w:strike/>
        </w:rPr>
        <w:t xml:space="preserve">Salmonella </w:t>
      </w:r>
      <w:r w:rsidRPr="0042738F">
        <w:rPr>
          <w:strike/>
        </w:rPr>
        <w:t>serovars (Mauri</w:t>
      </w:r>
      <w:r w:rsidR="009520DC" w:rsidRPr="0042738F">
        <w:rPr>
          <w:strike/>
        </w:rPr>
        <w:t>s</w:t>
      </w:r>
      <w:r w:rsidRPr="0042738F">
        <w:rPr>
          <w:strike/>
        </w:rPr>
        <w:t xml:space="preserve">chat </w:t>
      </w:r>
      <w:r w:rsidRPr="0042738F">
        <w:rPr>
          <w:i/>
          <w:strike/>
        </w:rPr>
        <w:t xml:space="preserve">et al., </w:t>
      </w:r>
      <w:r w:rsidRPr="0042738F">
        <w:rPr>
          <w:strike/>
        </w:rPr>
        <w:t xml:space="preserve">2015a) or to distinguish live vaccine strains from </w:t>
      </w:r>
      <w:r w:rsidRPr="0042738F">
        <w:rPr>
          <w:i/>
          <w:strike/>
        </w:rPr>
        <w:t xml:space="preserve">Salmonella </w:t>
      </w:r>
      <w:r w:rsidRPr="0042738F">
        <w:rPr>
          <w:strike/>
        </w:rPr>
        <w:t>serovars infecting the flock or herd (Mauri</w:t>
      </w:r>
      <w:r w:rsidR="009520DC" w:rsidRPr="0042738F">
        <w:rPr>
          <w:strike/>
        </w:rPr>
        <w:t>s</w:t>
      </w:r>
      <w:r w:rsidRPr="0042738F">
        <w:rPr>
          <w:strike/>
        </w:rPr>
        <w:t xml:space="preserve">chat </w:t>
      </w:r>
      <w:r w:rsidRPr="0042738F">
        <w:rPr>
          <w:i/>
          <w:strike/>
        </w:rPr>
        <w:t>et al</w:t>
      </w:r>
      <w:r w:rsidRPr="0042738F">
        <w:rPr>
          <w:strike/>
        </w:rPr>
        <w:t xml:space="preserve">., 2015b). Some consist of a combination of methods such as a two-step enrichment and real-time PCR (Krascseniscová </w:t>
      </w:r>
      <w:r w:rsidRPr="0042738F">
        <w:rPr>
          <w:i/>
          <w:strike/>
        </w:rPr>
        <w:t>et al.</w:t>
      </w:r>
      <w:r w:rsidRPr="0042738F">
        <w:rPr>
          <w:strike/>
        </w:rPr>
        <w:t>, 2008).</w:t>
      </w:r>
      <w:r w:rsidR="0042738F">
        <w:rPr>
          <w:strike/>
        </w:rPr>
        <w:t xml:space="preserve"> </w:t>
      </w:r>
      <w:r w:rsidR="000B2F29" w:rsidRPr="0042738F">
        <w:rPr>
          <w:u w:val="double"/>
        </w:rPr>
        <w:t>C</w:t>
      </w:r>
      <w:r w:rsidR="00D801F5" w:rsidRPr="0042738F">
        <w:rPr>
          <w:u w:val="double"/>
        </w:rPr>
        <w:t>onventional or real</w:t>
      </w:r>
      <w:r w:rsidR="00B3713D">
        <w:rPr>
          <w:u w:val="double"/>
        </w:rPr>
        <w:t>-</w:t>
      </w:r>
      <w:r w:rsidR="00D801F5" w:rsidRPr="0042738F">
        <w:rPr>
          <w:u w:val="double"/>
        </w:rPr>
        <w:t>time</w:t>
      </w:r>
      <w:r w:rsidR="00B92175" w:rsidRPr="0042738F">
        <w:rPr>
          <w:u w:val="double"/>
        </w:rPr>
        <w:t xml:space="preserve"> quantitative</w:t>
      </w:r>
      <w:r w:rsidR="00D801F5" w:rsidRPr="0042738F">
        <w:rPr>
          <w:u w:val="double"/>
        </w:rPr>
        <w:t xml:space="preserve"> </w:t>
      </w:r>
      <w:r w:rsidR="00113833" w:rsidRPr="0042738F">
        <w:rPr>
          <w:u w:val="double"/>
        </w:rPr>
        <w:t xml:space="preserve">PCR, </w:t>
      </w:r>
      <w:r w:rsidR="00B92175" w:rsidRPr="0042738F">
        <w:rPr>
          <w:u w:val="double"/>
        </w:rPr>
        <w:t xml:space="preserve">sometimes </w:t>
      </w:r>
      <w:r w:rsidR="00113833" w:rsidRPr="0042738F">
        <w:rPr>
          <w:u w:val="double"/>
        </w:rPr>
        <w:t>including simultaneous identification of key serovars</w:t>
      </w:r>
      <w:r w:rsidR="000B2F29" w:rsidRPr="0042738F">
        <w:rPr>
          <w:u w:val="double"/>
        </w:rPr>
        <w:t xml:space="preserve"> </w:t>
      </w:r>
      <w:r w:rsidRPr="0042738F">
        <w:rPr>
          <w:u w:val="double"/>
        </w:rPr>
        <w:t>(</w:t>
      </w:r>
      <w:r w:rsidR="00113833" w:rsidRPr="0042738F">
        <w:rPr>
          <w:u w:val="double"/>
        </w:rPr>
        <w:t xml:space="preserve">Heymans </w:t>
      </w:r>
      <w:r w:rsidR="00113833" w:rsidRPr="0042738F">
        <w:rPr>
          <w:i/>
          <w:u w:val="double"/>
        </w:rPr>
        <w:t>et al</w:t>
      </w:r>
      <w:r w:rsidR="00113833" w:rsidRPr="0042738F">
        <w:rPr>
          <w:u w:val="double"/>
        </w:rPr>
        <w:t>., 2018</w:t>
      </w:r>
      <w:r w:rsidR="00D801F5" w:rsidRPr="0042738F">
        <w:rPr>
          <w:u w:val="double"/>
        </w:rPr>
        <w:t xml:space="preserve">; Zhang </w:t>
      </w:r>
      <w:r w:rsidR="00D801F5" w:rsidRPr="0042738F">
        <w:rPr>
          <w:i/>
          <w:u w:val="double"/>
        </w:rPr>
        <w:t>et al</w:t>
      </w:r>
      <w:r w:rsidR="00D801F5" w:rsidRPr="0042738F">
        <w:rPr>
          <w:u w:val="double"/>
        </w:rPr>
        <w:t>., 2020</w:t>
      </w:r>
      <w:r w:rsidR="00D41B30" w:rsidRPr="0042738F">
        <w:rPr>
          <w:u w:val="double"/>
        </w:rPr>
        <w:t>)</w:t>
      </w:r>
      <w:r w:rsidRPr="0042738F">
        <w:rPr>
          <w:u w:val="double"/>
        </w:rPr>
        <w:t xml:space="preserve">, </w:t>
      </w:r>
      <w:r w:rsidR="00D801F5" w:rsidRPr="0042738F">
        <w:rPr>
          <w:color w:val="222222"/>
          <w:u w:val="double"/>
          <w:shd w:val="clear" w:color="auto" w:fill="FFFFFF"/>
        </w:rPr>
        <w:t xml:space="preserve">loop-mediated isothermal amplification (LAMP) methods (Yang </w:t>
      </w:r>
      <w:r w:rsidR="00D801F5" w:rsidRPr="00D0308E">
        <w:rPr>
          <w:i/>
          <w:iCs/>
          <w:color w:val="222222"/>
          <w:u w:val="double"/>
          <w:shd w:val="clear" w:color="auto" w:fill="FFFFFF"/>
        </w:rPr>
        <w:t>et al</w:t>
      </w:r>
      <w:r w:rsidR="00B92175" w:rsidRPr="00D0308E">
        <w:rPr>
          <w:i/>
          <w:iCs/>
          <w:color w:val="222222"/>
          <w:u w:val="double"/>
          <w:shd w:val="clear" w:color="auto" w:fill="FFFFFF"/>
        </w:rPr>
        <w:t>.,</w:t>
      </w:r>
      <w:r w:rsidR="00B92175" w:rsidRPr="0042738F">
        <w:rPr>
          <w:color w:val="222222"/>
          <w:u w:val="double"/>
          <w:shd w:val="clear" w:color="auto" w:fill="FFFFFF"/>
        </w:rPr>
        <w:t xml:space="preserve"> 2018)</w:t>
      </w:r>
      <w:r w:rsidR="003A62D1" w:rsidRPr="0042738F">
        <w:rPr>
          <w:color w:val="222222"/>
          <w:u w:val="double"/>
          <w:shd w:val="clear" w:color="auto" w:fill="FFFFFF"/>
        </w:rPr>
        <w:t>,</w:t>
      </w:r>
      <w:r w:rsidR="00D801F5" w:rsidRPr="0042738F">
        <w:rPr>
          <w:color w:val="222222"/>
          <w:sz w:val="20"/>
          <w:szCs w:val="20"/>
          <w:u w:val="double"/>
          <w:shd w:val="clear" w:color="auto" w:fill="FFFFFF"/>
        </w:rPr>
        <w:t xml:space="preserve"> </w:t>
      </w:r>
      <w:r w:rsidRPr="0042738F">
        <w:rPr>
          <w:u w:val="double"/>
        </w:rPr>
        <w:t xml:space="preserve">enzyme-linked </w:t>
      </w:r>
      <w:r w:rsidR="00377DA3" w:rsidRPr="0042738F">
        <w:rPr>
          <w:u w:val="double"/>
        </w:rPr>
        <w:t xml:space="preserve">immunodiagnostic </w:t>
      </w:r>
      <w:r w:rsidRPr="0042738F">
        <w:rPr>
          <w:u w:val="double"/>
        </w:rPr>
        <w:t>assay</w:t>
      </w:r>
      <w:r w:rsidR="00377DA3" w:rsidRPr="0042738F">
        <w:rPr>
          <w:u w:val="double"/>
        </w:rPr>
        <w:t>s</w:t>
      </w:r>
      <w:r w:rsidRPr="0042738F">
        <w:rPr>
          <w:u w:val="double"/>
        </w:rPr>
        <w:t xml:space="preserve"> (</w:t>
      </w:r>
      <w:r w:rsidR="00377DA3" w:rsidRPr="0042738F">
        <w:rPr>
          <w:u w:val="double"/>
        </w:rPr>
        <w:t xml:space="preserve">Cetin </w:t>
      </w:r>
      <w:r w:rsidR="00377DA3" w:rsidRPr="0042738F">
        <w:rPr>
          <w:i/>
          <w:u w:val="double"/>
        </w:rPr>
        <w:t>et al</w:t>
      </w:r>
      <w:r w:rsidR="00377DA3" w:rsidRPr="0042738F">
        <w:rPr>
          <w:u w:val="double"/>
        </w:rPr>
        <w:t>., 2019</w:t>
      </w:r>
      <w:r w:rsidRPr="0042738F">
        <w:rPr>
          <w:u w:val="double"/>
        </w:rPr>
        <w:t>)</w:t>
      </w:r>
      <w:r w:rsidR="00377DA3" w:rsidRPr="0042738F">
        <w:rPr>
          <w:u w:val="double"/>
        </w:rPr>
        <w:t xml:space="preserve"> are available</w:t>
      </w:r>
      <w:r w:rsidRPr="0042738F">
        <w:rPr>
          <w:u w:val="double"/>
        </w:rPr>
        <w:t>.</w:t>
      </w:r>
      <w:r w:rsidRPr="00897119">
        <w:t xml:space="preserve"> Many of these methods have not been fully validated for faecal and environmental samples, although</w:t>
      </w:r>
      <w:r w:rsidR="00377DA3">
        <w:t xml:space="preserve"> </w:t>
      </w:r>
      <w:r w:rsidR="00377DA3" w:rsidRPr="0042738F">
        <w:rPr>
          <w:u w:val="double"/>
        </w:rPr>
        <w:t>some</w:t>
      </w:r>
      <w:r w:rsidRPr="0042738F">
        <w:rPr>
          <w:u w:val="double"/>
        </w:rPr>
        <w:t xml:space="preserve"> </w:t>
      </w:r>
      <w:r w:rsidRPr="00897119">
        <w:t>progress has been made (</w:t>
      </w:r>
      <w:r w:rsidR="00703987" w:rsidRPr="0042738F">
        <w:rPr>
          <w:strike/>
        </w:rPr>
        <w:t xml:space="preserve">Eriksson &amp; Aspan, 2007; </w:t>
      </w:r>
      <w:r w:rsidRPr="00897119">
        <w:rPr>
          <w:lang w:val="en-US"/>
        </w:rPr>
        <w:t>Malorny &amp; Hoorfar, 2005</w:t>
      </w:r>
      <w:r w:rsidRPr="00D0308E">
        <w:rPr>
          <w:strike/>
        </w:rPr>
        <w:t xml:space="preserve">). These </w:t>
      </w:r>
      <w:r w:rsidR="00E26BE1" w:rsidRPr="00D0308E">
        <w:rPr>
          <w:u w:val="double"/>
          <w:lang w:val="en-US"/>
        </w:rPr>
        <w:t xml:space="preserve">; Heymans </w:t>
      </w:r>
      <w:r w:rsidR="00E26BE1" w:rsidRPr="00D0308E">
        <w:rPr>
          <w:i/>
          <w:u w:val="double"/>
          <w:lang w:val="en-US"/>
        </w:rPr>
        <w:t>et al</w:t>
      </w:r>
      <w:r w:rsidR="00E26BE1" w:rsidRPr="00D0308E">
        <w:rPr>
          <w:u w:val="double"/>
          <w:lang w:val="en-US"/>
        </w:rPr>
        <w:t>., 20</w:t>
      </w:r>
      <w:r w:rsidR="0005784B" w:rsidRPr="00D0308E">
        <w:rPr>
          <w:u w:val="double"/>
          <w:lang w:val="en-US"/>
        </w:rPr>
        <w:t>18</w:t>
      </w:r>
      <w:r w:rsidR="00132D84" w:rsidRPr="00D0308E">
        <w:rPr>
          <w:u w:val="double"/>
          <w:lang w:val="en-US"/>
        </w:rPr>
        <w:t>)</w:t>
      </w:r>
      <w:r w:rsidR="00E26BE1" w:rsidRPr="00D0308E">
        <w:rPr>
          <w:u w:val="double"/>
        </w:rPr>
        <w:t xml:space="preserve"> and in the EU it is possible to validate alternative</w:t>
      </w:r>
      <w:r w:rsidR="00E26BE1" w:rsidRPr="00B3713D">
        <w:t xml:space="preserve"> </w:t>
      </w:r>
      <w:r w:rsidR="00E26BE1">
        <w:t xml:space="preserve">methods </w:t>
      </w:r>
      <w:r w:rsidR="00E26BE1" w:rsidRPr="00D0308E">
        <w:rPr>
          <w:u w:val="double"/>
        </w:rPr>
        <w:t>for statutory use by following ISO16140</w:t>
      </w:r>
      <w:r w:rsidR="00386DB3">
        <w:rPr>
          <w:u w:val="double"/>
        </w:rPr>
        <w:t>-</w:t>
      </w:r>
      <w:r w:rsidR="00E26BE1" w:rsidRPr="00D0308E">
        <w:rPr>
          <w:u w:val="double"/>
        </w:rPr>
        <w:t xml:space="preserve">2, via an authorised </w:t>
      </w:r>
      <w:r w:rsidR="00B35331" w:rsidRPr="00B71D8D">
        <w:rPr>
          <w:highlight w:val="yellow"/>
          <w:u w:val="double"/>
        </w:rPr>
        <w:t>certified organisation</w:t>
      </w:r>
      <w:r w:rsidR="00B71D8D" w:rsidRPr="00B71D8D">
        <w:rPr>
          <w:strike/>
          <w:highlight w:val="yellow"/>
        </w:rPr>
        <w:t xml:space="preserve"> </w:t>
      </w:r>
      <w:r w:rsidR="00E26BE1" w:rsidRPr="00B71D8D">
        <w:rPr>
          <w:strike/>
          <w:highlight w:val="yellow"/>
        </w:rPr>
        <w:t>accreditation body</w:t>
      </w:r>
      <w:r w:rsidRPr="00D0308E">
        <w:rPr>
          <w:u w:val="double"/>
        </w:rPr>
        <w:t>. These</w:t>
      </w:r>
      <w:r w:rsidR="00377DA3" w:rsidRPr="00D0308E">
        <w:rPr>
          <w:u w:val="double"/>
        </w:rPr>
        <w:t xml:space="preserve"> rapid</w:t>
      </w:r>
      <w:r w:rsidRPr="00D0308E">
        <w:rPr>
          <w:u w:val="double"/>
        </w:rPr>
        <w:t xml:space="preserve"> methods</w:t>
      </w:r>
      <w:r w:rsidRPr="00B3713D">
        <w:t xml:space="preserve"> </w:t>
      </w:r>
      <w:r w:rsidRPr="00897119">
        <w:t xml:space="preserve">are more suited </w:t>
      </w:r>
      <w:r w:rsidR="00866A45" w:rsidRPr="00897119">
        <w:t>to</w:t>
      </w:r>
      <w:r w:rsidRPr="00897119">
        <w:t xml:space="preserve"> analysis of human foodstuffs</w:t>
      </w:r>
      <w:r w:rsidR="000731B7">
        <w:t>,</w:t>
      </w:r>
      <w:r w:rsidRPr="00897119">
        <w:t xml:space="preserve"> where inhibitors of the PCR reactions</w:t>
      </w:r>
      <w:r w:rsidR="00377DA3">
        <w:t xml:space="preserve"> </w:t>
      </w:r>
      <w:r w:rsidR="00377DA3" w:rsidRPr="00D0308E">
        <w:rPr>
          <w:u w:val="double"/>
        </w:rPr>
        <w:t>and competing or cross-reacting organisms</w:t>
      </w:r>
      <w:r w:rsidRPr="00B3713D">
        <w:t xml:space="preserve"> </w:t>
      </w:r>
      <w:r w:rsidRPr="00897119">
        <w:t>are not as problematic as for faeces</w:t>
      </w:r>
      <w:r w:rsidR="00377DA3" w:rsidRPr="00D0308E">
        <w:rPr>
          <w:u w:val="double"/>
        </w:rPr>
        <w:t>.</w:t>
      </w:r>
      <w:r w:rsidRPr="00D0308E">
        <w:rPr>
          <w:u w:val="double"/>
        </w:rPr>
        <w:t xml:space="preserve"> </w:t>
      </w:r>
      <w:r w:rsidR="00377DA3" w:rsidRPr="00D0308E">
        <w:rPr>
          <w:u w:val="double"/>
        </w:rPr>
        <w:t>Optimisation of PCR detection</w:t>
      </w:r>
      <w:r w:rsidR="000B2F29" w:rsidRPr="00D0308E">
        <w:rPr>
          <w:u w:val="double"/>
        </w:rPr>
        <w:t xml:space="preserve"> necessitates suitable DNA extraction techniques and controls to detect inhibition, which may reduce the sensitivity of the test in some </w:t>
      </w:r>
      <w:r w:rsidR="000B2F29" w:rsidRPr="00657D7F">
        <w:rPr>
          <w:u w:val="double"/>
        </w:rPr>
        <w:t xml:space="preserve">cases </w:t>
      </w:r>
      <w:r w:rsidRPr="00657D7F">
        <w:rPr>
          <w:u w:val="double"/>
        </w:rPr>
        <w:t>(</w:t>
      </w:r>
      <w:r w:rsidR="00657D7F" w:rsidRPr="00657D7F">
        <w:rPr>
          <w:u w:val="double"/>
        </w:rPr>
        <w:t xml:space="preserve">Jensen </w:t>
      </w:r>
      <w:r w:rsidR="00657D7F" w:rsidRPr="00657D7F">
        <w:rPr>
          <w:i/>
          <w:u w:val="double"/>
        </w:rPr>
        <w:t>et al</w:t>
      </w:r>
      <w:r w:rsidR="00657D7F" w:rsidRPr="00657D7F">
        <w:rPr>
          <w:u w:val="double"/>
        </w:rPr>
        <w:t>., 2013;</w:t>
      </w:r>
      <w:r w:rsidR="00657D7F">
        <w:t xml:space="preserve"> </w:t>
      </w:r>
      <w:r w:rsidRPr="00897119">
        <w:rPr>
          <w:lang w:val="en-US"/>
        </w:rPr>
        <w:t xml:space="preserve">Kanki </w:t>
      </w:r>
      <w:r w:rsidRPr="00897119">
        <w:rPr>
          <w:i/>
          <w:lang w:val="en-US"/>
        </w:rPr>
        <w:t>et al</w:t>
      </w:r>
      <w:r w:rsidRPr="00897119">
        <w:rPr>
          <w:lang w:val="en-US"/>
        </w:rPr>
        <w:t>., 2009</w:t>
      </w:r>
      <w:r w:rsidRPr="00894810">
        <w:t>)</w:t>
      </w:r>
      <w:r w:rsidRPr="00D0308E">
        <w:rPr>
          <w:strike/>
        </w:rPr>
        <w:t xml:space="preserve">, though there is </w:t>
      </w:r>
      <w:r w:rsidR="003A62D1" w:rsidRPr="00D0308E">
        <w:rPr>
          <w:u w:val="double"/>
        </w:rPr>
        <w:t xml:space="preserve">. One </w:t>
      </w:r>
      <w:r w:rsidR="00D85B74" w:rsidRPr="00D0308E">
        <w:rPr>
          <w:u w:val="double"/>
        </w:rPr>
        <w:t>of the main advantage of these methods in comparison with the cultural ones is their rapidity, and they can be</w:t>
      </w:r>
      <w:r w:rsidR="00D85B74" w:rsidRPr="00894810">
        <w:t xml:space="preserve"> </w:t>
      </w:r>
      <w:r w:rsidR="00D85B74">
        <w:t xml:space="preserve">a </w:t>
      </w:r>
      <w:r w:rsidRPr="00D0308E">
        <w:rPr>
          <w:strike/>
        </w:rPr>
        <w:t xml:space="preserve">role for rapid methods </w:t>
      </w:r>
      <w:r w:rsidR="00D85B74" w:rsidRPr="00D0308E">
        <w:rPr>
          <w:u w:val="double"/>
        </w:rPr>
        <w:t>valuable diagnostic tool</w:t>
      </w:r>
      <w:r w:rsidR="00D85B74" w:rsidRPr="00894810">
        <w:t xml:space="preserve"> </w:t>
      </w:r>
      <w:r w:rsidRPr="00897119">
        <w:t xml:space="preserve">in test and release of batches of </w:t>
      </w:r>
      <w:r w:rsidRPr="00897119">
        <w:rPr>
          <w:i/>
        </w:rPr>
        <w:t>Salmonella-</w:t>
      </w:r>
      <w:r w:rsidRPr="00897119">
        <w:t xml:space="preserve">free </w:t>
      </w:r>
      <w:r w:rsidR="00D85B74" w:rsidRPr="00D0308E">
        <w:rPr>
          <w:u w:val="double"/>
        </w:rPr>
        <w:t>food and</w:t>
      </w:r>
      <w:r w:rsidR="00D85B74" w:rsidRPr="00894810">
        <w:t xml:space="preserve"> </w:t>
      </w:r>
      <w:r w:rsidRPr="00897119">
        <w:t xml:space="preserve">animal feedstuffs. The rapid methods are usually more expensive than conventional culture, but can be economically viable for </w:t>
      </w:r>
      <w:r w:rsidR="009520DC" w:rsidRPr="00897119">
        <w:t xml:space="preserve">initial </w:t>
      </w:r>
      <w:r w:rsidRPr="00897119">
        <w:t>screening</w:t>
      </w:r>
      <w:r w:rsidR="000731B7">
        <w:t xml:space="preserve"> </w:t>
      </w:r>
      <w:r w:rsidR="000731B7" w:rsidRPr="00D0308E">
        <w:rPr>
          <w:u w:val="double"/>
        </w:rPr>
        <w:t>of</w:t>
      </w:r>
      <w:r w:rsidRPr="00894810">
        <w:t xml:space="preserve"> </w:t>
      </w:r>
      <w:r w:rsidRPr="00897119">
        <w:t xml:space="preserve">materials where a low prevalence of contamination is expected or where materials, such as feedstuffs, are held pending a negative test. An enrichment/IMS method linked with </w:t>
      </w:r>
      <w:r w:rsidR="007610CB" w:rsidRPr="007610CB">
        <w:t xml:space="preserve">enzyme-linked immunosorbent assay (ELISA) </w:t>
      </w:r>
      <w:r w:rsidRPr="00897119">
        <w:t xml:space="preserve">or PCR can identify most </w:t>
      </w:r>
      <w:r w:rsidR="00B11938" w:rsidRPr="00897119">
        <w:rPr>
          <w:i/>
        </w:rPr>
        <w:t xml:space="preserve">Salmonella </w:t>
      </w:r>
      <w:r w:rsidRPr="00897119">
        <w:t>contamination within 24 hours</w:t>
      </w:r>
      <w:r w:rsidR="000B2F29" w:rsidRPr="00D0308E">
        <w:t xml:space="preserve"> </w:t>
      </w:r>
      <w:r w:rsidR="000B2F29" w:rsidRPr="00D0308E">
        <w:rPr>
          <w:u w:val="double"/>
        </w:rPr>
        <w:t xml:space="preserve">(Wang </w:t>
      </w:r>
      <w:r w:rsidR="000B2F29" w:rsidRPr="00D0308E">
        <w:rPr>
          <w:i/>
          <w:u w:val="double"/>
        </w:rPr>
        <w:t>et al</w:t>
      </w:r>
      <w:r w:rsidR="000B2F29" w:rsidRPr="00D0308E">
        <w:rPr>
          <w:u w:val="double"/>
        </w:rPr>
        <w:t>., 2018)</w:t>
      </w:r>
      <w:r w:rsidR="00D0308E">
        <w:t>.</w:t>
      </w:r>
      <w:r w:rsidR="00650EF8" w:rsidRPr="00897119">
        <w:t xml:space="preserve"> </w:t>
      </w:r>
      <w:r w:rsidR="005961C6" w:rsidRPr="00897119">
        <w:t>As</w:t>
      </w:r>
      <w:r w:rsidRPr="00897119">
        <w:t xml:space="preserve"> currently none of the rapid methods has been shown to be suitable for direct detection of</w:t>
      </w:r>
      <w:r w:rsidR="000B2F29">
        <w:t xml:space="preserve"> </w:t>
      </w:r>
      <w:r w:rsidR="000B2F29" w:rsidRPr="00D0308E">
        <w:rPr>
          <w:u w:val="double"/>
        </w:rPr>
        <w:t>low numbers of</w:t>
      </w:r>
      <w:r w:rsidRPr="00894810">
        <w:t xml:space="preserve"> </w:t>
      </w:r>
      <w:r w:rsidRPr="00897119">
        <w:rPr>
          <w:i/>
        </w:rPr>
        <w:t>Salmonella</w:t>
      </w:r>
      <w:r w:rsidR="000B2F29" w:rsidRPr="00894810">
        <w:t xml:space="preserve"> </w:t>
      </w:r>
      <w:r w:rsidR="000B2F29" w:rsidRPr="00D0308E">
        <w:rPr>
          <w:u w:val="double"/>
        </w:rPr>
        <w:t>in samples</w:t>
      </w:r>
      <w:r w:rsidR="000731B7">
        <w:t>,</w:t>
      </w:r>
      <w:r w:rsidRPr="00897119">
        <w:t xml:space="preserve"> non-selective or selective enrichment stages are</w:t>
      </w:r>
      <w:r w:rsidR="000B2F29" w:rsidRPr="00894810">
        <w:t xml:space="preserve"> </w:t>
      </w:r>
      <w:r w:rsidR="000B2F29" w:rsidRPr="00D0308E">
        <w:rPr>
          <w:u w:val="double"/>
        </w:rPr>
        <w:t>usually</w:t>
      </w:r>
      <w:r w:rsidRPr="00897119">
        <w:t xml:space="preserve"> required (Oliveira </w:t>
      </w:r>
      <w:r w:rsidRPr="00897119">
        <w:rPr>
          <w:i/>
        </w:rPr>
        <w:t>et al</w:t>
      </w:r>
      <w:r w:rsidRPr="00897119">
        <w:t xml:space="preserve">., 2003). Typically this introduces more steps and operator time in the detection procedure. </w:t>
      </w:r>
      <w:r w:rsidRPr="00D0308E">
        <w:rPr>
          <w:strike/>
        </w:rPr>
        <w:t xml:space="preserve">For DNA-based methods, inhibition of the PCR reaction by elements of the test sample matrix, especially in the case of faeces, is problematic and requires suitable DNA extraction techniques and controls to detect inhibition, which may reduce the sensitivity of the test in some cases (Jensen </w:t>
      </w:r>
      <w:r w:rsidR="005961C6" w:rsidRPr="00D0308E">
        <w:rPr>
          <w:i/>
          <w:strike/>
        </w:rPr>
        <w:t>et al</w:t>
      </w:r>
      <w:r w:rsidR="005961C6" w:rsidRPr="00D0308E">
        <w:rPr>
          <w:strike/>
        </w:rPr>
        <w:t>., 2013</w:t>
      </w:r>
      <w:r w:rsidRPr="00D0308E">
        <w:rPr>
          <w:strike/>
        </w:rPr>
        <w:t xml:space="preserve">). </w:t>
      </w:r>
      <w:r w:rsidRPr="00897119">
        <w:t xml:space="preserve">There are many variations and developments in rapid methods for </w:t>
      </w:r>
      <w:r w:rsidRPr="00897119">
        <w:rPr>
          <w:i/>
        </w:rPr>
        <w:t>Salmonella</w:t>
      </w:r>
      <w:r w:rsidRPr="00897119">
        <w:t xml:space="preserve"> detection, but none has been shown to satisfactorily replace culture in all circumstances.</w:t>
      </w:r>
      <w:r w:rsidR="00F00807" w:rsidRPr="00897119">
        <w:t xml:space="preserve"> </w:t>
      </w:r>
    </w:p>
    <w:p w14:paraId="260F3E9C" w14:textId="08DC1429" w:rsidR="00C3218B" w:rsidRPr="00897119" w:rsidRDefault="00F00807" w:rsidP="00F71F23">
      <w:pPr>
        <w:pStyle w:val="11Para"/>
      </w:pPr>
      <w:r w:rsidRPr="00897119">
        <w:t xml:space="preserve">In contrast, molecular methods for serotyping or subtyping </w:t>
      </w:r>
      <w:r w:rsidR="00C74734" w:rsidRPr="00897119">
        <w:rPr>
          <w:i/>
        </w:rPr>
        <w:t>S</w:t>
      </w:r>
      <w:r w:rsidRPr="00897119">
        <w:rPr>
          <w:i/>
        </w:rPr>
        <w:t>almonella</w:t>
      </w:r>
      <w:r w:rsidRPr="00897119">
        <w:t xml:space="preserve"> isolates are increasingly widely used</w:t>
      </w:r>
      <w:r w:rsidR="00197C01">
        <w:t xml:space="preserve"> </w:t>
      </w:r>
      <w:r w:rsidR="00C74734" w:rsidRPr="00D0308E">
        <w:rPr>
          <w:strike/>
        </w:rPr>
        <w:t>(</w:t>
      </w:r>
      <w:r w:rsidR="00945008" w:rsidRPr="00D0308E">
        <w:rPr>
          <w:strike/>
        </w:rPr>
        <w:t>EFSA</w:t>
      </w:r>
      <w:r w:rsidR="00C74734" w:rsidRPr="00D0308E">
        <w:rPr>
          <w:strike/>
        </w:rPr>
        <w:t>, 201</w:t>
      </w:r>
      <w:r w:rsidR="00945008" w:rsidRPr="00D0308E">
        <w:rPr>
          <w:strike/>
        </w:rPr>
        <w:t>3</w:t>
      </w:r>
      <w:r w:rsidR="00C74734" w:rsidRPr="00D0308E">
        <w:rPr>
          <w:strike/>
        </w:rPr>
        <w:t>) and some</w:t>
      </w:r>
      <w:r w:rsidR="00D0308E">
        <w:rPr>
          <w:strike/>
        </w:rPr>
        <w:t xml:space="preserve"> </w:t>
      </w:r>
      <w:r w:rsidR="00197C01" w:rsidRPr="00D0308E">
        <w:rPr>
          <w:u w:val="double"/>
        </w:rPr>
        <w:t>for outbreak investigation and source attribution</w:t>
      </w:r>
      <w:r w:rsidR="00C74734" w:rsidRPr="00D0308E">
        <w:rPr>
          <w:u w:val="double"/>
        </w:rPr>
        <w:t xml:space="preserve"> (</w:t>
      </w:r>
      <w:r w:rsidR="00197C01" w:rsidRPr="00D0308E">
        <w:rPr>
          <w:u w:val="double"/>
        </w:rPr>
        <w:t xml:space="preserve">Munck </w:t>
      </w:r>
      <w:r w:rsidR="00197C01" w:rsidRPr="00D0308E">
        <w:rPr>
          <w:i/>
          <w:u w:val="double"/>
        </w:rPr>
        <w:t>et al</w:t>
      </w:r>
      <w:r w:rsidR="00197C01" w:rsidRPr="00D0308E">
        <w:rPr>
          <w:u w:val="double"/>
        </w:rPr>
        <w:t>., 2020</w:t>
      </w:r>
      <w:r w:rsidR="00C74734" w:rsidRPr="00D0308E">
        <w:rPr>
          <w:u w:val="double"/>
        </w:rPr>
        <w:t>)</w:t>
      </w:r>
      <w:r w:rsidR="007E0460" w:rsidRPr="00D0308E">
        <w:rPr>
          <w:u w:val="double"/>
        </w:rPr>
        <w:t>.</w:t>
      </w:r>
      <w:r w:rsidR="00C74734" w:rsidRPr="00D0308E">
        <w:rPr>
          <w:u w:val="double"/>
        </w:rPr>
        <w:t xml:space="preserve"> </w:t>
      </w:r>
      <w:r w:rsidR="007E0460" w:rsidRPr="00D0308E">
        <w:rPr>
          <w:u w:val="double"/>
        </w:rPr>
        <w:t>S</w:t>
      </w:r>
      <w:r w:rsidR="00C74734" w:rsidRPr="00D0308E">
        <w:rPr>
          <w:u w:val="double"/>
        </w:rPr>
        <w:t>ome</w:t>
      </w:r>
      <w:r w:rsidR="00C74734" w:rsidRPr="00897119">
        <w:t xml:space="preserve"> </w:t>
      </w:r>
      <w:r w:rsidR="0068186D" w:rsidRPr="00897119">
        <w:t xml:space="preserve">kits using these methods </w:t>
      </w:r>
      <w:r w:rsidR="00C74734" w:rsidRPr="00897119">
        <w:t xml:space="preserve">are suitable for use in small laboratories </w:t>
      </w:r>
      <w:r w:rsidR="00F209EC" w:rsidRPr="00897119">
        <w:t>that</w:t>
      </w:r>
      <w:r w:rsidR="00C74734" w:rsidRPr="00897119">
        <w:t xml:space="preserve"> lack the facilities of a reference laboratory</w:t>
      </w:r>
      <w:r w:rsidR="00C74734" w:rsidRPr="00D0308E">
        <w:rPr>
          <w:strike/>
        </w:rPr>
        <w:t>.</w:t>
      </w:r>
      <w:r w:rsidRPr="00D0308E">
        <w:rPr>
          <w:strike/>
        </w:rPr>
        <w:t xml:space="preserve"> </w:t>
      </w:r>
      <w:r w:rsidR="0068186D" w:rsidRPr="00D0308E">
        <w:rPr>
          <w:strike/>
        </w:rPr>
        <w:t xml:space="preserve">It is important that kits used have been fully validated in accordance with </w:t>
      </w:r>
      <w:r w:rsidR="00897119" w:rsidRPr="00D0308E">
        <w:rPr>
          <w:strike/>
        </w:rPr>
        <w:t>c</w:t>
      </w:r>
      <w:r w:rsidR="0068186D" w:rsidRPr="00D0308E">
        <w:rPr>
          <w:strike/>
        </w:rPr>
        <w:t>hapter 1.1.</w:t>
      </w:r>
      <w:r w:rsidR="00897119" w:rsidRPr="00D0308E">
        <w:rPr>
          <w:strike/>
        </w:rPr>
        <w:t>6</w:t>
      </w:r>
      <w:r w:rsidR="0068186D" w:rsidRPr="00D0308E">
        <w:rPr>
          <w:strike/>
        </w:rPr>
        <w:t>.</w:t>
      </w:r>
      <w:r w:rsidR="00C76B1C" w:rsidRPr="00D0308E">
        <w:t xml:space="preserve"> </w:t>
      </w:r>
      <w:r w:rsidR="00C76B1C" w:rsidRPr="00D0308E">
        <w:rPr>
          <w:u w:val="double"/>
        </w:rPr>
        <w:t xml:space="preserve">(Diep </w:t>
      </w:r>
      <w:r w:rsidR="00C76B1C" w:rsidRPr="00D0308E">
        <w:rPr>
          <w:i/>
          <w:u w:val="double"/>
        </w:rPr>
        <w:t>et al</w:t>
      </w:r>
      <w:r w:rsidR="00C76B1C" w:rsidRPr="00D0308E">
        <w:rPr>
          <w:u w:val="double"/>
        </w:rPr>
        <w:t>., 2019)</w:t>
      </w:r>
      <w:r w:rsidR="007E0460" w:rsidRPr="00D0308E">
        <w:rPr>
          <w:u w:val="double"/>
        </w:rPr>
        <w:t xml:space="preserve"> and one is </w:t>
      </w:r>
      <w:r w:rsidR="00386DB3">
        <w:rPr>
          <w:u w:val="double"/>
        </w:rPr>
        <w:t>registered by the</w:t>
      </w:r>
      <w:r w:rsidR="00386DB3" w:rsidRPr="00D0308E">
        <w:rPr>
          <w:u w:val="double"/>
        </w:rPr>
        <w:t xml:space="preserve"> </w:t>
      </w:r>
      <w:r w:rsidR="007E0460" w:rsidRPr="00D0308E">
        <w:rPr>
          <w:u w:val="double"/>
        </w:rPr>
        <w:t>OIE</w:t>
      </w:r>
      <w:r w:rsidR="00C74734" w:rsidRPr="00D0308E">
        <w:rPr>
          <w:u w:val="double"/>
        </w:rPr>
        <w:t>.</w:t>
      </w:r>
      <w:r w:rsidR="00E26BE1" w:rsidRPr="00D0308E">
        <w:rPr>
          <w:u w:val="double"/>
        </w:rPr>
        <w:t xml:space="preserve"> Multiplex PCR</w:t>
      </w:r>
      <w:r w:rsidR="00F05EB0" w:rsidRPr="00D0308E">
        <w:rPr>
          <w:u w:val="double"/>
        </w:rPr>
        <w:t xml:space="preserve"> or </w:t>
      </w:r>
      <w:r w:rsidR="00386DB3">
        <w:rPr>
          <w:u w:val="double"/>
        </w:rPr>
        <w:t>whole genome sequencing</w:t>
      </w:r>
      <w:r w:rsidR="00F05EB0" w:rsidRPr="00D0308E">
        <w:rPr>
          <w:u w:val="double"/>
        </w:rPr>
        <w:t>-based</w:t>
      </w:r>
      <w:r w:rsidR="00E26BE1" w:rsidRPr="00D0308E">
        <w:rPr>
          <w:u w:val="double"/>
        </w:rPr>
        <w:t xml:space="preserve"> methods may be used to identify specific </w:t>
      </w:r>
      <w:r w:rsidR="00E26BE1" w:rsidRPr="00D0308E">
        <w:rPr>
          <w:i/>
          <w:u w:val="double"/>
        </w:rPr>
        <w:t xml:space="preserve">Salmonella </w:t>
      </w:r>
      <w:r w:rsidR="00E26BE1" w:rsidRPr="00D0308E">
        <w:rPr>
          <w:u w:val="double"/>
        </w:rPr>
        <w:t xml:space="preserve">serovars (Maurischat </w:t>
      </w:r>
      <w:r w:rsidR="00E26BE1" w:rsidRPr="00D0308E">
        <w:rPr>
          <w:i/>
          <w:u w:val="double"/>
        </w:rPr>
        <w:t xml:space="preserve">et al., </w:t>
      </w:r>
      <w:r w:rsidR="00E26BE1" w:rsidRPr="00D0308E">
        <w:rPr>
          <w:u w:val="double"/>
        </w:rPr>
        <w:t xml:space="preserve">2015a) or to distinguish live vaccine strains from </w:t>
      </w:r>
      <w:r w:rsidR="00E26BE1" w:rsidRPr="00D0308E">
        <w:rPr>
          <w:i/>
          <w:u w:val="double"/>
        </w:rPr>
        <w:t xml:space="preserve">Salmonella </w:t>
      </w:r>
      <w:r w:rsidR="00E26BE1" w:rsidRPr="00D0308E">
        <w:rPr>
          <w:u w:val="double"/>
        </w:rPr>
        <w:t>serovars infecting the flock or herd</w:t>
      </w:r>
      <w:r w:rsidR="00F05EB0" w:rsidRPr="00D0308E">
        <w:rPr>
          <w:u w:val="double"/>
        </w:rPr>
        <w:t xml:space="preserve"> (Maurischat </w:t>
      </w:r>
      <w:r w:rsidR="00F05EB0" w:rsidRPr="00D0308E">
        <w:rPr>
          <w:i/>
          <w:u w:val="double"/>
        </w:rPr>
        <w:t>et al</w:t>
      </w:r>
      <w:r w:rsidR="00F05EB0" w:rsidRPr="00D0308E">
        <w:rPr>
          <w:u w:val="double"/>
        </w:rPr>
        <w:t>.,2015b;</w:t>
      </w:r>
      <w:r w:rsidR="00E26BE1" w:rsidRPr="00D0308E">
        <w:rPr>
          <w:u w:val="double"/>
        </w:rPr>
        <w:t xml:space="preserve"> </w:t>
      </w:r>
      <w:r w:rsidR="00197C01" w:rsidRPr="00D0308E">
        <w:rPr>
          <w:u w:val="double"/>
        </w:rPr>
        <w:t xml:space="preserve">Tang </w:t>
      </w:r>
      <w:r w:rsidR="00197C01" w:rsidRPr="00D0308E">
        <w:rPr>
          <w:i/>
          <w:u w:val="double"/>
        </w:rPr>
        <w:t>et al</w:t>
      </w:r>
      <w:r w:rsidR="00F05EB0" w:rsidRPr="00D0308E">
        <w:rPr>
          <w:u w:val="double"/>
        </w:rPr>
        <w:t>.</w:t>
      </w:r>
      <w:r w:rsidR="00386DB3">
        <w:rPr>
          <w:u w:val="double"/>
        </w:rPr>
        <w:t>,</w:t>
      </w:r>
      <w:r w:rsidR="00F05EB0" w:rsidRPr="00D0308E">
        <w:rPr>
          <w:u w:val="double"/>
        </w:rPr>
        <w:t xml:space="preserve"> 20</w:t>
      </w:r>
      <w:r w:rsidR="00676CA8">
        <w:rPr>
          <w:u w:val="double"/>
        </w:rPr>
        <w:t>19</w:t>
      </w:r>
      <w:r w:rsidR="00197C01" w:rsidRPr="00D0308E">
        <w:rPr>
          <w:u w:val="double"/>
        </w:rPr>
        <w:t>).</w:t>
      </w:r>
      <w:r w:rsidR="00E63D50" w:rsidRPr="00D0308E">
        <w:rPr>
          <w:u w:val="double"/>
        </w:rPr>
        <w:t xml:space="preserve"> A new ISO standard (ISO 16140-6</w:t>
      </w:r>
      <w:r w:rsidR="000A5802" w:rsidRPr="00B71D8D">
        <w:rPr>
          <w:highlight w:val="yellow"/>
          <w:u w:val="double"/>
        </w:rPr>
        <w:t>:20</w:t>
      </w:r>
      <w:r w:rsidR="00073070" w:rsidRPr="00B71D8D">
        <w:rPr>
          <w:highlight w:val="yellow"/>
          <w:u w:val="double"/>
        </w:rPr>
        <w:t>19</w:t>
      </w:r>
      <w:r w:rsidR="00E63D50" w:rsidRPr="00D0308E">
        <w:rPr>
          <w:u w:val="double"/>
        </w:rPr>
        <w:t xml:space="preserve">) covers validation of </w:t>
      </w:r>
      <w:r w:rsidR="00AE7745" w:rsidRPr="00B71D8D">
        <w:rPr>
          <w:highlight w:val="yellow"/>
          <w:u w:val="double"/>
        </w:rPr>
        <w:t>(</w:t>
      </w:r>
      <w:r w:rsidR="00E63D50" w:rsidRPr="00D0308E">
        <w:rPr>
          <w:u w:val="double"/>
        </w:rPr>
        <w:t>sub</w:t>
      </w:r>
      <w:r w:rsidR="00AE7745" w:rsidRPr="00B71D8D">
        <w:rPr>
          <w:highlight w:val="yellow"/>
          <w:u w:val="double"/>
        </w:rPr>
        <w:t>)</w:t>
      </w:r>
      <w:r w:rsidR="00E63D50" w:rsidRPr="00D0308E">
        <w:rPr>
          <w:u w:val="double"/>
        </w:rPr>
        <w:t>typing methods and</w:t>
      </w:r>
      <w:r w:rsidR="007A2A7C" w:rsidRPr="00D0308E">
        <w:rPr>
          <w:u w:val="double"/>
        </w:rPr>
        <w:t xml:space="preserve"> is</w:t>
      </w:r>
      <w:r w:rsidR="00E63D50" w:rsidRPr="00D0308E">
        <w:rPr>
          <w:u w:val="double"/>
        </w:rPr>
        <w:t xml:space="preserve"> a prerequisite for such methods to be used to replace </w:t>
      </w:r>
      <w:r w:rsidR="00E63D50" w:rsidRPr="00D0308E">
        <w:rPr>
          <w:i/>
          <w:u w:val="double"/>
        </w:rPr>
        <w:t>Salmonella</w:t>
      </w:r>
      <w:r w:rsidR="00E63D50" w:rsidRPr="00D0308E">
        <w:rPr>
          <w:u w:val="double"/>
        </w:rPr>
        <w:t xml:space="preserve"> serotyping in statutory EU control programmes. </w:t>
      </w:r>
      <w:r w:rsidR="0068186D" w:rsidRPr="00D0308E">
        <w:rPr>
          <w:u w:val="double"/>
        </w:rPr>
        <w:t xml:space="preserve">It is important that kits used have been fully validated in accordance with </w:t>
      </w:r>
      <w:r w:rsidR="00897119" w:rsidRPr="00D0308E">
        <w:rPr>
          <w:u w:val="double"/>
        </w:rPr>
        <w:t>c</w:t>
      </w:r>
      <w:r w:rsidR="0068186D" w:rsidRPr="00D0308E">
        <w:rPr>
          <w:u w:val="double"/>
        </w:rPr>
        <w:t>hapter 1.1.</w:t>
      </w:r>
      <w:r w:rsidR="00897119" w:rsidRPr="00D0308E">
        <w:rPr>
          <w:u w:val="double"/>
        </w:rPr>
        <w:t>6</w:t>
      </w:r>
      <w:r w:rsidR="0068186D" w:rsidRPr="00D0308E">
        <w:rPr>
          <w:u w:val="double"/>
        </w:rPr>
        <w:t>.</w:t>
      </w:r>
      <w:r w:rsidR="0068186D" w:rsidRPr="00897119">
        <w:t xml:space="preserve"> Kits should preferably be selected from those listed on the OIE Register</w:t>
      </w:r>
      <w:r w:rsidR="00494B2C">
        <w:rPr>
          <w:rStyle w:val="FootnoteReference"/>
        </w:rPr>
        <w:footnoteReference w:id="3"/>
      </w:r>
      <w:r w:rsidR="0065122B" w:rsidRPr="00897119">
        <w:t>.</w:t>
      </w:r>
    </w:p>
    <w:p w14:paraId="3BC2FD5A" w14:textId="77777777" w:rsidR="00C3218B" w:rsidRPr="00897119" w:rsidRDefault="00C3218B" w:rsidP="00C3218B">
      <w:pPr>
        <w:pStyle w:val="1"/>
      </w:pPr>
      <w:r w:rsidRPr="00897119">
        <w:t>2.</w:t>
      </w:r>
      <w:r w:rsidRPr="00897119">
        <w:tab/>
        <w:t>Serological tests</w:t>
      </w:r>
    </w:p>
    <w:p w14:paraId="427E2742" w14:textId="77777777" w:rsidR="00C3218B" w:rsidRPr="00897119" w:rsidRDefault="00C3218B" w:rsidP="00F71F23">
      <w:pPr>
        <w:pStyle w:val="11"/>
      </w:pPr>
      <w:r w:rsidRPr="00897119">
        <w:t>2.1.</w:t>
      </w:r>
      <w:r w:rsidRPr="00897119">
        <w:tab/>
        <w:t>Serological identification of infected animals, flocks and herds</w:t>
      </w:r>
    </w:p>
    <w:p w14:paraId="42F58FDE" w14:textId="77253D06" w:rsidR="00C3218B" w:rsidRPr="00897119" w:rsidRDefault="00C3218B" w:rsidP="00F71F23">
      <w:pPr>
        <w:pStyle w:val="11Para"/>
      </w:pPr>
      <w:r w:rsidRPr="00897119">
        <w:t xml:space="preserve">A number of serological tests have been developed for the diagnosis of </w:t>
      </w:r>
      <w:r w:rsidRPr="00897119">
        <w:rPr>
          <w:i/>
        </w:rPr>
        <w:t>Salmonella</w:t>
      </w:r>
      <w:r w:rsidRPr="00897119">
        <w:t xml:space="preserve"> infections in animals. In poultry, the whole blood test, which uses a stained antigen, and the serum agglutination test (SAT) have been used successfully for over 50 years for the identification of flocks infected with </w:t>
      </w:r>
      <w:r w:rsidRPr="00897119">
        <w:rPr>
          <w:i/>
        </w:rPr>
        <w:t>S. </w:t>
      </w:r>
      <w:r w:rsidRPr="006D5706">
        <w:rPr>
          <w:strike/>
        </w:rPr>
        <w:t>Pullorum</w:t>
      </w:r>
      <w:r w:rsidRPr="006D5706">
        <w:rPr>
          <w:i/>
          <w:strike/>
        </w:rPr>
        <w:t>/</w:t>
      </w:r>
      <w:r w:rsidR="00E64DFC" w:rsidRPr="006D5706" w:rsidDel="00E64DFC">
        <w:rPr>
          <w:strike/>
        </w:rPr>
        <w:t xml:space="preserve"> </w:t>
      </w:r>
      <w:r w:rsidRPr="00897119">
        <w:t>Gallinarum</w:t>
      </w:r>
      <w:r w:rsidR="00E64DFC" w:rsidRPr="00B71D8D">
        <w:rPr>
          <w:strike/>
          <w:highlight w:val="yellow"/>
        </w:rPr>
        <w:t>/</w:t>
      </w:r>
      <w:r w:rsidR="003E3725" w:rsidRPr="003E3725">
        <w:t xml:space="preserve"> </w:t>
      </w:r>
      <w:r w:rsidR="00BD6B98" w:rsidRPr="00B71D8D">
        <w:rPr>
          <w:highlight w:val="yellow"/>
          <w:u w:val="double"/>
        </w:rPr>
        <w:t>(biovars Gallinarum</w:t>
      </w:r>
      <w:r w:rsidR="007D7B2D" w:rsidRPr="00B71D8D">
        <w:rPr>
          <w:highlight w:val="yellow"/>
          <w:u w:val="double"/>
        </w:rPr>
        <w:t xml:space="preserve"> and</w:t>
      </w:r>
      <w:r w:rsidR="007D7B2D">
        <w:rPr>
          <w:u w:val="double"/>
        </w:rPr>
        <w:t xml:space="preserve"> </w:t>
      </w:r>
      <w:r w:rsidR="00E64DFC" w:rsidRPr="006D5706">
        <w:rPr>
          <w:u w:val="double"/>
        </w:rPr>
        <w:t>Pullorum</w:t>
      </w:r>
      <w:r w:rsidR="007D7B2D" w:rsidRPr="00B71D8D">
        <w:rPr>
          <w:highlight w:val="yellow"/>
          <w:u w:val="double"/>
        </w:rPr>
        <w:t>)</w:t>
      </w:r>
      <w:r w:rsidR="007D33E4" w:rsidRPr="00897119">
        <w:t xml:space="preserve"> (see </w:t>
      </w:r>
      <w:r w:rsidR="008D78A2" w:rsidRPr="00897119">
        <w:t xml:space="preserve">Chapter </w:t>
      </w:r>
      <w:r w:rsidR="00D87299">
        <w:t>3</w:t>
      </w:r>
      <w:r w:rsidR="007D33E4" w:rsidRPr="00897119">
        <w:t>.3.11)</w:t>
      </w:r>
      <w:r w:rsidRPr="00897119">
        <w:t xml:space="preserve">. Because </w:t>
      </w:r>
      <w:r w:rsidRPr="00897119">
        <w:rPr>
          <w:i/>
        </w:rPr>
        <w:t>S. </w:t>
      </w:r>
      <w:r w:rsidRPr="00897119">
        <w:t xml:space="preserve">Enteritidis possesses the same group D somatic antigen as </w:t>
      </w:r>
      <w:r w:rsidRPr="00897119">
        <w:rPr>
          <w:i/>
        </w:rPr>
        <w:t>S. </w:t>
      </w:r>
      <w:r w:rsidRPr="006D5706">
        <w:rPr>
          <w:strike/>
        </w:rPr>
        <w:t>Pullorum</w:t>
      </w:r>
      <w:r w:rsidRPr="006D5706">
        <w:rPr>
          <w:i/>
          <w:strike/>
        </w:rPr>
        <w:t>/</w:t>
      </w:r>
      <w:r w:rsidR="00E64DFC" w:rsidRPr="006D5706" w:rsidDel="00E64DFC">
        <w:rPr>
          <w:strike/>
        </w:rPr>
        <w:t xml:space="preserve"> </w:t>
      </w:r>
      <w:r w:rsidRPr="00897119">
        <w:t xml:space="preserve">Gallinarum and is thought to originate from </w:t>
      </w:r>
      <w:r w:rsidRPr="006D5706">
        <w:rPr>
          <w:strike/>
        </w:rPr>
        <w:t>it</w:t>
      </w:r>
      <w:r w:rsidR="006D5706">
        <w:rPr>
          <w:strike/>
        </w:rPr>
        <w:t xml:space="preserve"> </w:t>
      </w:r>
      <w:r w:rsidR="00E64DFC" w:rsidRPr="006D5706">
        <w:rPr>
          <w:u w:val="double"/>
        </w:rPr>
        <w:t>a common ancestor</w:t>
      </w:r>
      <w:r w:rsidR="00E64DFC" w:rsidRPr="00897119">
        <w:t xml:space="preserve"> </w:t>
      </w:r>
      <w:r w:rsidRPr="00897119">
        <w:t>(</w:t>
      </w:r>
      <w:r w:rsidRPr="00897119">
        <w:rPr>
          <w:lang w:val="en-US"/>
        </w:rPr>
        <w:t xml:space="preserve">Thomson </w:t>
      </w:r>
      <w:r w:rsidRPr="00897119">
        <w:rPr>
          <w:i/>
          <w:lang w:val="en-US"/>
        </w:rPr>
        <w:t>et al</w:t>
      </w:r>
      <w:r w:rsidRPr="00897119">
        <w:rPr>
          <w:lang w:val="en-US"/>
        </w:rPr>
        <w:t>., 2008</w:t>
      </w:r>
      <w:r w:rsidRPr="00897119">
        <w:t xml:space="preserve">), the whole blood test and related tests can be used for the diagnosis of </w:t>
      </w:r>
      <w:r w:rsidRPr="00897119">
        <w:rPr>
          <w:i/>
          <w:iCs/>
        </w:rPr>
        <w:t>S.</w:t>
      </w:r>
      <w:r w:rsidRPr="00897119">
        <w:t xml:space="preserve"> Enteritidis infection, but the sensitivity is low. </w:t>
      </w:r>
      <w:r w:rsidRPr="006D5706">
        <w:rPr>
          <w:strike/>
        </w:rPr>
        <w:t xml:space="preserve">In recent years, </w:t>
      </w:r>
      <w:r w:rsidR="00E64DFC" w:rsidRPr="006D5706">
        <w:rPr>
          <w:u w:val="double"/>
        </w:rPr>
        <w:t>O</w:t>
      </w:r>
      <w:r w:rsidRPr="006D5706">
        <w:rPr>
          <w:u w:val="double"/>
        </w:rPr>
        <w:t>ther</w:t>
      </w:r>
      <w:r w:rsidRPr="00897119">
        <w:t xml:space="preserve"> tests, such as the ELISA (</w:t>
      </w:r>
      <w:r w:rsidRPr="006D5706">
        <w:rPr>
          <w:strike/>
        </w:rPr>
        <w:t>Barrow, 1994</w:t>
      </w:r>
      <w:r w:rsidR="00AD6DBC">
        <w:rPr>
          <w:strike/>
        </w:rPr>
        <w:t xml:space="preserve"> </w:t>
      </w:r>
      <w:r w:rsidR="00B76597" w:rsidRPr="006D5706">
        <w:rPr>
          <w:u w:val="double"/>
        </w:rPr>
        <w:t xml:space="preserve">Feld </w:t>
      </w:r>
      <w:r w:rsidR="00B76597" w:rsidRPr="006D5706">
        <w:rPr>
          <w:i/>
          <w:u w:val="double"/>
        </w:rPr>
        <w:t>et al</w:t>
      </w:r>
      <w:r w:rsidR="00B76597" w:rsidRPr="006D5706">
        <w:rPr>
          <w:u w:val="double"/>
        </w:rPr>
        <w:t>., 2000</w:t>
      </w:r>
      <w:r w:rsidRPr="00897119">
        <w:t xml:space="preserve">) have been developed for the diagnosis of </w:t>
      </w:r>
      <w:r w:rsidRPr="00897119">
        <w:rPr>
          <w:i/>
        </w:rPr>
        <w:t xml:space="preserve">S. </w:t>
      </w:r>
      <w:r w:rsidRPr="00897119">
        <w:t xml:space="preserve">Enteritidis and </w:t>
      </w:r>
      <w:r w:rsidRPr="00897119">
        <w:rPr>
          <w:i/>
        </w:rPr>
        <w:t xml:space="preserve">S. </w:t>
      </w:r>
      <w:r w:rsidRPr="00897119">
        <w:t xml:space="preserve">Typhimurium infections in poultry and for other serovars in farm animals. The ELISA has been used effectively to identify serologically </w:t>
      </w:r>
      <w:r w:rsidRPr="00897119">
        <w:rPr>
          <w:i/>
        </w:rPr>
        <w:t>S. </w:t>
      </w:r>
      <w:r w:rsidRPr="00897119">
        <w:t xml:space="preserve">Dublin carrier cattle and can be applied to bulk milk for screening dairy herds. </w:t>
      </w:r>
      <w:r w:rsidR="00E37941" w:rsidRPr="00897119">
        <w:t>An ELISA that includes somatic antigens from a mix of serovars</w:t>
      </w:r>
      <w:r w:rsidRPr="00897119">
        <w:t xml:space="preserve"> </w:t>
      </w:r>
      <w:r w:rsidR="00E37941" w:rsidRPr="00897119">
        <w:t>(</w:t>
      </w:r>
      <w:r w:rsidR="00266FA0" w:rsidRPr="00897119">
        <w:t>“</w:t>
      </w:r>
      <w:r w:rsidRPr="00897119">
        <w:t>mix-ELISA</w:t>
      </w:r>
      <w:r w:rsidR="00266FA0" w:rsidRPr="00897119">
        <w:t>”</w:t>
      </w:r>
      <w:r w:rsidR="00E37941" w:rsidRPr="00897119">
        <w:t>)</w:t>
      </w:r>
      <w:r w:rsidRPr="00897119">
        <w:t xml:space="preserve"> is used in </w:t>
      </w:r>
      <w:r w:rsidRPr="006D5706">
        <w:rPr>
          <w:strike/>
        </w:rPr>
        <w:lastRenderedPageBreak/>
        <w:t>Denmark, Germany, the Netherlands, the United Kingdom, and some other</w:t>
      </w:r>
      <w:r w:rsidR="006D5706">
        <w:rPr>
          <w:strike/>
        </w:rPr>
        <w:t xml:space="preserve"> </w:t>
      </w:r>
      <w:r w:rsidR="006560CE" w:rsidRPr="006D5706">
        <w:rPr>
          <w:u w:val="double"/>
        </w:rPr>
        <w:t>several</w:t>
      </w:r>
      <w:r w:rsidRPr="00897119">
        <w:t xml:space="preserve"> countries on serum or tissue fluid released by freezing then thawing muscle samples to detect </w:t>
      </w:r>
      <w:r w:rsidRPr="00897119">
        <w:rPr>
          <w:i/>
        </w:rPr>
        <w:t>Salmonella</w:t>
      </w:r>
      <w:r w:rsidRPr="00897119">
        <w:t xml:space="preserve"> infections in pigs</w:t>
      </w:r>
      <w:r w:rsidRPr="006D5706">
        <w:rPr>
          <w:strike/>
        </w:rPr>
        <w:t xml:space="preserve"> (</w:t>
      </w:r>
      <w:r w:rsidRPr="006D5706">
        <w:rPr>
          <w:strike/>
          <w:lang w:val="nb-NO"/>
        </w:rPr>
        <w:t xml:space="preserve">Nielsen </w:t>
      </w:r>
      <w:r w:rsidRPr="006D5706">
        <w:rPr>
          <w:i/>
          <w:strike/>
          <w:lang w:val="nb-NO"/>
        </w:rPr>
        <w:t>et al</w:t>
      </w:r>
      <w:r w:rsidRPr="006D5706">
        <w:rPr>
          <w:strike/>
          <w:lang w:val="nb-NO"/>
        </w:rPr>
        <w:t>., 1998</w:t>
      </w:r>
      <w:r w:rsidRPr="006D5706">
        <w:rPr>
          <w:strike/>
        </w:rPr>
        <w:t>)</w:t>
      </w:r>
      <w:r w:rsidR="006D5706">
        <w:t>.</w:t>
      </w:r>
      <w:r w:rsidRPr="00897119">
        <w:t xml:space="preserve"> A similar test can be used to detect antibodies to </w:t>
      </w:r>
      <w:r w:rsidRPr="00897119">
        <w:rPr>
          <w:i/>
        </w:rPr>
        <w:t>S. </w:t>
      </w:r>
      <w:r w:rsidRPr="00897119">
        <w:t xml:space="preserve">Enteritidis and </w:t>
      </w:r>
      <w:r w:rsidRPr="00897119">
        <w:rPr>
          <w:i/>
        </w:rPr>
        <w:t xml:space="preserve">S. </w:t>
      </w:r>
      <w:r w:rsidRPr="00897119">
        <w:t>Typhimurium in egg yolk from unvaccinated commercial laying flocks.</w:t>
      </w:r>
      <w:r w:rsidR="006D5706">
        <w:t xml:space="preserve"> </w:t>
      </w:r>
      <w:r w:rsidR="006560CE" w:rsidRPr="006D5706">
        <w:rPr>
          <w:u w:val="double"/>
        </w:rPr>
        <w:t>Several ELISAs are available as commercial kits, but their performance can be variable (Van der Heijden, 2001).</w:t>
      </w:r>
      <w:r w:rsidR="006560CE" w:rsidRPr="00381A8F">
        <w:t xml:space="preserve"> </w:t>
      </w:r>
      <w:r w:rsidRPr="006D5706">
        <w:rPr>
          <w:strike/>
        </w:rPr>
        <w:t xml:space="preserve">Some ELISAs are now in routine use and a number are available commercially. </w:t>
      </w:r>
      <w:r w:rsidRPr="00897119">
        <w:t>There is a need for standardisation of their use and</w:t>
      </w:r>
      <w:r w:rsidR="00381A8F">
        <w:t>,</w:t>
      </w:r>
      <w:r w:rsidRPr="00897119">
        <w:t xml:space="preserve"> to this end</w:t>
      </w:r>
      <w:r w:rsidR="00381A8F">
        <w:t>,</w:t>
      </w:r>
      <w:r w:rsidRPr="00897119">
        <w:t xml:space="preserve"> panels of control sera are available commercially from Denmark</w:t>
      </w:r>
      <w:r w:rsidRPr="00FC294E">
        <w:rPr>
          <w:rStyle w:val="FootnoteReference"/>
        </w:rPr>
        <w:footnoteReference w:id="4"/>
      </w:r>
      <w:r w:rsidRPr="00897119">
        <w:t xml:space="preserve"> and the Netherlands</w:t>
      </w:r>
      <w:r w:rsidRPr="00FC294E">
        <w:rPr>
          <w:rStyle w:val="FootnoteReference"/>
        </w:rPr>
        <w:footnoteReference w:id="5"/>
      </w:r>
      <w:r w:rsidRPr="00897119">
        <w:t>.</w:t>
      </w:r>
    </w:p>
    <w:p w14:paraId="619CFFA7" w14:textId="77777777" w:rsidR="00C3218B" w:rsidRPr="00897119" w:rsidRDefault="00C3218B" w:rsidP="00F71F23">
      <w:pPr>
        <w:pStyle w:val="11"/>
      </w:pPr>
      <w:r w:rsidRPr="00897119">
        <w:t>2.2.</w:t>
      </w:r>
      <w:r w:rsidRPr="00897119">
        <w:tab/>
        <w:t>Factors affecting serological diagnosis</w:t>
      </w:r>
    </w:p>
    <w:p w14:paraId="5F0898DC" w14:textId="77777777" w:rsidR="00C3218B" w:rsidRPr="00897119" w:rsidRDefault="00C3218B" w:rsidP="00F71F23">
      <w:pPr>
        <w:pStyle w:val="11ilist"/>
      </w:pPr>
      <w:r w:rsidRPr="00897119">
        <w:t>1.</w:t>
      </w:r>
      <w:r w:rsidRPr="00897119">
        <w:tab/>
        <w:t xml:space="preserve">Serological methods should be used to identify infected flocks/herds rather than to identify infected individual animals, although repeated herd tests can be used as an aid to selective culling of chronic carrier animals. Serological tests are normally designed to detect a limited range of </w:t>
      </w:r>
      <w:r w:rsidRPr="00897119">
        <w:rPr>
          <w:i/>
        </w:rPr>
        <w:t>Salmonella</w:t>
      </w:r>
      <w:r w:rsidRPr="00897119">
        <w:t xml:space="preserve"> serovars or serogroups.</w:t>
      </w:r>
    </w:p>
    <w:p w14:paraId="67DD1F0A" w14:textId="455DBE1D" w:rsidR="00C3218B" w:rsidRPr="00897119" w:rsidRDefault="00C3218B" w:rsidP="00F71F23">
      <w:pPr>
        <w:pStyle w:val="11ilist"/>
      </w:pPr>
      <w:r w:rsidRPr="00897119">
        <w:t>2.</w:t>
      </w:r>
      <w:r w:rsidRPr="00897119">
        <w:tab/>
        <w:t xml:space="preserve">It is well recognised that some animals with a positive serological response may no longer be infected with </w:t>
      </w:r>
      <w:r w:rsidRPr="00897119">
        <w:rPr>
          <w:i/>
        </w:rPr>
        <w:t>Salmonella</w:t>
      </w:r>
      <w:r w:rsidRPr="006D5706">
        <w:rPr>
          <w:strike/>
        </w:rPr>
        <w:t xml:space="preserve"> organisms</w:t>
      </w:r>
      <w:r w:rsidR="008B226A">
        <w:t>,</w:t>
      </w:r>
      <w:r w:rsidRPr="00897119">
        <w:t xml:space="preserve"> and in countries with a low prevalence of salmonellosis specificity issues mean that most positive results will be false. Animals that are actively </w:t>
      </w:r>
      <w:r w:rsidRPr="006D5706">
        <w:rPr>
          <w:strike/>
        </w:rPr>
        <w:t>excreting</w:t>
      </w:r>
      <w:r w:rsidR="006D5706">
        <w:rPr>
          <w:strike/>
        </w:rPr>
        <w:t xml:space="preserve"> </w:t>
      </w:r>
      <w:r w:rsidR="008B226A" w:rsidRPr="006D5706">
        <w:rPr>
          <w:u w:val="double"/>
        </w:rPr>
        <w:t>shedding</w:t>
      </w:r>
      <w:r w:rsidR="008B226A" w:rsidRPr="00897119">
        <w:t xml:space="preserve"> </w:t>
      </w:r>
      <w:r w:rsidRPr="00897119">
        <w:t>salmonellae may be serologically negative in the early stages of disease and some individual infected animals never seroconvert.</w:t>
      </w:r>
      <w:r w:rsidR="00866A45" w:rsidRPr="00897119">
        <w:t xml:space="preserve"> </w:t>
      </w:r>
      <w:r w:rsidRPr="00897119">
        <w:t xml:space="preserve">Animals that are serologically positive may have ceased to </w:t>
      </w:r>
      <w:r w:rsidRPr="006D5706">
        <w:rPr>
          <w:strike/>
        </w:rPr>
        <w:t>excrete</w:t>
      </w:r>
      <w:r w:rsidR="006D5706">
        <w:rPr>
          <w:strike/>
        </w:rPr>
        <w:t xml:space="preserve"> </w:t>
      </w:r>
      <w:r w:rsidR="008B226A" w:rsidRPr="006D5706">
        <w:rPr>
          <w:u w:val="double"/>
        </w:rPr>
        <w:t>shed</w:t>
      </w:r>
      <w:r w:rsidR="008B226A" w:rsidRPr="00897119">
        <w:t xml:space="preserve"> </w:t>
      </w:r>
      <w:r w:rsidRPr="00897119">
        <w:t>salmonellae although circulating immunoglobulin concentrations may remain high</w:t>
      </w:r>
      <w:r w:rsidRPr="006D5706">
        <w:rPr>
          <w:strike/>
        </w:rPr>
        <w:t>. Other</w:t>
      </w:r>
      <w:r w:rsidR="008B226A" w:rsidRPr="006D5706">
        <w:rPr>
          <w:u w:val="double"/>
        </w:rPr>
        <w:t>, especially in latent carrier animals</w:t>
      </w:r>
      <w:r w:rsidR="00D45DA4" w:rsidRPr="006D5706">
        <w:rPr>
          <w:u w:val="double"/>
        </w:rPr>
        <w:t>,</w:t>
      </w:r>
      <w:r w:rsidR="008B226A" w:rsidRPr="006D5706">
        <w:rPr>
          <w:u w:val="double"/>
        </w:rPr>
        <w:t xml:space="preserve"> but other</w:t>
      </w:r>
      <w:r w:rsidR="00D45DA4">
        <w:t xml:space="preserve"> </w:t>
      </w:r>
      <w:r w:rsidRPr="00897119">
        <w:t xml:space="preserve">animals on the farm may still be </w:t>
      </w:r>
      <w:r w:rsidR="008B226A" w:rsidRPr="006D5706">
        <w:rPr>
          <w:u w:val="double"/>
        </w:rPr>
        <w:t>shedding intermittently</w:t>
      </w:r>
      <w:r w:rsidR="006D5706">
        <w:t>.</w:t>
      </w:r>
      <w:r w:rsidRPr="00897119">
        <w:t xml:space="preserve"> Serologically negative animals may result from a recent infection </w:t>
      </w:r>
      <w:r w:rsidRPr="006D5706">
        <w:rPr>
          <w:strike/>
        </w:rPr>
        <w:t>causing excretion</w:t>
      </w:r>
      <w:r w:rsidR="006D5706">
        <w:rPr>
          <w:strike/>
        </w:rPr>
        <w:t xml:space="preserve"> </w:t>
      </w:r>
      <w:r w:rsidR="008B226A" w:rsidRPr="006D5706">
        <w:rPr>
          <w:u w:val="double"/>
        </w:rPr>
        <w:t>and shedding</w:t>
      </w:r>
      <w:r w:rsidRPr="00897119">
        <w:t xml:space="preserve"> before immunoglobulin production is maximal, or infection with less invasive serovars. Animals that have been infected recently would, in all probability, eventually be detected serologically by an appropriate monitoring programme throughout the life of the flock/herd but there are often cost limitations to the application of effective monitoring programmes.</w:t>
      </w:r>
    </w:p>
    <w:p w14:paraId="28FCAAC9" w14:textId="50EE51DD" w:rsidR="00C3218B" w:rsidRPr="00897119" w:rsidRDefault="00C3218B" w:rsidP="00F71F23">
      <w:pPr>
        <w:pStyle w:val="11ilist"/>
      </w:pPr>
      <w:r w:rsidRPr="00897119">
        <w:t>3.</w:t>
      </w:r>
      <w:r w:rsidRPr="00897119">
        <w:tab/>
        <w:t xml:space="preserve">Newborn animals are immunologically immature and do not respond serologically to the somatic LPS antigen until 2–3 weeks of age. They do, however, produce a serological response to the flagellar protein antigens. Cattle may be unresponsive until about 10–12 weeks of age, and </w:t>
      </w:r>
      <w:r w:rsidR="001B1ECC" w:rsidRPr="00897119">
        <w:t>suck</w:t>
      </w:r>
      <w:r w:rsidR="00D60D63">
        <w:t>l</w:t>
      </w:r>
      <w:r w:rsidR="001B1ECC" w:rsidRPr="00897119">
        <w:t>ing</w:t>
      </w:r>
      <w:r w:rsidRPr="00897119">
        <w:t xml:space="preserve"> pigs may fail to develop an immune response or have an antibody response that reflects maternal immunity. Differential responses involving different antibody classes (IgM, IgA, IgG) can be used in pigs to</w:t>
      </w:r>
      <w:r w:rsidR="007D0C51">
        <w:t xml:space="preserve"> </w:t>
      </w:r>
      <w:r w:rsidR="007D0C51" w:rsidRPr="006D5706">
        <w:rPr>
          <w:u w:val="double"/>
        </w:rPr>
        <w:t>help</w:t>
      </w:r>
      <w:r w:rsidRPr="007E540F">
        <w:t xml:space="preserve"> </w:t>
      </w:r>
      <w:r w:rsidRPr="00897119">
        <w:t>differentiate recent infection from infection that occurred some time ago, but this is often not useful for herd testing where individuals are usually at different stages of infection. Most tests are based on IgG and raised antibody levels typically appear 1–3 weeks after infection and last 2–3 months.</w:t>
      </w:r>
    </w:p>
    <w:p w14:paraId="0030A6EF" w14:textId="400C69F2" w:rsidR="00C3218B" w:rsidRPr="00897119" w:rsidRDefault="00C3218B" w:rsidP="007E540F">
      <w:pPr>
        <w:pStyle w:val="11ilist"/>
        <w:ind w:firstLine="0"/>
      </w:pPr>
      <w:r w:rsidRPr="00897119">
        <w:t>Chickens may also acquire anti-</w:t>
      </w:r>
      <w:r w:rsidRPr="00897119">
        <w:rPr>
          <w:i/>
        </w:rPr>
        <w:t>Salmonella</w:t>
      </w:r>
      <w:r w:rsidRPr="00897119">
        <w:t xml:space="preserve"> antibodies passively </w:t>
      </w:r>
      <w:r w:rsidRPr="006D5706">
        <w:rPr>
          <w:strike/>
        </w:rPr>
        <w:t xml:space="preserve">from their parents </w:t>
      </w:r>
      <w:r w:rsidR="007D0C51">
        <w:t xml:space="preserve">via </w:t>
      </w:r>
      <w:r w:rsidRPr="006D5706">
        <w:rPr>
          <w:strike/>
        </w:rPr>
        <w:t>the</w:t>
      </w:r>
      <w:r w:rsidR="006D5706">
        <w:rPr>
          <w:strike/>
        </w:rPr>
        <w:t xml:space="preserve"> </w:t>
      </w:r>
      <w:r w:rsidR="007D0C51" w:rsidRPr="006D5706">
        <w:rPr>
          <w:u w:val="double"/>
        </w:rPr>
        <w:t>antibodies in egg</w:t>
      </w:r>
      <w:r w:rsidR="007D0C51">
        <w:t xml:space="preserve"> yolk</w:t>
      </w:r>
      <w:r w:rsidRPr="006D5706">
        <w:rPr>
          <w:strike/>
        </w:rPr>
        <w:t xml:space="preserve"> sac</w:t>
      </w:r>
      <w:r w:rsidRPr="00897119">
        <w:t xml:space="preserve">; this may indicate an infected </w:t>
      </w:r>
      <w:r w:rsidR="00B51422" w:rsidRPr="00897119">
        <w:t xml:space="preserve">or vaccinated </w:t>
      </w:r>
      <w:r w:rsidRPr="00897119">
        <w:t>parent flock. Mammals can acquire maternally derived antibodies via the colostrum.</w:t>
      </w:r>
    </w:p>
    <w:p w14:paraId="6580BDFE" w14:textId="597D4337" w:rsidR="00C3218B" w:rsidRPr="00897119" w:rsidRDefault="00C3218B" w:rsidP="00F71F23">
      <w:pPr>
        <w:pStyle w:val="11ilist"/>
        <w:spacing w:before="240"/>
      </w:pPr>
      <w:r w:rsidRPr="00897119">
        <w:t>4.</w:t>
      </w:r>
      <w:r w:rsidRPr="00897119">
        <w:tab/>
        <w:t xml:space="preserve">Immunisation has been used for many years to </w:t>
      </w:r>
      <w:r w:rsidR="00AA72A4" w:rsidRPr="006D5706">
        <w:rPr>
          <w:u w:val="double"/>
        </w:rPr>
        <w:t xml:space="preserve">aid </w:t>
      </w:r>
      <w:r w:rsidRPr="00897119">
        <w:t>control</w:t>
      </w:r>
      <w:r w:rsidR="00AA72A4" w:rsidRPr="006D5706">
        <w:rPr>
          <w:u w:val="double"/>
        </w:rPr>
        <w:t xml:space="preserve"> of</w:t>
      </w:r>
      <w:r w:rsidRPr="00897119">
        <w:t xml:space="preserve"> certain </w:t>
      </w:r>
      <w:r w:rsidRPr="00897119">
        <w:rPr>
          <w:i/>
        </w:rPr>
        <w:t>Salmonella</w:t>
      </w:r>
      <w:r w:rsidRPr="00897119">
        <w:t xml:space="preserve"> infections in farm animals, and if diagnostic serology is to be used, it is necessary to differentiate the vaccine response from that of actual infection. Many live vaccines given orally do not provoke a significant serum antibody response in the majority of animals</w:t>
      </w:r>
      <w:r w:rsidR="00142C8B">
        <w:t>,</w:t>
      </w:r>
      <w:r w:rsidRPr="00897119">
        <w:t xml:space="preserve"> but there may be occasional exceptions that are difficult to interpret. Injectable killed vaccines used for control of</w:t>
      </w:r>
      <w:r w:rsidR="0094745F">
        <w:t xml:space="preserve"> </w:t>
      </w:r>
      <w:r w:rsidRPr="006D5706">
        <w:rPr>
          <w:i/>
          <w:strike/>
        </w:rPr>
        <w:t>S.</w:t>
      </w:r>
      <w:r w:rsidRPr="006D5706">
        <w:rPr>
          <w:strike/>
        </w:rPr>
        <w:t> Enteritidis</w:t>
      </w:r>
      <w:r w:rsidR="006D5706">
        <w:rPr>
          <w:strike/>
        </w:rPr>
        <w:t xml:space="preserve"> </w:t>
      </w:r>
      <w:r w:rsidR="0094745F" w:rsidRPr="006D5706">
        <w:rPr>
          <w:i/>
          <w:u w:val="double"/>
        </w:rPr>
        <w:t>Salmonella</w:t>
      </w:r>
      <w:r w:rsidRPr="00897119">
        <w:t xml:space="preserve"> in chickens may produce a very prolonged antibody response</w:t>
      </w:r>
      <w:r w:rsidRPr="006D5706">
        <w:rPr>
          <w:strike/>
        </w:rPr>
        <w:t xml:space="preserve">. </w:t>
      </w:r>
      <w:r w:rsidR="007D33E4" w:rsidRPr="006D5706">
        <w:rPr>
          <w:strike/>
        </w:rPr>
        <w:t>L</w:t>
      </w:r>
      <w:r w:rsidRPr="006D5706">
        <w:rPr>
          <w:strike/>
        </w:rPr>
        <w:t xml:space="preserve">ive </w:t>
      </w:r>
      <w:r w:rsidR="007D33E4" w:rsidRPr="006D5706">
        <w:rPr>
          <w:strike/>
        </w:rPr>
        <w:t xml:space="preserve">marker </w:t>
      </w:r>
      <w:r w:rsidRPr="006D5706">
        <w:rPr>
          <w:strike/>
        </w:rPr>
        <w:t>vaccines have been produced and can be distinguished from field challenge strains because</w:t>
      </w:r>
      <w:r w:rsidR="0094745F" w:rsidRPr="006D5706">
        <w:rPr>
          <w:u w:val="double"/>
        </w:rPr>
        <w:t>, depending on the adjuvant used</w:t>
      </w:r>
      <w:r w:rsidRPr="006D5706">
        <w:rPr>
          <w:u w:val="double"/>
        </w:rPr>
        <w:t>.</w:t>
      </w:r>
      <w:r w:rsidR="007D0C51" w:rsidRPr="006D5706">
        <w:rPr>
          <w:u w:val="double"/>
        </w:rPr>
        <w:t xml:space="preserve"> No true </w:t>
      </w:r>
      <w:r w:rsidR="007D0C51" w:rsidRPr="00381A8F">
        <w:rPr>
          <w:u w:val="double"/>
        </w:rPr>
        <w:t xml:space="preserve">DIVA </w:t>
      </w:r>
      <w:r w:rsidR="00381A8F" w:rsidRPr="00381A8F">
        <w:rPr>
          <w:u w:val="double"/>
        </w:rPr>
        <w:t xml:space="preserve">(detection of infection in vaccinated animals) </w:t>
      </w:r>
      <w:r w:rsidR="007D0C51" w:rsidRPr="00381A8F">
        <w:rPr>
          <w:u w:val="double"/>
        </w:rPr>
        <w:t>test i</w:t>
      </w:r>
      <w:r w:rsidR="007D0C51" w:rsidRPr="006D5706">
        <w:rPr>
          <w:u w:val="double"/>
        </w:rPr>
        <w:t>s readily available for specific identification</w:t>
      </w:r>
      <w:r w:rsidR="007D0C51">
        <w:t xml:space="preserve"> of </w:t>
      </w:r>
      <w:r w:rsidRPr="006D5706">
        <w:rPr>
          <w:strike/>
        </w:rPr>
        <w:t>their antimicrobial resistances</w:t>
      </w:r>
      <w:r w:rsidR="006D5706">
        <w:rPr>
          <w:strike/>
        </w:rPr>
        <w:t xml:space="preserve"> </w:t>
      </w:r>
      <w:r w:rsidR="007D0C51" w:rsidRPr="006D5706">
        <w:rPr>
          <w:u w:val="double"/>
        </w:rPr>
        <w:t>the antibody response</w:t>
      </w:r>
      <w:r w:rsidR="007D0C51">
        <w:t xml:space="preserve"> to </w:t>
      </w:r>
      <w:r w:rsidRPr="006D5706">
        <w:rPr>
          <w:strike/>
        </w:rPr>
        <w:t>rifampicin and by real-time PCR assays (Mauri</w:t>
      </w:r>
      <w:r w:rsidR="009520DC" w:rsidRPr="006D5706">
        <w:rPr>
          <w:strike/>
        </w:rPr>
        <w:t>s</w:t>
      </w:r>
      <w:r w:rsidRPr="006D5706">
        <w:rPr>
          <w:strike/>
        </w:rPr>
        <w:t xml:space="preserve">chat </w:t>
      </w:r>
      <w:r w:rsidRPr="006D5706">
        <w:rPr>
          <w:i/>
          <w:strike/>
        </w:rPr>
        <w:t>et al</w:t>
      </w:r>
      <w:r w:rsidRPr="006D5706">
        <w:rPr>
          <w:strike/>
        </w:rPr>
        <w:t>.</w:t>
      </w:r>
      <w:r w:rsidR="00703987" w:rsidRPr="006D5706">
        <w:rPr>
          <w:strike/>
        </w:rPr>
        <w:t>,</w:t>
      </w:r>
      <w:r w:rsidRPr="006D5706">
        <w:rPr>
          <w:strike/>
        </w:rPr>
        <w:t xml:space="preserve"> 2015b)</w:t>
      </w:r>
      <w:r w:rsidR="006D5706">
        <w:rPr>
          <w:strike/>
        </w:rPr>
        <w:t xml:space="preserve"> </w:t>
      </w:r>
      <w:r w:rsidR="007D0C51" w:rsidRPr="006D5706">
        <w:rPr>
          <w:u w:val="double"/>
        </w:rPr>
        <w:t xml:space="preserve">vaccination, but in the case of </w:t>
      </w:r>
      <w:r w:rsidR="007D0C51" w:rsidRPr="006D5706">
        <w:rPr>
          <w:i/>
          <w:u w:val="double"/>
        </w:rPr>
        <w:t>S</w:t>
      </w:r>
      <w:r w:rsidR="007D0C51" w:rsidRPr="006D5706">
        <w:rPr>
          <w:u w:val="double"/>
        </w:rPr>
        <w:t>. Gallinarum</w:t>
      </w:r>
      <w:r w:rsidR="007D0C51" w:rsidRPr="003E3725">
        <w:rPr>
          <w:strike/>
          <w:highlight w:val="yellow"/>
        </w:rPr>
        <w:t>/</w:t>
      </w:r>
      <w:r w:rsidR="003E3725" w:rsidRPr="003E3725">
        <w:t xml:space="preserve"> </w:t>
      </w:r>
      <w:r w:rsidR="00AC2B9D" w:rsidRPr="003E3725">
        <w:rPr>
          <w:highlight w:val="yellow"/>
          <w:u w:val="double"/>
        </w:rPr>
        <w:t>(</w:t>
      </w:r>
      <w:r w:rsidR="00793AAF" w:rsidRPr="003E3725">
        <w:rPr>
          <w:highlight w:val="yellow"/>
          <w:u w:val="double"/>
        </w:rPr>
        <w:t>biovars Gallinarum and</w:t>
      </w:r>
      <w:r w:rsidR="00793AAF">
        <w:rPr>
          <w:u w:val="double"/>
        </w:rPr>
        <w:t xml:space="preserve"> </w:t>
      </w:r>
      <w:r w:rsidR="007D0C51" w:rsidRPr="006D5706">
        <w:rPr>
          <w:u w:val="double"/>
        </w:rPr>
        <w:t>Pullorum</w:t>
      </w:r>
      <w:r w:rsidR="00AC2B9D" w:rsidRPr="003E3725">
        <w:rPr>
          <w:highlight w:val="yellow"/>
          <w:u w:val="double"/>
        </w:rPr>
        <w:t>)</w:t>
      </w:r>
      <w:r w:rsidR="007D0C51" w:rsidRPr="006D5706">
        <w:rPr>
          <w:u w:val="double"/>
        </w:rPr>
        <w:t>, combined use of a LPS and flagella</w:t>
      </w:r>
      <w:r w:rsidR="006D5706">
        <w:rPr>
          <w:u w:val="double"/>
        </w:rPr>
        <w:t>-</w:t>
      </w:r>
      <w:r w:rsidR="007D0C51" w:rsidRPr="006D5706">
        <w:rPr>
          <w:u w:val="double"/>
        </w:rPr>
        <w:t>base</w:t>
      </w:r>
      <w:r w:rsidR="001B1ECC" w:rsidRPr="006D5706">
        <w:rPr>
          <w:u w:val="double"/>
        </w:rPr>
        <w:t>d</w:t>
      </w:r>
      <w:r w:rsidR="007D0C51" w:rsidRPr="006D5706">
        <w:rPr>
          <w:u w:val="double"/>
        </w:rPr>
        <w:t xml:space="preserve"> ELISA can help exclude the possibility of a false positive reaction in a flock vaccinated for </w:t>
      </w:r>
      <w:r w:rsidR="007D0C51" w:rsidRPr="006D5706">
        <w:rPr>
          <w:i/>
          <w:u w:val="double"/>
        </w:rPr>
        <w:t>S</w:t>
      </w:r>
      <w:r w:rsidR="007D0C51" w:rsidRPr="006D5706">
        <w:rPr>
          <w:u w:val="double"/>
        </w:rPr>
        <w:t>. Enteritidis</w:t>
      </w:r>
      <w:r w:rsidR="007D0C51" w:rsidRPr="006D5706">
        <w:t>.</w:t>
      </w:r>
      <w:r w:rsidR="007D0C51" w:rsidRPr="006D5706">
        <w:rPr>
          <w:u w:val="double"/>
        </w:rPr>
        <w:t xml:space="preserve"> </w:t>
      </w:r>
    </w:p>
    <w:p w14:paraId="1705A8B2" w14:textId="77777777" w:rsidR="00C3218B" w:rsidRPr="00897119" w:rsidRDefault="00C3218B" w:rsidP="00F71F23">
      <w:pPr>
        <w:pStyle w:val="11ilist"/>
        <w:spacing w:before="240"/>
      </w:pPr>
      <w:r w:rsidRPr="00897119">
        <w:t>5.</w:t>
      </w:r>
      <w:r w:rsidRPr="00897119">
        <w:tab/>
        <w:t>The effect of antibiotic therapy on the serological response remains unclear. Some workers found reduced titres following therapy whereas others found no effect. Serology, however, may be a more useful diagnostic technique for salmonellosis than culture if antimicrobial therapy has been used.</w:t>
      </w:r>
    </w:p>
    <w:p w14:paraId="4F257A59" w14:textId="08F5464A" w:rsidR="00C3218B" w:rsidRPr="00897119" w:rsidRDefault="00255519" w:rsidP="00F71F23">
      <w:pPr>
        <w:pStyle w:val="11ilist"/>
      </w:pPr>
      <w:r w:rsidRPr="00897119">
        <w:t>6.</w:t>
      </w:r>
      <w:r w:rsidRPr="00897119">
        <w:tab/>
        <w:t>Over 26</w:t>
      </w:r>
      <w:r w:rsidR="00C3218B" w:rsidRPr="00897119">
        <w:t xml:space="preserve">00 different </w:t>
      </w:r>
      <w:r w:rsidR="00C3218B" w:rsidRPr="00897119">
        <w:rPr>
          <w:i/>
        </w:rPr>
        <w:t>Salmonella</w:t>
      </w:r>
      <w:r w:rsidR="00C3218B" w:rsidRPr="00897119">
        <w:t xml:space="preserve"> serovars exist. Depending on the antigen and test used, serological cross-reactions between different serovars may occur, e.g. </w:t>
      </w:r>
      <w:r w:rsidR="00C3218B" w:rsidRPr="00897119">
        <w:rPr>
          <w:i/>
        </w:rPr>
        <w:t>S. </w:t>
      </w:r>
      <w:r w:rsidR="00C3218B" w:rsidRPr="00897119">
        <w:t>Typhimurium,</w:t>
      </w:r>
      <w:r w:rsidR="007D0C51">
        <w:t xml:space="preserve"> </w:t>
      </w:r>
      <w:r w:rsidR="007D0C51" w:rsidRPr="00E83537">
        <w:rPr>
          <w:i/>
        </w:rPr>
        <w:t>S</w:t>
      </w:r>
      <w:r w:rsidR="007D0C51">
        <w:t>.</w:t>
      </w:r>
      <w:r w:rsidR="007D0C51" w:rsidRPr="006D5706">
        <w:rPr>
          <w:u w:val="double"/>
        </w:rPr>
        <w:t xml:space="preserve"> Abortusequi, </w:t>
      </w:r>
      <w:r w:rsidR="007D0C51" w:rsidRPr="006D5706">
        <w:rPr>
          <w:i/>
          <w:u w:val="double"/>
        </w:rPr>
        <w:t>S</w:t>
      </w:r>
      <w:r w:rsidR="00C3218B" w:rsidRPr="003E3725">
        <w:rPr>
          <w:highlight w:val="yellow"/>
          <w:u w:val="double"/>
        </w:rPr>
        <w:t>.</w:t>
      </w:r>
      <w:r w:rsidR="00C3218B" w:rsidRPr="003E3725">
        <w:rPr>
          <w:i/>
          <w:highlight w:val="yellow"/>
        </w:rPr>
        <w:t> </w:t>
      </w:r>
      <w:r w:rsidR="00C3218B" w:rsidRPr="003E3725">
        <w:rPr>
          <w:strike/>
          <w:highlight w:val="yellow"/>
        </w:rPr>
        <w:t xml:space="preserve">Pullorum </w:t>
      </w:r>
      <w:r w:rsidR="006D69BB" w:rsidRPr="003E3725">
        <w:rPr>
          <w:highlight w:val="yellow"/>
          <w:u w:val="double"/>
        </w:rPr>
        <w:t>Gallinarum</w:t>
      </w:r>
      <w:r w:rsidR="006D69BB" w:rsidRPr="00897119">
        <w:t xml:space="preserve"> </w:t>
      </w:r>
      <w:r w:rsidR="00C3218B" w:rsidRPr="00897119">
        <w:t xml:space="preserve">and </w:t>
      </w:r>
      <w:r w:rsidR="00C3218B" w:rsidRPr="00897119">
        <w:rPr>
          <w:i/>
        </w:rPr>
        <w:t>S. </w:t>
      </w:r>
      <w:r w:rsidR="00C3218B" w:rsidRPr="00897119">
        <w:t xml:space="preserve">Enteritidis. In some cases cross-reactions may also occur as a result of exposure to organisms other than </w:t>
      </w:r>
      <w:r w:rsidR="00C3218B" w:rsidRPr="00897119">
        <w:rPr>
          <w:i/>
          <w:iCs/>
        </w:rPr>
        <w:t>Salmonella</w:t>
      </w:r>
      <w:r w:rsidR="00C3218B" w:rsidRPr="00897119">
        <w:rPr>
          <w:rStyle w:val="CommentReference"/>
          <w:rFonts w:ascii="Times New Roman" w:hAnsi="Times New Roman" w:cs="Times New Roman"/>
        </w:rPr>
        <w:t>.</w:t>
      </w:r>
    </w:p>
    <w:p w14:paraId="6BD37F52" w14:textId="77777777" w:rsidR="00C3218B" w:rsidRPr="00897119" w:rsidRDefault="00C3218B" w:rsidP="00F71F23">
      <w:pPr>
        <w:pStyle w:val="11ilist"/>
      </w:pPr>
      <w:r w:rsidRPr="00897119">
        <w:lastRenderedPageBreak/>
        <w:t>7.</w:t>
      </w:r>
      <w:r w:rsidRPr="00897119">
        <w:tab/>
        <w:t xml:space="preserve">In poultry, egg yolk may be tested for immunoglobulins to </w:t>
      </w:r>
      <w:r w:rsidRPr="00897119">
        <w:rPr>
          <w:i/>
        </w:rPr>
        <w:t>Salmonella,</w:t>
      </w:r>
      <w:r w:rsidRPr="00897119">
        <w:t xml:space="preserve"> and eggs may provide a method to screen flocks. This approach is used for monitoring commercial laying flocks in Denmark. In cattle, milk may be tested for anti-</w:t>
      </w:r>
      <w:r w:rsidRPr="00897119">
        <w:rPr>
          <w:i/>
        </w:rPr>
        <w:t>Salmonella</w:t>
      </w:r>
      <w:r w:rsidRPr="00897119">
        <w:t xml:space="preserve"> antibodies to screen dairy herds.</w:t>
      </w:r>
    </w:p>
    <w:p w14:paraId="2BC86892" w14:textId="77777777" w:rsidR="00C3218B" w:rsidRPr="00897119" w:rsidRDefault="00C3218B" w:rsidP="00F71F23">
      <w:pPr>
        <w:pStyle w:val="11ilist"/>
      </w:pPr>
      <w:r w:rsidRPr="00897119">
        <w:t>8.</w:t>
      </w:r>
      <w:r w:rsidRPr="00897119">
        <w:tab/>
        <w:t>The use of filter-paper discs for serum collection obviates the necessity to separate serum. The discs also provide long-term storage and reduce transport costs to the laboratory. The sensitivity of the test may be slightly reduced compared with tests carried out on fresh serum.</w:t>
      </w:r>
    </w:p>
    <w:p w14:paraId="42608593" w14:textId="77777777" w:rsidR="00C3218B" w:rsidRPr="00897119" w:rsidRDefault="00C3218B" w:rsidP="00F71F23">
      <w:pPr>
        <w:pStyle w:val="11"/>
      </w:pPr>
      <w:r w:rsidRPr="00897119">
        <w:t>2.3.</w:t>
      </w:r>
      <w:r w:rsidRPr="00897119">
        <w:tab/>
        <w:t>The whole blood test</w:t>
      </w:r>
    </w:p>
    <w:p w14:paraId="0BF13EC2" w14:textId="77777777" w:rsidR="00866A45" w:rsidRPr="00897119" w:rsidRDefault="00C3218B" w:rsidP="008D78A2">
      <w:pPr>
        <w:pStyle w:val="11Para"/>
      </w:pPr>
      <w:r w:rsidRPr="00897119">
        <w:t xml:space="preserve">The whole blood test provides a rapid test for fowl typhoid and </w:t>
      </w:r>
      <w:r w:rsidR="00C74734" w:rsidRPr="00897119">
        <w:t>P</w:t>
      </w:r>
      <w:r w:rsidRPr="00897119">
        <w:t>ullorum</w:t>
      </w:r>
      <w:r w:rsidRPr="00897119">
        <w:rPr>
          <w:i/>
        </w:rPr>
        <w:t xml:space="preserve"> </w:t>
      </w:r>
      <w:r w:rsidRPr="00897119">
        <w:t>disease that can be used on the farm. The sensitivity of the whole blood test is low and in inexperienced hands false-positive and false-negative results may be recorded.</w:t>
      </w:r>
      <w:r w:rsidR="008D78A2" w:rsidRPr="00897119">
        <w:t xml:space="preserve"> </w:t>
      </w:r>
      <w:r w:rsidR="00866A45" w:rsidRPr="00897119">
        <w:t xml:space="preserve">For a detailed description of the whole blood test, see </w:t>
      </w:r>
      <w:r w:rsidR="0023091C" w:rsidRPr="00897119">
        <w:t>c</w:t>
      </w:r>
      <w:r w:rsidR="00866A45" w:rsidRPr="00897119">
        <w:t xml:space="preserve">hapter </w:t>
      </w:r>
      <w:r w:rsidR="00D87299">
        <w:t>3</w:t>
      </w:r>
      <w:r w:rsidR="00866A45" w:rsidRPr="00897119">
        <w:t>.3.11.</w:t>
      </w:r>
    </w:p>
    <w:p w14:paraId="41015099" w14:textId="77777777" w:rsidR="00C3218B" w:rsidRPr="00897119" w:rsidRDefault="00C3218B" w:rsidP="00F71F23">
      <w:pPr>
        <w:pStyle w:val="11"/>
      </w:pPr>
      <w:r w:rsidRPr="00897119">
        <w:t>2.4.</w:t>
      </w:r>
      <w:r w:rsidRPr="00897119">
        <w:tab/>
        <w:t>Rapid slide agglutination test</w:t>
      </w:r>
    </w:p>
    <w:p w14:paraId="6A7DD94B" w14:textId="77777777" w:rsidR="00C3218B" w:rsidRPr="00897119" w:rsidRDefault="00C3218B" w:rsidP="00F71F23">
      <w:pPr>
        <w:pStyle w:val="11Para"/>
      </w:pPr>
      <w:r w:rsidRPr="00897119">
        <w:t>Serum (0.02 ml) is mixed with polyvalent crystal-violet-stained antigen (0.02 ml). The tile is rocked gently for 2 minutes, after which the test is read. The test components are stored at 4°C and must have reached room temperature before being used.</w:t>
      </w:r>
    </w:p>
    <w:p w14:paraId="7905F8AB" w14:textId="77777777" w:rsidR="00C3218B" w:rsidRPr="00897119" w:rsidRDefault="00C3218B" w:rsidP="00F71F23">
      <w:pPr>
        <w:pStyle w:val="11Para"/>
      </w:pPr>
      <w:r w:rsidRPr="00897119">
        <w:t>Test sera should be free from contamination and haemolysis. It may be helpful to centrifuge serum samples that have been stored for any period of time.</w:t>
      </w:r>
    </w:p>
    <w:p w14:paraId="7521C3EF" w14:textId="77777777" w:rsidR="00C3218B" w:rsidRPr="00897119" w:rsidRDefault="00C3218B" w:rsidP="00F71F23">
      <w:pPr>
        <w:pStyle w:val="11Para"/>
      </w:pPr>
      <w:r w:rsidRPr="00897119">
        <w:t>If nonspecific false-positive reactions are suspected, positive/suspicious sera may be retested after heat-inactivation at 56°C for 30 minutes.</w:t>
      </w:r>
    </w:p>
    <w:p w14:paraId="2B66A5EE" w14:textId="77777777" w:rsidR="00C3218B" w:rsidRPr="00897119" w:rsidRDefault="00C3218B" w:rsidP="00F71F23">
      <w:pPr>
        <w:pStyle w:val="11"/>
      </w:pPr>
      <w:r w:rsidRPr="00897119">
        <w:t>2.5.</w:t>
      </w:r>
      <w:r w:rsidRPr="00897119">
        <w:tab/>
        <w:t>Serum agglutination test</w:t>
      </w:r>
    </w:p>
    <w:p w14:paraId="1BF869EA" w14:textId="024B8441" w:rsidR="00C3218B" w:rsidRPr="00897119" w:rsidRDefault="00C3218B" w:rsidP="00F71F23">
      <w:pPr>
        <w:pStyle w:val="11Para"/>
      </w:pPr>
      <w:r w:rsidRPr="00897119">
        <w:t xml:space="preserve">The SAT is relatively insensitive, and many older animals </w:t>
      </w:r>
      <w:r w:rsidR="00DE40A4" w:rsidRPr="006D5706">
        <w:rPr>
          <w:u w:val="double"/>
        </w:rPr>
        <w:t>may</w:t>
      </w:r>
      <w:r w:rsidR="00DE40A4" w:rsidRPr="00381A8F">
        <w:t xml:space="preserve"> </w:t>
      </w:r>
      <w:r w:rsidRPr="00897119">
        <w:t xml:space="preserve">have low levels of agglutinins in their sera caused by enterobacteria other than </w:t>
      </w:r>
      <w:r w:rsidRPr="00897119">
        <w:rPr>
          <w:i/>
        </w:rPr>
        <w:t>Salmonella</w:t>
      </w:r>
      <w:r w:rsidRPr="00897119">
        <w:t xml:space="preserve">. Single samples are of little diagnostic value except for initial screening on a herd basis. Paired samples are needed as the minimum requirement for confirmation of active infection. The test is relatively </w:t>
      </w:r>
      <w:r w:rsidRPr="006D5706">
        <w:rPr>
          <w:strike/>
        </w:rPr>
        <w:t>inexpensive</w:t>
      </w:r>
      <w:r w:rsidR="006D5706">
        <w:rPr>
          <w:strike/>
        </w:rPr>
        <w:t xml:space="preserve"> </w:t>
      </w:r>
      <w:r w:rsidR="00DE40A4" w:rsidRPr="006D5706">
        <w:rPr>
          <w:u w:val="double"/>
        </w:rPr>
        <w:t>simple</w:t>
      </w:r>
      <w:r w:rsidRPr="00897119">
        <w:t xml:space="preserve">; the antigens can be readily prepared and expensive equipment is not necessary. The SAT can be adapted to the microtitre format and can be </w:t>
      </w:r>
      <w:r w:rsidRPr="006D5706">
        <w:rPr>
          <w:strike/>
        </w:rPr>
        <w:t xml:space="preserve">readily </w:t>
      </w:r>
      <w:r w:rsidRPr="00897119">
        <w:t xml:space="preserve">used to determine somatic and flagellar titres. It is advisable to use standard sera and other confirmatory methods for quality control of the purity and immunogenicity of SAT antigen preparation(s) that are not dependant on sera produced from those antigens. This method has been used for identification of exposure to various </w:t>
      </w:r>
      <w:r w:rsidRPr="00897119">
        <w:rPr>
          <w:i/>
          <w:iCs/>
        </w:rPr>
        <w:t>Salmonella</w:t>
      </w:r>
      <w:r w:rsidRPr="00897119">
        <w:t xml:space="preserve"> serovars, e.g. </w:t>
      </w:r>
      <w:r w:rsidRPr="00897119">
        <w:rPr>
          <w:i/>
          <w:iCs/>
        </w:rPr>
        <w:t>S.</w:t>
      </w:r>
      <w:r w:rsidRPr="00897119">
        <w:t xml:space="preserve"> Typhimurium, </w:t>
      </w:r>
      <w:r w:rsidRPr="00897119">
        <w:rPr>
          <w:i/>
          <w:iCs/>
        </w:rPr>
        <w:t>S.</w:t>
      </w:r>
      <w:r w:rsidRPr="00897119">
        <w:t xml:space="preserve"> Enteritidis, </w:t>
      </w:r>
      <w:r w:rsidRPr="00897119">
        <w:rPr>
          <w:i/>
          <w:iCs/>
        </w:rPr>
        <w:t>S.</w:t>
      </w:r>
      <w:r w:rsidR="00381A8F">
        <w:t> </w:t>
      </w:r>
      <w:r w:rsidRPr="00897119">
        <w:t xml:space="preserve">Dublin, </w:t>
      </w:r>
      <w:r w:rsidRPr="00897119">
        <w:rPr>
          <w:i/>
          <w:iCs/>
        </w:rPr>
        <w:t>S.</w:t>
      </w:r>
      <w:r w:rsidRPr="00897119">
        <w:t xml:space="preserve"> </w:t>
      </w:r>
      <w:r w:rsidRPr="00897119">
        <w:rPr>
          <w:i/>
        </w:rPr>
        <w:t>diarizonae</w:t>
      </w:r>
      <w:r w:rsidRPr="00897119">
        <w:t xml:space="preserve"> in turkeys,</w:t>
      </w:r>
      <w:r w:rsidR="00255519" w:rsidRPr="00897119">
        <w:t xml:space="preserve"> and</w:t>
      </w:r>
      <w:r w:rsidRPr="00897119">
        <w:t xml:space="preserve"> </w:t>
      </w:r>
      <w:r w:rsidRPr="00897119">
        <w:rPr>
          <w:i/>
          <w:iCs/>
        </w:rPr>
        <w:t>S.</w:t>
      </w:r>
      <w:r w:rsidRPr="00897119">
        <w:t xml:space="preserve"> Abortusequi.</w:t>
      </w:r>
    </w:p>
    <w:p w14:paraId="2403F04E" w14:textId="77777777" w:rsidR="00C3218B" w:rsidRPr="00897119" w:rsidRDefault="00C3218B" w:rsidP="00F71F23">
      <w:pPr>
        <w:pStyle w:val="111"/>
      </w:pPr>
      <w:r w:rsidRPr="00897119">
        <w:t>2.5.1.</w:t>
      </w:r>
      <w:r w:rsidRPr="00897119">
        <w:tab/>
        <w:t>Preparation of somatic antigen</w:t>
      </w:r>
    </w:p>
    <w:p w14:paraId="46269FF3" w14:textId="77777777" w:rsidR="00C3218B" w:rsidRPr="00897119" w:rsidRDefault="00C3218B" w:rsidP="00C3218B">
      <w:pPr>
        <w:pStyle w:val="i"/>
      </w:pPr>
      <w:r w:rsidRPr="00897119">
        <w:t>i)</w:t>
      </w:r>
      <w:r w:rsidRPr="00897119">
        <w:tab/>
        <w:t xml:space="preserve">Plate out the </w:t>
      </w:r>
      <w:r w:rsidRPr="00897119">
        <w:rPr>
          <w:i/>
        </w:rPr>
        <w:t>Salmonella</w:t>
      </w:r>
      <w:r w:rsidRPr="00897119">
        <w:t xml:space="preserve"> culture from the appropriate stock culture onto a blood agar base (BAB) plate, or other suitable medium, for single colony growth. Incubate overnight at </w:t>
      </w:r>
      <w:r w:rsidRPr="00D4548B">
        <w:t>37°C (±2°C).</w:t>
      </w:r>
    </w:p>
    <w:p w14:paraId="52D30F48" w14:textId="77777777" w:rsidR="00C3218B" w:rsidRPr="00897119" w:rsidRDefault="00C3218B" w:rsidP="00C3218B">
      <w:pPr>
        <w:pStyle w:val="i"/>
      </w:pPr>
      <w:r w:rsidRPr="00897119">
        <w:t>ii)</w:t>
      </w:r>
      <w:r w:rsidRPr="00897119">
        <w:tab/>
        <w:t>Select a smooth colony and carry out a slide agglutination test to ensure that the required somatic antigen is present.</w:t>
      </w:r>
    </w:p>
    <w:p w14:paraId="05FE2D7A" w14:textId="77777777" w:rsidR="00C3218B" w:rsidRPr="00897119" w:rsidRDefault="00C3218B" w:rsidP="00C3218B">
      <w:pPr>
        <w:pStyle w:val="i"/>
      </w:pPr>
      <w:r w:rsidRPr="00897119">
        <w:t>iii)</w:t>
      </w:r>
      <w:r w:rsidRPr="00897119">
        <w:tab/>
        <w:t>Using a sterile loop, inoculate a nutrient agar slope in a universal container from the selected colony.</w:t>
      </w:r>
    </w:p>
    <w:p w14:paraId="03235F84" w14:textId="49D25765" w:rsidR="00C3218B" w:rsidRPr="00897119" w:rsidRDefault="00C3218B" w:rsidP="00C3218B">
      <w:pPr>
        <w:pStyle w:val="i"/>
      </w:pPr>
      <w:r w:rsidRPr="00897119">
        <w:t>iv)</w:t>
      </w:r>
      <w:r w:rsidRPr="00897119">
        <w:tab/>
        <w:t xml:space="preserve">Incubate the culture for 8–12 hours at </w:t>
      </w:r>
      <w:r w:rsidR="00AD34B5" w:rsidRPr="003E3725">
        <w:rPr>
          <w:rFonts w:eastAsia="Calibri"/>
          <w:highlight w:val="yellow"/>
          <w:u w:val="double"/>
        </w:rPr>
        <w:t>34</w:t>
      </w:r>
      <w:r w:rsidR="003E3725" w:rsidRPr="003E3725">
        <w:rPr>
          <w:rFonts w:eastAsia="Calibri"/>
          <w:highlight w:val="yellow"/>
          <w:u w:val="double"/>
        </w:rPr>
        <w:t>–</w:t>
      </w:r>
      <w:r w:rsidR="00AD34B5" w:rsidRPr="003E3725">
        <w:rPr>
          <w:rFonts w:eastAsia="Calibri"/>
          <w:highlight w:val="yellow"/>
          <w:u w:val="double"/>
        </w:rPr>
        <w:t>38°C</w:t>
      </w:r>
      <w:r w:rsidR="003E3725" w:rsidRPr="003E3725">
        <w:rPr>
          <w:rFonts w:eastAsia="Calibri"/>
          <w:strike/>
          <w:highlight w:val="yellow"/>
        </w:rPr>
        <w:t xml:space="preserve"> </w:t>
      </w:r>
      <w:r w:rsidRPr="003E3725">
        <w:rPr>
          <w:strike/>
          <w:highlight w:val="yellow"/>
        </w:rPr>
        <w:t>37°C (±2°C)</w:t>
      </w:r>
      <w:r w:rsidRPr="003E3725">
        <w:rPr>
          <w:highlight w:val="yellow"/>
        </w:rPr>
        <w:t>.</w:t>
      </w:r>
    </w:p>
    <w:p w14:paraId="7F13F549" w14:textId="77777777" w:rsidR="00C3218B" w:rsidRPr="00897119" w:rsidRDefault="00C3218B" w:rsidP="00C3218B">
      <w:pPr>
        <w:pStyle w:val="i"/>
      </w:pPr>
      <w:r w:rsidRPr="00897119">
        <w:t>v)</w:t>
      </w:r>
      <w:r w:rsidRPr="00897119">
        <w:tab/>
        <w:t>Using a Pasteur pipette, wash off the culture, preferably inside a safety cabinet, with approximately 2 ml of absolute alcohol, and transfer into a sterile universal container.</w:t>
      </w:r>
    </w:p>
    <w:p w14:paraId="3BB5E36A" w14:textId="7ED70092" w:rsidR="00C3218B" w:rsidRPr="00897119" w:rsidRDefault="00C3218B" w:rsidP="00C3218B">
      <w:pPr>
        <w:pStyle w:val="i"/>
      </w:pPr>
      <w:r w:rsidRPr="00897119">
        <w:t>vi)</w:t>
      </w:r>
      <w:r w:rsidRPr="00897119">
        <w:tab/>
        <w:t>Leave the antigen for 4–6 hours at room temperature to enable the alcohol to kill the bacteria and detach flagella.</w:t>
      </w:r>
    </w:p>
    <w:p w14:paraId="4BE227A8" w14:textId="77777777" w:rsidR="00C3218B" w:rsidRPr="00897119" w:rsidRDefault="00C3218B" w:rsidP="00C3218B">
      <w:pPr>
        <w:pStyle w:val="i"/>
      </w:pPr>
      <w:r w:rsidRPr="00897119">
        <w:t>vii)</w:t>
      </w:r>
      <w:r w:rsidRPr="00897119">
        <w:tab/>
        <w:t xml:space="preserve">Spin the universal container in a bench-top centrifuge for 5 minutes at 1000 </w:t>
      </w:r>
      <w:r w:rsidRPr="00897119">
        <w:rPr>
          <w:b/>
          <w:i/>
        </w:rPr>
        <w:t>g</w:t>
      </w:r>
      <w:r w:rsidRPr="00897119">
        <w:t>. Pour off the liquid and add enough phenol saline to make the antigen up to an opacity equivalent to Brown’s tube No. 2 (approximately 10</w:t>
      </w:r>
      <w:r w:rsidRPr="00FC294E">
        <w:rPr>
          <w:vertAlign w:val="superscript"/>
        </w:rPr>
        <w:t>8</w:t>
      </w:r>
      <w:r w:rsidRPr="00897119">
        <w:t xml:space="preserve"> colony-forming units/ml) or other appropriate standard.</w:t>
      </w:r>
    </w:p>
    <w:p w14:paraId="3E18432E" w14:textId="77777777" w:rsidR="00C3218B" w:rsidRPr="00897119" w:rsidRDefault="00C3218B" w:rsidP="00C3218B">
      <w:pPr>
        <w:pStyle w:val="i"/>
      </w:pPr>
      <w:r w:rsidRPr="00897119">
        <w:t>viii)</w:t>
      </w:r>
      <w:r w:rsidRPr="00897119">
        <w:tab/>
        <w:t>Carry out standard titration with known serum to ensure that the antigen is positive for the required factor.</w:t>
      </w:r>
    </w:p>
    <w:p w14:paraId="43D60BCF" w14:textId="77777777" w:rsidR="00C3218B" w:rsidRPr="00897119" w:rsidRDefault="00C3218B" w:rsidP="00703987">
      <w:pPr>
        <w:pStyle w:val="i"/>
        <w:spacing w:after="240"/>
      </w:pPr>
      <w:r w:rsidRPr="00897119">
        <w:t>ix)</w:t>
      </w:r>
      <w:r w:rsidRPr="00897119">
        <w:tab/>
        <w:t>Store in a refrigerator at 4°C until required.</w:t>
      </w:r>
    </w:p>
    <w:p w14:paraId="058FE4B6" w14:textId="77777777" w:rsidR="00C3218B" w:rsidRPr="00897119" w:rsidRDefault="00C3218B" w:rsidP="00F71F23">
      <w:pPr>
        <w:pStyle w:val="111"/>
      </w:pPr>
      <w:r w:rsidRPr="00897119">
        <w:t>2.5.2.</w:t>
      </w:r>
      <w:r w:rsidRPr="00897119">
        <w:tab/>
        <w:t>Preparation of flagellar antigens</w:t>
      </w:r>
    </w:p>
    <w:p w14:paraId="7C45CBCB" w14:textId="0FEEC729" w:rsidR="00C3218B" w:rsidRPr="00897119" w:rsidRDefault="00C3218B" w:rsidP="00C3218B">
      <w:pPr>
        <w:pStyle w:val="i"/>
      </w:pPr>
      <w:r w:rsidRPr="00897119">
        <w:lastRenderedPageBreak/>
        <w:t>i)</w:t>
      </w:r>
      <w:r w:rsidRPr="00897119">
        <w:tab/>
        <w:t xml:space="preserve">Plate out the appropriate </w:t>
      </w:r>
      <w:r w:rsidRPr="00897119">
        <w:rPr>
          <w:i/>
        </w:rPr>
        <w:t>Salmonella</w:t>
      </w:r>
      <w:r w:rsidRPr="00897119">
        <w:t xml:space="preserve"> stock culture on to a BAB plate, or other appropriate medium. Incubate overnight at </w:t>
      </w:r>
      <w:r w:rsidR="003E3725" w:rsidRPr="003E3725">
        <w:rPr>
          <w:rFonts w:eastAsia="Calibri"/>
          <w:highlight w:val="yellow"/>
          <w:u w:val="double"/>
        </w:rPr>
        <w:t>34–38°C</w:t>
      </w:r>
      <w:r w:rsidR="003E3725" w:rsidRPr="003E3725">
        <w:rPr>
          <w:rFonts w:eastAsia="Calibri"/>
          <w:strike/>
          <w:highlight w:val="yellow"/>
        </w:rPr>
        <w:t xml:space="preserve"> </w:t>
      </w:r>
      <w:r w:rsidR="003E3725" w:rsidRPr="003E3725">
        <w:rPr>
          <w:strike/>
          <w:highlight w:val="yellow"/>
        </w:rPr>
        <w:t>37°C (±2°C)</w:t>
      </w:r>
      <w:r w:rsidRPr="00897119">
        <w:t>.</w:t>
      </w:r>
    </w:p>
    <w:p w14:paraId="1CA814FF" w14:textId="77777777" w:rsidR="00C3218B" w:rsidRPr="00897119" w:rsidRDefault="00C3218B" w:rsidP="00C3218B">
      <w:pPr>
        <w:pStyle w:val="i"/>
      </w:pPr>
      <w:r w:rsidRPr="00897119">
        <w:t>ii)</w:t>
      </w:r>
      <w:r w:rsidRPr="00897119">
        <w:tab/>
        <w:t>Passage in semi-solid agar (about 0.3%) in a Craigie’s tube, or other suitable container, to induce optimum expression of the appropriate flagellar antigen. If the serovar is biphasic, H antiserum corresponding to the phase to be suppressed is added to the agar.</w:t>
      </w:r>
    </w:p>
    <w:p w14:paraId="773A43FD" w14:textId="13002BA1" w:rsidR="00C3218B" w:rsidRPr="00897119" w:rsidRDefault="00C3218B" w:rsidP="00C3218B">
      <w:pPr>
        <w:pStyle w:val="i"/>
      </w:pPr>
      <w:r w:rsidRPr="00897119">
        <w:t>iii)</w:t>
      </w:r>
      <w:r w:rsidRPr="00897119">
        <w:tab/>
        <w:t xml:space="preserve">Use slide agglutination to check that the </w:t>
      </w:r>
      <w:r w:rsidRPr="00897119">
        <w:rPr>
          <w:i/>
        </w:rPr>
        <w:t>Salmonella</w:t>
      </w:r>
      <w:r w:rsidRPr="00897119">
        <w:t xml:space="preserve"> is in the required phase. If this is correct, inoculate a loop of culture into 20 ml of nutrient broth. Incubate for 12–18 hours at </w:t>
      </w:r>
      <w:r w:rsidR="003E3725" w:rsidRPr="003E3725">
        <w:rPr>
          <w:rFonts w:eastAsia="Calibri"/>
          <w:highlight w:val="yellow"/>
          <w:u w:val="double"/>
        </w:rPr>
        <w:t>34–38°C</w:t>
      </w:r>
      <w:r w:rsidR="003E3725" w:rsidRPr="003E3725">
        <w:rPr>
          <w:rFonts w:eastAsia="Calibri"/>
          <w:strike/>
          <w:highlight w:val="yellow"/>
        </w:rPr>
        <w:t xml:space="preserve"> </w:t>
      </w:r>
      <w:r w:rsidR="003E3725" w:rsidRPr="003E3725">
        <w:rPr>
          <w:strike/>
          <w:highlight w:val="yellow"/>
        </w:rPr>
        <w:t>37°C (±2°C)</w:t>
      </w:r>
      <w:r w:rsidRPr="00897119">
        <w:t xml:space="preserve"> for optimum growth. (If the phase is incorrect, re</w:t>
      </w:r>
      <w:r w:rsidR="00515E25" w:rsidRPr="00897119">
        <w:t>-</w:t>
      </w:r>
      <w:r w:rsidRPr="00897119">
        <w:t>passage through semi-solid agar.)</w:t>
      </w:r>
    </w:p>
    <w:p w14:paraId="114F3A72" w14:textId="2082332A" w:rsidR="00C3218B" w:rsidRPr="00897119" w:rsidRDefault="00C3218B" w:rsidP="00C3218B">
      <w:pPr>
        <w:pStyle w:val="i"/>
      </w:pPr>
      <w:r w:rsidRPr="00897119">
        <w:t>iv)</w:t>
      </w:r>
      <w:r w:rsidRPr="00897119">
        <w:tab/>
        <w:t xml:space="preserve">Pipette 250 µl of 40% formaldehyde into the antigen suspension (use gloves and </w:t>
      </w:r>
      <w:r w:rsidRPr="006D5706">
        <w:rPr>
          <w:strike/>
        </w:rPr>
        <w:t xml:space="preserve">preferably </w:t>
      </w:r>
      <w:r w:rsidRPr="00897119">
        <w:t>work in a safety</w:t>
      </w:r>
      <w:r w:rsidR="00E8782C" w:rsidRPr="006D5706">
        <w:rPr>
          <w:u w:val="double"/>
        </w:rPr>
        <w:t>/fume</w:t>
      </w:r>
      <w:r w:rsidRPr="00897119">
        <w:t xml:space="preserve"> cabinet), and leave overnight.</w:t>
      </w:r>
    </w:p>
    <w:p w14:paraId="2781F2DE" w14:textId="77777777" w:rsidR="00C3218B" w:rsidRPr="00897119" w:rsidRDefault="00C3218B" w:rsidP="00C3218B">
      <w:pPr>
        <w:pStyle w:val="iparalast"/>
      </w:pPr>
      <w:r w:rsidRPr="00897119">
        <w:t>v)</w:t>
      </w:r>
      <w:r w:rsidRPr="00897119">
        <w:tab/>
        <w:t>Test the antigen by SAT using the appropriate typing serum.</w:t>
      </w:r>
    </w:p>
    <w:p w14:paraId="3F4F051E" w14:textId="77777777" w:rsidR="00C3218B" w:rsidRPr="00897119" w:rsidRDefault="00C3218B" w:rsidP="00F71F23">
      <w:pPr>
        <w:pStyle w:val="111"/>
      </w:pPr>
      <w:r w:rsidRPr="00897119">
        <w:t>2.5.3.</w:t>
      </w:r>
      <w:r w:rsidRPr="00897119">
        <w:tab/>
        <w:t>Test procedure</w:t>
      </w:r>
    </w:p>
    <w:p w14:paraId="55841AE7" w14:textId="77777777" w:rsidR="00C3218B" w:rsidRPr="00897119" w:rsidRDefault="00C3218B" w:rsidP="00C3218B">
      <w:pPr>
        <w:pStyle w:val="i"/>
      </w:pPr>
      <w:r w:rsidRPr="00897119">
        <w:t>i)</w:t>
      </w:r>
      <w:r w:rsidRPr="00897119">
        <w:tab/>
        <w:t>It is easiest to screen the sera at a dilution of 1/20; 0.25 ml of antigen is added to 0.25 ml of serum pre</w:t>
      </w:r>
      <w:r w:rsidR="00515E25" w:rsidRPr="00897119">
        <w:t>-</w:t>
      </w:r>
      <w:r w:rsidRPr="00897119">
        <w:t>diluted to 1/10 in normal saline.</w:t>
      </w:r>
    </w:p>
    <w:p w14:paraId="4808E2F0" w14:textId="77777777" w:rsidR="00C3218B" w:rsidRPr="00897119" w:rsidRDefault="00C3218B" w:rsidP="00C3218B">
      <w:pPr>
        <w:pStyle w:val="i"/>
      </w:pPr>
      <w:r w:rsidRPr="00897119">
        <w:t>ii)</w:t>
      </w:r>
      <w:r w:rsidRPr="00897119">
        <w:tab/>
        <w:t>The tests are incubated in a water bath at 50°C for 24 hours in the case of somatic antigens and for 4 hours for the flagellar antigens. The dilution and time of incubation will vary depending on the antisera that are used.</w:t>
      </w:r>
    </w:p>
    <w:p w14:paraId="17F6F4EB" w14:textId="77777777" w:rsidR="00C3218B" w:rsidRPr="00897119" w:rsidRDefault="00C3218B" w:rsidP="00C3218B">
      <w:pPr>
        <w:pStyle w:val="iparalast"/>
      </w:pPr>
      <w:r w:rsidRPr="00897119">
        <w:t>iii)</w:t>
      </w:r>
      <w:r w:rsidRPr="00897119">
        <w:tab/>
        <w:t>Sera that give a positive reaction are then diluted from 1/20 to 1/320 and retested with the appropriate antigen.</w:t>
      </w:r>
    </w:p>
    <w:p w14:paraId="781EAC24" w14:textId="77777777" w:rsidR="00C3218B" w:rsidRPr="00897119" w:rsidRDefault="00C3218B" w:rsidP="00F71F23">
      <w:pPr>
        <w:pStyle w:val="11"/>
      </w:pPr>
      <w:r w:rsidRPr="00897119">
        <w:t>2.6.</w:t>
      </w:r>
      <w:r w:rsidRPr="00897119">
        <w:tab/>
        <w:t xml:space="preserve">Enzyme-linked immunosorbent assays for </w:t>
      </w:r>
      <w:r w:rsidRPr="00897119">
        <w:rPr>
          <w:i/>
          <w:iCs/>
        </w:rPr>
        <w:t>Salmonella</w:t>
      </w:r>
      <w:r w:rsidRPr="00897119">
        <w:t xml:space="preserve"> Enteritidis</w:t>
      </w:r>
    </w:p>
    <w:p w14:paraId="4BBED9F0" w14:textId="62255A89" w:rsidR="00C3218B" w:rsidRPr="00897119" w:rsidRDefault="00C3218B" w:rsidP="00F71F23">
      <w:pPr>
        <w:pStyle w:val="11Para"/>
      </w:pPr>
      <w:r w:rsidRPr="00897119">
        <w:t xml:space="preserve">Two main basic systems are available for detection of IgG (IgY) specific for </w:t>
      </w:r>
      <w:r w:rsidRPr="00897119">
        <w:rPr>
          <w:i/>
        </w:rPr>
        <w:t>S. </w:t>
      </w:r>
      <w:r w:rsidRPr="00897119">
        <w:t>Enteritidis</w:t>
      </w:r>
      <w:r w:rsidRPr="00897119">
        <w:rPr>
          <w:i/>
        </w:rPr>
        <w:t>:</w:t>
      </w:r>
      <w:r w:rsidRPr="00897119">
        <w:t xml:space="preserve"> the indirect ELISA and the competitive ‘sandwich type’ ELISA (</w:t>
      </w:r>
      <w:r w:rsidR="002136D0" w:rsidRPr="002136D0">
        <w:rPr>
          <w:strike/>
        </w:rPr>
        <w:t>Barrow, 1994</w:t>
      </w:r>
      <w:r w:rsidR="002136D0">
        <w:rPr>
          <w:strike/>
        </w:rPr>
        <w:t xml:space="preserve"> </w:t>
      </w:r>
      <w:r w:rsidRPr="002136D0">
        <w:rPr>
          <w:u w:val="double"/>
        </w:rPr>
        <w:t>Barrow</w:t>
      </w:r>
      <w:r w:rsidR="00E560A3" w:rsidRPr="002136D0">
        <w:rPr>
          <w:u w:val="double"/>
        </w:rPr>
        <w:t>&amp;</w:t>
      </w:r>
      <w:r w:rsidR="00725349" w:rsidRPr="002136D0">
        <w:rPr>
          <w:u w:val="double"/>
        </w:rPr>
        <w:t xml:space="preserve"> Methner</w:t>
      </w:r>
      <w:r w:rsidRPr="002136D0">
        <w:rPr>
          <w:u w:val="double"/>
        </w:rPr>
        <w:t xml:space="preserve">, </w:t>
      </w:r>
      <w:r w:rsidR="00725349" w:rsidRPr="002136D0">
        <w:rPr>
          <w:u w:val="double"/>
        </w:rPr>
        <w:t>2013</w:t>
      </w:r>
      <w:r w:rsidRPr="00897119">
        <w:t>).</w:t>
      </w:r>
    </w:p>
    <w:p w14:paraId="73BBA593" w14:textId="77777777" w:rsidR="00C3218B" w:rsidRPr="00897119" w:rsidRDefault="00C3218B" w:rsidP="00F71F23">
      <w:pPr>
        <w:pStyle w:val="11Para"/>
      </w:pPr>
      <w:r w:rsidRPr="00897119">
        <w:t>The indirect ELISA involves the use of a detecting antigen coated on to the wells of a microtitre plate. After the application of a blocking reagent to reduce nonspecific binding, test samples are applied to the wells. Specifically bound antibody in the sample is detected by an antibody/enzyme conjugate. A variety of antigens, including LPS, flagella, SEF14 fimbriae, outer membrane proteins and crude whole cell antigen preparations have been used.</w:t>
      </w:r>
    </w:p>
    <w:p w14:paraId="00CBECFF" w14:textId="77777777" w:rsidR="00C3218B" w:rsidRPr="00897119" w:rsidRDefault="00C3218B" w:rsidP="00F71F23">
      <w:pPr>
        <w:pStyle w:val="11Para"/>
      </w:pPr>
      <w:r w:rsidRPr="00897119">
        <w:t xml:space="preserve">The competitive sandwich ELISA employs a specific reagent – a monoclonal antibody (MAb) or polyclonal antibody – for coating antigen to wells. This is then followed by a pure or crude antigen preparation. Test samples are applied followed by conjugated antibody, which will not bind to the antigen if the sample contained specific antibodies. The assay time can be shortened by adding both test sample and conjugate together. MAbs have been prepared for LPS, flagella and SEF14 for </w:t>
      </w:r>
      <w:r w:rsidRPr="00897119">
        <w:rPr>
          <w:i/>
        </w:rPr>
        <w:t>S. </w:t>
      </w:r>
      <w:r w:rsidRPr="00897119">
        <w:t>Enteritidis.</w:t>
      </w:r>
    </w:p>
    <w:p w14:paraId="2A4F9807" w14:textId="1B326609" w:rsidR="00C3218B" w:rsidRPr="00897119" w:rsidRDefault="00C3218B" w:rsidP="00F71F23">
      <w:pPr>
        <w:pStyle w:val="11Para"/>
      </w:pPr>
      <w:r w:rsidRPr="00897119">
        <w:t xml:space="preserve">There are advantages and disadvantages to both systems. The indirect assay is simpler and reagents are available for all </w:t>
      </w:r>
      <w:r w:rsidRPr="00897119">
        <w:rPr>
          <w:i/>
        </w:rPr>
        <w:t>Salmonella</w:t>
      </w:r>
      <w:r w:rsidRPr="00897119">
        <w:t xml:space="preserve"> serovars of chickens, turkeys, ducks and mammalian hosts. The competitive ELISA can be applied to all animal species and in general shows higher specificity. However, reagents are not available commercially for </w:t>
      </w:r>
      <w:r w:rsidRPr="002136D0">
        <w:rPr>
          <w:strike/>
        </w:rPr>
        <w:t>all</w:t>
      </w:r>
      <w:r w:rsidR="002136D0">
        <w:rPr>
          <w:strike/>
        </w:rPr>
        <w:t xml:space="preserve"> </w:t>
      </w:r>
      <w:r w:rsidR="00725349" w:rsidRPr="002136D0">
        <w:rPr>
          <w:u w:val="double"/>
        </w:rPr>
        <w:t>most</w:t>
      </w:r>
      <w:r w:rsidR="00725349" w:rsidRPr="00897119">
        <w:t xml:space="preserve"> </w:t>
      </w:r>
      <w:r w:rsidRPr="00897119">
        <w:t xml:space="preserve">serovars. There are also some affinity problems and it may be less sensitive than the indirect assays. In the field, both systems have produced false-positive reactions and in some cases screening with an indirect LPS ELISA may be followed by confirmation with a flagellar competitive ELISA. This combination has been used to differentiate </w:t>
      </w:r>
      <w:r w:rsidRPr="00897119">
        <w:rPr>
          <w:i/>
          <w:iCs/>
        </w:rPr>
        <w:t>S.</w:t>
      </w:r>
      <w:r w:rsidRPr="00897119">
        <w:t xml:space="preserve"> Enteritidis field infection from a vaccinal response to </w:t>
      </w:r>
      <w:r w:rsidRPr="00897119">
        <w:rPr>
          <w:i/>
          <w:iCs/>
        </w:rPr>
        <w:t>S.</w:t>
      </w:r>
      <w:r w:rsidRPr="00897119">
        <w:t xml:space="preserve"> Gallinarum 9R vaccine, which lacks flagellar antigens. </w:t>
      </w:r>
    </w:p>
    <w:p w14:paraId="4A881085" w14:textId="68F4420F" w:rsidR="00C3218B" w:rsidRPr="00897119" w:rsidRDefault="00C3218B" w:rsidP="00F71F23">
      <w:pPr>
        <w:pStyle w:val="11Para"/>
      </w:pPr>
      <w:r w:rsidRPr="00897119">
        <w:t xml:space="preserve">Both types of assay may be used with serum, egg yolk or reconstituted dried blood eluted from filter paper discs. A mix-ELISA (or meat-juice ELISA), is used in Denmark and other countries to detect </w:t>
      </w:r>
      <w:r w:rsidRPr="00897119">
        <w:rPr>
          <w:i/>
        </w:rPr>
        <w:t xml:space="preserve">Salmonella </w:t>
      </w:r>
      <w:r w:rsidRPr="00897119">
        <w:t>infections in pigs (</w:t>
      </w:r>
      <w:r w:rsidRPr="002136D0">
        <w:rPr>
          <w:strike/>
          <w:lang w:val="nb-NO"/>
        </w:rPr>
        <w:t xml:space="preserve">Nielsen </w:t>
      </w:r>
      <w:r w:rsidRPr="002136D0">
        <w:rPr>
          <w:i/>
          <w:strike/>
          <w:lang w:val="nb-NO"/>
        </w:rPr>
        <w:t>et al</w:t>
      </w:r>
      <w:r w:rsidRPr="002136D0">
        <w:rPr>
          <w:strike/>
          <w:lang w:val="nb-NO"/>
        </w:rPr>
        <w:t>., 1998</w:t>
      </w:r>
      <w:r w:rsidR="002136D0">
        <w:rPr>
          <w:strike/>
          <w:lang w:val="nb-NO"/>
        </w:rPr>
        <w:t xml:space="preserve"> </w:t>
      </w:r>
      <w:r w:rsidR="00725349" w:rsidRPr="002136D0">
        <w:rPr>
          <w:u w:val="double"/>
        </w:rPr>
        <w:t>Van der Heijden, 2001</w:t>
      </w:r>
      <w:r w:rsidRPr="002136D0">
        <w:rPr>
          <w:u w:val="double"/>
        </w:rPr>
        <w:t>)</w:t>
      </w:r>
      <w:r w:rsidR="002136D0">
        <w:t>.</w:t>
      </w:r>
      <w:r w:rsidRPr="00897119">
        <w:t xml:space="preserve"> This ELISA contains the ‘O’ LPS antigens 1, 4, 5, 6, 7 and 12, from </w:t>
      </w:r>
      <w:r w:rsidRPr="00897119">
        <w:rPr>
          <w:i/>
        </w:rPr>
        <w:t>S. </w:t>
      </w:r>
      <w:r w:rsidRPr="00897119">
        <w:t xml:space="preserve">Typhimurium and </w:t>
      </w:r>
      <w:r w:rsidRPr="00897119">
        <w:rPr>
          <w:i/>
        </w:rPr>
        <w:t xml:space="preserve">S. </w:t>
      </w:r>
      <w:r w:rsidRPr="00897119">
        <w:t xml:space="preserve">Choleraesuis, which enables it to detect serologically up to 95% of the </w:t>
      </w:r>
      <w:r w:rsidRPr="00897119">
        <w:rPr>
          <w:i/>
        </w:rPr>
        <w:t>Salmonella</w:t>
      </w:r>
      <w:r w:rsidRPr="00897119">
        <w:t xml:space="preserve"> serogroups found in pigs in most European countries. Group D antigens have also been added to some ELISA kits. Serum is used to screen breeding and multiplying herds, whereas for pigs in the abattoir, the assay is usually performed on the tissue fluid (‘meat-juice’) that is liberated when a frozen 10 g muscle sample is thawed</w:t>
      </w:r>
      <w:r w:rsidR="00733B1E">
        <w:t>.</w:t>
      </w:r>
      <w:r w:rsidR="00733B1E" w:rsidRPr="00381A8F">
        <w:t xml:space="preserve"> </w:t>
      </w:r>
      <w:r w:rsidR="00733B1E" w:rsidRPr="002136D0">
        <w:rPr>
          <w:u w:val="double"/>
        </w:rPr>
        <w:t>This approach is used</w:t>
      </w:r>
      <w:r w:rsidR="00725349" w:rsidRPr="002136D0">
        <w:rPr>
          <w:u w:val="double"/>
        </w:rPr>
        <w:t xml:space="preserve"> in most countries, but serum collected from the major blood vessels of the viscera can provide more sensitive and specific results</w:t>
      </w:r>
      <w:r w:rsidRPr="002136D0">
        <w:rPr>
          <w:u w:val="double"/>
        </w:rPr>
        <w:t>.</w:t>
      </w:r>
      <w:r w:rsidR="00AC4786" w:rsidRPr="002136D0">
        <w:rPr>
          <w:u w:val="double"/>
        </w:rPr>
        <w:t xml:space="preserve"> </w:t>
      </w:r>
    </w:p>
    <w:p w14:paraId="60EEAAB3" w14:textId="24001989" w:rsidR="00C3218B" w:rsidRPr="00897119" w:rsidRDefault="00C3218B" w:rsidP="00F71F23">
      <w:pPr>
        <w:pStyle w:val="11Para"/>
      </w:pPr>
      <w:r w:rsidRPr="00897119">
        <w:t xml:space="preserve">With some ELISAs differentiation can be made between infections produced by </w:t>
      </w:r>
      <w:r w:rsidRPr="00897119">
        <w:rPr>
          <w:i/>
        </w:rPr>
        <w:t>Salmonella</w:t>
      </w:r>
      <w:r w:rsidRPr="00897119">
        <w:t xml:space="preserve"> serovars from different serogroups. Some cross-reaction</w:t>
      </w:r>
      <w:r w:rsidR="00AC4786">
        <w:t xml:space="preserve"> </w:t>
      </w:r>
      <w:r w:rsidRPr="002136D0">
        <w:rPr>
          <w:strike/>
        </w:rPr>
        <w:t>occurs</w:t>
      </w:r>
      <w:r w:rsidR="002136D0">
        <w:rPr>
          <w:strike/>
        </w:rPr>
        <w:t xml:space="preserve"> </w:t>
      </w:r>
      <w:r w:rsidR="00AC4786" w:rsidRPr="002136D0">
        <w:rPr>
          <w:u w:val="double"/>
        </w:rPr>
        <w:t>can</w:t>
      </w:r>
      <w:r w:rsidRPr="002136D0">
        <w:rPr>
          <w:u w:val="double"/>
        </w:rPr>
        <w:t xml:space="preserve"> occur</w:t>
      </w:r>
      <w:r w:rsidRPr="00897119">
        <w:t xml:space="preserve"> between groups B and D and other invasive serovars. There is, however, usually a greater antibody response when LPS from the </w:t>
      </w:r>
      <w:r w:rsidRPr="00897119">
        <w:lastRenderedPageBreak/>
        <w:t xml:space="preserve">homologous serovar is used in the ELISA. The optimal method for choosing a ‘cut-off’ absorbance value, above which sera are designated as having come from an </w:t>
      </w:r>
      <w:r w:rsidRPr="00897119">
        <w:rPr>
          <w:i/>
        </w:rPr>
        <w:t>S. </w:t>
      </w:r>
      <w:r w:rsidRPr="00897119">
        <w:t>Enteritidis-infected flock, without producing an unacceptable level of false-positive tests, has not yet been decided on and agreed upon internationally</w:t>
      </w:r>
      <w:r w:rsidR="00AC4786" w:rsidRPr="002136D0">
        <w:rPr>
          <w:u w:val="double"/>
        </w:rPr>
        <w:t>, and in the EU, EL</w:t>
      </w:r>
      <w:r w:rsidR="008E64CB" w:rsidRPr="002136D0">
        <w:rPr>
          <w:u w:val="double"/>
        </w:rPr>
        <w:t>I</w:t>
      </w:r>
      <w:r w:rsidR="00AC4786" w:rsidRPr="002136D0">
        <w:rPr>
          <w:u w:val="double"/>
        </w:rPr>
        <w:t xml:space="preserve">SA testing is less commonly used because of the extensive use of vaccination against </w:t>
      </w:r>
      <w:r w:rsidR="00AC4786" w:rsidRPr="002136D0">
        <w:rPr>
          <w:i/>
          <w:u w:val="double"/>
        </w:rPr>
        <w:t>S</w:t>
      </w:r>
      <w:r w:rsidR="00AC4786" w:rsidRPr="002136D0">
        <w:rPr>
          <w:u w:val="double"/>
        </w:rPr>
        <w:t xml:space="preserve">. Enteritidis and </w:t>
      </w:r>
      <w:r w:rsidR="008E64CB" w:rsidRPr="002136D0">
        <w:rPr>
          <w:i/>
          <w:u w:val="double"/>
        </w:rPr>
        <w:t xml:space="preserve">S. </w:t>
      </w:r>
      <w:r w:rsidR="00AC4786" w:rsidRPr="002136D0">
        <w:rPr>
          <w:u w:val="double"/>
        </w:rPr>
        <w:t>Typhimurium, particularly in laying hen and broiler breeder flocks</w:t>
      </w:r>
      <w:r w:rsidR="00894244">
        <w:t>.</w:t>
      </w:r>
    </w:p>
    <w:p w14:paraId="3F17783C" w14:textId="6399F742" w:rsidR="00AC4786" w:rsidRPr="002136D0" w:rsidRDefault="00C3218B" w:rsidP="00AC4786">
      <w:pPr>
        <w:pStyle w:val="11Para"/>
        <w:rPr>
          <w:u w:val="double"/>
        </w:rPr>
      </w:pPr>
      <w:r w:rsidRPr="00897119">
        <w:t xml:space="preserve">ELISAs are readily adapted to automation and hence to large-scale testing programmes. A major problem is that expensive equipment is necessary and many of the reagents are also expensive. Several commercial ELISA kits for </w:t>
      </w:r>
      <w:r w:rsidRPr="00897119">
        <w:rPr>
          <w:i/>
        </w:rPr>
        <w:t xml:space="preserve">S. </w:t>
      </w:r>
      <w:r w:rsidRPr="00897119">
        <w:t xml:space="preserve">Enteritidis, </w:t>
      </w:r>
      <w:r w:rsidRPr="00897119">
        <w:rPr>
          <w:i/>
        </w:rPr>
        <w:t xml:space="preserve">S. </w:t>
      </w:r>
      <w:r w:rsidRPr="00897119">
        <w:t>Typhimurium and Group B/C mix-ELISAs are available.</w:t>
      </w:r>
      <w:r w:rsidR="00AC4786">
        <w:t xml:space="preserve"> </w:t>
      </w:r>
      <w:r w:rsidR="00AC4786" w:rsidRPr="002136D0">
        <w:rPr>
          <w:u w:val="double"/>
        </w:rPr>
        <w:t>An</w:t>
      </w:r>
      <w:r w:rsidR="007E0460" w:rsidRPr="002136D0">
        <w:rPr>
          <w:u w:val="double"/>
        </w:rPr>
        <w:t xml:space="preserve"> </w:t>
      </w:r>
      <w:r w:rsidR="00AC4786" w:rsidRPr="002136D0">
        <w:rPr>
          <w:u w:val="double"/>
        </w:rPr>
        <w:t xml:space="preserve">ELISA kit for </w:t>
      </w:r>
      <w:r w:rsidR="00AC4786" w:rsidRPr="002136D0">
        <w:rPr>
          <w:i/>
          <w:u w:val="double"/>
        </w:rPr>
        <w:t>S</w:t>
      </w:r>
      <w:r w:rsidR="00AC4786" w:rsidRPr="002136D0">
        <w:rPr>
          <w:u w:val="double"/>
        </w:rPr>
        <w:t xml:space="preserve">. Abortusovis has recently been </w:t>
      </w:r>
      <w:r w:rsidR="00381A8F">
        <w:rPr>
          <w:u w:val="double"/>
        </w:rPr>
        <w:t>added to the OIE register of diagnostic kits</w:t>
      </w:r>
      <w:r w:rsidR="00381A8F">
        <w:rPr>
          <w:rStyle w:val="FootnoteReference"/>
          <w:u w:val="double"/>
        </w:rPr>
        <w:footnoteReference w:id="6"/>
      </w:r>
      <w:r w:rsidR="00381A8F">
        <w:rPr>
          <w:u w:val="double"/>
        </w:rPr>
        <w:t>;</w:t>
      </w:r>
      <w:r w:rsidR="00AC4786" w:rsidRPr="002136D0">
        <w:rPr>
          <w:u w:val="double"/>
        </w:rPr>
        <w:t xml:space="preserve"> there is a need for a similar validated test for </w:t>
      </w:r>
      <w:r w:rsidR="00AC4786" w:rsidRPr="002136D0">
        <w:rPr>
          <w:i/>
          <w:u w:val="double"/>
        </w:rPr>
        <w:t>S</w:t>
      </w:r>
      <w:r w:rsidR="00AC4786" w:rsidRPr="002136D0">
        <w:rPr>
          <w:u w:val="double"/>
        </w:rPr>
        <w:t xml:space="preserve">. Abortusequi. </w:t>
      </w:r>
    </w:p>
    <w:p w14:paraId="026C5C29" w14:textId="77777777" w:rsidR="00C3218B" w:rsidRPr="00897119" w:rsidRDefault="00C3218B" w:rsidP="00F71F23">
      <w:pPr>
        <w:pStyle w:val="11Para"/>
      </w:pPr>
      <w:r w:rsidRPr="00897119">
        <w:t>Ideally these should be validated by international ring trials before adoption for surveillance purposes.</w:t>
      </w:r>
    </w:p>
    <w:p w14:paraId="12183384" w14:textId="1323057D" w:rsidR="0059015E" w:rsidRDefault="00C3218B" w:rsidP="00F71F23">
      <w:pPr>
        <w:pStyle w:val="11Para"/>
      </w:pPr>
      <w:r w:rsidRPr="00897119">
        <w:t>An example of a validated</w:t>
      </w:r>
      <w:r w:rsidR="00AC4786">
        <w:t xml:space="preserve"> </w:t>
      </w:r>
      <w:r w:rsidR="00AC4786" w:rsidRPr="002136D0">
        <w:rPr>
          <w:u w:val="double"/>
        </w:rPr>
        <w:t>in-house</w:t>
      </w:r>
      <w:r w:rsidRPr="00897119">
        <w:t xml:space="preserve"> ELISA is the one developed at the OIE Reference Laboratory at </w:t>
      </w:r>
      <w:r w:rsidR="00013C44" w:rsidRPr="00897119">
        <w:t xml:space="preserve">APHA </w:t>
      </w:r>
      <w:r w:rsidRPr="00897119">
        <w:t>Weybridge</w:t>
      </w:r>
      <w:r w:rsidR="00381A8F" w:rsidRPr="00381A8F">
        <w:rPr>
          <w:rStyle w:val="FootnoteReference"/>
          <w:u w:val="double"/>
        </w:rPr>
        <w:footnoteReference w:id="7"/>
      </w:r>
      <w:r w:rsidRPr="00381A8F">
        <w:rPr>
          <w:strike/>
        </w:rPr>
        <w:t xml:space="preserve"> (see Table in Part 4 of this </w:t>
      </w:r>
      <w:r w:rsidRPr="00381A8F">
        <w:rPr>
          <w:i/>
          <w:strike/>
        </w:rPr>
        <w:t xml:space="preserve">Terrestrial Manual </w:t>
      </w:r>
      <w:r w:rsidRPr="00381A8F">
        <w:rPr>
          <w:strike/>
        </w:rPr>
        <w:t>for address)</w:t>
      </w:r>
      <w:r w:rsidRPr="00897119">
        <w:t xml:space="preserve">. </w:t>
      </w:r>
    </w:p>
    <w:p w14:paraId="457CFF49" w14:textId="77777777" w:rsidR="00C3218B" w:rsidRPr="00897119" w:rsidRDefault="00C3218B" w:rsidP="00F71F23">
      <w:pPr>
        <w:pStyle w:val="11Para"/>
      </w:pPr>
      <w:r w:rsidRPr="00897119">
        <w:t>The requirements are given below.</w:t>
      </w:r>
    </w:p>
    <w:p w14:paraId="675A6411" w14:textId="77777777" w:rsidR="00C3218B" w:rsidRPr="00897119" w:rsidRDefault="00C3218B" w:rsidP="00F71F23">
      <w:pPr>
        <w:pStyle w:val="111"/>
      </w:pPr>
      <w:r w:rsidRPr="00897119">
        <w:t>2.6.1.</w:t>
      </w:r>
      <w:r w:rsidRPr="00897119">
        <w:tab/>
        <w:t>Equipment</w:t>
      </w:r>
    </w:p>
    <w:p w14:paraId="11BDC422" w14:textId="77777777" w:rsidR="00C3218B" w:rsidRPr="00897119" w:rsidRDefault="00C3218B" w:rsidP="00F71F23">
      <w:pPr>
        <w:pStyle w:val="111Para"/>
      </w:pPr>
      <w:r w:rsidRPr="00897119">
        <w:t>PVC plates; appropriate pipettes and measuring cylinders; ultrawash microtest plate washer; ELISA plate reader; test filter of 405–410 nm and reference filter of 630 nm.</w:t>
      </w:r>
    </w:p>
    <w:p w14:paraId="381A0BAB" w14:textId="77777777" w:rsidR="00C3218B" w:rsidRPr="00897119" w:rsidRDefault="00C3218B" w:rsidP="00F71F23">
      <w:pPr>
        <w:pStyle w:val="111"/>
      </w:pPr>
      <w:r w:rsidRPr="00897119">
        <w:t>2.6.2.</w:t>
      </w:r>
      <w:r w:rsidRPr="00897119">
        <w:tab/>
        <w:t>Antigen</w:t>
      </w:r>
    </w:p>
    <w:p w14:paraId="5A3E6541" w14:textId="77777777" w:rsidR="00C3218B" w:rsidRPr="00897119" w:rsidRDefault="00C3218B" w:rsidP="00C3218B">
      <w:pPr>
        <w:pStyle w:val="i"/>
        <w:spacing w:line="200" w:lineRule="exact"/>
      </w:pPr>
      <w:r w:rsidRPr="00897119">
        <w:t>i)</w:t>
      </w:r>
      <w:r w:rsidRPr="00897119">
        <w:tab/>
        <w:t xml:space="preserve">Phenol-extracted </w:t>
      </w:r>
      <w:r w:rsidRPr="00897119">
        <w:rPr>
          <w:i/>
        </w:rPr>
        <w:t xml:space="preserve">S. </w:t>
      </w:r>
      <w:r w:rsidRPr="00897119">
        <w:t>Enteritidis LPS is available commercially. This is reconstituted in 1 ml deionised water and stored at –20°C in 100-µl aliquots in phosphate buffered saline (PBS), pH 7.2, at a concentration of 2.5 mg/ml. For use, the antigen should be thawed in coating buffer at the appropriate concentration.</w:t>
      </w:r>
    </w:p>
    <w:p w14:paraId="26BF490E" w14:textId="77777777" w:rsidR="00C3218B" w:rsidRPr="00897119" w:rsidRDefault="00C3218B" w:rsidP="00C3218B">
      <w:pPr>
        <w:pStyle w:val="iparalast"/>
      </w:pPr>
      <w:r w:rsidRPr="00897119">
        <w:t>ii)</w:t>
      </w:r>
      <w:r w:rsidRPr="00897119">
        <w:tab/>
        <w:t>The LPS antigen can also be prepared by the technique of Westphal &amp; Luderitz (1954) and standardised as to its carbohydrate concentration by the method of Gerhardt (1981), and adjusted to 1000 µg/ml.</w:t>
      </w:r>
    </w:p>
    <w:p w14:paraId="13625AC8" w14:textId="77777777" w:rsidR="00C3218B" w:rsidRPr="00897119" w:rsidRDefault="00C3218B" w:rsidP="00F71F23">
      <w:pPr>
        <w:pStyle w:val="111"/>
      </w:pPr>
      <w:r w:rsidRPr="00897119">
        <w:t>2.6.3.</w:t>
      </w:r>
      <w:r w:rsidRPr="00897119">
        <w:tab/>
        <w:t>Serum and conjugate diluent</w:t>
      </w:r>
    </w:p>
    <w:p w14:paraId="3F416314" w14:textId="77777777" w:rsidR="00C3218B" w:rsidRPr="00897119" w:rsidRDefault="00C3218B" w:rsidP="00F71F23">
      <w:pPr>
        <w:pStyle w:val="111Para"/>
      </w:pPr>
      <w:r w:rsidRPr="00897119">
        <w:t>Add bovine serum albumin (BSA) (2 g) and Tween 20 (0.05 ml) to PBS (100 ml). (Alternatively, powdered milk [1 g] can replace the BSA.) Store at 4°C and make fresh solutions every week.</w:t>
      </w:r>
    </w:p>
    <w:p w14:paraId="4A82C77D" w14:textId="77777777" w:rsidR="00C3218B" w:rsidRPr="00897119" w:rsidRDefault="00C3218B" w:rsidP="00C3218B">
      <w:pPr>
        <w:pStyle w:val="i"/>
      </w:pPr>
      <w:r w:rsidRPr="00897119">
        <w:t>i)</w:t>
      </w:r>
      <w:r w:rsidRPr="00897119">
        <w:tab/>
        <w:t>Coating buffer</w:t>
      </w:r>
    </w:p>
    <w:p w14:paraId="162BDC5B" w14:textId="77777777" w:rsidR="00C3218B" w:rsidRPr="00897119" w:rsidRDefault="00C3218B" w:rsidP="00F71F23">
      <w:pPr>
        <w:pStyle w:val="afourthpara"/>
      </w:pPr>
      <w:r w:rsidRPr="00897119">
        <w:t>Add sodium carbonate (1.59 g) and sodium bicarbonate (2.93 g) to deionised water (1 litre) and adjust to pH 9.6. Store at 4°C and renew every 2 weeks.</w:t>
      </w:r>
    </w:p>
    <w:p w14:paraId="2BB14FA6" w14:textId="77777777" w:rsidR="00C3218B" w:rsidRPr="00897119" w:rsidRDefault="00C3218B" w:rsidP="00C3218B">
      <w:pPr>
        <w:pStyle w:val="i"/>
      </w:pPr>
      <w:r w:rsidRPr="00897119">
        <w:t>ii)</w:t>
      </w:r>
      <w:r w:rsidRPr="00897119">
        <w:tab/>
        <w:t>Substrate buffer</w:t>
      </w:r>
    </w:p>
    <w:p w14:paraId="4C495CCF" w14:textId="77777777" w:rsidR="00C3218B" w:rsidRPr="00897119" w:rsidRDefault="00C3218B" w:rsidP="00F71F23">
      <w:pPr>
        <w:pStyle w:val="afourthpara"/>
      </w:pPr>
      <w:r w:rsidRPr="00897119">
        <w:t>Make a 10% (v/v) solution of diethanolamine in deionised water. The diethanolamine should be pre</w:t>
      </w:r>
      <w:r w:rsidR="00515E25" w:rsidRPr="00897119">
        <w:t>-</w:t>
      </w:r>
      <w:r w:rsidRPr="00897119">
        <w:t>warmed to 37°C before dispensing, and the pH of the solution should be adjusted to pH 9.8 with 1 M hydrochloric acid. Store at 4°C and renew every 2 weeks.</w:t>
      </w:r>
    </w:p>
    <w:p w14:paraId="357A524F" w14:textId="77777777" w:rsidR="00C3218B" w:rsidRPr="00897119" w:rsidRDefault="00C3218B" w:rsidP="00C3218B">
      <w:pPr>
        <w:pStyle w:val="i"/>
      </w:pPr>
      <w:r w:rsidRPr="00897119">
        <w:t>iii)</w:t>
      </w:r>
      <w:r w:rsidRPr="00897119">
        <w:tab/>
        <w:t>Enzyme conjugate</w:t>
      </w:r>
    </w:p>
    <w:p w14:paraId="30B463C3" w14:textId="77777777" w:rsidR="00C3218B" w:rsidRPr="00897119" w:rsidRDefault="00C3218B" w:rsidP="00F71F23">
      <w:pPr>
        <w:pStyle w:val="afourthpara"/>
      </w:pPr>
      <w:r w:rsidRPr="00897119">
        <w:t>Goat anti-chicken immunoglobulin conjugated to alkaline phosphatase or other species anti-chicken globulin. Store at 4°C diluted in diluent at the appropriate concentration and renew every week.</w:t>
      </w:r>
    </w:p>
    <w:p w14:paraId="1363F91F" w14:textId="77777777" w:rsidR="00C3218B" w:rsidRPr="00897119" w:rsidRDefault="00C3218B" w:rsidP="00C3218B">
      <w:pPr>
        <w:pStyle w:val="i"/>
      </w:pPr>
      <w:r w:rsidRPr="00897119">
        <w:t>iv)</w:t>
      </w:r>
      <w:r w:rsidRPr="00897119">
        <w:tab/>
        <w:t>Enzyme substrate</w:t>
      </w:r>
    </w:p>
    <w:p w14:paraId="7D58E676" w14:textId="77777777" w:rsidR="00C3218B" w:rsidRPr="00897119" w:rsidRDefault="00C3218B" w:rsidP="00F71F23">
      <w:pPr>
        <w:pStyle w:val="afourthpara"/>
      </w:pPr>
      <w:r w:rsidRPr="00897119">
        <w:t xml:space="preserve">Dissolve one tablet of </w:t>
      </w:r>
      <w:r w:rsidRPr="00897119">
        <w:rPr>
          <w:i/>
        </w:rPr>
        <w:t>p</w:t>
      </w:r>
      <w:r w:rsidRPr="00897119">
        <w:t>-nitrophenyl phosphate disodium (5 mg) in substrate buffer (5 ml) no earlier than 30 minutes before dispensing, and store in the dark.</w:t>
      </w:r>
    </w:p>
    <w:p w14:paraId="568E32A7" w14:textId="77777777" w:rsidR="00C3218B" w:rsidRPr="00897119" w:rsidRDefault="00C3218B" w:rsidP="00F71F23">
      <w:pPr>
        <w:pStyle w:val="11"/>
      </w:pPr>
      <w:r w:rsidRPr="00897119">
        <w:t>2.7.</w:t>
      </w:r>
      <w:r w:rsidRPr="00897119">
        <w:tab/>
        <w:t>Standards</w:t>
      </w:r>
    </w:p>
    <w:p w14:paraId="283A1F30" w14:textId="77777777" w:rsidR="00C3218B" w:rsidRPr="00897119" w:rsidRDefault="00C3218B" w:rsidP="00F71F23">
      <w:pPr>
        <w:pStyle w:val="11ilist"/>
      </w:pPr>
      <w:r w:rsidRPr="00897119">
        <w:lastRenderedPageBreak/>
        <w:t>i)</w:t>
      </w:r>
      <w:r w:rsidRPr="00897119">
        <w:tab/>
        <w:t>Positive control antiserum prepared by intramuscular inoculation of four 1-week-old specific pathogen free (SPF) chickens with an inoculum containing 10</w:t>
      </w:r>
      <w:r w:rsidRPr="00FC294E">
        <w:rPr>
          <w:vertAlign w:val="superscript"/>
        </w:rPr>
        <w:t>6</w:t>
      </w:r>
      <w:r w:rsidRPr="00897119">
        <w:t xml:space="preserve"> </w:t>
      </w:r>
      <w:r w:rsidRPr="00897119">
        <w:rPr>
          <w:i/>
        </w:rPr>
        <w:t>S</w:t>
      </w:r>
      <w:r w:rsidRPr="00897119">
        <w:t>. Enteritidis. The serum is subsequently obtained 3–4 weeks later when antibody titres are maximal.</w:t>
      </w:r>
    </w:p>
    <w:p w14:paraId="58CB4B34" w14:textId="77777777" w:rsidR="00C3218B" w:rsidRPr="00897119" w:rsidRDefault="00C3218B" w:rsidP="00F71F23">
      <w:pPr>
        <w:pStyle w:val="11ilist"/>
      </w:pPr>
      <w:r w:rsidRPr="00897119">
        <w:t>ii)</w:t>
      </w:r>
      <w:r w:rsidRPr="00897119">
        <w:tab/>
        <w:t>Negative control serum A from four 1-week-old SPF birds.</w:t>
      </w:r>
    </w:p>
    <w:p w14:paraId="0A10F0C5" w14:textId="77777777" w:rsidR="00C3218B" w:rsidRPr="00897119" w:rsidRDefault="00C3218B" w:rsidP="00F71F23">
      <w:pPr>
        <w:pStyle w:val="11ilist"/>
        <w:spacing w:after="480"/>
      </w:pPr>
      <w:r w:rsidRPr="00897119">
        <w:t>iii)</w:t>
      </w:r>
      <w:r w:rsidRPr="00897119">
        <w:tab/>
        <w:t xml:space="preserve">Negative control serum B from 58 1-week-old breeders known to be free from </w:t>
      </w:r>
      <w:r w:rsidRPr="00897119">
        <w:rPr>
          <w:i/>
        </w:rPr>
        <w:t>Salmonella</w:t>
      </w:r>
      <w:r w:rsidRPr="00897119">
        <w:t xml:space="preserve"> infections. Pool the sera and store in 100 µl volumes at –20°C.</w:t>
      </w:r>
    </w:p>
    <w:p w14:paraId="46F1781A" w14:textId="77777777" w:rsidR="008D66F9" w:rsidRPr="00897119" w:rsidRDefault="008D66F9" w:rsidP="008D66F9">
      <w:pPr>
        <w:pStyle w:val="A0"/>
        <w:spacing w:after="200"/>
      </w:pPr>
      <w:r w:rsidRPr="00897119">
        <w:t xml:space="preserve">C.  REQUIREMENTS FOR VACCINES </w:t>
      </w:r>
    </w:p>
    <w:p w14:paraId="389962AD" w14:textId="77777777" w:rsidR="008D66F9" w:rsidRPr="00897119" w:rsidRDefault="008D66F9" w:rsidP="008D66F9">
      <w:pPr>
        <w:pStyle w:val="1"/>
        <w:spacing w:after="200"/>
      </w:pPr>
      <w:r w:rsidRPr="00897119">
        <w:t>1.</w:t>
      </w:r>
      <w:r w:rsidRPr="00897119">
        <w:tab/>
        <w:t>Background</w:t>
      </w:r>
    </w:p>
    <w:p w14:paraId="6F6B4988" w14:textId="77777777" w:rsidR="008D66F9" w:rsidRPr="00897119" w:rsidRDefault="008D66F9" w:rsidP="00F71F23">
      <w:pPr>
        <w:pStyle w:val="11"/>
      </w:pPr>
      <w:r w:rsidRPr="00897119">
        <w:t>1.1.</w:t>
      </w:r>
      <w:r w:rsidRPr="00897119">
        <w:tab/>
        <w:t>Rationale and intended use of the product</w:t>
      </w:r>
    </w:p>
    <w:p w14:paraId="01F0D993" w14:textId="30764765" w:rsidR="008D66F9" w:rsidRPr="00897119" w:rsidRDefault="008D66F9" w:rsidP="00F71F23">
      <w:pPr>
        <w:pStyle w:val="11Para"/>
        <w:rPr>
          <w:rFonts w:ascii="Ottawa" w:hAnsi="Ottawa"/>
          <w:b/>
          <w:sz w:val="22"/>
        </w:rPr>
      </w:pPr>
      <w:r w:rsidRPr="00897119">
        <w:t xml:space="preserve">Many inactivated vaccines are used against salmonellosis caused by different serovars in various animal species, including a combined </w:t>
      </w:r>
      <w:r w:rsidRPr="00897119">
        <w:rPr>
          <w:i/>
        </w:rPr>
        <w:t xml:space="preserve">S. </w:t>
      </w:r>
      <w:r w:rsidRPr="00897119">
        <w:t xml:space="preserve">Enteritidis and </w:t>
      </w:r>
      <w:r w:rsidRPr="00897119">
        <w:rPr>
          <w:i/>
        </w:rPr>
        <w:t xml:space="preserve">S. </w:t>
      </w:r>
      <w:r w:rsidRPr="00897119">
        <w:t>Typhimurium vaccine for use in poultry</w:t>
      </w:r>
      <w:r w:rsidR="009211AC" w:rsidRPr="002136D0">
        <w:rPr>
          <w:u w:val="double"/>
        </w:rPr>
        <w:t xml:space="preserve">, and a more recent vaccine that also includes </w:t>
      </w:r>
      <w:r w:rsidR="009211AC" w:rsidRPr="002136D0">
        <w:rPr>
          <w:i/>
          <w:u w:val="double"/>
        </w:rPr>
        <w:t>S</w:t>
      </w:r>
      <w:r w:rsidR="009211AC" w:rsidRPr="002136D0">
        <w:rPr>
          <w:u w:val="double"/>
        </w:rPr>
        <w:t>. Infantis</w:t>
      </w:r>
      <w:r w:rsidRPr="00897119">
        <w:t>.</w:t>
      </w:r>
      <w:r w:rsidR="00EE1FA8">
        <w:t xml:space="preserve"> </w:t>
      </w:r>
      <w:r w:rsidRPr="00897119">
        <w:t>Inactivation is usually achieved by either heating or the use of formalin and an adjuvant, su</w:t>
      </w:r>
      <w:r w:rsidR="00F87928" w:rsidRPr="00897119">
        <w:t>ch as alhydrogel or mineral oil</w:t>
      </w:r>
      <w:r w:rsidRPr="00897119">
        <w:t xml:space="preserve">. Live vaccines have also been used in a number of countries; these include the semi-rough strains, such as 9R for fowl typhoid and HWS51 for </w:t>
      </w:r>
      <w:r w:rsidRPr="00897119">
        <w:rPr>
          <w:i/>
        </w:rPr>
        <w:t>S.</w:t>
      </w:r>
      <w:r w:rsidRPr="00897119">
        <w:t xml:space="preserve"> Dublin infections (Mastroeni </w:t>
      </w:r>
      <w:r w:rsidRPr="00897119">
        <w:rPr>
          <w:i/>
        </w:rPr>
        <w:t>et al</w:t>
      </w:r>
      <w:r w:rsidRPr="00897119">
        <w:t xml:space="preserve">., 2001). Other attenuated vaccines include auxotrophic and ‘metabolic drift’ mutants, which are used to prevent </w:t>
      </w:r>
      <w:r w:rsidRPr="00897119">
        <w:rPr>
          <w:i/>
        </w:rPr>
        <w:t xml:space="preserve">Salmonella </w:t>
      </w:r>
      <w:r w:rsidRPr="00897119">
        <w:t xml:space="preserve">infections in farm animals in </w:t>
      </w:r>
      <w:r w:rsidRPr="002136D0">
        <w:rPr>
          <w:strike/>
        </w:rPr>
        <w:t>Germany and</w:t>
      </w:r>
      <w:r w:rsidR="004B2565">
        <w:rPr>
          <w:strike/>
        </w:rPr>
        <w:t xml:space="preserve"> </w:t>
      </w:r>
      <w:r w:rsidR="00F33B46" w:rsidRPr="002136D0">
        <w:rPr>
          <w:u w:val="double"/>
        </w:rPr>
        <w:t>Europe, particularly</w:t>
      </w:r>
      <w:r w:rsidR="00F33B46" w:rsidRPr="00897119">
        <w:t xml:space="preserve"> </w:t>
      </w:r>
      <w:r w:rsidRPr="00897119">
        <w:t xml:space="preserve">for </w:t>
      </w:r>
      <w:r w:rsidRPr="00897119">
        <w:rPr>
          <w:i/>
        </w:rPr>
        <w:t>S.</w:t>
      </w:r>
      <w:r w:rsidRPr="00897119">
        <w:t xml:space="preserve"> Enteritidis and </w:t>
      </w:r>
      <w:r w:rsidRPr="00897119">
        <w:rPr>
          <w:i/>
          <w:iCs/>
        </w:rPr>
        <w:t>S.</w:t>
      </w:r>
      <w:r w:rsidRPr="00897119">
        <w:t xml:space="preserve"> Typhimurium in poultry </w:t>
      </w:r>
      <w:r w:rsidR="00F33B46" w:rsidRPr="002136D0">
        <w:rPr>
          <w:u w:val="double"/>
        </w:rPr>
        <w:t xml:space="preserve">and </w:t>
      </w:r>
      <w:r w:rsidR="00F33B46" w:rsidRPr="002136D0">
        <w:rPr>
          <w:i/>
          <w:u w:val="double"/>
        </w:rPr>
        <w:t>S</w:t>
      </w:r>
      <w:r w:rsidR="00F33B46" w:rsidRPr="002136D0">
        <w:rPr>
          <w:u w:val="double"/>
        </w:rPr>
        <w:t>. Typhimurium</w:t>
      </w:r>
      <w:r w:rsidR="00F33B46" w:rsidRPr="00F53EE8">
        <w:t xml:space="preserve"> </w:t>
      </w:r>
      <w:r w:rsidR="00F33B46">
        <w:t xml:space="preserve">in </w:t>
      </w:r>
      <w:r w:rsidR="004B2565" w:rsidRPr="002136D0">
        <w:rPr>
          <w:u w:val="double"/>
        </w:rPr>
        <w:t>pigs</w:t>
      </w:r>
      <w:r w:rsidR="004B2565" w:rsidRPr="002136D0">
        <w:rPr>
          <w:strike/>
        </w:rPr>
        <w:t xml:space="preserve"> </w:t>
      </w:r>
      <w:r w:rsidRPr="002136D0">
        <w:rPr>
          <w:strike/>
        </w:rPr>
        <w:t>the United Kingdom and other countries</w:t>
      </w:r>
      <w:r w:rsidR="00F33B46">
        <w:t xml:space="preserve">. </w:t>
      </w:r>
      <w:r w:rsidRPr="00897119">
        <w:t xml:space="preserve">Mutant vaccines attenuated rationally by molecular biological gene-deletion techniques have been developed for poultry and other species; these include aroA mutants and strains with mutations in the genes encoding adenylate cyclase (cya) and the cyclic </w:t>
      </w:r>
      <w:r w:rsidRPr="00E83537">
        <w:t>adenosine monophosphate receptor protein (crp)</w:t>
      </w:r>
      <w:r w:rsidR="00877EA7" w:rsidRPr="00E83537">
        <w:t xml:space="preserve"> (</w:t>
      </w:r>
      <w:r w:rsidR="00B173BA" w:rsidRPr="002136D0">
        <w:rPr>
          <w:strike/>
          <w:noProof/>
        </w:rPr>
        <w:t xml:space="preserve">Desin </w:t>
      </w:r>
      <w:r w:rsidR="00B173BA" w:rsidRPr="002136D0">
        <w:rPr>
          <w:i/>
          <w:strike/>
          <w:noProof/>
        </w:rPr>
        <w:t>et al.,</w:t>
      </w:r>
      <w:r w:rsidR="00B173BA" w:rsidRPr="002136D0">
        <w:rPr>
          <w:strike/>
          <w:noProof/>
        </w:rPr>
        <w:t xml:space="preserve"> 2013; </w:t>
      </w:r>
      <w:r w:rsidRPr="002136D0">
        <w:rPr>
          <w:strike/>
        </w:rPr>
        <w:t>Hassan &amp; Curtiss III, 1997</w:t>
      </w:r>
      <w:r w:rsidR="004B2565">
        <w:rPr>
          <w:strike/>
        </w:rPr>
        <w:t xml:space="preserve"> </w:t>
      </w:r>
      <w:r w:rsidR="00877EA7" w:rsidRPr="002136D0">
        <w:rPr>
          <w:u w:val="double"/>
        </w:rPr>
        <w:t xml:space="preserve">Redweik </w:t>
      </w:r>
      <w:r w:rsidR="00877EA7" w:rsidRPr="002136D0">
        <w:rPr>
          <w:i/>
          <w:u w:val="double"/>
        </w:rPr>
        <w:t>et al</w:t>
      </w:r>
      <w:r w:rsidR="00877EA7" w:rsidRPr="002136D0">
        <w:rPr>
          <w:u w:val="double"/>
        </w:rPr>
        <w:t>., 2020)</w:t>
      </w:r>
      <w:r w:rsidR="00877EA7" w:rsidRPr="004B2565">
        <w:t>.</w:t>
      </w:r>
      <w:r w:rsidR="00246AAD" w:rsidRPr="004B2565">
        <w:t xml:space="preserve"> </w:t>
      </w:r>
      <w:r w:rsidR="00246AAD" w:rsidRPr="002136D0">
        <w:rPr>
          <w:u w:val="double"/>
        </w:rPr>
        <w:t>Attenuation of live vaccines is essential to limit intestinal replication and persistence in the animals and environment, ideally without influencing the immunogenicity, but such attenuation is unlikely to have no impact on the vaccinal</w:t>
      </w:r>
      <w:r w:rsidR="00593E9C" w:rsidRPr="002136D0">
        <w:rPr>
          <w:u w:val="double"/>
        </w:rPr>
        <w:t xml:space="preserve"> response</w:t>
      </w:r>
      <w:r w:rsidR="00246AAD" w:rsidRPr="002136D0">
        <w:rPr>
          <w:u w:val="double"/>
        </w:rPr>
        <w:t xml:space="preserve"> </w:t>
      </w:r>
      <w:r w:rsidR="00B12750" w:rsidRPr="002136D0">
        <w:rPr>
          <w:u w:val="double"/>
        </w:rPr>
        <w:t>(</w:t>
      </w:r>
      <w:r w:rsidR="00246AAD" w:rsidRPr="002136D0">
        <w:rPr>
          <w:u w:val="double"/>
        </w:rPr>
        <w:t xml:space="preserve">Redweik </w:t>
      </w:r>
      <w:r w:rsidR="00246AAD" w:rsidRPr="002136D0">
        <w:rPr>
          <w:i/>
          <w:u w:val="double"/>
        </w:rPr>
        <w:t>et al</w:t>
      </w:r>
      <w:r w:rsidR="00246AAD" w:rsidRPr="002136D0">
        <w:rPr>
          <w:u w:val="double"/>
        </w:rPr>
        <w:t>., 2020).</w:t>
      </w:r>
      <w:r w:rsidRPr="00E83537">
        <w:t xml:space="preserve"> </w:t>
      </w:r>
      <w:r w:rsidRPr="00897119">
        <w:t>Guidelines for the production of veterinary vaccines are given in Chapter 1.1.</w:t>
      </w:r>
      <w:r w:rsidR="00897119" w:rsidRPr="00897119">
        <w:t>8</w:t>
      </w:r>
      <w:r w:rsidRPr="00897119">
        <w:t xml:space="preserve"> </w:t>
      </w:r>
      <w:r w:rsidRPr="00897119">
        <w:rPr>
          <w:i/>
        </w:rPr>
        <w:t>Principles of veterinary vaccine production</w:t>
      </w:r>
      <w:r w:rsidRPr="00897119">
        <w:t>. The guidelines given here and in chapter 1.1.</w:t>
      </w:r>
      <w:r w:rsidR="00897119" w:rsidRPr="00897119">
        <w:t>8</w:t>
      </w:r>
      <w:r w:rsidRPr="00897119">
        <w:t xml:space="preserve"> are intended to be general in nature and may be supplemented by national and regional requirements. Most vaccines are produced as highly industrial commercial processes and are regulated by national veterinary medicines </w:t>
      </w:r>
      <w:r w:rsidRPr="003E3725">
        <w:rPr>
          <w:strike/>
          <w:highlight w:val="yellow"/>
        </w:rPr>
        <w:t xml:space="preserve">licensing </w:t>
      </w:r>
      <w:r w:rsidR="000E451F" w:rsidRPr="003E3725">
        <w:rPr>
          <w:highlight w:val="yellow"/>
          <w:u w:val="double"/>
        </w:rPr>
        <w:t>regulatory approval</w:t>
      </w:r>
      <w:r w:rsidR="000E451F" w:rsidRPr="00897119">
        <w:t xml:space="preserve"> </w:t>
      </w:r>
      <w:r w:rsidRPr="00897119">
        <w:t xml:space="preserve">authorities. Smaller quantities of emergency herd vaccines or autogenous vaccines are produced by </w:t>
      </w:r>
      <w:r w:rsidRPr="002136D0">
        <w:rPr>
          <w:strike/>
        </w:rPr>
        <w:t xml:space="preserve">private </w:t>
      </w:r>
      <w:r w:rsidRPr="00897119">
        <w:t>laboratories</w:t>
      </w:r>
      <w:r w:rsidR="004A08B4">
        <w:t xml:space="preserve"> </w:t>
      </w:r>
      <w:r w:rsidR="004A08B4" w:rsidRPr="003E3725">
        <w:rPr>
          <w:highlight w:val="yellow"/>
          <w:u w:val="double"/>
        </w:rPr>
        <w:t>and vaccine manufactu</w:t>
      </w:r>
      <w:r w:rsidR="00466CC1" w:rsidRPr="003E3725">
        <w:rPr>
          <w:highlight w:val="yellow"/>
          <w:u w:val="double"/>
        </w:rPr>
        <w:t>rers</w:t>
      </w:r>
      <w:r w:rsidR="0059015E">
        <w:t>,</w:t>
      </w:r>
      <w:r w:rsidRPr="00897119">
        <w:t xml:space="preserve"> but each production has to be specifically </w:t>
      </w:r>
      <w:r w:rsidRPr="003E3725">
        <w:rPr>
          <w:strike/>
          <w:highlight w:val="yellow"/>
        </w:rPr>
        <w:t>licensed</w:t>
      </w:r>
      <w:r w:rsidR="003E3725" w:rsidRPr="003E3725">
        <w:rPr>
          <w:strike/>
          <w:highlight w:val="yellow"/>
        </w:rPr>
        <w:t xml:space="preserve"> </w:t>
      </w:r>
      <w:r w:rsidR="007E144F" w:rsidRPr="003E3725">
        <w:rPr>
          <w:highlight w:val="yellow"/>
          <w:u w:val="double"/>
        </w:rPr>
        <w:t>approved</w:t>
      </w:r>
      <w:r w:rsidRPr="00897119">
        <w:t>.</w:t>
      </w:r>
    </w:p>
    <w:p w14:paraId="0FD796ED" w14:textId="77777777" w:rsidR="008D66F9" w:rsidRPr="00897119" w:rsidRDefault="008D66F9" w:rsidP="008D66F9">
      <w:pPr>
        <w:pStyle w:val="1"/>
      </w:pPr>
      <w:r w:rsidRPr="00897119">
        <w:t>2.</w:t>
      </w:r>
      <w:r w:rsidRPr="00897119">
        <w:tab/>
        <w:t>Outline of production and minimum requirements for conventional vaccines</w:t>
      </w:r>
    </w:p>
    <w:p w14:paraId="5CC5B041" w14:textId="77777777" w:rsidR="008D66F9" w:rsidRPr="00897119" w:rsidRDefault="008D66F9" w:rsidP="00F71F23">
      <w:pPr>
        <w:pStyle w:val="11"/>
      </w:pPr>
      <w:r w:rsidRPr="00897119">
        <w:t>2.1.</w:t>
      </w:r>
      <w:r w:rsidRPr="00897119">
        <w:tab/>
        <w:t>Characteristics of the seed</w:t>
      </w:r>
    </w:p>
    <w:p w14:paraId="27079A43" w14:textId="77777777" w:rsidR="008D66F9" w:rsidRPr="00897119" w:rsidRDefault="008D66F9" w:rsidP="00F71F23">
      <w:pPr>
        <w:pStyle w:val="111"/>
      </w:pPr>
      <w:r w:rsidRPr="00897119">
        <w:t>2.1.1.</w:t>
      </w:r>
      <w:r w:rsidRPr="00897119">
        <w:tab/>
        <w:t>Biological characteristics</w:t>
      </w:r>
    </w:p>
    <w:p w14:paraId="69B5BE59" w14:textId="5649EB51" w:rsidR="008D66F9" w:rsidRPr="00897119" w:rsidRDefault="008D66F9" w:rsidP="00F71F23">
      <w:pPr>
        <w:pStyle w:val="111Para"/>
      </w:pPr>
      <w:r w:rsidRPr="00897119">
        <w:t>For killed or live vaccines, the bacterial strain should be an organism as closely related to currently circulating field strains as possible. It should be carefully chosen from cases of severe clinical disease, and virulence and antigen production should be assessed. It is best to evaluate a panel of potential strains in this way before testing the final selection. The final vaccinal strain should be identified by historical records and characterised by stable phenotypic or genetic markers. Live vaccinal strains should be marked by stable characters allowing distinction from wild strains. Markers, such as resistance to antimicrobials, for example rifampicin</w:t>
      </w:r>
      <w:r w:rsidR="00004F2B">
        <w:t>,</w:t>
      </w:r>
      <w:r w:rsidRPr="00897119">
        <w:t xml:space="preserve"> or auxotrophism, may be used. Attenuation of virulence should be stable and preferably obtained by two independent defined mutations. The stability of live vaccine strains can be verified by regular checks using</w:t>
      </w:r>
      <w:r w:rsidR="004E6327">
        <w:t xml:space="preserve"> a</w:t>
      </w:r>
      <w:r w:rsidRPr="00897119">
        <w:t xml:space="preserve"> sensitive molecular fingerprinting </w:t>
      </w:r>
      <w:r w:rsidRPr="004B2565">
        <w:rPr>
          <w:strike/>
        </w:rPr>
        <w:t>and micro-array</w:t>
      </w:r>
      <w:r w:rsidRPr="00897119">
        <w:t xml:space="preserve"> </w:t>
      </w:r>
      <w:r w:rsidRPr="004B2565">
        <w:rPr>
          <w:u w:val="double"/>
        </w:rPr>
        <w:t>technique</w:t>
      </w:r>
      <w:r w:rsidR="004B2565" w:rsidRPr="004B2565">
        <w:rPr>
          <w:strike/>
        </w:rPr>
        <w:t>s</w:t>
      </w:r>
      <w:r w:rsidR="004E6327" w:rsidRPr="004B2565">
        <w:rPr>
          <w:u w:val="double"/>
        </w:rPr>
        <w:t xml:space="preserve">, preferably </w:t>
      </w:r>
      <w:r w:rsidR="00004F2B" w:rsidRPr="004B2565">
        <w:rPr>
          <w:u w:val="double"/>
        </w:rPr>
        <w:t>whole genome sequencing</w:t>
      </w:r>
      <w:r w:rsidRPr="00897119">
        <w:t>.</w:t>
      </w:r>
    </w:p>
    <w:p w14:paraId="7C545D81" w14:textId="77777777" w:rsidR="008D66F9" w:rsidRPr="00897119" w:rsidRDefault="008D66F9" w:rsidP="00F71F23">
      <w:pPr>
        <w:pStyle w:val="111"/>
      </w:pPr>
      <w:r w:rsidRPr="00897119">
        <w:t>2.1.2.</w:t>
      </w:r>
      <w:r w:rsidRPr="00897119">
        <w:tab/>
        <w:t>Quality criteria (sterility, purity, freedom from extraneous agents)</w:t>
      </w:r>
    </w:p>
    <w:p w14:paraId="4B9423C2" w14:textId="77777777" w:rsidR="008D66F9" w:rsidRPr="00897119" w:rsidRDefault="008D66F9" w:rsidP="00F71F23">
      <w:pPr>
        <w:pStyle w:val="i"/>
      </w:pPr>
      <w:r w:rsidRPr="00897119">
        <w:t>i)</w:t>
      </w:r>
      <w:r w:rsidRPr="00897119">
        <w:tab/>
        <w:t>Sterility and purity</w:t>
      </w:r>
    </w:p>
    <w:p w14:paraId="0D2CBA19" w14:textId="77777777" w:rsidR="008D66F9" w:rsidRPr="00897119" w:rsidRDefault="008D66F9" w:rsidP="00F71F23">
      <w:pPr>
        <w:pStyle w:val="afourthpara"/>
        <w:spacing w:after="120"/>
      </w:pPr>
      <w:r w:rsidRPr="00897119">
        <w:t>The vaccine strain must be checked as follows:</w:t>
      </w:r>
    </w:p>
    <w:p w14:paraId="07EC04C9" w14:textId="77777777" w:rsidR="008D66F9" w:rsidRPr="00897119" w:rsidRDefault="0031040F" w:rsidP="00F71F23">
      <w:pPr>
        <w:pStyle w:val="ififthlevellist"/>
      </w:pPr>
      <w:r w:rsidRPr="00897119">
        <w:t>a)</w:t>
      </w:r>
      <w:r w:rsidR="008D66F9" w:rsidRPr="00897119">
        <w:tab/>
        <w:t>Staining of a smear of bacterial suspension on a glass slide using the Gram stain.</w:t>
      </w:r>
    </w:p>
    <w:p w14:paraId="0480533D" w14:textId="77777777" w:rsidR="008D66F9" w:rsidRPr="00897119" w:rsidRDefault="0031040F" w:rsidP="00F71F23">
      <w:pPr>
        <w:pStyle w:val="ififthlevellist"/>
      </w:pPr>
      <w:r w:rsidRPr="00897119">
        <w:t>b)</w:t>
      </w:r>
      <w:r w:rsidR="008D66F9" w:rsidRPr="00897119">
        <w:tab/>
        <w:t>Homogeneity of culture on non-selective media.</w:t>
      </w:r>
    </w:p>
    <w:p w14:paraId="4A05F1D3" w14:textId="77777777" w:rsidR="008D66F9" w:rsidRPr="00897119" w:rsidRDefault="0031040F" w:rsidP="00F71F23">
      <w:pPr>
        <w:pStyle w:val="ififthlevellist"/>
      </w:pPr>
      <w:r w:rsidRPr="00897119">
        <w:t>c)</w:t>
      </w:r>
      <w:r w:rsidR="008D66F9" w:rsidRPr="00897119">
        <w:tab/>
        <w:t>Metabolic requirements as indicated by biochemical tests.</w:t>
      </w:r>
    </w:p>
    <w:p w14:paraId="611AFB00" w14:textId="77777777" w:rsidR="008D66F9" w:rsidRPr="00897119" w:rsidRDefault="0031040F" w:rsidP="00F71F23">
      <w:pPr>
        <w:pStyle w:val="ififthlevellist"/>
      </w:pPr>
      <w:r w:rsidRPr="00897119">
        <w:lastRenderedPageBreak/>
        <w:t>d)</w:t>
      </w:r>
      <w:r w:rsidR="008D66F9" w:rsidRPr="00897119">
        <w:tab/>
        <w:t xml:space="preserve">Detection of </w:t>
      </w:r>
      <w:r w:rsidR="004B5A21" w:rsidRPr="004B2565">
        <w:rPr>
          <w:u w:val="double"/>
        </w:rPr>
        <w:t xml:space="preserve">molecular </w:t>
      </w:r>
      <w:r w:rsidR="008D66F9" w:rsidRPr="00897119">
        <w:t xml:space="preserve">markers, </w:t>
      </w:r>
      <w:r w:rsidR="004B5A21" w:rsidRPr="004B2565">
        <w:rPr>
          <w:u w:val="double"/>
        </w:rPr>
        <w:t xml:space="preserve">serotype </w:t>
      </w:r>
      <w:r w:rsidR="008D66F9" w:rsidRPr="00897119">
        <w:t>and phage type</w:t>
      </w:r>
      <w:r w:rsidR="004B5A21" w:rsidRPr="004B2565">
        <w:rPr>
          <w:u w:val="double"/>
        </w:rPr>
        <w:t>, if applicable</w:t>
      </w:r>
      <w:r w:rsidR="008D66F9" w:rsidRPr="00897119">
        <w:t>.</w:t>
      </w:r>
    </w:p>
    <w:p w14:paraId="631C168D" w14:textId="77777777" w:rsidR="008D66F9" w:rsidRPr="00897119" w:rsidRDefault="0031040F" w:rsidP="00F71F23">
      <w:pPr>
        <w:pStyle w:val="ififthlevellist"/>
      </w:pPr>
      <w:r w:rsidRPr="00897119">
        <w:t>e)</w:t>
      </w:r>
      <w:r w:rsidR="008D66F9" w:rsidRPr="00897119">
        <w:tab/>
        <w:t>Agglutination with specific antiserum.</w:t>
      </w:r>
    </w:p>
    <w:p w14:paraId="4799FA1C" w14:textId="77777777" w:rsidR="008D66F9" w:rsidRPr="00897119" w:rsidRDefault="0031040F" w:rsidP="00F71F23">
      <w:pPr>
        <w:pStyle w:val="ififthlevellist"/>
      </w:pPr>
      <w:r w:rsidRPr="00897119">
        <w:t>f)</w:t>
      </w:r>
      <w:r w:rsidR="008D66F9" w:rsidRPr="00897119">
        <w:tab/>
        <w:t>The vaccine culture and any adjuvants, preservatives or other materials must be microbiologically sterile and non-toxic at the concentrations used.</w:t>
      </w:r>
    </w:p>
    <w:p w14:paraId="791CEAAC" w14:textId="77777777" w:rsidR="008D66F9" w:rsidRPr="00897119" w:rsidRDefault="008D66F9" w:rsidP="00F71F23">
      <w:pPr>
        <w:pStyle w:val="i"/>
      </w:pPr>
      <w:r w:rsidRPr="00897119">
        <w:t>ii)</w:t>
      </w:r>
      <w:r w:rsidRPr="00897119">
        <w:tab/>
        <w:t>Safety</w:t>
      </w:r>
    </w:p>
    <w:p w14:paraId="6563B4E7" w14:textId="77777777" w:rsidR="008D66F9" w:rsidRPr="00897119" w:rsidRDefault="008D66F9" w:rsidP="00F71F23">
      <w:pPr>
        <w:pStyle w:val="afourthpara"/>
      </w:pPr>
      <w:r w:rsidRPr="00897119">
        <w:t>The LD</w:t>
      </w:r>
      <w:r w:rsidRPr="00FC294E">
        <w:rPr>
          <w:szCs w:val="14"/>
          <w:vertAlign w:val="subscript"/>
        </w:rPr>
        <w:t>50</w:t>
      </w:r>
      <w:r w:rsidRPr="00897119">
        <w:t xml:space="preserve"> (50% lethal dose) or ID</w:t>
      </w:r>
      <w:r w:rsidRPr="00FC294E">
        <w:rPr>
          <w:szCs w:val="14"/>
          <w:vertAlign w:val="subscript"/>
        </w:rPr>
        <w:t>50</w:t>
      </w:r>
      <w:r w:rsidRPr="00897119">
        <w:t xml:space="preserve"> (50% infectious dose) may be determined in mice or preferably signs of more mild adverse reactions should be checked in the target species. Ten times the field dose of live vaccine or twice the dose for killed vaccines must be given to the target species at the recommended age and by the recommended route. The animals are observed for absence of adverse reactions. Stability and non-reversion to virulence after serial passages in susceptible species should be shown for live vaccines. It is also necessary to consider repeat vaccination. Live vaccine should be shown not to persist for long in vaccinated animals</w:t>
      </w:r>
      <w:r w:rsidR="0059015E" w:rsidRPr="00F53EE8">
        <w:t xml:space="preserve"> </w:t>
      </w:r>
      <w:r w:rsidR="0059015E" w:rsidRPr="004B2565">
        <w:rPr>
          <w:u w:val="double"/>
        </w:rPr>
        <w:t>and in the environment where they are farmed,</w:t>
      </w:r>
      <w:r w:rsidRPr="00897119">
        <w:t xml:space="preserve"> or be transmitted to milk or eggs that may be consumed, and the method of application should not present a hazard to operators.</w:t>
      </w:r>
      <w:r w:rsidR="00E560A3" w:rsidRPr="00F53EE8">
        <w:t xml:space="preserve"> </w:t>
      </w:r>
      <w:r w:rsidR="00E560A3" w:rsidRPr="004B2565">
        <w:rPr>
          <w:u w:val="double"/>
        </w:rPr>
        <w:t>Live vaccines should not be used in commercial laying flocks during the laying period unless eggs are processed by heat treatment.</w:t>
      </w:r>
    </w:p>
    <w:p w14:paraId="3D1FFBD4" w14:textId="77777777" w:rsidR="008D66F9" w:rsidRPr="00897119" w:rsidRDefault="008D66F9" w:rsidP="00F71F23">
      <w:pPr>
        <w:pStyle w:val="i"/>
      </w:pPr>
      <w:r w:rsidRPr="00897119">
        <w:t>iii)</w:t>
      </w:r>
      <w:r w:rsidRPr="00897119">
        <w:tab/>
        <w:t>Efficacy</w:t>
      </w:r>
    </w:p>
    <w:p w14:paraId="0F0CBBCD" w14:textId="77777777" w:rsidR="008D66F9" w:rsidRPr="00897119" w:rsidRDefault="008D66F9" w:rsidP="00F71F23">
      <w:pPr>
        <w:pStyle w:val="afourthpara"/>
      </w:pPr>
      <w:r w:rsidRPr="00897119">
        <w:t>Laboratory experiments and field trials should be used to show that the vaccine is effective. The laboratory experiments consist of vaccination–challenge tests in the target species at the recommended dose and age. The efficacy data can also be used as the basis for a batch potency test. Field trials are more difficult to undertake with respect to testing efficacy because of difficulties with standardising the challenge and providing appropriate controls.</w:t>
      </w:r>
    </w:p>
    <w:p w14:paraId="768D5B65" w14:textId="77777777" w:rsidR="008D66F9" w:rsidRPr="00897119" w:rsidRDefault="008D66F9" w:rsidP="00F71F23">
      <w:pPr>
        <w:pStyle w:val="i"/>
      </w:pPr>
      <w:r w:rsidRPr="00897119">
        <w:t>iv)</w:t>
      </w:r>
      <w:r w:rsidRPr="00897119">
        <w:tab/>
        <w:t>Environmental aspects</w:t>
      </w:r>
    </w:p>
    <w:p w14:paraId="27F82D2D" w14:textId="4AB2082F" w:rsidR="008D66F9" w:rsidRPr="00897119" w:rsidRDefault="008D66F9" w:rsidP="00F71F23">
      <w:pPr>
        <w:pStyle w:val="afourthpara"/>
      </w:pPr>
      <w:r w:rsidRPr="00897119">
        <w:t xml:space="preserve">Live vaccine strains should be tested for their ability to persist in the environment and infect non-target species such as rodents and wild birds that are likely to be exposed. Prolonged survival of some live vaccines in faeces and litter may present an unacceptable environmental hazard when the material is removed from the animal houses. </w:t>
      </w:r>
      <w:r w:rsidRPr="004B2565">
        <w:rPr>
          <w:strike/>
        </w:rPr>
        <w:t>Live vaccines should not be used in commercial laying flocks during lay.</w:t>
      </w:r>
    </w:p>
    <w:p w14:paraId="76E9D802" w14:textId="77777777" w:rsidR="008D66F9" w:rsidRPr="00897119" w:rsidRDefault="008D66F9" w:rsidP="00F71F23">
      <w:pPr>
        <w:pStyle w:val="11"/>
      </w:pPr>
      <w:r w:rsidRPr="00897119">
        <w:t>2.2.</w:t>
      </w:r>
      <w:r w:rsidRPr="00897119">
        <w:tab/>
        <w:t>Method of manufacture</w:t>
      </w:r>
    </w:p>
    <w:p w14:paraId="0410BB91" w14:textId="77777777" w:rsidR="008D66F9" w:rsidRPr="00897119" w:rsidRDefault="008D66F9" w:rsidP="00F71F23">
      <w:pPr>
        <w:pStyle w:val="111"/>
      </w:pPr>
      <w:r w:rsidRPr="00897119">
        <w:t>2.2.1.</w:t>
      </w:r>
      <w:r w:rsidRPr="00897119">
        <w:tab/>
        <w:t>Procedure</w:t>
      </w:r>
    </w:p>
    <w:p w14:paraId="10F86074" w14:textId="2AF0D588" w:rsidR="008D66F9" w:rsidRPr="00897119" w:rsidRDefault="008D66F9" w:rsidP="00F71F23">
      <w:pPr>
        <w:pStyle w:val="111Para"/>
      </w:pPr>
      <w:r w:rsidRPr="00897119">
        <w:t>The seed culture is propagated and maintained using suitable media</w:t>
      </w:r>
      <w:r w:rsidR="00897119" w:rsidRPr="00897119">
        <w:t xml:space="preserve"> </w:t>
      </w:r>
      <w:r w:rsidRPr="00897119">
        <w:t xml:space="preserve">for growth of </w:t>
      </w:r>
      <w:r w:rsidRPr="00897119">
        <w:rPr>
          <w:i/>
        </w:rPr>
        <w:t>Salmonella</w:t>
      </w:r>
      <w:r w:rsidRPr="00897119">
        <w:t xml:space="preserve">. The media used </w:t>
      </w:r>
      <w:r w:rsidR="00AB5067" w:rsidRPr="00897119">
        <w:t xml:space="preserve">should </w:t>
      </w:r>
      <w:r w:rsidRPr="00897119">
        <w:t>not contain serum or animal tissues</w:t>
      </w:r>
      <w:r w:rsidR="00AB5067" w:rsidRPr="00897119">
        <w:t xml:space="preserve"> (unless permitted by national regulations)</w:t>
      </w:r>
      <w:r w:rsidRPr="00897119">
        <w:t>. Culture may be on solid medium, in Roux flasks, or in liquid medium, in which case large-scale fermentation equipment may be used. Iron limitation or low temperature incubation on</w:t>
      </w:r>
      <w:r w:rsidRPr="004B2565">
        <w:rPr>
          <w:strike/>
        </w:rPr>
        <w:t xml:space="preserve"> a</w:t>
      </w:r>
      <w:r w:rsidRPr="00897119">
        <w:t xml:space="preserve"> minimal media may enhance LPS antigen production by the vaccine strain.</w:t>
      </w:r>
    </w:p>
    <w:p w14:paraId="2398ED27" w14:textId="77777777" w:rsidR="008D66F9" w:rsidRPr="00897119" w:rsidRDefault="008D66F9" w:rsidP="00F71F23">
      <w:pPr>
        <w:pStyle w:val="111Para"/>
      </w:pPr>
      <w:r w:rsidRPr="00897119">
        <w:t xml:space="preserve">Vaccine must be produced in suitable clean rooms to which only approved personnel have access. Care must be taken to avoid cross-contamination between areas where live organisms are processed and other areas. Contamination from operators </w:t>
      </w:r>
      <w:r w:rsidR="00703987" w:rsidRPr="00897119">
        <w:t>or</w:t>
      </w:r>
      <w:r w:rsidRPr="00897119">
        <w:t xml:space="preserve"> the environment must be avoided and vaccine preparation should take place in a separate area from diagnostic culture work. Operators must not work with vaccine whilst ill and must not be subject to immunosuppressive conditions or medications. Personnel must be provided with</w:t>
      </w:r>
      <w:r w:rsidR="002E3259" w:rsidRPr="00F53EE8">
        <w:t xml:space="preserve"> </w:t>
      </w:r>
      <w:r w:rsidR="002E3259" w:rsidRPr="004B2565">
        <w:rPr>
          <w:u w:val="double"/>
        </w:rPr>
        <w:t>suitable</w:t>
      </w:r>
      <w:r w:rsidRPr="00897119">
        <w:t xml:space="preserve"> protective clothing in production areas and in animal rooms.</w:t>
      </w:r>
    </w:p>
    <w:p w14:paraId="3CCEAEAF" w14:textId="77777777" w:rsidR="008D66F9" w:rsidRPr="00897119" w:rsidRDefault="008D66F9" w:rsidP="00F71F23">
      <w:pPr>
        <w:pStyle w:val="111Para"/>
      </w:pPr>
      <w:r w:rsidRPr="00897119">
        <w:t>Seed-lot cultures are prepared from the primary seed-lot, and the number of passages is dependent on the validation of the process. The vaccine may be prepared by inoculation of a suitable medium, such as nutrient broth, with a fresh culture and incubation on a shaker at 37°C for 24 hours, with or without aeration. The organisms are harvested by sedimentation or centrifugation. Alternatively, the organisms may be grown on and harvested from a solid medium, such as nutrient agar. In the case of live vaccines, the suspension is diluted in PBS, pH 7.0, and may be freeze-dried.</w:t>
      </w:r>
    </w:p>
    <w:p w14:paraId="60104E48" w14:textId="1017D699" w:rsidR="008D66F9" w:rsidRPr="00897119" w:rsidRDefault="008D66F9" w:rsidP="00F71F23">
      <w:pPr>
        <w:pStyle w:val="111Para"/>
      </w:pPr>
      <w:r w:rsidRPr="00897119">
        <w:t>The time of inactivation of dead vaccines should be at least 33% more than that taken to reduce the viable number to an undetectable level. The inactivation process must be applied to the whole volume of the vaccine cell harvest</w:t>
      </w:r>
      <w:r w:rsidR="002E3259" w:rsidRPr="00F53EE8">
        <w:t xml:space="preserve"> </w:t>
      </w:r>
      <w:r w:rsidR="002E3259" w:rsidRPr="004B2565">
        <w:rPr>
          <w:u w:val="double"/>
        </w:rPr>
        <w:t>and confirmed by a sensitive culture method</w:t>
      </w:r>
      <w:r w:rsidR="004B2565">
        <w:t>.</w:t>
      </w:r>
    </w:p>
    <w:p w14:paraId="6C9810C5" w14:textId="0D4F8CD6" w:rsidR="008D66F9" w:rsidRPr="00897119" w:rsidRDefault="008D66F9" w:rsidP="00F71F23">
      <w:pPr>
        <w:pStyle w:val="111Para"/>
      </w:pPr>
      <w:r w:rsidRPr="00897119">
        <w:lastRenderedPageBreak/>
        <w:t xml:space="preserve">Preservatives, excipient for lyophilisation, stabiliser for multidose containers or other substances added to or combined with a </w:t>
      </w:r>
      <w:r w:rsidR="00593E9C" w:rsidRPr="00C0603C">
        <w:t>vaccine</w:t>
      </w:r>
      <w:r w:rsidRPr="00897119">
        <w:t xml:space="preserve"> preparation must have no deleterious effect on the immunising potency of the product.</w:t>
      </w:r>
    </w:p>
    <w:p w14:paraId="20C855FF" w14:textId="77777777" w:rsidR="008D66F9" w:rsidRPr="00897119" w:rsidRDefault="008D66F9" w:rsidP="00F71F23">
      <w:pPr>
        <w:pStyle w:val="111"/>
      </w:pPr>
      <w:r w:rsidRPr="00897119">
        <w:t>2.2.2.</w:t>
      </w:r>
      <w:r w:rsidRPr="00897119">
        <w:tab/>
        <w:t>Requirements for substrates and media</w:t>
      </w:r>
    </w:p>
    <w:p w14:paraId="4097D800" w14:textId="77777777" w:rsidR="008D66F9" w:rsidRPr="00897119" w:rsidRDefault="008D66F9" w:rsidP="00F71F23">
      <w:pPr>
        <w:pStyle w:val="111Para"/>
      </w:pPr>
      <w:r w:rsidRPr="00897119">
        <w:t>All chemicals and growth media used should be guaranteed to be fit for purpose and checked by the use of suitable controls.</w:t>
      </w:r>
    </w:p>
    <w:p w14:paraId="1C4652F7" w14:textId="77777777" w:rsidR="008D66F9" w:rsidRPr="00897119" w:rsidRDefault="008D66F9" w:rsidP="00F71F23">
      <w:pPr>
        <w:pStyle w:val="111"/>
      </w:pPr>
      <w:r w:rsidRPr="00897119">
        <w:t>2.2.3.</w:t>
      </w:r>
      <w:r w:rsidRPr="00897119">
        <w:tab/>
        <w:t>In-process controls</w:t>
      </w:r>
    </w:p>
    <w:p w14:paraId="50E994D6" w14:textId="77777777" w:rsidR="008D66F9" w:rsidRPr="00897119" w:rsidRDefault="008D66F9" w:rsidP="00703987">
      <w:pPr>
        <w:pStyle w:val="111Para"/>
        <w:spacing w:after="120"/>
      </w:pPr>
      <w:r w:rsidRPr="00897119">
        <w:t>The following points require attention:</w:t>
      </w:r>
    </w:p>
    <w:p w14:paraId="2BFFBE0B" w14:textId="77777777" w:rsidR="008D66F9" w:rsidRPr="00897119" w:rsidRDefault="0031040F" w:rsidP="00F71F23">
      <w:pPr>
        <w:pStyle w:val="i"/>
      </w:pPr>
      <w:r w:rsidRPr="00897119">
        <w:t>i)</w:t>
      </w:r>
      <w:r w:rsidR="008D66F9" w:rsidRPr="00897119">
        <w:tab/>
        <w:t>Visual control of the suspension, homogeneity by Gram stain, culture on non-selective medium.</w:t>
      </w:r>
    </w:p>
    <w:p w14:paraId="0D2A7FD8" w14:textId="77777777" w:rsidR="008D66F9" w:rsidRPr="00897119" w:rsidRDefault="0031040F" w:rsidP="00F71F23">
      <w:pPr>
        <w:pStyle w:val="i"/>
      </w:pPr>
      <w:r w:rsidRPr="00897119">
        <w:t>ii)</w:t>
      </w:r>
      <w:r w:rsidR="008D66F9" w:rsidRPr="00897119">
        <w:tab/>
        <w:t>Slide agglutination with specific antisera.</w:t>
      </w:r>
    </w:p>
    <w:p w14:paraId="32773EC3" w14:textId="77777777" w:rsidR="008D66F9" w:rsidRPr="00897119" w:rsidRDefault="0031040F" w:rsidP="00F71F23">
      <w:pPr>
        <w:pStyle w:val="i"/>
      </w:pPr>
      <w:r w:rsidRPr="00897119">
        <w:t>iii)</w:t>
      </w:r>
      <w:r w:rsidR="008D66F9" w:rsidRPr="00897119">
        <w:tab/>
        <w:t xml:space="preserve">Titration of bacteria by turbidimetry </w:t>
      </w:r>
      <w:r w:rsidR="00703987" w:rsidRPr="00897119">
        <w:t>or</w:t>
      </w:r>
      <w:r w:rsidR="008D66F9" w:rsidRPr="00897119">
        <w:t xml:space="preserve"> plate count.</w:t>
      </w:r>
    </w:p>
    <w:p w14:paraId="23AF88A5" w14:textId="77777777" w:rsidR="008D66F9" w:rsidRPr="00897119" w:rsidRDefault="0031040F" w:rsidP="00F71F23">
      <w:pPr>
        <w:pStyle w:val="i"/>
      </w:pPr>
      <w:r w:rsidRPr="00897119">
        <w:t>iv)</w:t>
      </w:r>
      <w:r w:rsidR="008D66F9" w:rsidRPr="00897119">
        <w:tab/>
        <w:t>Test of effective inactivation (killed vaccine) by plating on non-selective medium or use of a medium that gives optimum chance of recovery e.g. production medium with neutralisation of the inactivating compound.</w:t>
      </w:r>
    </w:p>
    <w:p w14:paraId="2019F890" w14:textId="77777777" w:rsidR="008D66F9" w:rsidRPr="00897119" w:rsidRDefault="0031040F" w:rsidP="00703987">
      <w:pPr>
        <w:pStyle w:val="i"/>
        <w:spacing w:after="240"/>
      </w:pPr>
      <w:r w:rsidRPr="00897119">
        <w:t>v)</w:t>
      </w:r>
      <w:r w:rsidR="008D66F9" w:rsidRPr="00897119">
        <w:tab/>
        <w:t>Titration of viable bacteria (living vaccine) before and after lyophilisation.</w:t>
      </w:r>
    </w:p>
    <w:p w14:paraId="1F615EE4" w14:textId="77777777" w:rsidR="008D66F9" w:rsidRPr="00897119" w:rsidRDefault="008D66F9" w:rsidP="00F71F23">
      <w:pPr>
        <w:pStyle w:val="111"/>
      </w:pPr>
      <w:r w:rsidRPr="00897119">
        <w:t>2.2.4.</w:t>
      </w:r>
      <w:r w:rsidRPr="00897119">
        <w:tab/>
        <w:t>Final product batch tests</w:t>
      </w:r>
    </w:p>
    <w:p w14:paraId="75821B9B" w14:textId="77777777" w:rsidR="008D66F9" w:rsidRPr="00897119" w:rsidRDefault="008D66F9" w:rsidP="00F71F23">
      <w:pPr>
        <w:pStyle w:val="i"/>
      </w:pPr>
      <w:r w:rsidRPr="00897119">
        <w:t>i)</w:t>
      </w:r>
      <w:r w:rsidRPr="00897119">
        <w:tab/>
        <w:t>Sterility/purity</w:t>
      </w:r>
    </w:p>
    <w:p w14:paraId="1B69EDCA" w14:textId="77777777" w:rsidR="008D66F9" w:rsidRPr="00897119" w:rsidRDefault="008D66F9" w:rsidP="00F71F23">
      <w:pPr>
        <w:pStyle w:val="afourthpara"/>
      </w:pPr>
      <w:r w:rsidRPr="00897119">
        <w:t xml:space="preserve">Tests for sterility and freedom from contamination </w:t>
      </w:r>
      <w:r w:rsidR="00FC294E" w:rsidRPr="00897119">
        <w:t xml:space="preserve">of biological materials </w:t>
      </w:r>
      <w:r w:rsidR="00FC294E">
        <w:t xml:space="preserve">intended for veterinary use </w:t>
      </w:r>
      <w:r w:rsidRPr="00897119">
        <w:t>are found in chapter 1.1.</w:t>
      </w:r>
      <w:r w:rsidR="00897119" w:rsidRPr="00897119">
        <w:t>9</w:t>
      </w:r>
      <w:r w:rsidRPr="00897119">
        <w:t xml:space="preserve"> of this </w:t>
      </w:r>
      <w:r w:rsidRPr="00897119">
        <w:rPr>
          <w:i/>
        </w:rPr>
        <w:t>Terrestrial Manual</w:t>
      </w:r>
      <w:r w:rsidRPr="00897119">
        <w:t>.</w:t>
      </w:r>
    </w:p>
    <w:p w14:paraId="49D42830" w14:textId="77777777" w:rsidR="008D66F9" w:rsidRPr="00897119" w:rsidRDefault="008D66F9" w:rsidP="00F71F23">
      <w:pPr>
        <w:pStyle w:val="i"/>
      </w:pPr>
      <w:r w:rsidRPr="00897119">
        <w:t>ii)</w:t>
      </w:r>
      <w:r w:rsidRPr="00897119">
        <w:tab/>
        <w:t>Safety</w:t>
      </w:r>
    </w:p>
    <w:p w14:paraId="6B16900D" w14:textId="77777777" w:rsidR="008D66F9" w:rsidRPr="00897119" w:rsidRDefault="008D66F9" w:rsidP="00F71F23">
      <w:pPr>
        <w:pStyle w:val="afourthpara"/>
      </w:pPr>
      <w:r w:rsidRPr="00897119">
        <w:t>A laboratory test that has previously shown a correlation with safety in the target species may be used to determine the absence of deleterious effects on vaccinated animals. Each batch should be tested in the target species at the recommended age and route, using at least twice the field dose for killed vaccines and ten times the dose for live vaccines. Observations are made on any adverse effects on the demeanour and health of the vaccinated animals and an assessment is made of tissue reactions at the injection site.</w:t>
      </w:r>
    </w:p>
    <w:p w14:paraId="5BA14206" w14:textId="77777777" w:rsidR="008D66F9" w:rsidRPr="00897119" w:rsidRDefault="008D66F9" w:rsidP="00F71F23">
      <w:pPr>
        <w:pStyle w:val="i"/>
      </w:pPr>
      <w:r w:rsidRPr="00897119">
        <w:t>iii)</w:t>
      </w:r>
      <w:r w:rsidRPr="00897119">
        <w:tab/>
        <w:t>Batch potency</w:t>
      </w:r>
    </w:p>
    <w:p w14:paraId="546ED165" w14:textId="77777777" w:rsidR="008D66F9" w:rsidRPr="00897119" w:rsidRDefault="008D66F9" w:rsidP="00F71F23">
      <w:pPr>
        <w:pStyle w:val="afourthpara"/>
      </w:pPr>
      <w:r w:rsidRPr="00897119">
        <w:t xml:space="preserve">Potency is tested using vaccination–challenge assay in mice </w:t>
      </w:r>
      <w:r w:rsidR="00703987" w:rsidRPr="00897119">
        <w:t>or</w:t>
      </w:r>
      <w:r w:rsidRPr="00897119">
        <w:t xml:space="preserve"> other species, including (if practicable) the target species and immunological response in target species. Many </w:t>
      </w:r>
      <w:r w:rsidRPr="00897119">
        <w:rPr>
          <w:i/>
        </w:rPr>
        <w:t>Salmonella</w:t>
      </w:r>
      <w:r w:rsidRPr="00897119">
        <w:t xml:space="preserve"> vaccines are intended for use in poultry so these should be used for potency and safety tests.</w:t>
      </w:r>
    </w:p>
    <w:p w14:paraId="3A63FB24" w14:textId="547FA08A" w:rsidR="008D66F9" w:rsidRPr="00897119" w:rsidRDefault="008D66F9" w:rsidP="00F71F23">
      <w:pPr>
        <w:pStyle w:val="11"/>
      </w:pPr>
      <w:r w:rsidRPr="00897119">
        <w:t>2.3.</w:t>
      </w:r>
      <w:r w:rsidRPr="00897119">
        <w:tab/>
        <w:t xml:space="preserve">Requirements for </w:t>
      </w:r>
      <w:r w:rsidRPr="003E3725">
        <w:rPr>
          <w:strike/>
          <w:highlight w:val="yellow"/>
        </w:rPr>
        <w:t>authorisation</w:t>
      </w:r>
      <w:r w:rsidR="003E3725" w:rsidRPr="003E3725">
        <w:rPr>
          <w:strike/>
          <w:highlight w:val="yellow"/>
        </w:rPr>
        <w:t xml:space="preserve"> </w:t>
      </w:r>
      <w:r w:rsidR="009D13B7" w:rsidRPr="003E3725">
        <w:rPr>
          <w:highlight w:val="yellow"/>
          <w:u w:val="double"/>
        </w:rPr>
        <w:t>regulatory approval</w:t>
      </w:r>
    </w:p>
    <w:p w14:paraId="28A659B0" w14:textId="77777777" w:rsidR="008D66F9" w:rsidRPr="00897119" w:rsidRDefault="008D66F9" w:rsidP="00F71F23">
      <w:pPr>
        <w:pStyle w:val="111"/>
      </w:pPr>
      <w:r w:rsidRPr="00897119">
        <w:t>2.3.1.</w:t>
      </w:r>
      <w:r w:rsidRPr="00897119">
        <w:tab/>
        <w:t>Safety requirements</w:t>
      </w:r>
    </w:p>
    <w:p w14:paraId="10CB84F7" w14:textId="77777777" w:rsidR="008D66F9" w:rsidRPr="00897119" w:rsidRDefault="008D66F9" w:rsidP="00F71F23">
      <w:pPr>
        <w:pStyle w:val="111Para"/>
      </w:pPr>
      <w:r w:rsidRPr="00897119">
        <w:t>Certain killed vaccines may occasionally cause abortion in pregnant animals because of their LPS content, and likewise live vaccines should be used with caution in pregnant animals. It is often necessary, however, to vaccinate pregnant animals to provide maternal immunity for their offspring. It may be useful to include endotoxin assay in the safety test programme so that the levels can be compared with those shown to be safe in the double-dose tests. Vaccines may also cause swelling at the site of injection, particularly if an oil-emulsion adjuvant is used.</w:t>
      </w:r>
    </w:p>
    <w:p w14:paraId="6AB8AAE7" w14:textId="77777777" w:rsidR="008D66F9" w:rsidRPr="00897119" w:rsidRDefault="008D66F9" w:rsidP="00F71F23">
      <w:pPr>
        <w:pStyle w:val="i"/>
      </w:pPr>
      <w:r w:rsidRPr="00897119">
        <w:t>i)</w:t>
      </w:r>
      <w:r w:rsidRPr="00897119">
        <w:tab/>
        <w:t>Target and non-target animal safety</w:t>
      </w:r>
    </w:p>
    <w:p w14:paraId="49816271" w14:textId="77777777" w:rsidR="008D66F9" w:rsidRPr="00897119" w:rsidRDefault="008D66F9" w:rsidP="00F71F23">
      <w:pPr>
        <w:pStyle w:val="afourthpara"/>
      </w:pPr>
      <w:r w:rsidRPr="00897119">
        <w:t>Killed vaccines are assessed in a double-dose test, and live vaccines are assessed in a test using ten times the dose, ideally in the target species. Live vaccines should be proven to be harmless in relevant non-target species that could be exposed to vaccine excreted by vaccinated animals.</w:t>
      </w:r>
    </w:p>
    <w:p w14:paraId="03AA72EE" w14:textId="77777777" w:rsidR="008D66F9" w:rsidRPr="00897119" w:rsidRDefault="008D66F9" w:rsidP="00F71F23">
      <w:pPr>
        <w:pStyle w:val="i"/>
      </w:pPr>
      <w:r w:rsidRPr="00897119">
        <w:t>ii)</w:t>
      </w:r>
      <w:r w:rsidRPr="00897119">
        <w:tab/>
        <w:t>Reversion to virulence for attenuated/live vaccines</w:t>
      </w:r>
    </w:p>
    <w:p w14:paraId="3D07BAD3" w14:textId="77777777" w:rsidR="008D66F9" w:rsidRPr="00897119" w:rsidRDefault="008D66F9" w:rsidP="00F71F23">
      <w:pPr>
        <w:pStyle w:val="afourthpara"/>
      </w:pPr>
      <w:r w:rsidRPr="00897119">
        <w:t xml:space="preserve">Live vaccines shall be shown in replication tests in target species to not revert to virulent strains during a suitably large number of replications. Mutations, especially undefined </w:t>
      </w:r>
      <w:r w:rsidRPr="00897119">
        <w:lastRenderedPageBreak/>
        <w:t>mutations, should be shown to be stable and checks on stability can be made by</w:t>
      </w:r>
      <w:r w:rsidR="00E67324">
        <w:t xml:space="preserve"> </w:t>
      </w:r>
      <w:r w:rsidR="00E67324" w:rsidRPr="004B2565">
        <w:rPr>
          <w:u w:val="double"/>
        </w:rPr>
        <w:t>sensitive</w:t>
      </w:r>
      <w:r w:rsidRPr="004B2565">
        <w:rPr>
          <w:u w:val="double"/>
        </w:rPr>
        <w:t xml:space="preserve"> </w:t>
      </w:r>
      <w:r w:rsidRPr="00897119">
        <w:t>molecular fingerprinting methods or sequencing. Although the risk is small it is wise not to use live vaccines in a country where the organism in the vaccine has been eradicated.</w:t>
      </w:r>
    </w:p>
    <w:p w14:paraId="6C970A7D" w14:textId="77777777" w:rsidR="008D66F9" w:rsidRPr="00897119" w:rsidRDefault="008D66F9" w:rsidP="00F71F23">
      <w:pPr>
        <w:pStyle w:val="i"/>
      </w:pPr>
      <w:r w:rsidRPr="00897119">
        <w:t>iii)</w:t>
      </w:r>
      <w:r w:rsidRPr="00897119">
        <w:tab/>
        <w:t>Environmental consideration</w:t>
      </w:r>
    </w:p>
    <w:p w14:paraId="797A5571" w14:textId="77777777" w:rsidR="008D66F9" w:rsidRPr="00897119" w:rsidRDefault="008D66F9" w:rsidP="00F71F23">
      <w:pPr>
        <w:pStyle w:val="afourthpara"/>
      </w:pPr>
      <w:r w:rsidRPr="00897119">
        <w:t>Live vaccines should not be able to replicate in the environment or persist for more than a short period.</w:t>
      </w:r>
    </w:p>
    <w:p w14:paraId="652CCFF4" w14:textId="77777777" w:rsidR="008D66F9" w:rsidRPr="00897119" w:rsidRDefault="008D66F9" w:rsidP="00F71F23">
      <w:pPr>
        <w:pStyle w:val="111"/>
      </w:pPr>
      <w:r w:rsidRPr="00897119">
        <w:t>2.3.2.</w:t>
      </w:r>
      <w:r w:rsidRPr="00897119">
        <w:tab/>
        <w:t>Efficacy requirements</w:t>
      </w:r>
    </w:p>
    <w:p w14:paraId="03329FE2" w14:textId="77777777" w:rsidR="008D66F9" w:rsidRPr="00897119" w:rsidRDefault="008D66F9" w:rsidP="00F71F23">
      <w:pPr>
        <w:pStyle w:val="i"/>
      </w:pPr>
      <w:r w:rsidRPr="00897119">
        <w:t>i)</w:t>
      </w:r>
      <w:r w:rsidRPr="00897119">
        <w:tab/>
        <w:t>For animal production</w:t>
      </w:r>
    </w:p>
    <w:p w14:paraId="482C4538" w14:textId="77777777" w:rsidR="008D66F9" w:rsidRPr="00897119" w:rsidRDefault="008D66F9" w:rsidP="00F71F23">
      <w:pPr>
        <w:pStyle w:val="afourthpara"/>
      </w:pPr>
      <w:r w:rsidRPr="00897119">
        <w:t xml:space="preserve">The duration of immunity is likely to vary considerably between products, vaccination regimes and individual vaccinated animals. Immunity to </w:t>
      </w:r>
      <w:r w:rsidRPr="00897119">
        <w:rPr>
          <w:i/>
        </w:rPr>
        <w:t>Salmonella</w:t>
      </w:r>
      <w:r w:rsidRPr="00897119">
        <w:t xml:space="preserve"> is normally serovar or serogroup specific. Consultation among colleagues suggests that most killed vaccines will provide some protection for 6 months, while some live vaccines given by injection may elicit stronger immunity, which may persist for 1 year or more. It should be remembered, however, that a strong challenge such as that associated with continuously occupied farms or infected rodents may overwhelm vaccinal immunity and commercial live vaccines may be attenuated to reduce environmental survival in a way that reduces the immune response. There may also be problems with ensuring effective oral administration with live vaccines or accuracy of injection with killed and live injectable vaccines. The </w:t>
      </w:r>
      <w:r w:rsidRPr="00897119">
        <w:rPr>
          <w:i/>
        </w:rPr>
        <w:t>Salmonella</w:t>
      </w:r>
      <w:r w:rsidRPr="00897119">
        <w:t xml:space="preserve"> vaccines are intended to limit the extent of clinical disease in the case of ruminants, pigs and </w:t>
      </w:r>
      <w:r w:rsidRPr="00897119">
        <w:rPr>
          <w:i/>
        </w:rPr>
        <w:t>S.</w:t>
      </w:r>
      <w:r w:rsidRPr="00897119">
        <w:t xml:space="preserve"> Gallinarum in poultry. If possible, the potency test should relate to the efficacy of the vaccine in the target species, and suitable criteria should be applied for passing batches. It may be possible to assess killed vaccines by the O-H antibody response produced, although it should be remembered that serum antibodies are only part of the host’s protective mechanism against </w:t>
      </w:r>
      <w:r w:rsidRPr="00897119">
        <w:rPr>
          <w:i/>
        </w:rPr>
        <w:t>Salmonella</w:t>
      </w:r>
      <w:r w:rsidRPr="00897119">
        <w:t>. Alternatively, the potency of the vaccine may be assessed by its effect on challenged vaccinated animals compared quantitatively and statistically with unvaccinated controls.</w:t>
      </w:r>
    </w:p>
    <w:p w14:paraId="65683DF3" w14:textId="77777777" w:rsidR="008D66F9" w:rsidRPr="00897119" w:rsidRDefault="008D66F9" w:rsidP="00F71F23">
      <w:pPr>
        <w:pStyle w:val="i"/>
      </w:pPr>
      <w:r w:rsidRPr="00897119">
        <w:t>ii)</w:t>
      </w:r>
      <w:r w:rsidRPr="00897119">
        <w:tab/>
        <w:t>For control and eradication</w:t>
      </w:r>
    </w:p>
    <w:p w14:paraId="6B1D847E" w14:textId="2693A1C1" w:rsidR="008D66F9" w:rsidRPr="00897119" w:rsidRDefault="008D66F9" w:rsidP="00F71F23">
      <w:pPr>
        <w:pStyle w:val="afourthpara"/>
      </w:pPr>
      <w:r w:rsidRPr="00897119">
        <w:t xml:space="preserve">Vaccines for </w:t>
      </w:r>
      <w:r w:rsidRPr="00897119">
        <w:rPr>
          <w:i/>
        </w:rPr>
        <w:t>Salmonella</w:t>
      </w:r>
      <w:r w:rsidRPr="00897119">
        <w:t xml:space="preserve"> are not capable of eradicating infection from herds or flocks but can increase the threshold for infection, reduce the level of </w:t>
      </w:r>
      <w:r w:rsidRPr="004B2565">
        <w:rPr>
          <w:strike/>
        </w:rPr>
        <w:t>excretion</w:t>
      </w:r>
      <w:r w:rsidR="004B2565">
        <w:rPr>
          <w:strike/>
        </w:rPr>
        <w:t xml:space="preserve"> </w:t>
      </w:r>
      <w:r w:rsidR="00F72ECA" w:rsidRPr="004B2565">
        <w:rPr>
          <w:u w:val="double"/>
        </w:rPr>
        <w:t>shedding</w:t>
      </w:r>
      <w:r w:rsidR="00F72ECA" w:rsidRPr="00897119">
        <w:t xml:space="preserve"> </w:t>
      </w:r>
      <w:r w:rsidRPr="00897119">
        <w:t>of the organism and reduce vertical transmission in poultry that results in contamination of hatching or table eggs. Vaccination is therefore an aid to other eradication and control measures such as culling, all in-all out production, biosecurity and farm hygiene.</w:t>
      </w:r>
    </w:p>
    <w:p w14:paraId="6670C138" w14:textId="77777777" w:rsidR="008D66F9" w:rsidRPr="00897119" w:rsidRDefault="008D66F9" w:rsidP="008D66F9">
      <w:pPr>
        <w:pStyle w:val="i"/>
      </w:pPr>
      <w:r w:rsidRPr="00897119">
        <w:t>iii)</w:t>
      </w:r>
      <w:r w:rsidRPr="00897119">
        <w:tab/>
      </w:r>
      <w:r w:rsidRPr="00897119">
        <w:rPr>
          <w:i/>
        </w:rPr>
        <w:t>Stability</w:t>
      </w:r>
    </w:p>
    <w:p w14:paraId="0EB16D78" w14:textId="7C418C4B" w:rsidR="008D66F9" w:rsidRPr="00897119" w:rsidRDefault="008D66F9" w:rsidP="005D524E">
      <w:pPr>
        <w:pStyle w:val="afourthpara"/>
        <w:spacing w:after="480"/>
      </w:pPr>
      <w:r w:rsidRPr="00897119">
        <w:t>Information is lacking on the stability of killed vaccines. Stability is affected by storage conditions and by the presence of contaminating microorganisms growing in the product. Chemicals with antimicrobial activity, such as thiomersal, phenol or crystal violet are often included as preservatives in killed bacterial vaccines. The stability is assessed by potency tests repeated at appropriate time intervals. The stability of live vaccines can be assessed by performing counts of the number of viable organisms repeated at appropriate time intervals, and genotyping tests to identify genetic changes during fermentation production.</w:t>
      </w:r>
      <w:r w:rsidR="00274650" w:rsidRPr="00897119">
        <w:t xml:space="preserve"> It is recommended that live vaccines that contain </w:t>
      </w:r>
      <w:r w:rsidR="00274650" w:rsidRPr="00897119">
        <w:rPr>
          <w:i/>
        </w:rPr>
        <w:t>Salmonella</w:t>
      </w:r>
      <w:r w:rsidR="00274650" w:rsidRPr="00897119">
        <w:t xml:space="preserve"> serovars that are not endemic in a particular region should not be used for control of other serovars </w:t>
      </w:r>
      <w:r w:rsidR="00274650" w:rsidRPr="00F32643">
        <w:rPr>
          <w:strike/>
        </w:rPr>
        <w:t xml:space="preserve">(van Immerseel </w:t>
      </w:r>
      <w:r w:rsidR="00274650" w:rsidRPr="00F32643">
        <w:rPr>
          <w:i/>
          <w:strike/>
        </w:rPr>
        <w:t>et al.,</w:t>
      </w:r>
      <w:r w:rsidR="00274650" w:rsidRPr="00F32643">
        <w:rPr>
          <w:strike/>
        </w:rPr>
        <w:t xml:space="preserve"> 2013)</w:t>
      </w:r>
      <w:r w:rsidR="00274650" w:rsidRPr="00897119">
        <w:t>.</w:t>
      </w:r>
    </w:p>
    <w:p w14:paraId="47C14C31" w14:textId="77777777" w:rsidR="008D66F9" w:rsidRDefault="008D66F9" w:rsidP="008D66F9">
      <w:pPr>
        <w:pStyle w:val="A0"/>
        <w:spacing w:after="280"/>
        <w:rPr>
          <w:sz w:val="22"/>
          <w:lang w:val="pt-PT"/>
        </w:rPr>
      </w:pPr>
      <w:r w:rsidRPr="00897119">
        <w:rPr>
          <w:sz w:val="22"/>
          <w:lang w:val="pt-PT"/>
        </w:rPr>
        <w:t>REFERENCES</w:t>
      </w:r>
    </w:p>
    <w:p w14:paraId="4200674D" w14:textId="77777777" w:rsidR="009A515F" w:rsidRPr="00EF53A6" w:rsidRDefault="009A515F" w:rsidP="009A515F">
      <w:pPr>
        <w:pStyle w:val="Ref"/>
        <w:ind w:left="0" w:firstLine="0"/>
        <w:rPr>
          <w:smallCaps/>
          <w:u w:val="double"/>
        </w:rPr>
      </w:pPr>
      <w:bookmarkStart w:id="0" w:name="_Hlk77946759"/>
      <w:r w:rsidRPr="00EF53A6">
        <w:rPr>
          <w:color w:val="222222"/>
          <w:u w:val="double"/>
          <w:shd w:val="clear" w:color="auto" w:fill="FFFFFF"/>
          <w:lang w:val="it-IT"/>
        </w:rPr>
        <w:t>A</w:t>
      </w:r>
      <w:r w:rsidRPr="00EF53A6">
        <w:rPr>
          <w:smallCaps/>
          <w:color w:val="222222"/>
          <w:u w:val="double"/>
          <w:shd w:val="clear" w:color="auto" w:fill="FFFFFF"/>
          <w:lang w:val="it-IT"/>
        </w:rPr>
        <w:t>ntonelli P., Belluco S., Mancin M., Losasso C. &amp; Ricci A.</w:t>
      </w:r>
      <w:r w:rsidRPr="00EF53A6">
        <w:rPr>
          <w:color w:val="222222"/>
          <w:u w:val="double"/>
          <w:shd w:val="clear" w:color="auto" w:fill="FFFFFF"/>
          <w:lang w:val="it-IT"/>
        </w:rPr>
        <w:t xml:space="preserve"> (2019). </w:t>
      </w:r>
      <w:r w:rsidRPr="00EF53A6">
        <w:rPr>
          <w:color w:val="222222"/>
          <w:u w:val="double"/>
          <w:shd w:val="clear" w:color="auto" w:fill="FFFFFF"/>
        </w:rPr>
        <w:t xml:space="preserve">Genes conferring resistance to critically important antimicrobials in </w:t>
      </w:r>
      <w:r w:rsidRPr="00EF53A6">
        <w:rPr>
          <w:i/>
          <w:color w:val="222222"/>
          <w:u w:val="double"/>
          <w:shd w:val="clear" w:color="auto" w:fill="FFFFFF"/>
        </w:rPr>
        <w:t>Salmonella enterica</w:t>
      </w:r>
      <w:r w:rsidRPr="00EF53A6">
        <w:rPr>
          <w:color w:val="222222"/>
          <w:u w:val="double"/>
          <w:shd w:val="clear" w:color="auto" w:fill="FFFFFF"/>
        </w:rPr>
        <w:t xml:space="preserve"> isolated from animals and food: a systematic review of the literature, 2013–2017. </w:t>
      </w:r>
      <w:r w:rsidRPr="00EF53A6">
        <w:rPr>
          <w:i/>
          <w:iCs/>
          <w:color w:val="222222"/>
          <w:u w:val="double"/>
          <w:shd w:val="clear" w:color="auto" w:fill="FFFFFF"/>
        </w:rPr>
        <w:t>Res. Vet. Sci.</w:t>
      </w:r>
      <w:r w:rsidRPr="00EF53A6">
        <w:rPr>
          <w:color w:val="222222"/>
          <w:u w:val="double"/>
          <w:shd w:val="clear" w:color="auto" w:fill="FFFFFF"/>
        </w:rPr>
        <w:t xml:space="preserve">, </w:t>
      </w:r>
      <w:r w:rsidRPr="00EF53A6">
        <w:rPr>
          <w:b/>
          <w:bCs/>
          <w:color w:val="222222"/>
          <w:u w:val="double"/>
          <w:shd w:val="clear" w:color="auto" w:fill="FFFFFF"/>
        </w:rPr>
        <w:t>126</w:t>
      </w:r>
      <w:r w:rsidRPr="00EF53A6">
        <w:rPr>
          <w:color w:val="222222"/>
          <w:u w:val="double"/>
          <w:shd w:val="clear" w:color="auto" w:fill="FFFFFF"/>
        </w:rPr>
        <w:t>, 59–67.</w:t>
      </w:r>
    </w:p>
    <w:p w14:paraId="2BC18FE1" w14:textId="77777777" w:rsidR="008D66F9" w:rsidRPr="00F53EE8" w:rsidRDefault="00255519" w:rsidP="009C1C4F">
      <w:pPr>
        <w:pStyle w:val="Ref"/>
        <w:ind w:left="0" w:firstLine="0"/>
        <w:rPr>
          <w:strike/>
          <w:lang w:val="en-US"/>
        </w:rPr>
      </w:pPr>
      <w:r w:rsidRPr="00F53EE8">
        <w:rPr>
          <w:smallCaps/>
          <w:strike/>
        </w:rPr>
        <w:t>Barrow P.A.</w:t>
      </w:r>
      <w:r w:rsidRPr="00F53EE8">
        <w:rPr>
          <w:strike/>
        </w:rPr>
        <w:t xml:space="preserve"> </w:t>
      </w:r>
      <w:r w:rsidR="008D66F9" w:rsidRPr="00F53EE8">
        <w:rPr>
          <w:strike/>
          <w:lang w:val="en-US"/>
        </w:rPr>
        <w:t xml:space="preserve">(1992). ELISAs and the serological analysis of salmonella infections in poultry: a review. </w:t>
      </w:r>
      <w:r w:rsidR="008D66F9" w:rsidRPr="00F53EE8">
        <w:rPr>
          <w:i/>
          <w:strike/>
          <w:lang w:val="en-US"/>
        </w:rPr>
        <w:t>Epidemiol. Infect.</w:t>
      </w:r>
      <w:r w:rsidR="008D66F9" w:rsidRPr="00F53EE8">
        <w:rPr>
          <w:strike/>
          <w:lang w:val="en-US"/>
        </w:rPr>
        <w:t xml:space="preserve">, </w:t>
      </w:r>
      <w:r w:rsidR="008D66F9" w:rsidRPr="00F53EE8">
        <w:rPr>
          <w:b/>
          <w:strike/>
          <w:lang w:val="en-US"/>
        </w:rPr>
        <w:t>109</w:t>
      </w:r>
      <w:r w:rsidR="008D66F9" w:rsidRPr="00F53EE8">
        <w:rPr>
          <w:strike/>
          <w:lang w:val="en-US"/>
        </w:rPr>
        <w:t>, 361</w:t>
      </w:r>
      <w:r w:rsidR="000D531A" w:rsidRPr="00F53EE8">
        <w:rPr>
          <w:strike/>
          <w:lang w:val="en-US"/>
        </w:rPr>
        <w:t>–</w:t>
      </w:r>
      <w:r w:rsidR="008D66F9" w:rsidRPr="00F53EE8">
        <w:rPr>
          <w:strike/>
          <w:lang w:val="en-US"/>
        </w:rPr>
        <w:t>369.</w:t>
      </w:r>
    </w:p>
    <w:p w14:paraId="3BB97CDC" w14:textId="77777777" w:rsidR="008D66F9" w:rsidRPr="00F53EE8" w:rsidRDefault="008D66F9" w:rsidP="009C1C4F">
      <w:pPr>
        <w:pStyle w:val="Ref"/>
        <w:ind w:left="0" w:firstLine="0"/>
        <w:rPr>
          <w:strike/>
          <w:lang w:val="en-IE"/>
        </w:rPr>
      </w:pPr>
      <w:r w:rsidRPr="00F53EE8">
        <w:rPr>
          <w:smallCaps/>
          <w:strike/>
        </w:rPr>
        <w:t>Barrow P.A.</w:t>
      </w:r>
      <w:r w:rsidRPr="00F53EE8">
        <w:rPr>
          <w:strike/>
        </w:rPr>
        <w:t xml:space="preserve"> (1994). Serological diagnosis of </w:t>
      </w:r>
      <w:r w:rsidRPr="00F53EE8">
        <w:rPr>
          <w:i/>
          <w:strike/>
        </w:rPr>
        <w:t>Salmonella</w:t>
      </w:r>
      <w:r w:rsidRPr="00F53EE8">
        <w:rPr>
          <w:strike/>
        </w:rPr>
        <w:t xml:space="preserve"> serotype Enteritidis infections in poultry by ELISA and other tests. </w:t>
      </w:r>
      <w:r w:rsidRPr="00F53EE8">
        <w:rPr>
          <w:i/>
          <w:strike/>
          <w:lang w:val="en-IE"/>
        </w:rPr>
        <w:t>Int. J. Food Microbiol.</w:t>
      </w:r>
      <w:r w:rsidRPr="00F53EE8">
        <w:rPr>
          <w:strike/>
          <w:lang w:val="en-IE"/>
        </w:rPr>
        <w:t xml:space="preserve">, </w:t>
      </w:r>
      <w:r w:rsidRPr="00F53EE8">
        <w:rPr>
          <w:b/>
          <w:strike/>
          <w:lang w:val="en-IE"/>
        </w:rPr>
        <w:t>21</w:t>
      </w:r>
      <w:r w:rsidRPr="00F53EE8">
        <w:rPr>
          <w:strike/>
          <w:lang w:val="en-IE"/>
        </w:rPr>
        <w:t>, 55–68.</w:t>
      </w:r>
    </w:p>
    <w:p w14:paraId="65256B0E" w14:textId="77777777" w:rsidR="009A515F" w:rsidRPr="009A515F" w:rsidRDefault="009A515F" w:rsidP="009A515F">
      <w:pPr>
        <w:pStyle w:val="Ref"/>
        <w:ind w:left="0" w:firstLine="0"/>
      </w:pPr>
      <w:r w:rsidRPr="009A515F">
        <w:rPr>
          <w:smallCaps/>
          <w:color w:val="222222"/>
          <w:lang w:eastAsia="en-GB"/>
        </w:rPr>
        <w:t>Barrow P.A. &amp; Methner U., eds</w:t>
      </w:r>
      <w:r w:rsidRPr="009A515F">
        <w:rPr>
          <w:color w:val="222222"/>
          <w:lang w:eastAsia="en-GB"/>
        </w:rPr>
        <w:t xml:space="preserve"> (2013). </w:t>
      </w:r>
      <w:r w:rsidRPr="009A515F">
        <w:rPr>
          <w:i/>
          <w:iCs/>
          <w:color w:val="222222"/>
          <w:lang w:eastAsia="en-GB"/>
        </w:rPr>
        <w:t xml:space="preserve">Salmonella in Domestic Animals, </w:t>
      </w:r>
      <w:r w:rsidRPr="009A515F">
        <w:rPr>
          <w:i/>
          <w:iCs/>
          <w:color w:val="222222"/>
          <w:u w:val="double"/>
          <w:lang w:eastAsia="en-GB"/>
        </w:rPr>
        <w:t>Second Edition</w:t>
      </w:r>
      <w:r w:rsidRPr="009A515F">
        <w:rPr>
          <w:color w:val="222222"/>
          <w:lang w:eastAsia="en-GB"/>
        </w:rPr>
        <w:t>.</w:t>
      </w:r>
      <w:r w:rsidRPr="009A515F">
        <w:rPr>
          <w:color w:val="222222"/>
        </w:rPr>
        <w:t xml:space="preserve"> </w:t>
      </w:r>
      <w:r w:rsidRPr="009A515F">
        <w:t>CAB International, Wallingford, Oxon, UK.</w:t>
      </w:r>
      <w:r w:rsidRPr="009A515F">
        <w:rPr>
          <w:color w:val="262626"/>
          <w:lang w:eastAsia="en-GB"/>
        </w:rPr>
        <w:t xml:space="preserve"> </w:t>
      </w:r>
      <w:r w:rsidRPr="009A515F">
        <w:rPr>
          <w:color w:val="262626"/>
          <w:u w:val="double"/>
          <w:lang w:eastAsia="en-GB"/>
        </w:rPr>
        <w:t xml:space="preserve">ISBN: </w:t>
      </w:r>
      <w:hyperlink r:id="rId8" w:history="1">
        <w:r w:rsidRPr="009A515F">
          <w:rPr>
            <w:color w:val="262626"/>
            <w:u w:val="double"/>
            <w:lang w:eastAsia="en-GB"/>
          </w:rPr>
          <w:t>9781845939021</w:t>
        </w:r>
      </w:hyperlink>
      <w:r w:rsidRPr="009A515F">
        <w:rPr>
          <w:color w:val="262626"/>
          <w:u w:val="double"/>
          <w:lang w:eastAsia="en-GB"/>
        </w:rPr>
        <w:t>; doi:</w:t>
      </w:r>
      <w:hyperlink r:id="rId9" w:tgtFrame="_blank" w:history="1">
        <w:r w:rsidRPr="009A515F">
          <w:rPr>
            <w:color w:val="262626"/>
            <w:u w:val="double"/>
            <w:lang w:eastAsia="en-GB"/>
          </w:rPr>
          <w:t>10.1079/9781845939021.0000</w:t>
        </w:r>
      </w:hyperlink>
    </w:p>
    <w:p w14:paraId="2F5A2CFF" w14:textId="77777777" w:rsidR="00E83537" w:rsidRPr="00F32643" w:rsidRDefault="00E83537" w:rsidP="009C1C4F">
      <w:pPr>
        <w:spacing w:after="240" w:line="240" w:lineRule="auto"/>
        <w:rPr>
          <w:rFonts w:ascii="Arial" w:hAnsi="Arial" w:cs="Arial"/>
          <w:strike/>
          <w:color w:val="222222"/>
          <w:sz w:val="18"/>
          <w:szCs w:val="18"/>
          <w:lang w:eastAsia="en-GB"/>
        </w:rPr>
      </w:pPr>
      <w:r w:rsidRPr="00F32643">
        <w:rPr>
          <w:rFonts w:ascii="Arial" w:hAnsi="Arial" w:cs="Arial"/>
          <w:smallCaps/>
          <w:strike/>
          <w:color w:val="222222"/>
          <w:sz w:val="18"/>
          <w:szCs w:val="18"/>
          <w:lang w:eastAsia="en-GB"/>
        </w:rPr>
        <w:lastRenderedPageBreak/>
        <w:t>Barrow P.A. &amp; Neto O.F</w:t>
      </w:r>
      <w:r w:rsidRPr="00F32643">
        <w:rPr>
          <w:rFonts w:ascii="Arial" w:hAnsi="Arial" w:cs="Arial"/>
          <w:strike/>
          <w:color w:val="222222"/>
          <w:sz w:val="18"/>
          <w:szCs w:val="18"/>
          <w:lang w:eastAsia="en-GB"/>
        </w:rPr>
        <w:t xml:space="preserve">. (2011). Pullorum disease and fowl typhoid – new thoughts on old diseases: a review. </w:t>
      </w:r>
      <w:r w:rsidRPr="00F32643">
        <w:rPr>
          <w:rFonts w:ascii="Arial" w:hAnsi="Arial" w:cs="Arial"/>
          <w:i/>
          <w:iCs/>
          <w:strike/>
          <w:color w:val="222222"/>
          <w:sz w:val="18"/>
          <w:szCs w:val="18"/>
          <w:lang w:eastAsia="en-GB"/>
        </w:rPr>
        <w:t>Avian Pathol.</w:t>
      </w:r>
      <w:r w:rsidRPr="00F32643">
        <w:rPr>
          <w:rFonts w:ascii="Arial" w:hAnsi="Arial" w:cs="Arial"/>
          <w:strike/>
          <w:color w:val="222222"/>
          <w:sz w:val="18"/>
          <w:szCs w:val="18"/>
          <w:lang w:eastAsia="en-GB"/>
        </w:rPr>
        <w:t xml:space="preserve">, </w:t>
      </w:r>
      <w:r w:rsidRPr="00F32643">
        <w:rPr>
          <w:rFonts w:ascii="Arial" w:hAnsi="Arial" w:cs="Arial"/>
          <w:b/>
          <w:iCs/>
          <w:strike/>
          <w:color w:val="222222"/>
          <w:sz w:val="18"/>
          <w:szCs w:val="18"/>
          <w:lang w:eastAsia="en-GB"/>
        </w:rPr>
        <w:t>40</w:t>
      </w:r>
      <w:r w:rsidRPr="00F32643">
        <w:rPr>
          <w:rFonts w:ascii="Arial" w:hAnsi="Arial" w:cs="Arial"/>
          <w:strike/>
          <w:color w:val="222222"/>
          <w:sz w:val="18"/>
          <w:szCs w:val="18"/>
          <w:lang w:eastAsia="en-GB"/>
        </w:rPr>
        <w:t>, 1–13.</w:t>
      </w:r>
    </w:p>
    <w:p w14:paraId="586D4586" w14:textId="77777777" w:rsidR="00E83537" w:rsidRPr="00F32643" w:rsidRDefault="00E83537" w:rsidP="004B2565">
      <w:pPr>
        <w:pStyle w:val="NormalWeb"/>
        <w:shd w:val="clear" w:color="auto" w:fill="FFFFFF"/>
        <w:spacing w:before="0" w:beforeAutospacing="0" w:after="240" w:afterAutospacing="0" w:line="240" w:lineRule="auto"/>
        <w:rPr>
          <w:rFonts w:ascii="Arial" w:hAnsi="Arial"/>
          <w:strike/>
          <w:color w:val="262626"/>
          <w:sz w:val="18"/>
          <w:lang w:val="en-IE"/>
        </w:rPr>
      </w:pPr>
      <w:r w:rsidRPr="00F32643">
        <w:rPr>
          <w:rFonts w:ascii="Arial" w:hAnsi="Arial"/>
          <w:smallCaps/>
          <w:strike/>
          <w:sz w:val="18"/>
          <w:lang w:val="en-IE"/>
        </w:rPr>
        <w:t xml:space="preserve">Cannon R.M. &amp; Nicholls T.J. (2002). </w:t>
      </w:r>
      <w:r w:rsidRPr="00F32643">
        <w:rPr>
          <w:rFonts w:ascii="Arial" w:hAnsi="Arial"/>
          <w:strike/>
          <w:sz w:val="18"/>
        </w:rPr>
        <w:t xml:space="preserve">Relationship between sample weight, homogeneity, and sensitivity of fecal culture for </w:t>
      </w:r>
      <w:r w:rsidRPr="00F32643">
        <w:rPr>
          <w:rFonts w:ascii="Arial" w:hAnsi="Arial"/>
          <w:i/>
          <w:strike/>
          <w:sz w:val="18"/>
        </w:rPr>
        <w:t>Salmonella enterica</w:t>
      </w:r>
      <w:r w:rsidRPr="00F32643">
        <w:rPr>
          <w:rFonts w:ascii="Arial" w:hAnsi="Arial"/>
          <w:strike/>
          <w:sz w:val="18"/>
        </w:rPr>
        <w:t>.</w:t>
      </w:r>
      <w:r w:rsidRPr="00F32643">
        <w:rPr>
          <w:rFonts w:ascii="Arial" w:hAnsi="Arial"/>
          <w:i/>
          <w:strike/>
          <w:sz w:val="18"/>
        </w:rPr>
        <w:t xml:space="preserve"> </w:t>
      </w:r>
      <w:r w:rsidRPr="00F32643">
        <w:rPr>
          <w:rFonts w:ascii="Arial" w:hAnsi="Arial"/>
          <w:i/>
          <w:strike/>
          <w:sz w:val="18"/>
          <w:lang w:val="en-IE"/>
        </w:rPr>
        <w:t>Vet. Diagn. Invest</w:t>
      </w:r>
      <w:r w:rsidRPr="00F32643">
        <w:rPr>
          <w:rFonts w:ascii="Arial" w:hAnsi="Arial"/>
          <w:strike/>
          <w:sz w:val="18"/>
          <w:lang w:val="en-IE"/>
        </w:rPr>
        <w:t xml:space="preserve">., </w:t>
      </w:r>
      <w:r w:rsidRPr="00F32643">
        <w:rPr>
          <w:rFonts w:ascii="Arial" w:hAnsi="Arial"/>
          <w:b/>
          <w:strike/>
          <w:sz w:val="18"/>
          <w:lang w:val="en-IE"/>
        </w:rPr>
        <w:t>14</w:t>
      </w:r>
      <w:r w:rsidRPr="00F32643">
        <w:rPr>
          <w:rFonts w:ascii="Arial" w:hAnsi="Arial"/>
          <w:strike/>
          <w:sz w:val="18"/>
          <w:lang w:val="en-IE"/>
        </w:rPr>
        <w:t>, 60–62.</w:t>
      </w:r>
    </w:p>
    <w:p w14:paraId="7310FA7F" w14:textId="0833EACB" w:rsidR="00E83537" w:rsidRPr="0073000F" w:rsidRDefault="00C6729A" w:rsidP="009C1C4F">
      <w:pPr>
        <w:pStyle w:val="Ref"/>
        <w:ind w:left="0" w:firstLine="0"/>
        <w:rPr>
          <w:lang w:val="fr-FR"/>
        </w:rPr>
      </w:pPr>
      <w:r w:rsidRPr="00F53EE8">
        <w:rPr>
          <w:smallCaps/>
          <w:strike/>
          <w:lang w:val="en-IE"/>
        </w:rPr>
        <w:t>Carrique-Mas J.J., Barnes S., Mclaren I. &amp; Davies R</w:t>
      </w:r>
      <w:r w:rsidRPr="00F53EE8">
        <w:rPr>
          <w:strike/>
          <w:lang w:val="en-IE"/>
        </w:rPr>
        <w:t xml:space="preserve">. (2009). </w:t>
      </w:r>
      <w:r w:rsidRPr="00F53EE8">
        <w:rPr>
          <w:strike/>
          <w:lang w:val="en-US"/>
        </w:rPr>
        <w:t xml:space="preserve">Comparison of three plating media for the isolation of </w:t>
      </w:r>
      <w:r w:rsidRPr="00F53EE8">
        <w:rPr>
          <w:i/>
          <w:strike/>
          <w:lang w:val="en-US"/>
        </w:rPr>
        <w:t xml:space="preserve">Salmonella </w:t>
      </w:r>
      <w:r w:rsidRPr="00F53EE8">
        <w:rPr>
          <w:strike/>
          <w:lang w:val="en-US"/>
        </w:rPr>
        <w:t>from poultry environmental samples in Great Britain using ISO 6579:2002 (Annex D).</w:t>
      </w:r>
      <w:r w:rsidRPr="00F53EE8">
        <w:rPr>
          <w:i/>
          <w:strike/>
          <w:lang w:val="en-US"/>
        </w:rPr>
        <w:t xml:space="preserve"> </w:t>
      </w:r>
      <w:r w:rsidRPr="0073000F">
        <w:rPr>
          <w:i/>
          <w:strike/>
          <w:lang w:val="fr-FR"/>
        </w:rPr>
        <w:t xml:space="preserve">J. Appl. Microbiol., </w:t>
      </w:r>
      <w:r w:rsidRPr="0073000F">
        <w:rPr>
          <w:b/>
          <w:strike/>
          <w:lang w:val="fr-FR"/>
        </w:rPr>
        <w:t>107</w:t>
      </w:r>
      <w:r w:rsidRPr="0073000F">
        <w:rPr>
          <w:strike/>
          <w:lang w:val="fr-FR"/>
        </w:rPr>
        <w:t>, 1976–1983.</w:t>
      </w:r>
    </w:p>
    <w:p w14:paraId="6D66CBA7" w14:textId="77777777" w:rsidR="00E83537" w:rsidRPr="00F32643" w:rsidRDefault="00E83537" w:rsidP="009C1C4F">
      <w:pPr>
        <w:pStyle w:val="Ref"/>
        <w:ind w:left="0" w:firstLine="0"/>
        <w:rPr>
          <w:strike/>
          <w:lang w:val="en-US"/>
        </w:rPr>
      </w:pPr>
      <w:r w:rsidRPr="0073000F">
        <w:rPr>
          <w:smallCaps/>
          <w:strike/>
          <w:lang w:val="fr-FR"/>
        </w:rPr>
        <w:t>Carrique-Mas J.J. &amp; Davies R.H.</w:t>
      </w:r>
      <w:r w:rsidRPr="0073000F">
        <w:rPr>
          <w:strike/>
          <w:lang w:val="fr-FR"/>
        </w:rPr>
        <w:t xml:space="preserve"> (2008). </w:t>
      </w:r>
      <w:r w:rsidRPr="00F32643">
        <w:rPr>
          <w:strike/>
          <w:lang w:val="en-US"/>
        </w:rPr>
        <w:t xml:space="preserve">Sampling and bacteriological detection of </w:t>
      </w:r>
      <w:r w:rsidRPr="00F32643">
        <w:rPr>
          <w:i/>
          <w:iCs/>
          <w:strike/>
          <w:lang w:val="en-US"/>
        </w:rPr>
        <w:t>Salmonella</w:t>
      </w:r>
      <w:r w:rsidRPr="00F32643">
        <w:rPr>
          <w:strike/>
          <w:lang w:val="en-US"/>
        </w:rPr>
        <w:t xml:space="preserve"> in poultry and poultry premises: A review</w:t>
      </w:r>
      <w:r w:rsidRPr="00F32643">
        <w:rPr>
          <w:i/>
          <w:strike/>
          <w:lang w:val="en-US"/>
        </w:rPr>
        <w:t xml:space="preserve">. </w:t>
      </w:r>
      <w:r w:rsidRPr="00F32643">
        <w:rPr>
          <w:i/>
          <w:strike/>
        </w:rPr>
        <w:t>Rev. sci. tech. Off. int. Epiz.</w:t>
      </w:r>
      <w:r w:rsidRPr="00F32643">
        <w:rPr>
          <w:strike/>
          <w:lang w:val="en-US"/>
        </w:rPr>
        <w:t xml:space="preserve">, </w:t>
      </w:r>
      <w:r w:rsidRPr="00F32643">
        <w:rPr>
          <w:b/>
          <w:bCs/>
          <w:strike/>
          <w:lang w:val="en-US"/>
        </w:rPr>
        <w:t>27</w:t>
      </w:r>
      <w:r w:rsidRPr="00F32643">
        <w:rPr>
          <w:strike/>
          <w:lang w:val="en-US"/>
        </w:rPr>
        <w:t>, 665–677.</w:t>
      </w:r>
    </w:p>
    <w:p w14:paraId="4F9AB40B" w14:textId="73C3A58A" w:rsidR="005C5300" w:rsidRPr="009A515F" w:rsidRDefault="005C5300" w:rsidP="005C5300">
      <w:pPr>
        <w:pStyle w:val="paraA0"/>
        <w:rPr>
          <w:u w:val="double"/>
        </w:rPr>
      </w:pPr>
      <w:r w:rsidRPr="009A515F">
        <w:rPr>
          <w:smallCaps/>
          <w:u w:val="double"/>
        </w:rPr>
        <w:t>Centers for Disease Control and Prevention</w:t>
      </w:r>
      <w:r w:rsidRPr="009A515F">
        <w:rPr>
          <w:u w:val="double"/>
        </w:rPr>
        <w:t xml:space="preserve"> (CDC) (2021). </w:t>
      </w:r>
      <w:r w:rsidRPr="009A515F">
        <w:rPr>
          <w:i/>
          <w:u w:val="double"/>
        </w:rPr>
        <w:t xml:space="preserve">Salmonella. </w:t>
      </w:r>
      <w:r w:rsidRPr="009A515F">
        <w:rPr>
          <w:u w:val="double"/>
        </w:rPr>
        <w:t xml:space="preserve">Available at: </w:t>
      </w:r>
      <w:hyperlink r:id="rId10" w:history="1">
        <w:r w:rsidRPr="009A515F">
          <w:rPr>
            <w:rStyle w:val="Hyperlink"/>
            <w:u w:val="double"/>
          </w:rPr>
          <w:t>https://www.cdc.gov/salmonella/index.html</w:t>
        </w:r>
      </w:hyperlink>
      <w:r w:rsidRPr="009A515F">
        <w:rPr>
          <w:u w:val="double"/>
        </w:rPr>
        <w:t xml:space="preserve"> (accessed on 6 January 2021). </w:t>
      </w:r>
    </w:p>
    <w:p w14:paraId="3DF5711D" w14:textId="77777777" w:rsidR="005C5300" w:rsidRPr="009A515F" w:rsidRDefault="005C5300" w:rsidP="005C5300">
      <w:pPr>
        <w:pStyle w:val="paraA0"/>
        <w:rPr>
          <w:strike/>
        </w:rPr>
      </w:pPr>
      <w:r w:rsidRPr="002B544E">
        <w:rPr>
          <w:smallCaps/>
          <w:strike/>
        </w:rPr>
        <w:t>Centers for Disease Control and Prevention</w:t>
      </w:r>
      <w:r w:rsidRPr="002B544E">
        <w:rPr>
          <w:strike/>
        </w:rPr>
        <w:t xml:space="preserve"> (CDC) (2013). An Atlas of Salmonella in the United States, 1968–2011: Laboratory-based Enteric Disease Surveillance. Atlanta, Georgia: US Department of Health and Human Services, CDC, Atlanta, Georgia, USA.</w:t>
      </w:r>
    </w:p>
    <w:p w14:paraId="4641F151" w14:textId="63CB6AF1" w:rsidR="008B7DF2" w:rsidRPr="00B3713D" w:rsidRDefault="008B7DF2" w:rsidP="008B7DF2">
      <w:pPr>
        <w:pStyle w:val="CommentText"/>
        <w:spacing w:after="240" w:line="240" w:lineRule="auto"/>
        <w:rPr>
          <w:rFonts w:ascii="Arial" w:hAnsi="Arial" w:cs="Arial"/>
          <w:color w:val="222222"/>
          <w:sz w:val="18"/>
          <w:szCs w:val="18"/>
          <w:u w:val="double"/>
          <w:shd w:val="clear" w:color="auto" w:fill="FFFFFF"/>
        </w:rPr>
      </w:pPr>
      <w:r w:rsidRPr="0073000F">
        <w:rPr>
          <w:rFonts w:ascii="Arial" w:hAnsi="Arial" w:cs="Arial"/>
          <w:smallCaps/>
          <w:color w:val="222222"/>
          <w:sz w:val="18"/>
          <w:szCs w:val="18"/>
          <w:u w:val="double"/>
          <w:shd w:val="clear" w:color="auto" w:fill="FFFFFF"/>
          <w:lang w:val="en-IE"/>
        </w:rPr>
        <w:t>Cetin E., Temelli S. &amp; Eyigor A.</w:t>
      </w:r>
      <w:r w:rsidRPr="0073000F">
        <w:rPr>
          <w:rFonts w:ascii="Arial" w:hAnsi="Arial" w:cs="Arial"/>
          <w:color w:val="222222"/>
          <w:sz w:val="18"/>
          <w:szCs w:val="18"/>
          <w:u w:val="double"/>
          <w:shd w:val="clear" w:color="auto" w:fill="FFFFFF"/>
          <w:lang w:val="en-IE"/>
        </w:rPr>
        <w:t xml:space="preserve"> (2019). </w:t>
      </w:r>
      <w:r w:rsidRPr="00B3713D">
        <w:rPr>
          <w:rFonts w:ascii="Arial" w:hAnsi="Arial" w:cs="Arial"/>
          <w:i/>
          <w:iCs/>
          <w:color w:val="222222"/>
          <w:sz w:val="18"/>
          <w:szCs w:val="18"/>
          <w:u w:val="double"/>
          <w:shd w:val="clear" w:color="auto" w:fill="FFFFFF"/>
        </w:rPr>
        <w:t>Salmonella</w:t>
      </w:r>
      <w:r w:rsidRPr="00B3713D">
        <w:rPr>
          <w:rFonts w:ascii="Arial" w:hAnsi="Arial" w:cs="Arial"/>
          <w:color w:val="222222"/>
          <w:sz w:val="18"/>
          <w:szCs w:val="18"/>
          <w:u w:val="double"/>
          <w:shd w:val="clear" w:color="auto" w:fill="FFFFFF"/>
        </w:rPr>
        <w:t xml:space="preserve"> prevalence and serovar distribution in healthy slaughter sheep and cattle determined by ISO 6579 and VIDAS UP Salmonella methods. </w:t>
      </w:r>
      <w:r w:rsidRPr="00B3713D">
        <w:rPr>
          <w:rFonts w:ascii="Arial" w:hAnsi="Arial" w:cs="Arial"/>
          <w:i/>
          <w:iCs/>
          <w:color w:val="222222"/>
          <w:sz w:val="18"/>
          <w:szCs w:val="18"/>
          <w:u w:val="double"/>
          <w:shd w:val="clear" w:color="auto" w:fill="FFFFFF"/>
        </w:rPr>
        <w:t>J. Food Sci. Technol.</w:t>
      </w:r>
      <w:r w:rsidRPr="00B3713D">
        <w:rPr>
          <w:rFonts w:ascii="Arial" w:hAnsi="Arial" w:cs="Arial"/>
          <w:color w:val="222222"/>
          <w:sz w:val="18"/>
          <w:szCs w:val="18"/>
          <w:u w:val="double"/>
          <w:shd w:val="clear" w:color="auto" w:fill="FFFFFF"/>
        </w:rPr>
        <w:t xml:space="preserve">, </w:t>
      </w:r>
      <w:r w:rsidRPr="00B3713D">
        <w:rPr>
          <w:rFonts w:ascii="Arial" w:hAnsi="Arial" w:cs="Arial"/>
          <w:b/>
          <w:bCs/>
          <w:color w:val="222222"/>
          <w:sz w:val="18"/>
          <w:szCs w:val="18"/>
          <w:u w:val="double"/>
          <w:shd w:val="clear" w:color="auto" w:fill="FFFFFF"/>
        </w:rPr>
        <w:t>56</w:t>
      </w:r>
      <w:r w:rsidRPr="00B3713D">
        <w:rPr>
          <w:rFonts w:ascii="Arial" w:hAnsi="Arial" w:cs="Arial"/>
          <w:color w:val="222222"/>
          <w:sz w:val="18"/>
          <w:szCs w:val="18"/>
          <w:u w:val="double"/>
          <w:shd w:val="clear" w:color="auto" w:fill="FFFFFF"/>
        </w:rPr>
        <w:t>, 5317–5325.</w:t>
      </w:r>
    </w:p>
    <w:p w14:paraId="0C014213" w14:textId="188DA10C" w:rsidR="005C5300" w:rsidRPr="00F53EE8" w:rsidRDefault="005C5300" w:rsidP="008B7DF2">
      <w:pPr>
        <w:pStyle w:val="CommentText"/>
        <w:spacing w:after="240" w:line="240" w:lineRule="auto"/>
        <w:rPr>
          <w:rFonts w:ascii="Arial" w:hAnsi="Arial" w:cs="Arial"/>
          <w:strike/>
          <w:sz w:val="18"/>
          <w:szCs w:val="18"/>
        </w:rPr>
      </w:pPr>
      <w:r w:rsidRPr="002B544E">
        <w:rPr>
          <w:rFonts w:ascii="Arial" w:hAnsi="Arial" w:cs="Arial"/>
          <w:smallCaps/>
          <w:strike/>
          <w:sz w:val="18"/>
          <w:szCs w:val="18"/>
          <w:lang w:val="en-IE"/>
        </w:rPr>
        <w:t>Desin T.S., Koster W. &amp; Potter A.A</w:t>
      </w:r>
      <w:r w:rsidRPr="002B544E">
        <w:rPr>
          <w:rFonts w:ascii="Arial" w:hAnsi="Arial" w:cs="Arial"/>
          <w:strike/>
          <w:sz w:val="18"/>
          <w:szCs w:val="18"/>
          <w:lang w:val="en-IE"/>
        </w:rPr>
        <w:t xml:space="preserve">. (2013). </w:t>
      </w:r>
      <w:r w:rsidRPr="00F53EE8">
        <w:rPr>
          <w:rFonts w:ascii="Arial" w:hAnsi="Arial" w:cs="Arial"/>
          <w:strike/>
          <w:sz w:val="18"/>
          <w:szCs w:val="18"/>
        </w:rPr>
        <w:t xml:space="preserve">Salmonella vaccines in poultry: past, present and future. </w:t>
      </w:r>
      <w:r w:rsidRPr="00F53EE8">
        <w:rPr>
          <w:rFonts w:ascii="Arial" w:hAnsi="Arial" w:cs="Arial"/>
          <w:i/>
          <w:strike/>
          <w:sz w:val="18"/>
          <w:szCs w:val="18"/>
        </w:rPr>
        <w:t>Exp. Rev. Vaccines</w:t>
      </w:r>
      <w:r w:rsidRPr="00F53EE8">
        <w:rPr>
          <w:rFonts w:ascii="Arial" w:hAnsi="Arial" w:cs="Arial"/>
          <w:strike/>
          <w:sz w:val="18"/>
          <w:szCs w:val="18"/>
        </w:rPr>
        <w:t xml:space="preserve">, </w:t>
      </w:r>
      <w:r w:rsidRPr="00F53EE8">
        <w:rPr>
          <w:rFonts w:ascii="Arial" w:hAnsi="Arial" w:cs="Arial"/>
          <w:b/>
          <w:strike/>
          <w:sz w:val="18"/>
          <w:szCs w:val="18"/>
        </w:rPr>
        <w:t>12</w:t>
      </w:r>
      <w:r w:rsidRPr="00F53EE8">
        <w:rPr>
          <w:rFonts w:ascii="Arial" w:hAnsi="Arial" w:cs="Arial"/>
          <w:strike/>
          <w:sz w:val="18"/>
          <w:szCs w:val="18"/>
        </w:rPr>
        <w:t>, 87–96.</w:t>
      </w:r>
    </w:p>
    <w:p w14:paraId="1436F9D8" w14:textId="52E8C645" w:rsidR="00E83537" w:rsidRPr="00EF53A6" w:rsidRDefault="00DF198D" w:rsidP="009C1C4F">
      <w:pPr>
        <w:pStyle w:val="CommentText"/>
        <w:spacing w:after="240" w:line="240" w:lineRule="auto"/>
        <w:rPr>
          <w:rFonts w:ascii="Arial" w:hAnsi="Arial" w:cs="Arial"/>
          <w:color w:val="333333"/>
          <w:sz w:val="18"/>
          <w:szCs w:val="18"/>
          <w:u w:val="double"/>
          <w:shd w:val="clear" w:color="auto" w:fill="FFFFFF"/>
        </w:rPr>
      </w:pPr>
      <w:r w:rsidRPr="00EF53A6">
        <w:rPr>
          <w:rFonts w:ascii="Arial" w:hAnsi="Arial" w:cs="Arial"/>
          <w:smallCaps/>
          <w:color w:val="333333"/>
          <w:sz w:val="18"/>
          <w:szCs w:val="18"/>
          <w:u w:val="double"/>
          <w:shd w:val="clear" w:color="auto" w:fill="FFFFFF"/>
        </w:rPr>
        <w:t>Dieckmann R. &amp; Malorny B.</w:t>
      </w:r>
      <w:r w:rsidR="008B7DF2" w:rsidRPr="00EF53A6">
        <w:rPr>
          <w:rFonts w:ascii="Arial" w:hAnsi="Arial" w:cs="Arial"/>
          <w:color w:val="333333"/>
          <w:sz w:val="18"/>
          <w:szCs w:val="18"/>
          <w:u w:val="double"/>
          <w:shd w:val="clear" w:color="auto" w:fill="FFFFFF"/>
        </w:rPr>
        <w:t xml:space="preserve"> </w:t>
      </w:r>
      <w:r w:rsidR="00E83537" w:rsidRPr="00EF53A6">
        <w:rPr>
          <w:rFonts w:ascii="Arial" w:hAnsi="Arial" w:cs="Arial"/>
          <w:color w:val="333333"/>
          <w:sz w:val="18"/>
          <w:szCs w:val="18"/>
          <w:u w:val="double"/>
          <w:shd w:val="clear" w:color="auto" w:fill="FFFFFF"/>
        </w:rPr>
        <w:t xml:space="preserve">(2011). </w:t>
      </w:r>
      <w:r w:rsidR="00E83537" w:rsidRPr="00EF53A6">
        <w:rPr>
          <w:rStyle w:val="nlmarticle-title"/>
          <w:rFonts w:ascii="Arial" w:hAnsi="Arial" w:cs="Arial"/>
          <w:color w:val="333333"/>
          <w:sz w:val="18"/>
          <w:szCs w:val="18"/>
          <w:u w:val="double"/>
          <w:shd w:val="clear" w:color="auto" w:fill="FFFFFF"/>
        </w:rPr>
        <w:t>Rapid screening of epidemiologically important</w:t>
      </w:r>
      <w:r w:rsidRPr="00EF53A6">
        <w:rPr>
          <w:rStyle w:val="nlmarticle-title"/>
          <w:rFonts w:ascii="Arial" w:hAnsi="Arial" w:cs="Arial"/>
          <w:color w:val="333333"/>
          <w:sz w:val="18"/>
          <w:szCs w:val="18"/>
          <w:u w:val="double"/>
          <w:shd w:val="clear" w:color="auto" w:fill="FFFFFF"/>
        </w:rPr>
        <w:t xml:space="preserve"> </w:t>
      </w:r>
      <w:r w:rsidR="00E83537" w:rsidRPr="00EF53A6">
        <w:rPr>
          <w:rStyle w:val="nlmarticle-title"/>
          <w:rFonts w:ascii="Arial" w:hAnsi="Arial" w:cs="Arial"/>
          <w:i/>
          <w:iCs/>
          <w:color w:val="333333"/>
          <w:sz w:val="18"/>
          <w:szCs w:val="18"/>
          <w:u w:val="double"/>
          <w:shd w:val="clear" w:color="auto" w:fill="FFFFFF"/>
        </w:rPr>
        <w:t>Salmonella</w:t>
      </w:r>
      <w:r w:rsidRPr="00EF53A6">
        <w:rPr>
          <w:rStyle w:val="nlmarticle-title"/>
          <w:rFonts w:ascii="Arial" w:hAnsi="Arial" w:cs="Arial"/>
          <w:color w:val="333333"/>
          <w:sz w:val="18"/>
          <w:szCs w:val="18"/>
          <w:u w:val="double"/>
          <w:shd w:val="clear" w:color="auto" w:fill="FFFFFF"/>
        </w:rPr>
        <w:t xml:space="preserve"> </w:t>
      </w:r>
      <w:r w:rsidR="00E83537" w:rsidRPr="00EF53A6">
        <w:rPr>
          <w:rStyle w:val="nlmarticle-title"/>
          <w:rFonts w:ascii="Arial" w:hAnsi="Arial" w:cs="Arial"/>
          <w:i/>
          <w:color w:val="333333"/>
          <w:sz w:val="18"/>
          <w:szCs w:val="18"/>
          <w:u w:val="double"/>
          <w:shd w:val="clear" w:color="auto" w:fill="FFFFFF"/>
        </w:rPr>
        <w:t>enterica</w:t>
      </w:r>
      <w:r w:rsidR="00E83537" w:rsidRPr="00EF53A6">
        <w:rPr>
          <w:rStyle w:val="nlmarticle-title"/>
          <w:rFonts w:ascii="Arial" w:hAnsi="Arial" w:cs="Arial"/>
          <w:color w:val="333333"/>
          <w:sz w:val="18"/>
          <w:szCs w:val="18"/>
          <w:u w:val="double"/>
          <w:shd w:val="clear" w:color="auto" w:fill="FFFFFF"/>
        </w:rPr>
        <w:t xml:space="preserve"> subsp. enterica serovars by whole-cell matrix-assisted laser desorption ionization-time of flight mass spectrometry</w:t>
      </w:r>
      <w:r w:rsidR="00E83537" w:rsidRPr="00EF53A6">
        <w:rPr>
          <w:rFonts w:ascii="Arial" w:hAnsi="Arial" w:cs="Arial"/>
          <w:color w:val="333333"/>
          <w:sz w:val="18"/>
          <w:szCs w:val="18"/>
          <w:u w:val="double"/>
          <w:shd w:val="clear" w:color="auto" w:fill="FFFFFF"/>
        </w:rPr>
        <w:t xml:space="preserve">. </w:t>
      </w:r>
      <w:r w:rsidR="00E83537" w:rsidRPr="00EF53A6">
        <w:rPr>
          <w:rFonts w:ascii="Arial" w:hAnsi="Arial" w:cs="Arial"/>
          <w:i/>
          <w:color w:val="333333"/>
          <w:sz w:val="18"/>
          <w:szCs w:val="18"/>
          <w:u w:val="double"/>
          <w:shd w:val="clear" w:color="auto" w:fill="FFFFFF"/>
        </w:rPr>
        <w:t>Appl</w:t>
      </w:r>
      <w:r w:rsidRPr="00EF53A6">
        <w:rPr>
          <w:rFonts w:ascii="Arial" w:hAnsi="Arial" w:cs="Arial"/>
          <w:i/>
          <w:color w:val="333333"/>
          <w:sz w:val="18"/>
          <w:szCs w:val="18"/>
          <w:u w:val="double"/>
          <w:shd w:val="clear" w:color="auto" w:fill="FFFFFF"/>
        </w:rPr>
        <w:t>.</w:t>
      </w:r>
      <w:r w:rsidR="00E83537" w:rsidRPr="00EF53A6">
        <w:rPr>
          <w:rFonts w:ascii="Arial" w:hAnsi="Arial" w:cs="Arial"/>
          <w:i/>
          <w:color w:val="333333"/>
          <w:sz w:val="18"/>
          <w:szCs w:val="18"/>
          <w:u w:val="double"/>
          <w:shd w:val="clear" w:color="auto" w:fill="FFFFFF"/>
        </w:rPr>
        <w:t xml:space="preserve"> Environ</w:t>
      </w:r>
      <w:r w:rsidRPr="00EF53A6">
        <w:rPr>
          <w:rFonts w:ascii="Arial" w:hAnsi="Arial" w:cs="Arial"/>
          <w:i/>
          <w:color w:val="333333"/>
          <w:sz w:val="18"/>
          <w:szCs w:val="18"/>
          <w:u w:val="double"/>
          <w:shd w:val="clear" w:color="auto" w:fill="FFFFFF"/>
        </w:rPr>
        <w:t>.</w:t>
      </w:r>
      <w:r w:rsidR="00E83537" w:rsidRPr="00EF53A6">
        <w:rPr>
          <w:rFonts w:ascii="Arial" w:hAnsi="Arial" w:cs="Arial"/>
          <w:i/>
          <w:color w:val="333333"/>
          <w:sz w:val="18"/>
          <w:szCs w:val="18"/>
          <w:u w:val="double"/>
          <w:shd w:val="clear" w:color="auto" w:fill="FFFFFF"/>
        </w:rPr>
        <w:t xml:space="preserve"> Microbiol</w:t>
      </w:r>
      <w:r w:rsidR="00E83537" w:rsidRPr="00EF53A6">
        <w:rPr>
          <w:rFonts w:ascii="Arial" w:hAnsi="Arial" w:cs="Arial"/>
          <w:color w:val="333333"/>
          <w:sz w:val="18"/>
          <w:szCs w:val="18"/>
          <w:u w:val="double"/>
          <w:shd w:val="clear" w:color="auto" w:fill="FFFFFF"/>
        </w:rPr>
        <w:t>.</w:t>
      </w:r>
      <w:r w:rsidRPr="00EF53A6">
        <w:rPr>
          <w:rFonts w:ascii="Arial" w:hAnsi="Arial" w:cs="Arial"/>
          <w:color w:val="333333"/>
          <w:sz w:val="18"/>
          <w:szCs w:val="18"/>
          <w:u w:val="double"/>
          <w:shd w:val="clear" w:color="auto" w:fill="FFFFFF"/>
        </w:rPr>
        <w:t>,</w:t>
      </w:r>
      <w:r w:rsidR="00E83537" w:rsidRPr="00EF53A6">
        <w:rPr>
          <w:rFonts w:ascii="Arial" w:hAnsi="Arial" w:cs="Arial"/>
          <w:color w:val="333333"/>
          <w:sz w:val="18"/>
          <w:szCs w:val="18"/>
          <w:u w:val="double"/>
          <w:shd w:val="clear" w:color="auto" w:fill="FFFFFF"/>
        </w:rPr>
        <w:t xml:space="preserve"> </w:t>
      </w:r>
      <w:r w:rsidR="00E83537" w:rsidRPr="00EF53A6">
        <w:rPr>
          <w:rFonts w:ascii="Arial" w:hAnsi="Arial" w:cs="Arial"/>
          <w:b/>
          <w:color w:val="333333"/>
          <w:sz w:val="18"/>
          <w:szCs w:val="18"/>
          <w:u w:val="double"/>
          <w:shd w:val="clear" w:color="auto" w:fill="FFFFFF"/>
        </w:rPr>
        <w:t>77</w:t>
      </w:r>
      <w:r w:rsidRPr="00EF53A6">
        <w:rPr>
          <w:rFonts w:ascii="Arial" w:hAnsi="Arial" w:cs="Arial"/>
          <w:color w:val="333333"/>
          <w:sz w:val="18"/>
          <w:szCs w:val="18"/>
          <w:u w:val="double"/>
          <w:shd w:val="clear" w:color="auto" w:fill="FFFFFF"/>
        </w:rPr>
        <w:t xml:space="preserve">, </w:t>
      </w:r>
      <w:r w:rsidR="00E83537" w:rsidRPr="00EF53A6">
        <w:rPr>
          <w:rStyle w:val="nlmfpage"/>
          <w:rFonts w:ascii="Arial" w:hAnsi="Arial" w:cs="Arial"/>
          <w:color w:val="333333"/>
          <w:sz w:val="18"/>
          <w:szCs w:val="18"/>
          <w:u w:val="double"/>
          <w:shd w:val="clear" w:color="auto" w:fill="FFFFFF"/>
        </w:rPr>
        <w:t>4136</w:t>
      </w:r>
      <w:r w:rsidR="00E83537" w:rsidRPr="00EF53A6">
        <w:rPr>
          <w:rFonts w:ascii="Arial" w:hAnsi="Arial" w:cs="Arial"/>
          <w:color w:val="333333"/>
          <w:sz w:val="18"/>
          <w:szCs w:val="18"/>
          <w:u w:val="double"/>
          <w:shd w:val="clear" w:color="auto" w:fill="FFFFFF"/>
        </w:rPr>
        <w:t>–</w:t>
      </w:r>
      <w:r w:rsidR="00E83537" w:rsidRPr="00EF53A6">
        <w:rPr>
          <w:rStyle w:val="nlmlpage"/>
          <w:rFonts w:ascii="Arial" w:hAnsi="Arial" w:cs="Arial"/>
          <w:color w:val="333333"/>
          <w:sz w:val="18"/>
          <w:szCs w:val="18"/>
          <w:u w:val="double"/>
          <w:shd w:val="clear" w:color="auto" w:fill="FFFFFF"/>
        </w:rPr>
        <w:t>4146</w:t>
      </w:r>
      <w:r w:rsidR="00E83537" w:rsidRPr="00EF53A6">
        <w:rPr>
          <w:rFonts w:ascii="Arial" w:hAnsi="Arial" w:cs="Arial"/>
          <w:color w:val="333333"/>
          <w:sz w:val="18"/>
          <w:szCs w:val="18"/>
          <w:u w:val="double"/>
          <w:shd w:val="clear" w:color="auto" w:fill="FFFFFF"/>
        </w:rPr>
        <w:t>.</w:t>
      </w:r>
    </w:p>
    <w:p w14:paraId="6AA6DA75" w14:textId="7278E59C" w:rsidR="00E83537" w:rsidRPr="00894810" w:rsidRDefault="00DF198D" w:rsidP="009C1C4F">
      <w:pPr>
        <w:pStyle w:val="paraA0"/>
        <w:rPr>
          <w:u w:val="double"/>
        </w:rPr>
      </w:pPr>
      <w:r w:rsidRPr="00894810">
        <w:rPr>
          <w:smallCaps/>
          <w:color w:val="222222"/>
          <w:u w:val="double"/>
          <w:shd w:val="clear" w:color="auto" w:fill="FFFFFF"/>
        </w:rPr>
        <w:t>Diep B., Barretto C., Portmann A-C., Fournier C., Karczmarek A., Voets G., Li S., Deng X. &amp; Klijn A.</w:t>
      </w:r>
      <w:r w:rsidRPr="00894810">
        <w:rPr>
          <w:color w:val="222222"/>
          <w:u w:val="double"/>
          <w:shd w:val="clear" w:color="auto" w:fill="FFFFFF"/>
        </w:rPr>
        <w:t xml:space="preserve"> </w:t>
      </w:r>
      <w:r w:rsidR="00E83537" w:rsidRPr="00894810">
        <w:rPr>
          <w:color w:val="222222"/>
          <w:u w:val="double"/>
          <w:shd w:val="clear" w:color="auto" w:fill="FFFFFF"/>
        </w:rPr>
        <w:t>(2019)</w:t>
      </w:r>
      <w:r w:rsidR="008B7DF2" w:rsidRPr="00894810">
        <w:rPr>
          <w:color w:val="222222"/>
          <w:u w:val="double"/>
          <w:shd w:val="clear" w:color="auto" w:fill="FFFFFF"/>
        </w:rPr>
        <w:t xml:space="preserve">. </w:t>
      </w:r>
      <w:r w:rsidR="00E83537" w:rsidRPr="00894810">
        <w:rPr>
          <w:i/>
          <w:iCs/>
          <w:color w:val="222222"/>
          <w:u w:val="double"/>
          <w:shd w:val="clear" w:color="auto" w:fill="FFFFFF"/>
        </w:rPr>
        <w:t>Salmonella</w:t>
      </w:r>
      <w:r w:rsidR="00E83537" w:rsidRPr="00894810">
        <w:rPr>
          <w:color w:val="222222"/>
          <w:u w:val="double"/>
          <w:shd w:val="clear" w:color="auto" w:fill="FFFFFF"/>
        </w:rPr>
        <w:t xml:space="preserve"> serotyping; comparison of the traditional method to a microarray-based method and an in silico platform using whole genome sequencing data.</w:t>
      </w:r>
      <w:r w:rsidRPr="00894810">
        <w:rPr>
          <w:color w:val="222222"/>
          <w:u w:val="double"/>
          <w:shd w:val="clear" w:color="auto" w:fill="FFFFFF"/>
        </w:rPr>
        <w:t xml:space="preserve"> </w:t>
      </w:r>
      <w:r w:rsidR="00E83537" w:rsidRPr="00894810">
        <w:rPr>
          <w:i/>
          <w:iCs/>
          <w:color w:val="222222"/>
          <w:u w:val="double"/>
          <w:shd w:val="clear" w:color="auto" w:fill="FFFFFF"/>
        </w:rPr>
        <w:t>Front</w:t>
      </w:r>
      <w:r w:rsidRPr="00894810">
        <w:rPr>
          <w:i/>
          <w:iCs/>
          <w:color w:val="222222"/>
          <w:u w:val="double"/>
          <w:shd w:val="clear" w:color="auto" w:fill="FFFFFF"/>
        </w:rPr>
        <w:t>.</w:t>
      </w:r>
      <w:r w:rsidR="00E83537" w:rsidRPr="00894810">
        <w:rPr>
          <w:i/>
          <w:iCs/>
          <w:color w:val="222222"/>
          <w:u w:val="double"/>
          <w:shd w:val="clear" w:color="auto" w:fill="FFFFFF"/>
        </w:rPr>
        <w:t xml:space="preserve"> </w:t>
      </w:r>
      <w:r w:rsidRPr="00894810">
        <w:rPr>
          <w:i/>
          <w:iCs/>
          <w:color w:val="222222"/>
          <w:u w:val="double"/>
          <w:shd w:val="clear" w:color="auto" w:fill="FFFFFF"/>
        </w:rPr>
        <w:t>M</w:t>
      </w:r>
      <w:r w:rsidR="00E83537" w:rsidRPr="00894810">
        <w:rPr>
          <w:i/>
          <w:iCs/>
          <w:color w:val="222222"/>
          <w:u w:val="double"/>
          <w:shd w:val="clear" w:color="auto" w:fill="FFFFFF"/>
        </w:rPr>
        <w:t>icrobiol</w:t>
      </w:r>
      <w:r w:rsidRPr="00894810">
        <w:rPr>
          <w:i/>
          <w:iCs/>
          <w:color w:val="222222"/>
          <w:u w:val="double"/>
          <w:shd w:val="clear" w:color="auto" w:fill="FFFFFF"/>
        </w:rPr>
        <w:t xml:space="preserve">., </w:t>
      </w:r>
      <w:r w:rsidR="00E83537" w:rsidRPr="00894810">
        <w:rPr>
          <w:b/>
          <w:bCs/>
          <w:color w:val="222222"/>
          <w:u w:val="double"/>
          <w:shd w:val="clear" w:color="auto" w:fill="FFFFFF"/>
        </w:rPr>
        <w:t>10</w:t>
      </w:r>
      <w:r w:rsidRPr="00894810">
        <w:rPr>
          <w:color w:val="222222"/>
          <w:u w:val="double"/>
          <w:shd w:val="clear" w:color="auto" w:fill="FFFFFF"/>
        </w:rPr>
        <w:t>,</w:t>
      </w:r>
      <w:r w:rsidR="00E83537" w:rsidRPr="00894810">
        <w:rPr>
          <w:color w:val="222222"/>
          <w:u w:val="double"/>
          <w:shd w:val="clear" w:color="auto" w:fill="FFFFFF"/>
        </w:rPr>
        <w:t xml:space="preserve"> 2554</w:t>
      </w:r>
      <w:r w:rsidRPr="00894810">
        <w:rPr>
          <w:color w:val="222222"/>
          <w:u w:val="double"/>
          <w:shd w:val="clear" w:color="auto" w:fill="FFFFFF"/>
        </w:rPr>
        <w:t>.</w:t>
      </w:r>
    </w:p>
    <w:p w14:paraId="1E17B41D" w14:textId="77777777" w:rsidR="00E83537" w:rsidRPr="00EF53A6" w:rsidRDefault="00E83537" w:rsidP="009C1C4F">
      <w:pPr>
        <w:pStyle w:val="Ref"/>
        <w:ind w:left="0" w:firstLine="0"/>
      </w:pPr>
      <w:r w:rsidRPr="00EF53A6">
        <w:rPr>
          <w:smallCaps/>
        </w:rPr>
        <w:t>Ellis E.M., Williams J.E., Mallinson E.T., Snoeyenbos G.H. &amp; Martin W.J</w:t>
      </w:r>
      <w:r w:rsidRPr="00EF53A6">
        <w:t>. (1976). Culture Methods for the Detection of Animal Salmonellosis and Arizonosis. Iowa State University Press, Ames, USA.</w:t>
      </w:r>
    </w:p>
    <w:p w14:paraId="1EE799DA" w14:textId="77777777" w:rsidR="00E71D2E" w:rsidRPr="00F53EE8" w:rsidRDefault="00E71D2E" w:rsidP="009C1C4F">
      <w:pPr>
        <w:pStyle w:val="dotsixthpara"/>
        <w:ind w:left="0"/>
        <w:rPr>
          <w:rStyle w:val="BookTitle"/>
          <w:b w:val="0"/>
          <w:strike/>
        </w:rPr>
      </w:pPr>
      <w:r w:rsidRPr="00F53EE8">
        <w:rPr>
          <w:smallCaps/>
          <w:strike/>
        </w:rPr>
        <w:t>Eriksson E. &amp; Aspan A. (</w:t>
      </w:r>
      <w:r w:rsidRPr="00F53EE8">
        <w:rPr>
          <w:strike/>
        </w:rPr>
        <w:t xml:space="preserve">2007). Comparison of culture, ELISA and PCR techniques for salmonella detection in faecal samples for cattle, pig and poultry. </w:t>
      </w:r>
      <w:r w:rsidRPr="00F53EE8">
        <w:rPr>
          <w:i/>
          <w:strike/>
        </w:rPr>
        <w:t xml:space="preserve">BMC Vet. Res., </w:t>
      </w:r>
      <w:r w:rsidRPr="00F53EE8">
        <w:rPr>
          <w:b/>
          <w:strike/>
        </w:rPr>
        <w:t>3</w:t>
      </w:r>
      <w:r w:rsidRPr="00F53EE8">
        <w:rPr>
          <w:strike/>
        </w:rPr>
        <w:t>, 21–40.</w:t>
      </w:r>
    </w:p>
    <w:p w14:paraId="77A1EB8F" w14:textId="77777777" w:rsidR="00DF198D" w:rsidRPr="00F53EE8" w:rsidRDefault="00DF198D" w:rsidP="00DF198D">
      <w:pPr>
        <w:spacing w:after="240" w:line="240" w:lineRule="auto"/>
        <w:rPr>
          <w:rFonts w:ascii="Arial" w:hAnsi="Arial" w:cs="Arial"/>
          <w:strike/>
          <w:color w:val="222222"/>
          <w:sz w:val="18"/>
          <w:szCs w:val="18"/>
          <w:lang w:eastAsia="en-GB"/>
        </w:rPr>
      </w:pPr>
      <w:r w:rsidRPr="00F53EE8">
        <w:rPr>
          <w:rFonts w:ascii="Arial" w:hAnsi="Arial" w:cs="Arial"/>
          <w:smallCaps/>
          <w:strike/>
          <w:color w:val="222222"/>
          <w:sz w:val="18"/>
          <w:szCs w:val="18"/>
          <w:lang w:eastAsia="en-GB"/>
        </w:rPr>
        <w:t xml:space="preserve">European Food Safety Authority </w:t>
      </w:r>
      <w:r w:rsidRPr="00F53EE8">
        <w:rPr>
          <w:rStyle w:val="attribute-item-value"/>
          <w:rFonts w:ascii="Arial" w:hAnsi="Arial" w:cs="Arial"/>
          <w:strike/>
          <w:sz w:val="18"/>
          <w:szCs w:val="18"/>
        </w:rPr>
        <w:t xml:space="preserve">(EFSA) </w:t>
      </w:r>
      <w:r w:rsidRPr="00F53EE8">
        <w:rPr>
          <w:rFonts w:ascii="Arial" w:hAnsi="Arial" w:cs="Arial"/>
          <w:strike/>
          <w:color w:val="222222"/>
          <w:sz w:val="18"/>
          <w:szCs w:val="18"/>
          <w:lang w:eastAsia="en-GB"/>
        </w:rPr>
        <w:t xml:space="preserve">(2013). </w:t>
      </w:r>
      <w:r w:rsidRPr="00F53EE8">
        <w:rPr>
          <w:rFonts w:ascii="Arial" w:hAnsi="Arial" w:cs="Arial"/>
          <w:iCs/>
          <w:strike/>
          <w:color w:val="222222"/>
          <w:sz w:val="18"/>
          <w:szCs w:val="18"/>
          <w:lang w:eastAsia="en-GB"/>
        </w:rPr>
        <w:t>EFSA BIOHAZ Panel (EFSA Panel on Biological Hazards). Scientific Opinion on the evaluation of molecular typing methods for major food-borne microbiological hazards and their use for attribution modelling, outbreak investigation and scanning surveillance: Part 1 (evaluation of methods and applications)</w:t>
      </w:r>
      <w:r w:rsidRPr="00F53EE8">
        <w:rPr>
          <w:rFonts w:ascii="Arial" w:hAnsi="Arial" w:cs="Arial"/>
          <w:strike/>
          <w:color w:val="222222"/>
          <w:sz w:val="18"/>
          <w:szCs w:val="18"/>
          <w:lang w:eastAsia="en-GB"/>
        </w:rPr>
        <w:t>.</w:t>
      </w:r>
      <w:r w:rsidRPr="00F53EE8">
        <w:rPr>
          <w:rStyle w:val="LineNumber"/>
          <w:rFonts w:cs="Arial"/>
          <w:strike/>
          <w:sz w:val="18"/>
          <w:szCs w:val="18"/>
        </w:rPr>
        <w:t xml:space="preserve"> </w:t>
      </w:r>
      <w:r w:rsidRPr="00F53EE8">
        <w:rPr>
          <w:rStyle w:val="source-item"/>
          <w:rFonts w:ascii="Arial" w:hAnsi="Arial" w:cs="Arial"/>
          <w:i/>
          <w:strike/>
          <w:sz w:val="18"/>
          <w:szCs w:val="18"/>
        </w:rPr>
        <w:t>EFSA Journal</w:t>
      </w:r>
      <w:r w:rsidRPr="00F53EE8">
        <w:rPr>
          <w:rStyle w:val="source-item"/>
          <w:rFonts w:ascii="Arial" w:hAnsi="Arial" w:cs="Arial"/>
          <w:strike/>
          <w:sz w:val="18"/>
          <w:szCs w:val="18"/>
        </w:rPr>
        <w:t xml:space="preserve">, </w:t>
      </w:r>
      <w:r w:rsidRPr="00F53EE8">
        <w:rPr>
          <w:rStyle w:val="source-item"/>
          <w:rFonts w:ascii="Arial" w:hAnsi="Arial" w:cs="Arial"/>
          <w:b/>
          <w:strike/>
          <w:sz w:val="18"/>
          <w:szCs w:val="18"/>
        </w:rPr>
        <w:t>11</w:t>
      </w:r>
      <w:r w:rsidRPr="00F53EE8">
        <w:rPr>
          <w:rStyle w:val="source-item"/>
          <w:rFonts w:ascii="Arial" w:hAnsi="Arial" w:cs="Arial"/>
          <w:strike/>
          <w:sz w:val="18"/>
          <w:szCs w:val="18"/>
        </w:rPr>
        <w:t xml:space="preserve">, 3502 [84 pp.]. </w:t>
      </w:r>
      <w:r w:rsidRPr="00F53EE8">
        <w:rPr>
          <w:rStyle w:val="doi-item"/>
          <w:rFonts w:ascii="Arial" w:hAnsi="Arial" w:cs="Arial"/>
          <w:strike/>
          <w:sz w:val="18"/>
          <w:szCs w:val="18"/>
        </w:rPr>
        <w:t>doi:10.2903/j.efsa.2013.350</w:t>
      </w:r>
      <w:r w:rsidRPr="00F53EE8">
        <w:rPr>
          <w:rFonts w:ascii="Arial" w:hAnsi="Arial" w:cs="Arial"/>
          <w:strike/>
          <w:color w:val="222222"/>
          <w:sz w:val="18"/>
          <w:szCs w:val="18"/>
          <w:lang w:eastAsia="en-GB"/>
        </w:rPr>
        <w:t>.</w:t>
      </w:r>
    </w:p>
    <w:p w14:paraId="0E658ECF" w14:textId="709E8712" w:rsidR="00E83537" w:rsidRPr="00920E5F" w:rsidRDefault="00E83537" w:rsidP="009C1C4F">
      <w:pPr>
        <w:pStyle w:val="Ref"/>
        <w:ind w:left="0" w:firstLine="0"/>
        <w:rPr>
          <w:strike/>
        </w:rPr>
      </w:pPr>
      <w:r w:rsidRPr="00920E5F">
        <w:rPr>
          <w:smallCaps/>
          <w:strike/>
        </w:rPr>
        <w:t xml:space="preserve">Ewing </w:t>
      </w:r>
      <w:r w:rsidRPr="00920E5F">
        <w:rPr>
          <w:strike/>
        </w:rPr>
        <w:t>W.H. (1986). Edwards and Ewing’s Identification of Enterobacteriaceae, Fourth Edition. Elsevier, New York, USA, London, UK, and Amsterdam, the Netherlands.</w:t>
      </w:r>
    </w:p>
    <w:p w14:paraId="21BA4D1C" w14:textId="77777777" w:rsidR="004F0409" w:rsidRPr="00183222" w:rsidRDefault="004F0409" w:rsidP="009C1C4F">
      <w:pPr>
        <w:pStyle w:val="paraA0"/>
        <w:rPr>
          <w:strike/>
          <w:lang w:val="en-IE"/>
        </w:rPr>
      </w:pPr>
      <w:r w:rsidRPr="00183222">
        <w:rPr>
          <w:smallCaps/>
          <w:strike/>
          <w:lang w:val="es-ES"/>
        </w:rPr>
        <w:t>Figueiredo R., Henriques A., Sereno R., Mendoça N. &amp; Da Silva G.J. (</w:t>
      </w:r>
      <w:r w:rsidRPr="00183222">
        <w:rPr>
          <w:strike/>
          <w:lang w:val="es-ES"/>
        </w:rPr>
        <w:t xml:space="preserve">2015). </w:t>
      </w:r>
      <w:r w:rsidRPr="00183222">
        <w:rPr>
          <w:strike/>
        </w:rPr>
        <w:t xml:space="preserve">Antimicrobial resistance and extended-spectrum β-lactamases of </w:t>
      </w:r>
      <w:r w:rsidRPr="00183222">
        <w:rPr>
          <w:i/>
          <w:strike/>
        </w:rPr>
        <w:t xml:space="preserve">Salmonella enterica </w:t>
      </w:r>
      <w:r w:rsidRPr="00183222">
        <w:rPr>
          <w:strike/>
        </w:rPr>
        <w:t>serotypes isolated from livestock and processed food in Portugal: an update.</w:t>
      </w:r>
      <w:r w:rsidRPr="00183222">
        <w:rPr>
          <w:i/>
          <w:strike/>
        </w:rPr>
        <w:t xml:space="preserve"> </w:t>
      </w:r>
      <w:r w:rsidRPr="00183222">
        <w:rPr>
          <w:i/>
          <w:strike/>
          <w:lang w:val="en-IE"/>
        </w:rPr>
        <w:t xml:space="preserve">Foodborne Pathog. Dis., </w:t>
      </w:r>
      <w:r w:rsidRPr="00183222">
        <w:rPr>
          <w:b/>
          <w:strike/>
          <w:lang w:val="en-IE"/>
        </w:rPr>
        <w:t>12</w:t>
      </w:r>
      <w:r w:rsidRPr="00183222">
        <w:rPr>
          <w:strike/>
          <w:lang w:val="en-IE"/>
        </w:rPr>
        <w:t>, 110–117.</w:t>
      </w:r>
    </w:p>
    <w:p w14:paraId="032CEE9D" w14:textId="77777777" w:rsidR="008D66F9" w:rsidRPr="00183222" w:rsidRDefault="008D66F9" w:rsidP="009C1C4F">
      <w:pPr>
        <w:pStyle w:val="Ref"/>
        <w:ind w:left="0" w:firstLine="0"/>
        <w:rPr>
          <w:strike/>
          <w:lang w:val="en-US"/>
        </w:rPr>
      </w:pPr>
      <w:r w:rsidRPr="00183222">
        <w:rPr>
          <w:smallCaps/>
          <w:strike/>
          <w:lang w:val="en-US"/>
        </w:rPr>
        <w:t>Fravalo P., Hascoet Y., Lefellic M., Queguiner S., Petton J. &amp; Salvat G.</w:t>
      </w:r>
      <w:r w:rsidRPr="00183222">
        <w:rPr>
          <w:strike/>
          <w:lang w:val="en-US"/>
        </w:rPr>
        <w:t xml:space="preserve"> (2003). Convenient method for rapid and quantitative assessment of </w:t>
      </w:r>
      <w:r w:rsidRPr="00183222">
        <w:rPr>
          <w:i/>
          <w:strike/>
          <w:lang w:val="en-US"/>
        </w:rPr>
        <w:t>Salmonella</w:t>
      </w:r>
      <w:r w:rsidRPr="00183222">
        <w:rPr>
          <w:strike/>
          <w:lang w:val="en-US"/>
        </w:rPr>
        <w:t xml:space="preserve"> </w:t>
      </w:r>
      <w:r w:rsidRPr="00183222">
        <w:rPr>
          <w:i/>
          <w:strike/>
          <w:lang w:val="en-US"/>
        </w:rPr>
        <w:t>enterica</w:t>
      </w:r>
      <w:r w:rsidR="002A71AD" w:rsidRPr="00183222">
        <w:rPr>
          <w:strike/>
          <w:lang w:val="en-US"/>
        </w:rPr>
        <w:t xml:space="preserve"> contamination: </w:t>
      </w:r>
      <w:r w:rsidRPr="00183222">
        <w:rPr>
          <w:strike/>
          <w:lang w:val="en-US"/>
        </w:rPr>
        <w:t xml:space="preserve">The mini-MSRV MPN technique. </w:t>
      </w:r>
      <w:r w:rsidRPr="00183222">
        <w:rPr>
          <w:i/>
          <w:iCs/>
          <w:strike/>
          <w:lang w:val="en-US"/>
        </w:rPr>
        <w:t>J. Rapid Method Automat. Microbiol.,</w:t>
      </w:r>
      <w:r w:rsidRPr="00183222">
        <w:rPr>
          <w:strike/>
          <w:lang w:val="en-US"/>
        </w:rPr>
        <w:t xml:space="preserve"> </w:t>
      </w:r>
      <w:r w:rsidRPr="00183222">
        <w:rPr>
          <w:b/>
          <w:bCs/>
          <w:strike/>
          <w:lang w:val="en-US"/>
        </w:rPr>
        <w:t>11</w:t>
      </w:r>
      <w:r w:rsidRPr="00183222">
        <w:rPr>
          <w:strike/>
          <w:lang w:val="en-US"/>
        </w:rPr>
        <w:t xml:space="preserve">, 81–88. </w:t>
      </w:r>
    </w:p>
    <w:p w14:paraId="6DCA9C6D" w14:textId="77777777" w:rsidR="008D66F9" w:rsidRPr="00183222" w:rsidRDefault="008D66F9" w:rsidP="009C1C4F">
      <w:pPr>
        <w:pStyle w:val="Ref"/>
        <w:ind w:left="0" w:firstLine="0"/>
        <w:rPr>
          <w:strike/>
          <w:lang w:val="en-IE"/>
        </w:rPr>
      </w:pPr>
      <w:r w:rsidRPr="00183222">
        <w:rPr>
          <w:smallCaps/>
          <w:strike/>
        </w:rPr>
        <w:t>Fricker C.R.</w:t>
      </w:r>
      <w:r w:rsidRPr="00183222">
        <w:rPr>
          <w:strike/>
        </w:rPr>
        <w:t xml:space="preserve"> (1987). The isolation of salmonellas and campylobacters. </w:t>
      </w:r>
      <w:r w:rsidRPr="00183222">
        <w:rPr>
          <w:i/>
          <w:strike/>
          <w:lang w:val="en-IE"/>
        </w:rPr>
        <w:t xml:space="preserve">J. Appl. Bacteriol., </w:t>
      </w:r>
      <w:r w:rsidRPr="00183222">
        <w:rPr>
          <w:b/>
          <w:strike/>
          <w:lang w:val="en-IE"/>
        </w:rPr>
        <w:t>63</w:t>
      </w:r>
      <w:r w:rsidRPr="00183222">
        <w:rPr>
          <w:strike/>
          <w:lang w:val="en-IE"/>
        </w:rPr>
        <w:t>, 99–116.</w:t>
      </w:r>
    </w:p>
    <w:p w14:paraId="69245F9B" w14:textId="023F6E7F" w:rsidR="00E83537" w:rsidRPr="00AD6DBC" w:rsidRDefault="004479A8" w:rsidP="009C1C4F">
      <w:pPr>
        <w:pStyle w:val="Ref"/>
        <w:ind w:left="0" w:firstLine="0"/>
        <w:rPr>
          <w:u w:val="double"/>
        </w:rPr>
      </w:pPr>
      <w:r w:rsidRPr="00AD6DBC">
        <w:rPr>
          <w:smallCaps/>
          <w:color w:val="222222"/>
          <w:u w:val="double"/>
        </w:rPr>
        <w:t>Feld N.C., Ekeroth L., Gradel K.O., Kabell S. &amp; Madsen M.</w:t>
      </w:r>
      <w:r w:rsidRPr="00AD6DBC">
        <w:rPr>
          <w:color w:val="222222"/>
          <w:u w:val="double"/>
        </w:rPr>
        <w:t xml:space="preserve"> </w:t>
      </w:r>
      <w:r w:rsidR="00E83537" w:rsidRPr="00AD6DBC">
        <w:rPr>
          <w:color w:val="222222"/>
          <w:u w:val="double"/>
        </w:rPr>
        <w:t xml:space="preserve">(2000). Evaluation of a serological </w:t>
      </w:r>
      <w:r w:rsidR="00E83537" w:rsidRPr="00AD6DBC">
        <w:rPr>
          <w:i/>
          <w:color w:val="222222"/>
          <w:u w:val="double"/>
        </w:rPr>
        <w:t>Salmonella</w:t>
      </w:r>
      <w:r w:rsidR="00E83537" w:rsidRPr="00AD6DBC">
        <w:rPr>
          <w:color w:val="222222"/>
          <w:u w:val="double"/>
        </w:rPr>
        <w:t xml:space="preserve"> Mix-ELISA for poultry used in a national surveillance programme. </w:t>
      </w:r>
      <w:r w:rsidR="00E83537" w:rsidRPr="00AD6DBC">
        <w:rPr>
          <w:i/>
          <w:iCs/>
          <w:color w:val="222222"/>
          <w:u w:val="double"/>
        </w:rPr>
        <w:t>Epidemiology &amp; Infection</w:t>
      </w:r>
      <w:r w:rsidR="00E83537" w:rsidRPr="00AD6DBC">
        <w:rPr>
          <w:color w:val="222222"/>
          <w:u w:val="double"/>
        </w:rPr>
        <w:t xml:space="preserve">, </w:t>
      </w:r>
      <w:r w:rsidR="00E83537" w:rsidRPr="00AD6DBC">
        <w:rPr>
          <w:b/>
          <w:bCs/>
          <w:color w:val="222222"/>
          <w:u w:val="double"/>
        </w:rPr>
        <w:t>125</w:t>
      </w:r>
      <w:r w:rsidR="00E83537" w:rsidRPr="00AD6DBC">
        <w:rPr>
          <w:color w:val="222222"/>
          <w:u w:val="double"/>
        </w:rPr>
        <w:t>,</w:t>
      </w:r>
      <w:r w:rsidR="00DF198D" w:rsidRPr="00AD6DBC">
        <w:rPr>
          <w:color w:val="222222"/>
          <w:u w:val="double"/>
        </w:rPr>
        <w:t xml:space="preserve"> </w:t>
      </w:r>
      <w:r w:rsidR="00E83537" w:rsidRPr="00AD6DBC">
        <w:rPr>
          <w:color w:val="222222"/>
          <w:u w:val="double"/>
        </w:rPr>
        <w:t>263</w:t>
      </w:r>
      <w:r w:rsidR="00DF198D" w:rsidRPr="00AD6DBC">
        <w:rPr>
          <w:color w:val="222222"/>
          <w:u w:val="double"/>
        </w:rPr>
        <w:t>–</w:t>
      </w:r>
      <w:r w:rsidR="00E83537" w:rsidRPr="00AD6DBC">
        <w:rPr>
          <w:color w:val="222222"/>
          <w:u w:val="double"/>
        </w:rPr>
        <w:t>268.</w:t>
      </w:r>
    </w:p>
    <w:p w14:paraId="3374B74B" w14:textId="700C9063" w:rsidR="00E83537" w:rsidRPr="009A515F" w:rsidRDefault="004479A8" w:rsidP="009C1C4F">
      <w:pPr>
        <w:pStyle w:val="paraA0"/>
        <w:rPr>
          <w:u w:val="double"/>
          <w:lang w:val="en-IE"/>
        </w:rPr>
      </w:pPr>
      <w:r w:rsidRPr="009A515F">
        <w:rPr>
          <w:smallCaps/>
          <w:color w:val="222222"/>
          <w:u w:val="double"/>
          <w:shd w:val="clear" w:color="auto" w:fill="FFFFFF"/>
        </w:rPr>
        <w:t>Ford L., Haywood P., Kirk M.D., Lancsar E., Williamson D.A. &amp; Glass K. (</w:t>
      </w:r>
      <w:r w:rsidR="00E83537" w:rsidRPr="009A515F">
        <w:rPr>
          <w:color w:val="222222"/>
          <w:u w:val="double"/>
          <w:shd w:val="clear" w:color="auto" w:fill="FFFFFF"/>
        </w:rPr>
        <w:t xml:space="preserve">2019). Cost of </w:t>
      </w:r>
      <w:r w:rsidR="00E83537" w:rsidRPr="009A515F">
        <w:rPr>
          <w:i/>
          <w:color w:val="222222"/>
          <w:u w:val="double"/>
          <w:shd w:val="clear" w:color="auto" w:fill="FFFFFF"/>
        </w:rPr>
        <w:t>Salmonella</w:t>
      </w:r>
      <w:r w:rsidR="00E83537" w:rsidRPr="009A515F">
        <w:rPr>
          <w:color w:val="222222"/>
          <w:u w:val="double"/>
          <w:shd w:val="clear" w:color="auto" w:fill="FFFFFF"/>
        </w:rPr>
        <w:t xml:space="preserve"> Infections in Australia, 2015.</w:t>
      </w:r>
      <w:r w:rsidR="00DF198D" w:rsidRPr="009A515F">
        <w:rPr>
          <w:color w:val="222222"/>
          <w:u w:val="double"/>
          <w:shd w:val="clear" w:color="auto" w:fill="FFFFFF"/>
        </w:rPr>
        <w:t xml:space="preserve"> </w:t>
      </w:r>
      <w:r w:rsidR="00E83537" w:rsidRPr="009A515F">
        <w:rPr>
          <w:i/>
          <w:iCs/>
          <w:color w:val="222222"/>
          <w:u w:val="double"/>
          <w:shd w:val="clear" w:color="auto" w:fill="FFFFFF"/>
        </w:rPr>
        <w:t>J</w:t>
      </w:r>
      <w:r w:rsidR="00DF198D" w:rsidRPr="009A515F">
        <w:rPr>
          <w:i/>
          <w:iCs/>
          <w:color w:val="222222"/>
          <w:u w:val="double"/>
          <w:shd w:val="clear" w:color="auto" w:fill="FFFFFF"/>
        </w:rPr>
        <w:t>. Food Protection</w:t>
      </w:r>
      <w:r w:rsidR="00E83537" w:rsidRPr="009A515F">
        <w:rPr>
          <w:color w:val="222222"/>
          <w:u w:val="double"/>
          <w:shd w:val="clear" w:color="auto" w:fill="FFFFFF"/>
        </w:rPr>
        <w:t>,</w:t>
      </w:r>
      <w:r w:rsidR="00DF198D" w:rsidRPr="009A515F">
        <w:rPr>
          <w:color w:val="222222"/>
          <w:u w:val="double"/>
          <w:shd w:val="clear" w:color="auto" w:fill="FFFFFF"/>
        </w:rPr>
        <w:t xml:space="preserve"> </w:t>
      </w:r>
      <w:r w:rsidR="00E83537" w:rsidRPr="009A515F">
        <w:rPr>
          <w:b/>
          <w:bCs/>
          <w:color w:val="222222"/>
          <w:u w:val="double"/>
          <w:shd w:val="clear" w:color="auto" w:fill="FFFFFF"/>
        </w:rPr>
        <w:t>82</w:t>
      </w:r>
      <w:r w:rsidR="00E83537" w:rsidRPr="009A515F">
        <w:rPr>
          <w:color w:val="222222"/>
          <w:u w:val="double"/>
          <w:shd w:val="clear" w:color="auto" w:fill="FFFFFF"/>
        </w:rPr>
        <w:t>,</w:t>
      </w:r>
      <w:r w:rsidR="00E83537" w:rsidRPr="009A515F" w:rsidDel="00053CBE">
        <w:rPr>
          <w:color w:val="222222"/>
          <w:u w:val="double"/>
          <w:shd w:val="clear" w:color="auto" w:fill="FFFFFF"/>
        </w:rPr>
        <w:t xml:space="preserve"> </w:t>
      </w:r>
      <w:r w:rsidR="00E83537" w:rsidRPr="009A515F">
        <w:rPr>
          <w:color w:val="222222"/>
          <w:u w:val="double"/>
          <w:shd w:val="clear" w:color="auto" w:fill="FFFFFF"/>
        </w:rPr>
        <w:t>1607</w:t>
      </w:r>
      <w:r w:rsidR="00DF198D" w:rsidRPr="009A515F">
        <w:rPr>
          <w:color w:val="222222"/>
          <w:u w:val="double"/>
          <w:shd w:val="clear" w:color="auto" w:fill="FFFFFF"/>
        </w:rPr>
        <w:t>–</w:t>
      </w:r>
      <w:r w:rsidR="00E83537" w:rsidRPr="009A515F">
        <w:rPr>
          <w:color w:val="222222"/>
          <w:u w:val="double"/>
          <w:shd w:val="clear" w:color="auto" w:fill="FFFFFF"/>
        </w:rPr>
        <w:t>1614.</w:t>
      </w:r>
    </w:p>
    <w:p w14:paraId="1FA886FF" w14:textId="77777777" w:rsidR="00E83537" w:rsidRPr="00381A8F" w:rsidRDefault="00E83537" w:rsidP="009C1C4F">
      <w:pPr>
        <w:pStyle w:val="Ref"/>
        <w:ind w:left="0" w:firstLine="0"/>
      </w:pPr>
      <w:r w:rsidRPr="00381A8F">
        <w:rPr>
          <w:smallCaps/>
        </w:rPr>
        <w:lastRenderedPageBreak/>
        <w:t>Gerhardt P</w:t>
      </w:r>
      <w:r w:rsidRPr="00381A8F">
        <w:t>. (1981). Manual of Methods for General Microbiology. American Society for Microbiology, Washington DC, USA, 332–334.</w:t>
      </w:r>
    </w:p>
    <w:p w14:paraId="10E005ED" w14:textId="77777777" w:rsidR="008D66F9" w:rsidRPr="00183222" w:rsidRDefault="008D66F9" w:rsidP="009C1C4F">
      <w:pPr>
        <w:pStyle w:val="Ref"/>
        <w:ind w:left="0" w:firstLine="0"/>
        <w:rPr>
          <w:strike/>
          <w:lang w:val="en-US"/>
        </w:rPr>
      </w:pPr>
      <w:r w:rsidRPr="00183222">
        <w:rPr>
          <w:smallCaps/>
          <w:strike/>
          <w:lang w:val="en-US"/>
        </w:rPr>
        <w:t>Greene S.K., Stuart A.M., Medalla F.M., Whichard J.M., Hoekstra R.M. &amp; Chiller T.M.</w:t>
      </w:r>
      <w:r w:rsidRPr="00183222">
        <w:rPr>
          <w:strike/>
          <w:lang w:val="en-US"/>
        </w:rPr>
        <w:t xml:space="preserve"> (2008). Distribution of multidrug-resistant human isolates of M</w:t>
      </w:r>
      <w:r w:rsidR="00E169B8" w:rsidRPr="00183222">
        <w:rPr>
          <w:strike/>
          <w:lang w:val="en-US"/>
        </w:rPr>
        <w:t>DR</w:t>
      </w:r>
      <w:r w:rsidRPr="00183222">
        <w:rPr>
          <w:strike/>
          <w:lang w:val="en-US"/>
        </w:rPr>
        <w:t>-A</w:t>
      </w:r>
      <w:r w:rsidR="00E169B8" w:rsidRPr="00183222">
        <w:rPr>
          <w:strike/>
          <w:lang w:val="en-US"/>
        </w:rPr>
        <w:t>CSSuT</w:t>
      </w:r>
      <w:r w:rsidRPr="00183222">
        <w:rPr>
          <w:strike/>
          <w:lang w:val="en-US"/>
        </w:rPr>
        <w:t xml:space="preserve"> </w:t>
      </w:r>
      <w:r w:rsidRPr="00183222">
        <w:rPr>
          <w:i/>
          <w:strike/>
          <w:lang w:val="en-US"/>
        </w:rPr>
        <w:t xml:space="preserve">Salmonella </w:t>
      </w:r>
      <w:r w:rsidRPr="00183222">
        <w:rPr>
          <w:strike/>
          <w:lang w:val="en-US"/>
        </w:rPr>
        <w:t>Typhimurium and M</w:t>
      </w:r>
      <w:r w:rsidR="00E169B8" w:rsidRPr="00183222">
        <w:rPr>
          <w:strike/>
          <w:lang w:val="en-US"/>
        </w:rPr>
        <w:t>DR</w:t>
      </w:r>
      <w:r w:rsidRPr="00183222">
        <w:rPr>
          <w:strike/>
          <w:lang w:val="en-US"/>
        </w:rPr>
        <w:t>-Amp</w:t>
      </w:r>
      <w:r w:rsidR="00E169B8" w:rsidRPr="00183222">
        <w:rPr>
          <w:strike/>
          <w:lang w:val="en-US"/>
        </w:rPr>
        <w:t>C</w:t>
      </w:r>
      <w:r w:rsidRPr="00183222">
        <w:rPr>
          <w:strike/>
          <w:lang w:val="en-US"/>
        </w:rPr>
        <w:t xml:space="preserve"> </w:t>
      </w:r>
      <w:r w:rsidRPr="00183222">
        <w:rPr>
          <w:i/>
          <w:strike/>
          <w:lang w:val="en-US"/>
        </w:rPr>
        <w:t>Salmonella</w:t>
      </w:r>
      <w:r w:rsidRPr="00183222">
        <w:rPr>
          <w:strike/>
          <w:lang w:val="en-US"/>
        </w:rPr>
        <w:t xml:space="preserve"> Newport in the United States, 2003–2005. </w:t>
      </w:r>
      <w:r w:rsidRPr="00183222">
        <w:rPr>
          <w:i/>
          <w:iCs/>
          <w:strike/>
          <w:lang w:val="en-US"/>
        </w:rPr>
        <w:t>Foodborne Pathog. Dis.</w:t>
      </w:r>
      <w:r w:rsidRPr="00183222">
        <w:rPr>
          <w:strike/>
          <w:lang w:val="en-US"/>
        </w:rPr>
        <w:t xml:space="preserve">, </w:t>
      </w:r>
      <w:r w:rsidRPr="00183222">
        <w:rPr>
          <w:b/>
          <w:bCs/>
          <w:strike/>
          <w:lang w:val="en-US"/>
        </w:rPr>
        <w:t>5</w:t>
      </w:r>
      <w:r w:rsidRPr="00183222">
        <w:rPr>
          <w:strike/>
          <w:lang w:val="en-US"/>
        </w:rPr>
        <w:t>, 669–680.</w:t>
      </w:r>
    </w:p>
    <w:p w14:paraId="1F4FBACE" w14:textId="77777777" w:rsidR="00E83537" w:rsidRPr="003E3725" w:rsidRDefault="00E83537" w:rsidP="009C1C4F">
      <w:pPr>
        <w:pStyle w:val="Ref"/>
        <w:ind w:left="0" w:firstLine="0"/>
        <w:rPr>
          <w:u w:val="double"/>
          <w:lang w:val="en-US"/>
        </w:rPr>
      </w:pPr>
      <w:r w:rsidRPr="003E3725">
        <w:rPr>
          <w:smallCaps/>
          <w:highlight w:val="yellow"/>
          <w:u w:val="double"/>
          <w:lang w:val="en-US"/>
        </w:rPr>
        <w:t>Grimont P.A.D. &amp; Weill F.-X. (2007</w:t>
      </w:r>
      <w:r w:rsidRPr="003E3725">
        <w:rPr>
          <w:highlight w:val="yellow"/>
          <w:u w:val="double"/>
          <w:lang w:val="en-US"/>
        </w:rPr>
        <w:t xml:space="preserve">). </w:t>
      </w:r>
      <w:r w:rsidRPr="003E3725">
        <w:rPr>
          <w:iCs/>
          <w:highlight w:val="yellow"/>
          <w:u w:val="double"/>
          <w:lang w:val="en-US"/>
        </w:rPr>
        <w:t xml:space="preserve">Antigenic Formulae of the </w:t>
      </w:r>
      <w:r w:rsidRPr="003E3725">
        <w:rPr>
          <w:i/>
          <w:iCs/>
          <w:highlight w:val="yellow"/>
          <w:u w:val="double"/>
          <w:lang w:val="en-US"/>
        </w:rPr>
        <w:t>Salmonella</w:t>
      </w:r>
      <w:r w:rsidRPr="003E3725">
        <w:rPr>
          <w:iCs/>
          <w:highlight w:val="yellow"/>
          <w:u w:val="double"/>
          <w:lang w:val="en-US"/>
        </w:rPr>
        <w:t xml:space="preserve"> Serovars</w:t>
      </w:r>
      <w:r w:rsidRPr="003E3725">
        <w:rPr>
          <w:highlight w:val="yellow"/>
          <w:u w:val="double"/>
          <w:lang w:val="en-US"/>
        </w:rPr>
        <w:t>, Ninth Edition</w:t>
      </w:r>
      <w:r w:rsidRPr="003E3725">
        <w:rPr>
          <w:iCs/>
          <w:highlight w:val="yellow"/>
          <w:u w:val="double"/>
          <w:lang w:val="en-US"/>
        </w:rPr>
        <w:t>,</w:t>
      </w:r>
      <w:r w:rsidRPr="003E3725">
        <w:rPr>
          <w:highlight w:val="yellow"/>
          <w:u w:val="double"/>
          <w:lang w:val="en-US"/>
        </w:rPr>
        <w:t xml:space="preserve"> World Health Organization Collaborating Centre for Reference and Research on </w:t>
      </w:r>
      <w:r w:rsidRPr="003E3725">
        <w:rPr>
          <w:i/>
          <w:iCs/>
          <w:highlight w:val="yellow"/>
          <w:u w:val="double"/>
          <w:lang w:val="en-US"/>
        </w:rPr>
        <w:t>Salmonella</w:t>
      </w:r>
      <w:r w:rsidRPr="003E3725">
        <w:rPr>
          <w:highlight w:val="yellow"/>
          <w:u w:val="double"/>
          <w:lang w:val="en-US"/>
        </w:rPr>
        <w:t>. Institut Pasteur, Paris, France.</w:t>
      </w:r>
    </w:p>
    <w:p w14:paraId="50BE4654" w14:textId="36AA2435" w:rsidR="00E83537" w:rsidRPr="00920E5F" w:rsidRDefault="00E83537" w:rsidP="009C1C4F">
      <w:pPr>
        <w:pStyle w:val="Ref"/>
        <w:ind w:left="0" w:firstLine="0"/>
        <w:rPr>
          <w:strike/>
        </w:rPr>
      </w:pPr>
      <w:r w:rsidRPr="00920E5F">
        <w:rPr>
          <w:smallCaps/>
          <w:strike/>
        </w:rPr>
        <w:t>Harvey R.W.S. &amp; Price T.H</w:t>
      </w:r>
      <w:r w:rsidRPr="00920E5F">
        <w:rPr>
          <w:strike/>
        </w:rPr>
        <w:t>. (1974). Isolation of Salmonellas. Public Health Laboratory Service. Monograph Series 8. Her Majesty’s Stationery Office, London, UK.</w:t>
      </w:r>
    </w:p>
    <w:p w14:paraId="0FA9BE1A" w14:textId="77777777" w:rsidR="004479A8" w:rsidRPr="00183222" w:rsidRDefault="004479A8" w:rsidP="004479A8">
      <w:pPr>
        <w:pStyle w:val="Ref"/>
        <w:ind w:left="0" w:firstLine="0"/>
        <w:rPr>
          <w:strike/>
          <w:lang w:val="nl-NL"/>
        </w:rPr>
      </w:pPr>
      <w:r w:rsidRPr="00183222">
        <w:rPr>
          <w:smallCaps/>
          <w:strike/>
          <w:lang w:val="en-IE"/>
        </w:rPr>
        <w:t>Hassan J.O. &amp; Curtiss R</w:t>
      </w:r>
      <w:r w:rsidRPr="00183222">
        <w:rPr>
          <w:strike/>
          <w:lang w:val="en-IE"/>
        </w:rPr>
        <w:t xml:space="preserve">. III (1997). </w:t>
      </w:r>
      <w:r w:rsidRPr="00183222">
        <w:rPr>
          <w:strike/>
          <w:lang w:val="en-US"/>
        </w:rPr>
        <w:t xml:space="preserve">Efficacy of a live avirulent </w:t>
      </w:r>
      <w:r w:rsidRPr="00183222">
        <w:rPr>
          <w:i/>
          <w:strike/>
          <w:lang w:val="en-US"/>
        </w:rPr>
        <w:t>Salmonella typhimurium</w:t>
      </w:r>
      <w:r w:rsidRPr="00183222">
        <w:rPr>
          <w:strike/>
          <w:lang w:val="en-US"/>
        </w:rPr>
        <w:t xml:space="preserve"> vaccine in preventing colonization and invasion of laying hens by </w:t>
      </w:r>
      <w:r w:rsidRPr="00183222">
        <w:rPr>
          <w:i/>
          <w:strike/>
          <w:lang w:val="en-US"/>
        </w:rPr>
        <w:t xml:space="preserve">Salmonella typhimurium </w:t>
      </w:r>
      <w:r w:rsidRPr="00183222">
        <w:rPr>
          <w:strike/>
          <w:lang w:val="en-US"/>
        </w:rPr>
        <w:t xml:space="preserve">and </w:t>
      </w:r>
      <w:r w:rsidRPr="00183222">
        <w:rPr>
          <w:i/>
          <w:strike/>
          <w:lang w:val="en-US"/>
        </w:rPr>
        <w:t>Salmonella enteritidis</w:t>
      </w:r>
      <w:r w:rsidRPr="00183222">
        <w:rPr>
          <w:strike/>
          <w:lang w:val="en-US"/>
        </w:rPr>
        <w:t xml:space="preserve">. </w:t>
      </w:r>
      <w:r w:rsidRPr="00183222">
        <w:rPr>
          <w:i/>
          <w:strike/>
          <w:lang w:val="nl-NL"/>
        </w:rPr>
        <w:t>Avian Dis.,</w:t>
      </w:r>
      <w:r w:rsidRPr="00183222">
        <w:rPr>
          <w:strike/>
          <w:lang w:val="nl-NL"/>
        </w:rPr>
        <w:t xml:space="preserve"> </w:t>
      </w:r>
      <w:r w:rsidRPr="00183222">
        <w:rPr>
          <w:b/>
          <w:strike/>
          <w:lang w:val="nl-NL"/>
        </w:rPr>
        <w:t>41</w:t>
      </w:r>
      <w:r w:rsidRPr="00183222">
        <w:rPr>
          <w:strike/>
          <w:lang w:val="nl-NL"/>
        </w:rPr>
        <w:t>, 783–791.</w:t>
      </w:r>
    </w:p>
    <w:p w14:paraId="23FA7B9D" w14:textId="7F6C0C17" w:rsidR="004479A8" w:rsidRPr="00B3713D" w:rsidRDefault="004B2565" w:rsidP="004479A8">
      <w:pPr>
        <w:pStyle w:val="CommentText"/>
        <w:spacing w:after="240" w:line="240" w:lineRule="auto"/>
        <w:rPr>
          <w:rFonts w:ascii="Arial" w:hAnsi="Arial" w:cs="Arial"/>
          <w:sz w:val="18"/>
          <w:szCs w:val="18"/>
          <w:u w:val="double"/>
        </w:rPr>
      </w:pPr>
      <w:r w:rsidRPr="00B3713D">
        <w:rPr>
          <w:rFonts w:ascii="Arial" w:hAnsi="Arial" w:cs="Arial"/>
          <w:smallCaps/>
          <w:color w:val="222222"/>
          <w:sz w:val="18"/>
          <w:szCs w:val="18"/>
          <w:u w:val="double"/>
          <w:shd w:val="clear" w:color="auto" w:fill="FFFFFF"/>
          <w:lang w:val="nl-NL"/>
        </w:rPr>
        <w:t>Heymans R., Vila A., Van Heerwaarden C.A., Jansen C.C., Castelijn G.A., Van Der Voort M. &amp; Biesta-Peters E.G.</w:t>
      </w:r>
      <w:r w:rsidRPr="00B3713D">
        <w:rPr>
          <w:rFonts w:ascii="Arial" w:hAnsi="Arial" w:cs="Arial"/>
          <w:color w:val="222222"/>
          <w:sz w:val="18"/>
          <w:szCs w:val="18"/>
          <w:u w:val="double"/>
          <w:shd w:val="clear" w:color="auto" w:fill="FFFFFF"/>
          <w:lang w:val="nl-NL"/>
        </w:rPr>
        <w:t xml:space="preserve"> </w:t>
      </w:r>
      <w:r w:rsidR="004479A8" w:rsidRPr="00B3713D">
        <w:rPr>
          <w:rFonts w:ascii="Arial" w:hAnsi="Arial" w:cs="Arial"/>
          <w:color w:val="222222"/>
          <w:sz w:val="18"/>
          <w:szCs w:val="18"/>
          <w:u w:val="double"/>
          <w:shd w:val="clear" w:color="auto" w:fill="FFFFFF"/>
          <w:lang w:val="nl-NL"/>
        </w:rPr>
        <w:t xml:space="preserve">(2018). </w:t>
      </w:r>
      <w:r w:rsidR="004479A8" w:rsidRPr="00B3713D">
        <w:rPr>
          <w:rFonts w:ascii="Arial" w:hAnsi="Arial" w:cs="Arial"/>
          <w:color w:val="222222"/>
          <w:sz w:val="18"/>
          <w:szCs w:val="18"/>
          <w:u w:val="double"/>
          <w:shd w:val="clear" w:color="auto" w:fill="FFFFFF"/>
        </w:rPr>
        <w:t xml:space="preserve">Rapid detection and differentiation of </w:t>
      </w:r>
      <w:r w:rsidR="004479A8" w:rsidRPr="00B3713D">
        <w:rPr>
          <w:rFonts w:ascii="Arial" w:hAnsi="Arial" w:cs="Arial"/>
          <w:i/>
          <w:color w:val="222222"/>
          <w:sz w:val="18"/>
          <w:szCs w:val="18"/>
          <w:u w:val="double"/>
          <w:shd w:val="clear" w:color="auto" w:fill="FFFFFF"/>
        </w:rPr>
        <w:t>Salmonella</w:t>
      </w:r>
      <w:r w:rsidR="004479A8" w:rsidRPr="00B3713D">
        <w:rPr>
          <w:rFonts w:ascii="Arial" w:hAnsi="Arial" w:cs="Arial"/>
          <w:color w:val="222222"/>
          <w:sz w:val="18"/>
          <w:szCs w:val="18"/>
          <w:u w:val="double"/>
          <w:shd w:val="clear" w:color="auto" w:fill="FFFFFF"/>
        </w:rPr>
        <w:t xml:space="preserve"> species, </w:t>
      </w:r>
      <w:r w:rsidR="004479A8" w:rsidRPr="00B3713D">
        <w:rPr>
          <w:rFonts w:ascii="Arial" w:hAnsi="Arial" w:cs="Arial"/>
          <w:i/>
          <w:color w:val="222222"/>
          <w:sz w:val="18"/>
          <w:szCs w:val="18"/>
          <w:u w:val="double"/>
          <w:shd w:val="clear" w:color="auto" w:fill="FFFFFF"/>
        </w:rPr>
        <w:t>Salmonella</w:t>
      </w:r>
      <w:r w:rsidR="004479A8" w:rsidRPr="00B3713D">
        <w:rPr>
          <w:rFonts w:ascii="Arial" w:hAnsi="Arial" w:cs="Arial"/>
          <w:color w:val="222222"/>
          <w:sz w:val="18"/>
          <w:szCs w:val="18"/>
          <w:u w:val="double"/>
          <w:shd w:val="clear" w:color="auto" w:fill="FFFFFF"/>
        </w:rPr>
        <w:t xml:space="preserve"> Typhimurium and </w:t>
      </w:r>
      <w:r w:rsidR="004479A8" w:rsidRPr="00B3713D">
        <w:rPr>
          <w:rFonts w:ascii="Arial" w:hAnsi="Arial" w:cs="Arial"/>
          <w:i/>
          <w:color w:val="222222"/>
          <w:sz w:val="18"/>
          <w:szCs w:val="18"/>
          <w:u w:val="double"/>
          <w:shd w:val="clear" w:color="auto" w:fill="FFFFFF"/>
        </w:rPr>
        <w:t>Salmonella</w:t>
      </w:r>
      <w:r w:rsidR="004479A8" w:rsidRPr="00B3713D">
        <w:rPr>
          <w:rFonts w:ascii="Arial" w:hAnsi="Arial" w:cs="Arial"/>
          <w:color w:val="222222"/>
          <w:sz w:val="18"/>
          <w:szCs w:val="18"/>
          <w:u w:val="double"/>
          <w:shd w:val="clear" w:color="auto" w:fill="FFFFFF"/>
        </w:rPr>
        <w:t xml:space="preserve"> Enteritidis by multiplex quantitative PCR.</w:t>
      </w:r>
      <w:r w:rsidRPr="00B3713D">
        <w:rPr>
          <w:rFonts w:ascii="Arial" w:hAnsi="Arial" w:cs="Arial"/>
          <w:color w:val="222222"/>
          <w:sz w:val="18"/>
          <w:szCs w:val="18"/>
          <w:u w:val="double"/>
          <w:shd w:val="clear" w:color="auto" w:fill="FFFFFF"/>
        </w:rPr>
        <w:t xml:space="preserve"> </w:t>
      </w:r>
      <w:r w:rsidR="004479A8" w:rsidRPr="00B3713D">
        <w:rPr>
          <w:rFonts w:ascii="Arial" w:hAnsi="Arial" w:cs="Arial"/>
          <w:i/>
          <w:iCs/>
          <w:color w:val="222222"/>
          <w:sz w:val="18"/>
          <w:szCs w:val="18"/>
          <w:u w:val="double"/>
          <w:shd w:val="clear" w:color="auto" w:fill="FFFFFF"/>
        </w:rPr>
        <w:t>PloS one</w:t>
      </w:r>
      <w:r w:rsidR="004479A8" w:rsidRPr="00B3713D">
        <w:rPr>
          <w:rFonts w:ascii="Arial" w:hAnsi="Arial" w:cs="Arial"/>
          <w:color w:val="222222"/>
          <w:sz w:val="18"/>
          <w:szCs w:val="18"/>
          <w:u w:val="double"/>
          <w:shd w:val="clear" w:color="auto" w:fill="FFFFFF"/>
        </w:rPr>
        <w:t>,</w:t>
      </w:r>
      <w:r w:rsidRPr="00B3713D">
        <w:rPr>
          <w:rFonts w:ascii="Arial" w:hAnsi="Arial" w:cs="Arial"/>
          <w:color w:val="222222"/>
          <w:sz w:val="18"/>
          <w:szCs w:val="18"/>
          <w:u w:val="double"/>
          <w:shd w:val="clear" w:color="auto" w:fill="FFFFFF"/>
        </w:rPr>
        <w:t xml:space="preserve"> </w:t>
      </w:r>
      <w:r w:rsidR="004479A8" w:rsidRPr="00B3713D">
        <w:rPr>
          <w:rFonts w:ascii="Arial" w:hAnsi="Arial" w:cs="Arial"/>
          <w:b/>
          <w:bCs/>
          <w:color w:val="222222"/>
          <w:sz w:val="18"/>
          <w:szCs w:val="18"/>
          <w:u w:val="double"/>
          <w:shd w:val="clear" w:color="auto" w:fill="FFFFFF"/>
        </w:rPr>
        <w:t>13</w:t>
      </w:r>
      <w:r w:rsidR="004479A8" w:rsidRPr="00B3713D">
        <w:rPr>
          <w:rFonts w:ascii="Arial" w:hAnsi="Arial" w:cs="Arial"/>
          <w:color w:val="222222"/>
          <w:sz w:val="18"/>
          <w:szCs w:val="18"/>
          <w:u w:val="double"/>
          <w:shd w:val="clear" w:color="auto" w:fill="FFFFFF"/>
        </w:rPr>
        <w:t>(10), p.e0206316.</w:t>
      </w:r>
    </w:p>
    <w:p w14:paraId="4DB3EC91" w14:textId="77777777" w:rsidR="004B2E18" w:rsidRPr="00183222" w:rsidRDefault="004B2E18" w:rsidP="009C1C4F">
      <w:pPr>
        <w:pStyle w:val="Ref"/>
        <w:ind w:left="0" w:firstLine="0"/>
        <w:rPr>
          <w:strike/>
          <w:lang w:val="en-US"/>
        </w:rPr>
      </w:pPr>
      <w:r w:rsidRPr="00183222">
        <w:rPr>
          <w:smallCaps/>
          <w:strike/>
        </w:rPr>
        <w:t xml:space="preserve">International Organization for Standardization </w:t>
      </w:r>
      <w:r w:rsidRPr="00183222">
        <w:rPr>
          <w:strike/>
          <w:lang w:val="en-US"/>
        </w:rPr>
        <w:t xml:space="preserve">(2002). </w:t>
      </w:r>
      <w:r w:rsidRPr="00183222">
        <w:rPr>
          <w:iCs/>
          <w:strike/>
          <w:lang w:val="en-US"/>
        </w:rPr>
        <w:t xml:space="preserve">ISO 6579:2002. Microbiology of food and animal feeding stuffs – Horizontal method for the detection of </w:t>
      </w:r>
      <w:r w:rsidRPr="00183222">
        <w:rPr>
          <w:i/>
          <w:iCs/>
          <w:strike/>
          <w:lang w:val="en-US"/>
        </w:rPr>
        <w:t>Salmonella</w:t>
      </w:r>
      <w:r w:rsidRPr="00183222">
        <w:rPr>
          <w:iCs/>
          <w:strike/>
          <w:lang w:val="en-US"/>
        </w:rPr>
        <w:t xml:space="preserve"> spp.</w:t>
      </w:r>
      <w:r w:rsidRPr="00183222">
        <w:rPr>
          <w:strike/>
          <w:lang w:val="en-US"/>
        </w:rPr>
        <w:t>, International Organization for Standardization, Geneva, Switzerland.</w:t>
      </w:r>
    </w:p>
    <w:p w14:paraId="547DEA0C" w14:textId="0A87498D" w:rsidR="00E83537" w:rsidRPr="00183222" w:rsidRDefault="004B2E18" w:rsidP="004479A8">
      <w:pPr>
        <w:pStyle w:val="Ref"/>
        <w:spacing w:after="280"/>
        <w:ind w:left="0" w:firstLine="0"/>
        <w:rPr>
          <w:lang w:val="en-US"/>
        </w:rPr>
      </w:pPr>
      <w:r w:rsidRPr="00183222">
        <w:rPr>
          <w:smallCaps/>
          <w:strike/>
        </w:rPr>
        <w:t xml:space="preserve">International Organization for Standardization </w:t>
      </w:r>
      <w:r w:rsidRPr="00183222">
        <w:rPr>
          <w:strike/>
          <w:lang w:val="en-US"/>
        </w:rPr>
        <w:t xml:space="preserve">(2007). </w:t>
      </w:r>
      <w:r w:rsidRPr="00183222">
        <w:rPr>
          <w:iCs/>
          <w:strike/>
          <w:lang w:val="en-US"/>
        </w:rPr>
        <w:t xml:space="preserve">ISO 6579:2002/Amd 1:2007 (Annex D). Detection of </w:t>
      </w:r>
      <w:r w:rsidRPr="00183222">
        <w:rPr>
          <w:i/>
          <w:iCs/>
          <w:strike/>
          <w:lang w:val="en-US"/>
        </w:rPr>
        <w:t>Salmonella</w:t>
      </w:r>
      <w:r w:rsidRPr="00183222">
        <w:rPr>
          <w:iCs/>
          <w:strike/>
          <w:lang w:val="en-US"/>
        </w:rPr>
        <w:t xml:space="preserve"> spp. in animal faeces and in samples of the primary production stage – Horizontal method for the detection of </w:t>
      </w:r>
      <w:r w:rsidRPr="00183222">
        <w:rPr>
          <w:i/>
          <w:iCs/>
          <w:strike/>
          <w:lang w:val="en-US"/>
        </w:rPr>
        <w:t>Salmonella</w:t>
      </w:r>
      <w:r w:rsidRPr="00183222">
        <w:rPr>
          <w:iCs/>
          <w:strike/>
          <w:lang w:val="en-US"/>
        </w:rPr>
        <w:t xml:space="preserve"> spp.</w:t>
      </w:r>
      <w:r w:rsidRPr="00183222">
        <w:rPr>
          <w:strike/>
          <w:lang w:val="en-US"/>
        </w:rPr>
        <w:t>, International Org</w:t>
      </w:r>
      <w:r w:rsidR="00945008" w:rsidRPr="00183222">
        <w:rPr>
          <w:strike/>
          <w:lang w:val="en-US"/>
        </w:rPr>
        <w:t xml:space="preserve">anization for Standardization, </w:t>
      </w:r>
      <w:r w:rsidRPr="00183222">
        <w:rPr>
          <w:strike/>
          <w:lang w:val="en-US"/>
        </w:rPr>
        <w:t>Geneva, Switzerland.</w:t>
      </w:r>
    </w:p>
    <w:p w14:paraId="7D88AD37" w14:textId="77777777" w:rsidR="00E83537" w:rsidRPr="00EF53A6" w:rsidRDefault="00E83537" w:rsidP="009C1C4F">
      <w:pPr>
        <w:pStyle w:val="Heading2"/>
        <w:spacing w:before="0" w:after="240" w:line="240" w:lineRule="auto"/>
        <w:rPr>
          <w:b w:val="0"/>
          <w:sz w:val="18"/>
          <w:szCs w:val="18"/>
        </w:rPr>
      </w:pPr>
      <w:r w:rsidRPr="00EF53A6">
        <w:rPr>
          <w:b w:val="0"/>
          <w:smallCaps/>
          <w:sz w:val="18"/>
          <w:szCs w:val="18"/>
        </w:rPr>
        <w:t xml:space="preserve">International Organization for Standardization </w:t>
      </w:r>
      <w:r w:rsidRPr="00EF53A6">
        <w:rPr>
          <w:b w:val="0"/>
          <w:sz w:val="18"/>
          <w:szCs w:val="18"/>
          <w:lang w:val="en-US"/>
        </w:rPr>
        <w:t xml:space="preserve">(2012). </w:t>
      </w:r>
      <w:r w:rsidRPr="00EF53A6">
        <w:rPr>
          <w:b w:val="0"/>
          <w:sz w:val="18"/>
          <w:szCs w:val="18"/>
        </w:rPr>
        <w:t xml:space="preserve">ISO/TS 6579-2:2012. Microbiology of food and animal feed – Horizontal method for the detection, enumeration and serotyping of </w:t>
      </w:r>
      <w:r w:rsidRPr="00EF53A6">
        <w:rPr>
          <w:b w:val="0"/>
          <w:i/>
          <w:sz w:val="18"/>
          <w:szCs w:val="18"/>
        </w:rPr>
        <w:t>Salmonella</w:t>
      </w:r>
      <w:r w:rsidRPr="00EF53A6">
        <w:rPr>
          <w:b w:val="0"/>
          <w:sz w:val="18"/>
          <w:szCs w:val="18"/>
        </w:rPr>
        <w:t xml:space="preserve"> – Part 2: Enumeration by a miniaturized most probable number technique, </w:t>
      </w:r>
      <w:r w:rsidRPr="00EF53A6">
        <w:rPr>
          <w:b w:val="0"/>
          <w:sz w:val="18"/>
          <w:szCs w:val="18"/>
          <w:lang w:val="en-US"/>
        </w:rPr>
        <w:t>International Organization for Standardization, Geneva, Switzerland.</w:t>
      </w:r>
    </w:p>
    <w:p w14:paraId="031D55A8" w14:textId="77777777" w:rsidR="00BB3ADB" w:rsidRPr="00237856" w:rsidRDefault="00BB3ADB" w:rsidP="009C1C4F">
      <w:pPr>
        <w:pStyle w:val="Heading2"/>
        <w:spacing w:before="0" w:after="240" w:line="240" w:lineRule="auto"/>
        <w:rPr>
          <w:smallCaps/>
          <w:color w:val="222222"/>
          <w:sz w:val="18"/>
          <w:szCs w:val="18"/>
          <w:u w:val="double"/>
          <w:lang w:val="en-US" w:eastAsia="en-GB"/>
        </w:rPr>
      </w:pPr>
      <w:r w:rsidRPr="00237856">
        <w:rPr>
          <w:b w:val="0"/>
          <w:smallCaps/>
          <w:sz w:val="18"/>
          <w:szCs w:val="18"/>
          <w:highlight w:val="yellow"/>
          <w:u w:val="double"/>
        </w:rPr>
        <w:t xml:space="preserve">International Organization for Standardization </w:t>
      </w:r>
      <w:r w:rsidRPr="00237856">
        <w:rPr>
          <w:b w:val="0"/>
          <w:sz w:val="18"/>
          <w:szCs w:val="18"/>
          <w:highlight w:val="yellow"/>
          <w:u w:val="double"/>
          <w:lang w:val="en-US"/>
        </w:rPr>
        <w:t>(2014)</w:t>
      </w:r>
      <w:r w:rsidR="003A23B1" w:rsidRPr="00237856">
        <w:rPr>
          <w:b w:val="0"/>
          <w:sz w:val="18"/>
          <w:szCs w:val="18"/>
          <w:highlight w:val="yellow"/>
          <w:u w:val="double"/>
          <w:lang w:val="en-US"/>
        </w:rPr>
        <w:t xml:space="preserve">. </w:t>
      </w:r>
      <w:r w:rsidR="004143B7" w:rsidRPr="00237856">
        <w:rPr>
          <w:b w:val="0"/>
          <w:sz w:val="18"/>
          <w:szCs w:val="18"/>
          <w:highlight w:val="yellow"/>
          <w:u w:val="double"/>
        </w:rPr>
        <w:t>ISO/TR 6579-3:2014</w:t>
      </w:r>
      <w:r w:rsidR="00CD00CB" w:rsidRPr="00237856">
        <w:rPr>
          <w:b w:val="0"/>
          <w:sz w:val="18"/>
          <w:szCs w:val="18"/>
          <w:highlight w:val="yellow"/>
          <w:u w:val="double"/>
        </w:rPr>
        <w:t>.</w:t>
      </w:r>
      <w:r w:rsidR="00CD00CB" w:rsidRPr="00237856">
        <w:rPr>
          <w:sz w:val="18"/>
          <w:szCs w:val="18"/>
          <w:highlight w:val="yellow"/>
          <w:u w:val="double"/>
        </w:rPr>
        <w:t xml:space="preserve"> </w:t>
      </w:r>
      <w:r w:rsidR="003A23B1" w:rsidRPr="00237856">
        <w:rPr>
          <w:b w:val="0"/>
          <w:sz w:val="18"/>
          <w:szCs w:val="18"/>
          <w:highlight w:val="yellow"/>
          <w:u w:val="double"/>
        </w:rPr>
        <w:t xml:space="preserve">Microbiology of the food chain –- Horizontal method for the detection, enumeration and serotyping of </w:t>
      </w:r>
      <w:r w:rsidR="003A23B1" w:rsidRPr="00237856">
        <w:rPr>
          <w:b w:val="0"/>
          <w:i/>
          <w:sz w:val="18"/>
          <w:szCs w:val="18"/>
          <w:highlight w:val="yellow"/>
          <w:u w:val="double"/>
        </w:rPr>
        <w:t>Salmonella</w:t>
      </w:r>
      <w:r w:rsidR="003A23B1" w:rsidRPr="00237856">
        <w:rPr>
          <w:b w:val="0"/>
          <w:sz w:val="18"/>
          <w:szCs w:val="18"/>
          <w:highlight w:val="yellow"/>
          <w:u w:val="double"/>
        </w:rPr>
        <w:t xml:space="preserve"> – Part 3: Guidelines for serotyping of </w:t>
      </w:r>
      <w:r w:rsidR="003A23B1" w:rsidRPr="00237856">
        <w:rPr>
          <w:b w:val="0"/>
          <w:i/>
          <w:iCs/>
          <w:sz w:val="18"/>
          <w:szCs w:val="18"/>
          <w:highlight w:val="yellow"/>
          <w:u w:val="double"/>
        </w:rPr>
        <w:t>Salmonella</w:t>
      </w:r>
      <w:r w:rsidR="003A23B1" w:rsidRPr="00237856">
        <w:rPr>
          <w:b w:val="0"/>
          <w:sz w:val="18"/>
          <w:szCs w:val="18"/>
          <w:highlight w:val="yellow"/>
          <w:u w:val="double"/>
        </w:rPr>
        <w:t xml:space="preserve"> spp.</w:t>
      </w:r>
      <w:r w:rsidR="00CD00CB" w:rsidRPr="00237856">
        <w:rPr>
          <w:b w:val="0"/>
          <w:sz w:val="18"/>
          <w:szCs w:val="18"/>
          <w:highlight w:val="yellow"/>
          <w:u w:val="double"/>
        </w:rPr>
        <w:t>,</w:t>
      </w:r>
      <w:r w:rsidR="00CD00CB" w:rsidRPr="00237856">
        <w:rPr>
          <w:b w:val="0"/>
          <w:sz w:val="18"/>
          <w:szCs w:val="18"/>
          <w:highlight w:val="yellow"/>
          <w:u w:val="double"/>
          <w:lang w:val="en-US"/>
        </w:rPr>
        <w:t xml:space="preserve"> International Organization for Standardization, Geneva, Switzerland.</w:t>
      </w:r>
    </w:p>
    <w:p w14:paraId="09ABBFDB" w14:textId="5F89C4DE" w:rsidR="00183222" w:rsidRPr="00183222" w:rsidRDefault="00183222" w:rsidP="00183222">
      <w:pPr>
        <w:pStyle w:val="Heading2"/>
        <w:spacing w:before="0" w:after="240" w:line="240" w:lineRule="auto"/>
        <w:rPr>
          <w:b w:val="0"/>
          <w:sz w:val="18"/>
          <w:szCs w:val="18"/>
          <w:u w:val="double"/>
        </w:rPr>
      </w:pPr>
      <w:r w:rsidRPr="00183222">
        <w:rPr>
          <w:b w:val="0"/>
          <w:smallCaps/>
          <w:sz w:val="18"/>
          <w:szCs w:val="18"/>
          <w:u w:val="double"/>
        </w:rPr>
        <w:t xml:space="preserve">International Organization for Standardization </w:t>
      </w:r>
      <w:r w:rsidRPr="00183222">
        <w:rPr>
          <w:b w:val="0"/>
          <w:sz w:val="18"/>
          <w:szCs w:val="18"/>
          <w:u w:val="double"/>
          <w:lang w:val="en-US"/>
        </w:rPr>
        <w:t xml:space="preserve">(2017). </w:t>
      </w:r>
      <w:r w:rsidRPr="00183222">
        <w:rPr>
          <w:b w:val="0"/>
          <w:sz w:val="18"/>
          <w:szCs w:val="18"/>
          <w:u w:val="double"/>
        </w:rPr>
        <w:t xml:space="preserve">ISO 6579-1:2017. Microbiology of food and animal feed – Horizontal method for the detection, enumeration and serotyping of </w:t>
      </w:r>
      <w:r w:rsidRPr="00183222">
        <w:rPr>
          <w:b w:val="0"/>
          <w:i/>
          <w:sz w:val="18"/>
          <w:szCs w:val="18"/>
          <w:u w:val="double"/>
        </w:rPr>
        <w:t>Salmonella</w:t>
      </w:r>
      <w:r w:rsidRPr="00183222">
        <w:rPr>
          <w:b w:val="0"/>
          <w:sz w:val="18"/>
          <w:szCs w:val="18"/>
          <w:u w:val="double"/>
        </w:rPr>
        <w:t xml:space="preserve"> – Part 1: Detection of </w:t>
      </w:r>
      <w:r w:rsidRPr="00183222">
        <w:rPr>
          <w:b w:val="0"/>
          <w:i/>
          <w:iCs/>
          <w:sz w:val="18"/>
          <w:szCs w:val="18"/>
          <w:u w:val="double"/>
        </w:rPr>
        <w:t>Salmonella</w:t>
      </w:r>
      <w:r w:rsidRPr="00183222">
        <w:rPr>
          <w:b w:val="0"/>
          <w:sz w:val="18"/>
          <w:szCs w:val="18"/>
          <w:u w:val="double"/>
        </w:rPr>
        <w:t xml:space="preserve"> spp. </w:t>
      </w:r>
      <w:r w:rsidRPr="00183222">
        <w:rPr>
          <w:b w:val="0"/>
          <w:sz w:val="18"/>
          <w:szCs w:val="18"/>
          <w:u w:val="double"/>
          <w:lang w:val="en-US"/>
        </w:rPr>
        <w:t>International Organization for Standardization, Geneva, Switzerland.</w:t>
      </w:r>
      <w:r>
        <w:rPr>
          <w:b w:val="0"/>
          <w:sz w:val="18"/>
          <w:szCs w:val="18"/>
          <w:u w:val="double"/>
          <w:lang w:val="en-US"/>
        </w:rPr>
        <w:t xml:space="preserve"> Amended 2020.</w:t>
      </w:r>
    </w:p>
    <w:p w14:paraId="176BC0B0" w14:textId="77777777" w:rsidR="004B7289" w:rsidRPr="00183222" w:rsidRDefault="004B2E18" w:rsidP="009C1C4F">
      <w:pPr>
        <w:spacing w:after="240" w:line="240" w:lineRule="auto"/>
        <w:rPr>
          <w:rFonts w:ascii="Arial" w:hAnsi="Arial" w:cs="Arial"/>
          <w:strike/>
          <w:color w:val="222222"/>
          <w:sz w:val="18"/>
          <w:szCs w:val="18"/>
          <w:lang w:eastAsia="en-GB"/>
        </w:rPr>
      </w:pPr>
      <w:r w:rsidRPr="00183222">
        <w:rPr>
          <w:rFonts w:ascii="Arial" w:hAnsi="Arial" w:cs="Arial"/>
          <w:smallCaps/>
          <w:strike/>
          <w:color w:val="222222"/>
          <w:sz w:val="18"/>
          <w:szCs w:val="18"/>
          <w:lang w:val="en-US" w:eastAsia="en-GB"/>
        </w:rPr>
        <w:t>Issenhuth-Jeanjean S., Roggentin P., Mikoleit M., Guibourdenche M., De Pinna E., Nair S., Fields P.I. &amp; Weill F. X.</w:t>
      </w:r>
      <w:r w:rsidRPr="00183222">
        <w:rPr>
          <w:rFonts w:ascii="Arial" w:hAnsi="Arial" w:cs="Arial"/>
          <w:strike/>
          <w:color w:val="222222"/>
          <w:sz w:val="18"/>
          <w:szCs w:val="18"/>
          <w:lang w:val="en-US" w:eastAsia="en-GB"/>
        </w:rPr>
        <w:t xml:space="preserve"> </w:t>
      </w:r>
      <w:r w:rsidR="004B7289" w:rsidRPr="00183222">
        <w:rPr>
          <w:rFonts w:ascii="Arial" w:hAnsi="Arial" w:cs="Arial"/>
          <w:strike/>
          <w:color w:val="222222"/>
          <w:sz w:val="18"/>
          <w:szCs w:val="18"/>
          <w:lang w:val="en-US" w:eastAsia="en-GB"/>
        </w:rPr>
        <w:t xml:space="preserve">(2014). </w:t>
      </w:r>
      <w:r w:rsidR="004B7289" w:rsidRPr="00183222">
        <w:rPr>
          <w:rFonts w:ascii="Arial" w:hAnsi="Arial" w:cs="Arial"/>
          <w:strike/>
          <w:color w:val="222222"/>
          <w:sz w:val="18"/>
          <w:szCs w:val="18"/>
          <w:lang w:eastAsia="en-GB"/>
        </w:rPr>
        <w:t xml:space="preserve">Supplement 2008–2010 (no. 48) to the White–Kauffmann–Le Minor scheme. </w:t>
      </w:r>
      <w:r w:rsidR="004B7289" w:rsidRPr="00183222">
        <w:rPr>
          <w:rFonts w:ascii="Arial" w:hAnsi="Arial" w:cs="Arial"/>
          <w:i/>
          <w:iCs/>
          <w:strike/>
          <w:color w:val="222222"/>
          <w:sz w:val="18"/>
          <w:szCs w:val="18"/>
          <w:lang w:eastAsia="en-GB"/>
        </w:rPr>
        <w:t>Res</w:t>
      </w:r>
      <w:r w:rsidRPr="00183222">
        <w:rPr>
          <w:rFonts w:ascii="Arial" w:hAnsi="Arial" w:cs="Arial"/>
          <w:i/>
          <w:iCs/>
          <w:strike/>
          <w:color w:val="222222"/>
          <w:sz w:val="18"/>
          <w:szCs w:val="18"/>
          <w:lang w:eastAsia="en-GB"/>
        </w:rPr>
        <w:t>.</w:t>
      </w:r>
      <w:r w:rsidR="004B7289" w:rsidRPr="00183222">
        <w:rPr>
          <w:rFonts w:ascii="Arial" w:hAnsi="Arial" w:cs="Arial"/>
          <w:i/>
          <w:iCs/>
          <w:strike/>
          <w:color w:val="222222"/>
          <w:sz w:val="18"/>
          <w:szCs w:val="18"/>
          <w:lang w:eastAsia="en-GB"/>
        </w:rPr>
        <w:t xml:space="preserve"> </w:t>
      </w:r>
      <w:r w:rsidR="009C0716" w:rsidRPr="00183222">
        <w:rPr>
          <w:rFonts w:ascii="Arial" w:hAnsi="Arial" w:cs="Arial"/>
          <w:i/>
          <w:iCs/>
          <w:strike/>
          <w:color w:val="222222"/>
          <w:sz w:val="18"/>
          <w:szCs w:val="18"/>
          <w:lang w:eastAsia="en-GB"/>
        </w:rPr>
        <w:t>M</w:t>
      </w:r>
      <w:r w:rsidR="004B7289" w:rsidRPr="00183222">
        <w:rPr>
          <w:rFonts w:ascii="Arial" w:hAnsi="Arial" w:cs="Arial"/>
          <w:i/>
          <w:iCs/>
          <w:strike/>
          <w:color w:val="222222"/>
          <w:sz w:val="18"/>
          <w:szCs w:val="18"/>
          <w:lang w:eastAsia="en-GB"/>
        </w:rPr>
        <w:t>icrobiol</w:t>
      </w:r>
      <w:r w:rsidR="009C0716" w:rsidRPr="00183222">
        <w:rPr>
          <w:rFonts w:ascii="Arial" w:hAnsi="Arial" w:cs="Arial"/>
          <w:i/>
          <w:iCs/>
          <w:strike/>
          <w:color w:val="222222"/>
          <w:sz w:val="18"/>
          <w:szCs w:val="18"/>
          <w:lang w:eastAsia="en-GB"/>
        </w:rPr>
        <w:t>.</w:t>
      </w:r>
      <w:r w:rsidR="004B7289" w:rsidRPr="00183222">
        <w:rPr>
          <w:rFonts w:ascii="Arial" w:hAnsi="Arial" w:cs="Arial"/>
          <w:strike/>
          <w:color w:val="222222"/>
          <w:sz w:val="18"/>
          <w:szCs w:val="18"/>
          <w:lang w:eastAsia="en-GB"/>
        </w:rPr>
        <w:t xml:space="preserve">, </w:t>
      </w:r>
      <w:r w:rsidR="009C0716" w:rsidRPr="00183222">
        <w:rPr>
          <w:rFonts w:ascii="Arial" w:hAnsi="Arial" w:cs="Arial"/>
          <w:b/>
          <w:strike/>
          <w:color w:val="222222"/>
          <w:sz w:val="18"/>
          <w:szCs w:val="18"/>
          <w:lang w:eastAsia="en-GB"/>
        </w:rPr>
        <w:t>165</w:t>
      </w:r>
      <w:r w:rsidR="004B7289" w:rsidRPr="00183222">
        <w:rPr>
          <w:rFonts w:ascii="Arial" w:hAnsi="Arial" w:cs="Arial"/>
          <w:strike/>
          <w:color w:val="222222"/>
          <w:sz w:val="18"/>
          <w:szCs w:val="18"/>
          <w:lang w:eastAsia="en-GB"/>
        </w:rPr>
        <w:t>, 526</w:t>
      </w:r>
      <w:r w:rsidRPr="00183222">
        <w:rPr>
          <w:rFonts w:ascii="Arial" w:hAnsi="Arial" w:cs="Arial"/>
          <w:strike/>
          <w:color w:val="222222"/>
          <w:sz w:val="18"/>
          <w:szCs w:val="18"/>
          <w:lang w:eastAsia="en-GB"/>
        </w:rPr>
        <w:t>–</w:t>
      </w:r>
      <w:r w:rsidR="004B7289" w:rsidRPr="00183222">
        <w:rPr>
          <w:rFonts w:ascii="Arial" w:hAnsi="Arial" w:cs="Arial"/>
          <w:strike/>
          <w:color w:val="222222"/>
          <w:sz w:val="18"/>
          <w:szCs w:val="18"/>
          <w:lang w:eastAsia="en-GB"/>
        </w:rPr>
        <w:t>530.</w:t>
      </w:r>
    </w:p>
    <w:p w14:paraId="564FF1A9" w14:textId="77777777" w:rsidR="00894810" w:rsidRPr="00996069" w:rsidRDefault="00894810" w:rsidP="00894810">
      <w:pPr>
        <w:spacing w:after="240" w:line="240" w:lineRule="auto"/>
        <w:rPr>
          <w:rFonts w:ascii="Arial" w:hAnsi="Arial" w:cs="Arial"/>
          <w:color w:val="222222"/>
          <w:sz w:val="18"/>
          <w:szCs w:val="18"/>
          <w:u w:val="double"/>
          <w:lang w:val="de-DE" w:eastAsia="en-GB"/>
        </w:rPr>
      </w:pPr>
      <w:r w:rsidRPr="009A515F">
        <w:rPr>
          <w:rFonts w:ascii="Arial" w:hAnsi="Arial" w:cs="Arial"/>
          <w:smallCaps/>
          <w:color w:val="222222"/>
          <w:sz w:val="18"/>
          <w:szCs w:val="18"/>
          <w:u w:val="double"/>
          <w:shd w:val="clear" w:color="auto" w:fill="FFFFFF"/>
        </w:rPr>
        <w:t>Jajere</w:t>
      </w:r>
      <w:r w:rsidRPr="009A515F">
        <w:rPr>
          <w:rFonts w:ascii="Arial" w:hAnsi="Arial" w:cs="Arial"/>
          <w:color w:val="222222"/>
          <w:sz w:val="18"/>
          <w:szCs w:val="18"/>
          <w:u w:val="double"/>
          <w:shd w:val="clear" w:color="auto" w:fill="FFFFFF"/>
        </w:rPr>
        <w:t xml:space="preserve"> S.M. (2019). A review of </w:t>
      </w:r>
      <w:r w:rsidRPr="009A515F">
        <w:rPr>
          <w:rFonts w:ascii="Arial" w:hAnsi="Arial" w:cs="Arial"/>
          <w:i/>
          <w:color w:val="222222"/>
          <w:sz w:val="18"/>
          <w:szCs w:val="18"/>
          <w:u w:val="double"/>
          <w:shd w:val="clear" w:color="auto" w:fill="FFFFFF"/>
        </w:rPr>
        <w:t>Salmonella enterica</w:t>
      </w:r>
      <w:r w:rsidRPr="009A515F">
        <w:rPr>
          <w:rFonts w:ascii="Arial" w:hAnsi="Arial" w:cs="Arial"/>
          <w:color w:val="222222"/>
          <w:sz w:val="18"/>
          <w:szCs w:val="18"/>
          <w:u w:val="double"/>
          <w:shd w:val="clear" w:color="auto" w:fill="FFFFFF"/>
        </w:rPr>
        <w:t xml:space="preserve"> with particular focus on the pathogenicity and virulence factors, host specificity and antimicrobial resistance including multidrug resistance. </w:t>
      </w:r>
      <w:r w:rsidRPr="00996069">
        <w:rPr>
          <w:rFonts w:ascii="Arial" w:hAnsi="Arial" w:cs="Arial"/>
          <w:i/>
          <w:iCs/>
          <w:color w:val="222222"/>
          <w:sz w:val="18"/>
          <w:szCs w:val="18"/>
          <w:u w:val="double"/>
          <w:shd w:val="clear" w:color="auto" w:fill="FFFFFF"/>
          <w:lang w:val="de-DE"/>
        </w:rPr>
        <w:t>Vet. World</w:t>
      </w:r>
      <w:r w:rsidRPr="00996069">
        <w:rPr>
          <w:rFonts w:ascii="Arial" w:hAnsi="Arial" w:cs="Arial"/>
          <w:color w:val="222222"/>
          <w:sz w:val="18"/>
          <w:szCs w:val="18"/>
          <w:u w:val="double"/>
          <w:shd w:val="clear" w:color="auto" w:fill="FFFFFF"/>
          <w:lang w:val="de-DE"/>
        </w:rPr>
        <w:t xml:space="preserve">, </w:t>
      </w:r>
      <w:r w:rsidRPr="00996069">
        <w:rPr>
          <w:rFonts w:ascii="Arial" w:hAnsi="Arial" w:cs="Arial"/>
          <w:b/>
          <w:bCs/>
          <w:iCs/>
          <w:color w:val="222222"/>
          <w:sz w:val="18"/>
          <w:szCs w:val="18"/>
          <w:u w:val="double"/>
          <w:shd w:val="clear" w:color="auto" w:fill="FFFFFF"/>
          <w:lang w:val="de-DE"/>
        </w:rPr>
        <w:t>12</w:t>
      </w:r>
      <w:r w:rsidRPr="00996069">
        <w:rPr>
          <w:rFonts w:ascii="Arial" w:hAnsi="Arial" w:cs="Arial"/>
          <w:color w:val="222222"/>
          <w:sz w:val="18"/>
          <w:szCs w:val="18"/>
          <w:u w:val="double"/>
          <w:shd w:val="clear" w:color="auto" w:fill="FFFFFF"/>
          <w:lang w:val="de-DE"/>
        </w:rPr>
        <w:t>, 504.</w:t>
      </w:r>
    </w:p>
    <w:p w14:paraId="1BCBCB53" w14:textId="26839761" w:rsidR="004B2E18" w:rsidRPr="00894810" w:rsidRDefault="004B2E18" w:rsidP="009C1C4F">
      <w:pPr>
        <w:pStyle w:val="Ref"/>
        <w:ind w:left="0" w:firstLine="0"/>
        <w:rPr>
          <w:i/>
          <w:strike/>
          <w:lang w:val="en-US"/>
        </w:rPr>
      </w:pPr>
      <w:r w:rsidRPr="00894810">
        <w:rPr>
          <w:smallCaps/>
          <w:strike/>
          <w:color w:val="222222"/>
          <w:lang w:val="de-DE"/>
        </w:rPr>
        <w:t>Jensen A.N., Nielsen L.R. &amp; Baggesen D.L.</w:t>
      </w:r>
      <w:r w:rsidRPr="00894810">
        <w:rPr>
          <w:strike/>
          <w:lang w:val="de-DE"/>
        </w:rPr>
        <w:t xml:space="preserve"> </w:t>
      </w:r>
      <w:r w:rsidR="008D66F9" w:rsidRPr="00894810">
        <w:rPr>
          <w:strike/>
          <w:lang w:val="de-DE"/>
        </w:rPr>
        <w:t>(2013)</w:t>
      </w:r>
      <w:r w:rsidR="009C0716" w:rsidRPr="00894810">
        <w:rPr>
          <w:strike/>
          <w:lang w:val="de-DE"/>
        </w:rPr>
        <w:t>.</w:t>
      </w:r>
      <w:r w:rsidR="008D66F9" w:rsidRPr="00894810">
        <w:rPr>
          <w:strike/>
          <w:lang w:val="de-DE"/>
        </w:rPr>
        <w:t xml:space="preserve"> </w:t>
      </w:r>
      <w:r w:rsidR="008D66F9" w:rsidRPr="00894810">
        <w:rPr>
          <w:strike/>
          <w:lang w:val="en-US"/>
        </w:rPr>
        <w:t xml:space="preserve">Use of real-time PCR on </w:t>
      </w:r>
      <w:r w:rsidR="00E169B8" w:rsidRPr="00894810">
        <w:rPr>
          <w:strike/>
          <w:lang w:val="en-US"/>
        </w:rPr>
        <w:t>f</w:t>
      </w:r>
      <w:r w:rsidR="008D66F9" w:rsidRPr="00894810">
        <w:rPr>
          <w:strike/>
          <w:lang w:val="en-US"/>
        </w:rPr>
        <w:t xml:space="preserve">ecal samples for detection of sub-clinical </w:t>
      </w:r>
      <w:r w:rsidR="008D66F9" w:rsidRPr="00894810">
        <w:rPr>
          <w:i/>
          <w:strike/>
          <w:lang w:val="en-US"/>
        </w:rPr>
        <w:t xml:space="preserve">Salmonella </w:t>
      </w:r>
      <w:r w:rsidR="008D66F9" w:rsidRPr="00894810">
        <w:rPr>
          <w:strike/>
          <w:lang w:val="en-US"/>
        </w:rPr>
        <w:t xml:space="preserve">infection in cattle did not improve the detection sensitivity compared to conventional bacteriology. </w:t>
      </w:r>
      <w:r w:rsidR="008D66F9" w:rsidRPr="00894810">
        <w:rPr>
          <w:i/>
          <w:strike/>
          <w:lang w:val="en-US"/>
        </w:rPr>
        <w:t>Vet</w:t>
      </w:r>
      <w:r w:rsidRPr="00894810">
        <w:rPr>
          <w:i/>
          <w:strike/>
          <w:lang w:val="en-US"/>
        </w:rPr>
        <w:t xml:space="preserve">. Microbiol., </w:t>
      </w:r>
      <w:r w:rsidRPr="00894810">
        <w:rPr>
          <w:b/>
          <w:strike/>
          <w:lang w:val="en-US"/>
        </w:rPr>
        <w:t>163</w:t>
      </w:r>
      <w:r w:rsidRPr="00894810">
        <w:rPr>
          <w:strike/>
          <w:lang w:val="en-US"/>
        </w:rPr>
        <w:t>, 373–377</w:t>
      </w:r>
      <w:r w:rsidR="00894810">
        <w:rPr>
          <w:strike/>
          <w:lang w:val="en-US"/>
        </w:rPr>
        <w:t>.</w:t>
      </w:r>
    </w:p>
    <w:p w14:paraId="1BDF99B9" w14:textId="44330BD9" w:rsidR="00657D7F" w:rsidRPr="00657D7F" w:rsidRDefault="00657D7F" w:rsidP="00657D7F">
      <w:pPr>
        <w:pStyle w:val="Ref"/>
        <w:ind w:left="0" w:firstLine="0"/>
        <w:rPr>
          <w:i/>
          <w:u w:val="double"/>
          <w:lang w:val="en-US"/>
        </w:rPr>
      </w:pPr>
      <w:r w:rsidRPr="00657D7F">
        <w:rPr>
          <w:smallCaps/>
          <w:color w:val="222222"/>
          <w:u w:val="double"/>
          <w:shd w:val="clear" w:color="auto" w:fill="FFFFFF"/>
        </w:rPr>
        <w:t>Jensen M.B.F., Schjørring S., Björkman J.T., Torpdahl M., Litrup E., Nielsen E.M. &amp; Niskanen, T.</w:t>
      </w:r>
      <w:r w:rsidRPr="00657D7F">
        <w:rPr>
          <w:color w:val="222222"/>
          <w:u w:val="double"/>
          <w:shd w:val="clear" w:color="auto" w:fill="FFFFFF"/>
        </w:rPr>
        <w:t xml:space="preserve"> (2017). External quality assessment for molecular typing of </w:t>
      </w:r>
      <w:r w:rsidRPr="00657D7F">
        <w:rPr>
          <w:i/>
          <w:iCs/>
          <w:color w:val="222222"/>
          <w:u w:val="double"/>
          <w:shd w:val="clear" w:color="auto" w:fill="FFFFFF"/>
        </w:rPr>
        <w:t>Salmonella</w:t>
      </w:r>
      <w:r w:rsidRPr="00657D7F">
        <w:rPr>
          <w:color w:val="222222"/>
          <w:u w:val="double"/>
          <w:shd w:val="clear" w:color="auto" w:fill="FFFFFF"/>
        </w:rPr>
        <w:t xml:space="preserve"> 2013–2015: performance of the European national public health reference laboratories. </w:t>
      </w:r>
      <w:r w:rsidRPr="00657D7F">
        <w:rPr>
          <w:i/>
          <w:iCs/>
          <w:color w:val="222222"/>
          <w:u w:val="double"/>
          <w:shd w:val="clear" w:color="auto" w:fill="FFFFFF"/>
        </w:rPr>
        <w:t>Euro. J. Clin. Microbiol. Infect. Dis.</w:t>
      </w:r>
      <w:r w:rsidRPr="00657D7F">
        <w:rPr>
          <w:color w:val="222222"/>
          <w:u w:val="double"/>
          <w:shd w:val="clear" w:color="auto" w:fill="FFFFFF"/>
        </w:rPr>
        <w:t xml:space="preserve">, </w:t>
      </w:r>
      <w:r w:rsidRPr="00657D7F">
        <w:rPr>
          <w:b/>
          <w:bCs/>
          <w:color w:val="222222"/>
          <w:u w:val="double"/>
          <w:shd w:val="clear" w:color="auto" w:fill="FFFFFF"/>
        </w:rPr>
        <w:t>36</w:t>
      </w:r>
      <w:r w:rsidRPr="00657D7F">
        <w:rPr>
          <w:color w:val="222222"/>
          <w:u w:val="double"/>
          <w:shd w:val="clear" w:color="auto" w:fill="FFFFFF"/>
        </w:rPr>
        <w:t>, 1923–1932.</w:t>
      </w:r>
    </w:p>
    <w:p w14:paraId="70453A20" w14:textId="6BD4BF25" w:rsidR="00E83537" w:rsidRPr="00894810" w:rsidRDefault="00E83537" w:rsidP="009C1C4F">
      <w:pPr>
        <w:pStyle w:val="Ref"/>
        <w:ind w:left="0" w:firstLine="0"/>
        <w:rPr>
          <w:lang w:val="en-US"/>
        </w:rPr>
      </w:pPr>
      <w:r w:rsidRPr="00894810">
        <w:rPr>
          <w:smallCaps/>
          <w:lang w:val="en-US"/>
        </w:rPr>
        <w:t>Kanki M., Sakata J., Taguchi M., Kumeda Y., Ishibashi M., Kawai T., Kawatsu K., Yamasaki W., Inoue K. &amp; Miyahara M.</w:t>
      </w:r>
      <w:r w:rsidRPr="00894810">
        <w:rPr>
          <w:lang w:val="en-US"/>
        </w:rPr>
        <w:t xml:space="preserve"> (2009). Effect of sample preparation and bacterial concentration on </w:t>
      </w:r>
      <w:r w:rsidRPr="00894810">
        <w:rPr>
          <w:i/>
          <w:lang w:val="en-US"/>
        </w:rPr>
        <w:t>Salmonella</w:t>
      </w:r>
      <w:r w:rsidRPr="00894810">
        <w:rPr>
          <w:lang w:val="en-US"/>
        </w:rPr>
        <w:t xml:space="preserve"> </w:t>
      </w:r>
      <w:r w:rsidRPr="00894810">
        <w:rPr>
          <w:i/>
          <w:lang w:val="en-US"/>
        </w:rPr>
        <w:t>enterica</w:t>
      </w:r>
      <w:r w:rsidRPr="00894810">
        <w:rPr>
          <w:lang w:val="en-US"/>
        </w:rPr>
        <w:t xml:space="preserve"> detection in poultry meat using culture methods and PCR assaying of pre</w:t>
      </w:r>
      <w:r w:rsidR="00894810">
        <w:rPr>
          <w:lang w:val="en-US"/>
        </w:rPr>
        <w:t>-</w:t>
      </w:r>
      <w:r w:rsidRPr="00894810">
        <w:rPr>
          <w:lang w:val="en-US"/>
        </w:rPr>
        <w:t xml:space="preserve">enrichment broths. </w:t>
      </w:r>
      <w:r w:rsidRPr="00894810">
        <w:rPr>
          <w:i/>
          <w:iCs/>
          <w:lang w:val="en-US"/>
        </w:rPr>
        <w:t>Food Microbiol.</w:t>
      </w:r>
      <w:r w:rsidRPr="00894810">
        <w:rPr>
          <w:lang w:val="en-US"/>
        </w:rPr>
        <w:t xml:space="preserve">, </w:t>
      </w:r>
      <w:r w:rsidRPr="00894810">
        <w:rPr>
          <w:b/>
          <w:bCs/>
          <w:lang w:val="en-US"/>
        </w:rPr>
        <w:t>26</w:t>
      </w:r>
      <w:r w:rsidRPr="00894810">
        <w:rPr>
          <w:lang w:val="en-US"/>
        </w:rPr>
        <w:t>, 1–3.</w:t>
      </w:r>
    </w:p>
    <w:p w14:paraId="74440026" w14:textId="66AE7297" w:rsidR="008D66F9" w:rsidRPr="00183222" w:rsidRDefault="004B2E18" w:rsidP="009C1C4F">
      <w:pPr>
        <w:pStyle w:val="Ref"/>
        <w:ind w:left="0" w:firstLine="0"/>
        <w:rPr>
          <w:strike/>
          <w:lang w:val="en-US"/>
        </w:rPr>
      </w:pPr>
      <w:r w:rsidRPr="00183222">
        <w:rPr>
          <w:smallCaps/>
          <w:strike/>
          <w:color w:val="222222"/>
          <w:lang w:val="en-US"/>
        </w:rPr>
        <w:t>Krascseni</w:t>
      </w:r>
      <w:r w:rsidR="00183222" w:rsidRPr="00183222">
        <w:rPr>
          <w:smallCaps/>
          <w:strike/>
          <w:color w:val="222222"/>
          <w:lang w:val="en-US"/>
        </w:rPr>
        <w:t>sc</w:t>
      </w:r>
      <w:r w:rsidRPr="00183222">
        <w:rPr>
          <w:smallCaps/>
          <w:strike/>
          <w:color w:val="222222"/>
          <w:lang w:val="en-US"/>
        </w:rPr>
        <w:t>ová K., Piknová L., Kacliková E. &amp; Kuchta T</w:t>
      </w:r>
      <w:r w:rsidR="008D66F9" w:rsidRPr="00183222">
        <w:rPr>
          <w:smallCaps/>
          <w:strike/>
          <w:color w:val="222222"/>
          <w:lang w:val="en-US"/>
        </w:rPr>
        <w:t xml:space="preserve">. </w:t>
      </w:r>
      <w:r w:rsidR="008D66F9" w:rsidRPr="00183222">
        <w:rPr>
          <w:strike/>
          <w:lang w:val="en-US"/>
        </w:rPr>
        <w:t xml:space="preserve">(2008). Detection of </w:t>
      </w:r>
      <w:r w:rsidR="008D66F9" w:rsidRPr="00183222">
        <w:rPr>
          <w:i/>
          <w:strike/>
          <w:lang w:val="en-US"/>
        </w:rPr>
        <w:t xml:space="preserve">Salmonella enterica </w:t>
      </w:r>
      <w:r w:rsidR="008D66F9" w:rsidRPr="00183222">
        <w:rPr>
          <w:strike/>
          <w:lang w:val="en-US"/>
        </w:rPr>
        <w:t xml:space="preserve">in food using two-step enrichment and real-time polymerase chain reaction. </w:t>
      </w:r>
      <w:r w:rsidR="008D66F9" w:rsidRPr="00183222">
        <w:rPr>
          <w:i/>
          <w:strike/>
          <w:lang w:val="en-US"/>
        </w:rPr>
        <w:t>Lett</w:t>
      </w:r>
      <w:r w:rsidR="00945008" w:rsidRPr="00183222">
        <w:rPr>
          <w:i/>
          <w:strike/>
          <w:lang w:val="en-US"/>
        </w:rPr>
        <w:t xml:space="preserve">. </w:t>
      </w:r>
      <w:r w:rsidR="008D66F9" w:rsidRPr="00183222">
        <w:rPr>
          <w:i/>
          <w:strike/>
          <w:lang w:val="en-US"/>
        </w:rPr>
        <w:t xml:space="preserve">Microbiol., </w:t>
      </w:r>
      <w:r w:rsidR="008D66F9" w:rsidRPr="00183222">
        <w:rPr>
          <w:b/>
          <w:strike/>
          <w:lang w:val="en-US"/>
        </w:rPr>
        <w:t>46</w:t>
      </w:r>
      <w:r w:rsidR="008D66F9" w:rsidRPr="00183222">
        <w:rPr>
          <w:strike/>
          <w:lang w:val="en-US"/>
        </w:rPr>
        <w:t>, 483</w:t>
      </w:r>
      <w:r w:rsidRPr="00183222">
        <w:rPr>
          <w:strike/>
          <w:lang w:val="en-US"/>
        </w:rPr>
        <w:t>–</w:t>
      </w:r>
      <w:r w:rsidR="008D66F9" w:rsidRPr="00183222">
        <w:rPr>
          <w:strike/>
          <w:lang w:val="en-US"/>
        </w:rPr>
        <w:t>487.</w:t>
      </w:r>
    </w:p>
    <w:p w14:paraId="2AD3CCD2" w14:textId="77777777" w:rsidR="00E83537" w:rsidRPr="00920E5F" w:rsidRDefault="00E83537" w:rsidP="009C1C4F">
      <w:pPr>
        <w:spacing w:after="240" w:line="240" w:lineRule="auto"/>
        <w:rPr>
          <w:rFonts w:ascii="Arial" w:hAnsi="Arial" w:cs="Arial"/>
          <w:strike/>
          <w:color w:val="222222"/>
          <w:sz w:val="18"/>
          <w:szCs w:val="18"/>
          <w:lang w:eastAsia="en-GB"/>
        </w:rPr>
      </w:pPr>
      <w:r w:rsidRPr="00920E5F">
        <w:rPr>
          <w:rFonts w:ascii="Arial" w:hAnsi="Arial" w:cs="Arial"/>
          <w:smallCaps/>
          <w:strike/>
          <w:color w:val="222222"/>
          <w:sz w:val="18"/>
          <w:szCs w:val="18"/>
          <w:lang w:eastAsia="en-GB"/>
        </w:rPr>
        <w:lastRenderedPageBreak/>
        <w:t>Lee K.M., Runyon M., Herrman T.J., Phillips R. &amp; Hsieh J.</w:t>
      </w:r>
      <w:r w:rsidRPr="00920E5F">
        <w:rPr>
          <w:rFonts w:ascii="Arial" w:hAnsi="Arial" w:cs="Arial"/>
          <w:strike/>
          <w:color w:val="222222"/>
          <w:sz w:val="18"/>
          <w:szCs w:val="18"/>
          <w:lang w:eastAsia="en-GB"/>
        </w:rPr>
        <w:t xml:space="preserve"> (2015). Review of </w:t>
      </w:r>
      <w:r w:rsidRPr="00920E5F">
        <w:rPr>
          <w:rFonts w:ascii="Arial" w:hAnsi="Arial" w:cs="Arial"/>
          <w:i/>
          <w:strike/>
          <w:color w:val="222222"/>
          <w:sz w:val="18"/>
          <w:szCs w:val="18"/>
          <w:lang w:eastAsia="en-GB"/>
        </w:rPr>
        <w:t>Salmonella</w:t>
      </w:r>
      <w:r w:rsidRPr="00920E5F">
        <w:rPr>
          <w:rFonts w:ascii="Arial" w:hAnsi="Arial" w:cs="Arial"/>
          <w:strike/>
          <w:color w:val="222222"/>
          <w:sz w:val="18"/>
          <w:szCs w:val="18"/>
          <w:lang w:eastAsia="en-GB"/>
        </w:rPr>
        <w:t xml:space="preserve"> detection and identification methods: Aspects of rapid emergency response and food safety. </w:t>
      </w:r>
      <w:r w:rsidRPr="00920E5F">
        <w:rPr>
          <w:rFonts w:ascii="Arial" w:hAnsi="Arial" w:cs="Arial"/>
          <w:i/>
          <w:iCs/>
          <w:strike/>
          <w:color w:val="222222"/>
          <w:sz w:val="18"/>
          <w:szCs w:val="18"/>
          <w:lang w:eastAsia="en-GB"/>
        </w:rPr>
        <w:t>Food Control</w:t>
      </w:r>
      <w:r w:rsidRPr="00920E5F">
        <w:rPr>
          <w:rFonts w:ascii="Arial" w:hAnsi="Arial" w:cs="Arial"/>
          <w:strike/>
          <w:color w:val="222222"/>
          <w:sz w:val="18"/>
          <w:szCs w:val="18"/>
          <w:lang w:eastAsia="en-GB"/>
        </w:rPr>
        <w:t xml:space="preserve">, </w:t>
      </w:r>
      <w:r w:rsidRPr="00920E5F">
        <w:rPr>
          <w:rFonts w:ascii="Arial" w:hAnsi="Arial" w:cs="Arial"/>
          <w:b/>
          <w:iCs/>
          <w:strike/>
          <w:color w:val="222222"/>
          <w:sz w:val="18"/>
          <w:szCs w:val="18"/>
          <w:lang w:eastAsia="en-GB"/>
        </w:rPr>
        <w:t>47</w:t>
      </w:r>
      <w:r w:rsidRPr="00920E5F">
        <w:rPr>
          <w:rFonts w:ascii="Arial" w:hAnsi="Arial" w:cs="Arial"/>
          <w:strike/>
          <w:color w:val="222222"/>
          <w:sz w:val="18"/>
          <w:szCs w:val="18"/>
          <w:lang w:eastAsia="en-GB"/>
        </w:rPr>
        <w:t>, 264–276.</w:t>
      </w:r>
    </w:p>
    <w:p w14:paraId="1A655D0C" w14:textId="0C2F7D3F" w:rsidR="00E83537" w:rsidRPr="00B3713D" w:rsidRDefault="00E83537" w:rsidP="009C1C4F">
      <w:pPr>
        <w:pStyle w:val="Ref"/>
        <w:ind w:left="0" w:firstLine="0"/>
        <w:rPr>
          <w:lang w:val="en-US"/>
        </w:rPr>
      </w:pPr>
      <w:r w:rsidRPr="00B3713D">
        <w:rPr>
          <w:smallCaps/>
          <w:lang w:val="en-US"/>
        </w:rPr>
        <w:t>Malorny B. &amp; Hoorfar</w:t>
      </w:r>
      <w:r w:rsidRPr="00B3713D">
        <w:rPr>
          <w:lang w:val="en-US"/>
        </w:rPr>
        <w:t xml:space="preserve"> J. (2005). Toward standardization of diagnostic PCR testing of fecal samples: lessons from the detection of salmonellae in pigs. </w:t>
      </w:r>
      <w:r w:rsidRPr="00B3713D">
        <w:rPr>
          <w:i/>
          <w:iCs/>
          <w:lang w:val="en-US"/>
        </w:rPr>
        <w:t>J. Clin. Microbiol.,</w:t>
      </w:r>
      <w:r w:rsidRPr="00B3713D">
        <w:rPr>
          <w:lang w:val="en-US"/>
        </w:rPr>
        <w:t xml:space="preserve"> </w:t>
      </w:r>
      <w:r w:rsidRPr="00B3713D">
        <w:rPr>
          <w:b/>
          <w:bCs/>
          <w:lang w:val="en-US"/>
        </w:rPr>
        <w:t>43</w:t>
      </w:r>
      <w:r w:rsidRPr="00B3713D">
        <w:rPr>
          <w:lang w:val="en-US"/>
        </w:rPr>
        <w:t>, 3033–3037.</w:t>
      </w:r>
    </w:p>
    <w:p w14:paraId="30F05335" w14:textId="77777777" w:rsidR="008D66F9" w:rsidRPr="00183222" w:rsidRDefault="008D66F9" w:rsidP="009C1C4F">
      <w:pPr>
        <w:pStyle w:val="Ref"/>
        <w:ind w:left="0" w:firstLine="0"/>
        <w:rPr>
          <w:strike/>
        </w:rPr>
      </w:pPr>
      <w:r w:rsidRPr="00183222">
        <w:rPr>
          <w:smallCaps/>
          <w:strike/>
        </w:rPr>
        <w:t xml:space="preserve">Malorny B., Paccassoni E., Fach P., Bunge C., Martin A. &amp; Helmuth R. (2004). </w:t>
      </w:r>
      <w:r w:rsidRPr="00183222">
        <w:rPr>
          <w:strike/>
        </w:rPr>
        <w:t xml:space="preserve">Diagnostic real-time PCR for detection of </w:t>
      </w:r>
      <w:r w:rsidRPr="00183222">
        <w:rPr>
          <w:i/>
          <w:iCs/>
          <w:strike/>
        </w:rPr>
        <w:t>Salmonella</w:t>
      </w:r>
      <w:r w:rsidRPr="00183222">
        <w:rPr>
          <w:strike/>
        </w:rPr>
        <w:t xml:space="preserve"> in food. </w:t>
      </w:r>
      <w:r w:rsidRPr="00183222">
        <w:rPr>
          <w:i/>
          <w:iCs/>
          <w:strike/>
        </w:rPr>
        <w:t xml:space="preserve">Appl. Environ. Microbiol., </w:t>
      </w:r>
      <w:r w:rsidRPr="00183222">
        <w:rPr>
          <w:b/>
          <w:bCs/>
          <w:strike/>
        </w:rPr>
        <w:t>70</w:t>
      </w:r>
      <w:r w:rsidRPr="00183222">
        <w:rPr>
          <w:strike/>
        </w:rPr>
        <w:t>, 7046</w:t>
      </w:r>
      <w:r w:rsidRPr="00183222">
        <w:rPr>
          <w:iCs/>
          <w:strike/>
        </w:rPr>
        <w:t>–</w:t>
      </w:r>
      <w:r w:rsidRPr="00183222">
        <w:rPr>
          <w:strike/>
        </w:rPr>
        <w:t>7052.</w:t>
      </w:r>
    </w:p>
    <w:p w14:paraId="3DAF5726" w14:textId="77777777" w:rsidR="00E83537" w:rsidRPr="00F53EE8" w:rsidRDefault="00E83537" w:rsidP="009C1C4F">
      <w:pPr>
        <w:pStyle w:val="Ref"/>
        <w:ind w:left="0" w:firstLine="0"/>
      </w:pPr>
      <w:r w:rsidRPr="00F53EE8">
        <w:rPr>
          <w:smallCaps/>
        </w:rPr>
        <w:t>Mastroeni P., Chabalgoity J.A., Dunstan S.J., Maskell D.J. &amp; Dougan G.</w:t>
      </w:r>
      <w:r w:rsidRPr="00F53EE8">
        <w:t xml:space="preserve"> (2001). </w:t>
      </w:r>
      <w:r w:rsidRPr="00F53EE8">
        <w:rPr>
          <w:i/>
        </w:rPr>
        <w:t>Salmonella:</w:t>
      </w:r>
      <w:r w:rsidRPr="00F53EE8">
        <w:t xml:space="preserve"> Immune responses and vaccines. </w:t>
      </w:r>
      <w:r w:rsidRPr="00F53EE8">
        <w:rPr>
          <w:i/>
        </w:rPr>
        <w:t xml:space="preserve">Vet. J., </w:t>
      </w:r>
      <w:r w:rsidRPr="00F53EE8">
        <w:rPr>
          <w:b/>
        </w:rPr>
        <w:t>161</w:t>
      </w:r>
      <w:r w:rsidRPr="00F53EE8">
        <w:t>, 132–164.</w:t>
      </w:r>
    </w:p>
    <w:p w14:paraId="0AAF12B7" w14:textId="77777777" w:rsidR="00E83537" w:rsidRPr="00386DB3" w:rsidRDefault="00E83537" w:rsidP="009C1C4F">
      <w:pPr>
        <w:pStyle w:val="Ref"/>
        <w:ind w:left="0" w:firstLine="0"/>
      </w:pPr>
      <w:r w:rsidRPr="00386DB3">
        <w:rPr>
          <w:smallCaps/>
          <w:lang w:val="en-US"/>
        </w:rPr>
        <w:t>Maurischat S., Baumann B., Martin A. &amp; Malorny B</w:t>
      </w:r>
      <w:r w:rsidRPr="00386DB3">
        <w:rPr>
          <w:lang w:val="en-US"/>
        </w:rPr>
        <w:t xml:space="preserve">. (2015a). </w:t>
      </w:r>
      <w:r w:rsidRPr="00386DB3">
        <w:t xml:space="preserve">Rapid detection and specific differentiation of </w:t>
      </w:r>
      <w:r w:rsidRPr="00386DB3">
        <w:rPr>
          <w:i/>
        </w:rPr>
        <w:t>Salmonella enterica</w:t>
      </w:r>
      <w:r w:rsidRPr="00386DB3">
        <w:t xml:space="preserve"> subsp. e</w:t>
      </w:r>
      <w:r w:rsidRPr="00386DB3">
        <w:rPr>
          <w:i/>
        </w:rPr>
        <w:t>nterica</w:t>
      </w:r>
      <w:r w:rsidRPr="00386DB3">
        <w:t xml:space="preserve"> Enteritidis, Typhimurium and its monophasic variant 4,[5],12:i:- by real-time multiplex PCR. </w:t>
      </w:r>
      <w:r w:rsidRPr="00386DB3">
        <w:rPr>
          <w:i/>
        </w:rPr>
        <w:t>Int. J. Food Microbiol</w:t>
      </w:r>
      <w:r w:rsidRPr="00386DB3">
        <w:t xml:space="preserve">., </w:t>
      </w:r>
      <w:r w:rsidRPr="00386DB3">
        <w:rPr>
          <w:b/>
        </w:rPr>
        <w:t>193</w:t>
      </w:r>
      <w:r w:rsidRPr="00386DB3">
        <w:t>, 8–14.</w:t>
      </w:r>
    </w:p>
    <w:p w14:paraId="796DBC03" w14:textId="77777777" w:rsidR="00E83537" w:rsidRPr="002B544E" w:rsidRDefault="00E83537" w:rsidP="009C1C4F">
      <w:pPr>
        <w:pStyle w:val="Ref"/>
        <w:ind w:left="0" w:firstLine="0"/>
        <w:rPr>
          <w:lang w:val="de-DE"/>
        </w:rPr>
      </w:pPr>
      <w:r w:rsidRPr="00386DB3">
        <w:rPr>
          <w:smallCaps/>
          <w:lang w:val="de-DE"/>
        </w:rPr>
        <w:t>Maurischat S., Szabo I., Baumann B. &amp; Malorny B.</w:t>
      </w:r>
      <w:r w:rsidRPr="00386DB3">
        <w:rPr>
          <w:lang w:val="de-DE"/>
        </w:rPr>
        <w:t xml:space="preserve"> (2015b). Rapid real-time PCR methods to distinguish </w:t>
      </w:r>
      <w:r w:rsidRPr="00386DB3">
        <w:rPr>
          <w:i/>
          <w:lang w:val="de-DE"/>
        </w:rPr>
        <w:t>Salmonella</w:t>
      </w:r>
      <w:r w:rsidRPr="00386DB3">
        <w:rPr>
          <w:lang w:val="de-DE"/>
        </w:rPr>
        <w:t xml:space="preserve"> Enteritidis wildtype field isolates from vaccine strains Salmovac SE/Gallivac SE and AviPro </w:t>
      </w:r>
      <w:r w:rsidRPr="00386DB3">
        <w:rPr>
          <w:i/>
          <w:iCs/>
          <w:lang w:val="de-DE"/>
        </w:rPr>
        <w:t>Salmonella</w:t>
      </w:r>
      <w:r w:rsidRPr="00386DB3">
        <w:rPr>
          <w:lang w:val="de-DE"/>
        </w:rPr>
        <w:t xml:space="preserve"> Vac E. </w:t>
      </w:r>
      <w:r w:rsidRPr="00386DB3">
        <w:rPr>
          <w:i/>
          <w:lang w:val="de-DE"/>
        </w:rPr>
        <w:t>J.</w:t>
      </w:r>
      <w:r w:rsidRPr="00386DB3">
        <w:rPr>
          <w:lang w:val="de-DE"/>
        </w:rPr>
        <w:t xml:space="preserve"> </w:t>
      </w:r>
      <w:r w:rsidRPr="00386DB3">
        <w:rPr>
          <w:i/>
          <w:lang w:val="de-DE"/>
        </w:rPr>
        <w:t xml:space="preserve">Microbiol. </w:t>
      </w:r>
      <w:r w:rsidRPr="002B544E">
        <w:rPr>
          <w:i/>
          <w:lang w:val="de-DE"/>
        </w:rPr>
        <w:t xml:space="preserve">Methods, </w:t>
      </w:r>
      <w:r w:rsidRPr="002B544E">
        <w:rPr>
          <w:b/>
          <w:lang w:val="de-DE"/>
        </w:rPr>
        <w:t>112</w:t>
      </w:r>
      <w:r w:rsidRPr="002B544E">
        <w:rPr>
          <w:lang w:val="de-DE"/>
        </w:rPr>
        <w:t>, 92–98.</w:t>
      </w:r>
    </w:p>
    <w:p w14:paraId="0DE25621" w14:textId="1A87276A" w:rsidR="00E83537" w:rsidRPr="00894810" w:rsidRDefault="008D79C7" w:rsidP="009C1C4F">
      <w:pPr>
        <w:pStyle w:val="Ref"/>
        <w:ind w:left="0" w:firstLine="0"/>
        <w:rPr>
          <w:i/>
          <w:u w:val="double"/>
        </w:rPr>
      </w:pPr>
      <w:r w:rsidRPr="002B544E">
        <w:rPr>
          <w:smallCaps/>
          <w:color w:val="222222"/>
          <w:u w:val="double"/>
          <w:shd w:val="clear" w:color="auto" w:fill="FFFFFF"/>
          <w:lang w:val="de-DE"/>
        </w:rPr>
        <w:t>Munck N., Njage P.M.K., Leekitcharoenphon P., Litrup E. &amp; Hald T.</w:t>
      </w:r>
      <w:r w:rsidR="00E83537" w:rsidRPr="002B544E">
        <w:rPr>
          <w:color w:val="222222"/>
          <w:u w:val="double"/>
          <w:shd w:val="clear" w:color="auto" w:fill="FFFFFF"/>
          <w:lang w:val="de-DE"/>
        </w:rPr>
        <w:t xml:space="preserve"> (2020). </w:t>
      </w:r>
      <w:r w:rsidR="00E83537" w:rsidRPr="00894810">
        <w:rPr>
          <w:color w:val="222222"/>
          <w:u w:val="double"/>
          <w:shd w:val="clear" w:color="auto" w:fill="FFFFFF"/>
        </w:rPr>
        <w:t>Application of Whole</w:t>
      </w:r>
      <w:r w:rsidR="00E83537" w:rsidRPr="00894810">
        <w:rPr>
          <w:rFonts w:ascii="Cambria Math" w:hAnsi="Cambria Math" w:cs="Cambria Math"/>
          <w:color w:val="222222"/>
          <w:u w:val="double"/>
          <w:shd w:val="clear" w:color="auto" w:fill="FFFFFF"/>
        </w:rPr>
        <w:t>‐</w:t>
      </w:r>
      <w:r w:rsidR="00E83537" w:rsidRPr="00894810">
        <w:rPr>
          <w:color w:val="222222"/>
          <w:u w:val="double"/>
          <w:shd w:val="clear" w:color="auto" w:fill="FFFFFF"/>
        </w:rPr>
        <w:t xml:space="preserve">Genome Sequences and Machine Learning in Source Attribution of </w:t>
      </w:r>
      <w:r w:rsidR="00E83537" w:rsidRPr="00894810">
        <w:rPr>
          <w:i/>
          <w:iCs/>
          <w:color w:val="222222"/>
          <w:u w:val="double"/>
          <w:shd w:val="clear" w:color="auto" w:fill="FFFFFF"/>
        </w:rPr>
        <w:t>Salmonella Typhimurium</w:t>
      </w:r>
      <w:r w:rsidR="00E83537" w:rsidRPr="00894810">
        <w:rPr>
          <w:color w:val="222222"/>
          <w:u w:val="double"/>
          <w:shd w:val="clear" w:color="auto" w:fill="FFFFFF"/>
        </w:rPr>
        <w:t>.</w:t>
      </w:r>
      <w:r w:rsidRPr="00894810">
        <w:rPr>
          <w:color w:val="222222"/>
          <w:u w:val="double"/>
          <w:shd w:val="clear" w:color="auto" w:fill="FFFFFF"/>
        </w:rPr>
        <w:t xml:space="preserve"> </w:t>
      </w:r>
      <w:r w:rsidR="00E83537" w:rsidRPr="00894810">
        <w:rPr>
          <w:i/>
          <w:iCs/>
          <w:color w:val="222222"/>
          <w:u w:val="double"/>
          <w:shd w:val="clear" w:color="auto" w:fill="FFFFFF"/>
        </w:rPr>
        <w:t>Risk Analysis</w:t>
      </w:r>
      <w:r w:rsidR="00E83537" w:rsidRPr="00894810">
        <w:rPr>
          <w:color w:val="222222"/>
          <w:u w:val="double"/>
          <w:shd w:val="clear" w:color="auto" w:fill="FFFFFF"/>
        </w:rPr>
        <w:t>,</w:t>
      </w:r>
      <w:r w:rsidRPr="00894810">
        <w:rPr>
          <w:color w:val="222222"/>
          <w:u w:val="double"/>
          <w:shd w:val="clear" w:color="auto" w:fill="FFFFFF"/>
        </w:rPr>
        <w:t xml:space="preserve"> </w:t>
      </w:r>
      <w:r w:rsidR="00E83537" w:rsidRPr="00894810">
        <w:rPr>
          <w:b/>
          <w:bCs/>
          <w:color w:val="222222"/>
          <w:u w:val="double"/>
          <w:shd w:val="clear" w:color="auto" w:fill="FFFFFF"/>
        </w:rPr>
        <w:t>40</w:t>
      </w:r>
      <w:r w:rsidR="00E83537" w:rsidRPr="00894810">
        <w:rPr>
          <w:color w:val="222222"/>
          <w:u w:val="double"/>
          <w:shd w:val="clear" w:color="auto" w:fill="FFFFFF"/>
        </w:rPr>
        <w:t>,</w:t>
      </w:r>
      <w:r w:rsidRPr="00894810">
        <w:rPr>
          <w:color w:val="222222"/>
          <w:u w:val="double"/>
          <w:shd w:val="clear" w:color="auto" w:fill="FFFFFF"/>
        </w:rPr>
        <w:t xml:space="preserve"> </w:t>
      </w:r>
      <w:r w:rsidR="00E83537" w:rsidRPr="00894810">
        <w:rPr>
          <w:color w:val="222222"/>
          <w:u w:val="double"/>
          <w:shd w:val="clear" w:color="auto" w:fill="FFFFFF"/>
        </w:rPr>
        <w:t>1693</w:t>
      </w:r>
      <w:r w:rsidRPr="00894810">
        <w:rPr>
          <w:color w:val="222222"/>
          <w:u w:val="double"/>
          <w:shd w:val="clear" w:color="auto" w:fill="FFFFFF"/>
        </w:rPr>
        <w:t>–</w:t>
      </w:r>
      <w:r w:rsidR="00E83537" w:rsidRPr="00894810">
        <w:rPr>
          <w:color w:val="222222"/>
          <w:u w:val="double"/>
          <w:shd w:val="clear" w:color="auto" w:fill="FFFFFF"/>
        </w:rPr>
        <w:t>1705.</w:t>
      </w:r>
    </w:p>
    <w:p w14:paraId="59D9A9C2" w14:textId="77777777" w:rsidR="00965797" w:rsidRPr="00657D7F" w:rsidRDefault="00965797" w:rsidP="00965797">
      <w:pPr>
        <w:pStyle w:val="Ref"/>
        <w:ind w:left="0" w:firstLine="0"/>
        <w:rPr>
          <w:strike/>
        </w:rPr>
      </w:pPr>
      <w:r w:rsidRPr="00657D7F">
        <w:rPr>
          <w:smallCaps/>
          <w:strike/>
          <w:lang w:val="nb-NO"/>
        </w:rPr>
        <w:t>Nielsen B., Ekeroth L., Bager F. &amp; Lind P.</w:t>
      </w:r>
      <w:r w:rsidRPr="00657D7F">
        <w:rPr>
          <w:strike/>
          <w:lang w:val="nb-NO"/>
        </w:rPr>
        <w:t xml:space="preserve"> (1998). </w:t>
      </w:r>
      <w:r w:rsidRPr="00657D7F">
        <w:rPr>
          <w:strike/>
        </w:rPr>
        <w:t xml:space="preserve">Use of muscle fluid as a source of antibodies for serologic detection of </w:t>
      </w:r>
      <w:r w:rsidRPr="00657D7F">
        <w:rPr>
          <w:i/>
          <w:strike/>
        </w:rPr>
        <w:t>Salmonella</w:t>
      </w:r>
      <w:r w:rsidRPr="00657D7F">
        <w:rPr>
          <w:strike/>
        </w:rPr>
        <w:t xml:space="preserve"> infection in slaughter pig herds. </w:t>
      </w:r>
      <w:r w:rsidRPr="00657D7F">
        <w:rPr>
          <w:i/>
          <w:strike/>
        </w:rPr>
        <w:t>J. Vet. Diagn Invest.</w:t>
      </w:r>
      <w:r w:rsidRPr="00657D7F">
        <w:rPr>
          <w:strike/>
        </w:rPr>
        <w:t xml:space="preserve">, </w:t>
      </w:r>
      <w:r w:rsidRPr="00657D7F">
        <w:rPr>
          <w:b/>
          <w:strike/>
        </w:rPr>
        <w:t>10</w:t>
      </w:r>
      <w:r w:rsidRPr="00657D7F">
        <w:rPr>
          <w:strike/>
        </w:rPr>
        <w:t>, 158–163.</w:t>
      </w:r>
    </w:p>
    <w:p w14:paraId="3FBAF8E9" w14:textId="77777777" w:rsidR="00E83537" w:rsidRPr="00894810" w:rsidRDefault="00E83537" w:rsidP="009C1C4F">
      <w:pPr>
        <w:pStyle w:val="Ref"/>
        <w:ind w:left="0" w:firstLine="0"/>
      </w:pPr>
      <w:r w:rsidRPr="00894810">
        <w:rPr>
          <w:smallCaps/>
        </w:rPr>
        <w:t>Oliveira S.D., Rodenbusch M.C. Ce, Rocha S.L.S. &amp; Canal C.W.</w:t>
      </w:r>
      <w:r w:rsidRPr="00894810">
        <w:t xml:space="preserve"> (2003). Evaluation of selective and non-selective enrichment PCR procedures for </w:t>
      </w:r>
      <w:r w:rsidRPr="00894810">
        <w:rPr>
          <w:i/>
        </w:rPr>
        <w:t>Salmonella</w:t>
      </w:r>
      <w:r w:rsidRPr="00894810">
        <w:t xml:space="preserve"> detection. </w:t>
      </w:r>
      <w:r w:rsidRPr="00894810">
        <w:rPr>
          <w:i/>
        </w:rPr>
        <w:t>Lett. Appl. Microbiol.</w:t>
      </w:r>
      <w:r w:rsidRPr="00894810">
        <w:t xml:space="preserve">, </w:t>
      </w:r>
      <w:r w:rsidRPr="00894810">
        <w:rPr>
          <w:b/>
        </w:rPr>
        <w:t>36</w:t>
      </w:r>
      <w:r w:rsidRPr="00894810">
        <w:t>, 217–221.</w:t>
      </w:r>
    </w:p>
    <w:p w14:paraId="02EBC868" w14:textId="77777777" w:rsidR="00E83537" w:rsidRPr="00920E5F" w:rsidRDefault="00E83537" w:rsidP="009C1C4F">
      <w:pPr>
        <w:spacing w:after="240" w:line="240" w:lineRule="auto"/>
        <w:rPr>
          <w:rFonts w:ascii="Arial" w:hAnsi="Arial" w:cs="Arial"/>
          <w:strike/>
          <w:color w:val="222222"/>
          <w:sz w:val="18"/>
          <w:szCs w:val="18"/>
          <w:lang w:eastAsia="en-GB"/>
        </w:rPr>
      </w:pPr>
      <w:r w:rsidRPr="00920E5F">
        <w:rPr>
          <w:rFonts w:ascii="Arial" w:hAnsi="Arial" w:cs="Arial"/>
          <w:smallCaps/>
          <w:strike/>
          <w:sz w:val="18"/>
          <w:szCs w:val="18"/>
          <w:lang w:eastAsia="en-GB"/>
        </w:rPr>
        <w:t>Park S.H., Aydin M., Khatiwara A., Dolan M.C., Gilmore D.F., Bouldin J.L., Ahn S. &amp; Ricke S.C. (</w:t>
      </w:r>
      <w:r w:rsidRPr="00920E5F">
        <w:rPr>
          <w:rFonts w:ascii="Arial" w:hAnsi="Arial" w:cs="Arial"/>
          <w:strike/>
          <w:color w:val="222222"/>
          <w:sz w:val="18"/>
          <w:szCs w:val="18"/>
          <w:lang w:eastAsia="en-GB"/>
        </w:rPr>
        <w:t xml:space="preserve">2014). Current and emerging technologies for rapid detection and characterization of </w:t>
      </w:r>
      <w:r w:rsidRPr="00920E5F">
        <w:rPr>
          <w:rFonts w:ascii="Arial" w:hAnsi="Arial" w:cs="Arial"/>
          <w:i/>
          <w:strike/>
          <w:color w:val="222222"/>
          <w:sz w:val="18"/>
          <w:szCs w:val="18"/>
          <w:lang w:eastAsia="en-GB"/>
        </w:rPr>
        <w:t>Salmonella</w:t>
      </w:r>
      <w:r w:rsidRPr="00920E5F">
        <w:rPr>
          <w:rFonts w:ascii="Arial" w:hAnsi="Arial" w:cs="Arial"/>
          <w:strike/>
          <w:color w:val="222222"/>
          <w:sz w:val="18"/>
          <w:szCs w:val="18"/>
          <w:lang w:eastAsia="en-GB"/>
        </w:rPr>
        <w:t xml:space="preserve"> in poultry and poultry products. </w:t>
      </w:r>
      <w:r w:rsidRPr="00920E5F">
        <w:rPr>
          <w:rFonts w:ascii="Arial" w:hAnsi="Arial" w:cs="Arial"/>
          <w:i/>
          <w:iCs/>
          <w:strike/>
          <w:color w:val="222222"/>
          <w:sz w:val="18"/>
          <w:szCs w:val="18"/>
          <w:lang w:eastAsia="en-GB"/>
        </w:rPr>
        <w:t>Food Microbiol.</w:t>
      </w:r>
      <w:r w:rsidRPr="00920E5F">
        <w:rPr>
          <w:rFonts w:ascii="Arial" w:hAnsi="Arial" w:cs="Arial"/>
          <w:strike/>
          <w:color w:val="222222"/>
          <w:sz w:val="18"/>
          <w:szCs w:val="18"/>
          <w:lang w:eastAsia="en-GB"/>
        </w:rPr>
        <w:t xml:space="preserve">, </w:t>
      </w:r>
      <w:r w:rsidRPr="00920E5F">
        <w:rPr>
          <w:rFonts w:ascii="Arial" w:hAnsi="Arial" w:cs="Arial"/>
          <w:b/>
          <w:iCs/>
          <w:strike/>
          <w:color w:val="222222"/>
          <w:sz w:val="18"/>
          <w:szCs w:val="18"/>
          <w:lang w:eastAsia="en-GB"/>
        </w:rPr>
        <w:t>38</w:t>
      </w:r>
      <w:r w:rsidRPr="00920E5F">
        <w:rPr>
          <w:rFonts w:ascii="Arial" w:hAnsi="Arial" w:cs="Arial"/>
          <w:strike/>
          <w:color w:val="222222"/>
          <w:sz w:val="18"/>
          <w:szCs w:val="18"/>
          <w:lang w:eastAsia="en-GB"/>
        </w:rPr>
        <w:t>, 250–262.</w:t>
      </w:r>
    </w:p>
    <w:p w14:paraId="7CB26EAE" w14:textId="77777777" w:rsidR="001F15F0" w:rsidRPr="00657D7F" w:rsidRDefault="001F15F0" w:rsidP="009C1C4F">
      <w:pPr>
        <w:pStyle w:val="paraA0"/>
        <w:rPr>
          <w:strike/>
        </w:rPr>
      </w:pPr>
      <w:r w:rsidRPr="00657D7F">
        <w:rPr>
          <w:smallCaps/>
          <w:strike/>
        </w:rPr>
        <w:t>Park S.H., Jarquin R., Hanning I., Almeida G. &amp; Ricke S.C.</w:t>
      </w:r>
      <w:r w:rsidRPr="00657D7F">
        <w:rPr>
          <w:strike/>
        </w:rPr>
        <w:t xml:space="preserve"> (2011). Detection of </w:t>
      </w:r>
      <w:r w:rsidRPr="00657D7F">
        <w:rPr>
          <w:i/>
          <w:strike/>
        </w:rPr>
        <w:t xml:space="preserve">Salmonella </w:t>
      </w:r>
      <w:r w:rsidRPr="00657D7F">
        <w:rPr>
          <w:strike/>
        </w:rPr>
        <w:t xml:space="preserve">spp. survival and virulence in poultry feed by targeting the </w:t>
      </w:r>
      <w:r w:rsidRPr="00657D7F">
        <w:rPr>
          <w:i/>
          <w:strike/>
        </w:rPr>
        <w:t xml:space="preserve">hilA </w:t>
      </w:r>
      <w:r w:rsidRPr="00657D7F">
        <w:rPr>
          <w:strike/>
        </w:rPr>
        <w:t xml:space="preserve">gene. </w:t>
      </w:r>
      <w:r w:rsidRPr="00657D7F">
        <w:rPr>
          <w:i/>
          <w:strike/>
        </w:rPr>
        <w:t>J. Appl. Microbiol</w:t>
      </w:r>
      <w:r w:rsidRPr="00657D7F">
        <w:rPr>
          <w:strike/>
        </w:rPr>
        <w:t xml:space="preserve">., </w:t>
      </w:r>
      <w:r w:rsidRPr="00657D7F">
        <w:rPr>
          <w:b/>
          <w:strike/>
        </w:rPr>
        <w:t>111</w:t>
      </w:r>
      <w:r w:rsidRPr="00657D7F">
        <w:rPr>
          <w:strike/>
        </w:rPr>
        <w:t>, 426–432.</w:t>
      </w:r>
    </w:p>
    <w:p w14:paraId="644D12ED" w14:textId="77777777" w:rsidR="008D66F9" w:rsidRPr="00657D7F" w:rsidRDefault="008D66F9" w:rsidP="009C1C4F">
      <w:pPr>
        <w:pStyle w:val="Ref"/>
        <w:ind w:left="0" w:firstLine="0"/>
        <w:rPr>
          <w:strike/>
        </w:rPr>
      </w:pPr>
      <w:r w:rsidRPr="00494B2C">
        <w:rPr>
          <w:smallCaps/>
          <w:strike/>
        </w:rPr>
        <w:t xml:space="preserve">Piknova L., Kaclikova E., Pangallo D., Polek B. &amp; Kuchta T. (2005). </w:t>
      </w:r>
      <w:r w:rsidRPr="00657D7F">
        <w:rPr>
          <w:strike/>
        </w:rPr>
        <w:t xml:space="preserve">Quantification of </w:t>
      </w:r>
      <w:r w:rsidRPr="00657D7F">
        <w:rPr>
          <w:i/>
          <w:iCs/>
          <w:strike/>
        </w:rPr>
        <w:t>Salmonella</w:t>
      </w:r>
      <w:r w:rsidRPr="00657D7F">
        <w:rPr>
          <w:strike/>
        </w:rPr>
        <w:t xml:space="preserve"> by 5’-nuclease real-time polymerase chain reaction targeted to fimC gene. </w:t>
      </w:r>
      <w:r w:rsidRPr="00657D7F">
        <w:rPr>
          <w:i/>
          <w:iCs/>
          <w:strike/>
        </w:rPr>
        <w:t xml:space="preserve">Curr. Microbiol., </w:t>
      </w:r>
      <w:r w:rsidRPr="00657D7F">
        <w:rPr>
          <w:b/>
          <w:bCs/>
          <w:strike/>
        </w:rPr>
        <w:t>50</w:t>
      </w:r>
      <w:r w:rsidRPr="00657D7F">
        <w:rPr>
          <w:strike/>
        </w:rPr>
        <w:t>, 38</w:t>
      </w:r>
      <w:r w:rsidRPr="00657D7F">
        <w:rPr>
          <w:iCs/>
          <w:strike/>
        </w:rPr>
        <w:t>–</w:t>
      </w:r>
      <w:r w:rsidRPr="00657D7F">
        <w:rPr>
          <w:strike/>
        </w:rPr>
        <w:t>42.</w:t>
      </w:r>
    </w:p>
    <w:p w14:paraId="7BDC08E7" w14:textId="77777777" w:rsidR="008D66F9" w:rsidRPr="00657D7F" w:rsidRDefault="008D66F9" w:rsidP="009C1C4F">
      <w:pPr>
        <w:pStyle w:val="Ref"/>
        <w:ind w:left="0" w:firstLine="0"/>
        <w:rPr>
          <w:strike/>
        </w:rPr>
      </w:pPr>
      <w:r w:rsidRPr="00657D7F">
        <w:rPr>
          <w:smallCaps/>
          <w:strike/>
        </w:rPr>
        <w:t xml:space="preserve">Porwollik S., Boyd E.F., Choy C., Cheng P., Florea L., Proctor E. &amp; McClelland M. (2004). </w:t>
      </w:r>
      <w:r w:rsidRPr="00657D7F">
        <w:rPr>
          <w:strike/>
        </w:rPr>
        <w:t xml:space="preserve">Characterization of </w:t>
      </w:r>
      <w:r w:rsidRPr="00657D7F">
        <w:rPr>
          <w:i/>
          <w:iCs/>
          <w:strike/>
        </w:rPr>
        <w:t xml:space="preserve">Salmonella enterica </w:t>
      </w:r>
      <w:r w:rsidRPr="00657D7F">
        <w:rPr>
          <w:strike/>
        </w:rPr>
        <w:t xml:space="preserve">subspecies I genovars by use of microarrays. </w:t>
      </w:r>
      <w:r w:rsidRPr="00657D7F">
        <w:rPr>
          <w:i/>
          <w:iCs/>
          <w:strike/>
        </w:rPr>
        <w:t>J. Bacteriol.,</w:t>
      </w:r>
      <w:r w:rsidRPr="00657D7F">
        <w:rPr>
          <w:strike/>
        </w:rPr>
        <w:t xml:space="preserve"> </w:t>
      </w:r>
      <w:r w:rsidRPr="00657D7F">
        <w:rPr>
          <w:b/>
          <w:bCs/>
          <w:strike/>
        </w:rPr>
        <w:t>186</w:t>
      </w:r>
      <w:r w:rsidRPr="00657D7F">
        <w:rPr>
          <w:strike/>
        </w:rPr>
        <w:t>, 5883</w:t>
      </w:r>
      <w:r w:rsidRPr="00657D7F">
        <w:rPr>
          <w:iCs/>
          <w:strike/>
        </w:rPr>
        <w:t>–</w:t>
      </w:r>
      <w:r w:rsidRPr="00657D7F">
        <w:rPr>
          <w:strike/>
        </w:rPr>
        <w:t>5898.</w:t>
      </w:r>
    </w:p>
    <w:p w14:paraId="434E7AF5" w14:textId="77777777" w:rsidR="008D66F9" w:rsidRPr="00657D7F" w:rsidRDefault="008D66F9" w:rsidP="009C1C4F">
      <w:pPr>
        <w:pStyle w:val="Ref"/>
        <w:ind w:left="0" w:firstLine="0"/>
        <w:rPr>
          <w:strike/>
          <w:lang w:val="en-US"/>
        </w:rPr>
      </w:pPr>
      <w:r w:rsidRPr="00657D7F">
        <w:rPr>
          <w:smallCaps/>
          <w:strike/>
          <w:lang w:val="en-US"/>
        </w:rPr>
        <w:t>Rasooly A. &amp; Herold K.E.</w:t>
      </w:r>
      <w:r w:rsidRPr="00657D7F">
        <w:rPr>
          <w:strike/>
          <w:lang w:val="en-US"/>
        </w:rPr>
        <w:t xml:space="preserve"> (2008). Food microbial pathogen detection and analysis using DNA microarray technologies. </w:t>
      </w:r>
      <w:r w:rsidRPr="00657D7F">
        <w:rPr>
          <w:i/>
          <w:iCs/>
          <w:strike/>
          <w:lang w:val="en-US"/>
        </w:rPr>
        <w:t>Foodborne Pathog. Dis.</w:t>
      </w:r>
      <w:r w:rsidRPr="00657D7F">
        <w:rPr>
          <w:strike/>
          <w:lang w:val="en-US"/>
        </w:rPr>
        <w:t xml:space="preserve">, </w:t>
      </w:r>
      <w:r w:rsidRPr="00657D7F">
        <w:rPr>
          <w:b/>
          <w:bCs/>
          <w:strike/>
          <w:lang w:val="en-US"/>
        </w:rPr>
        <w:t>5</w:t>
      </w:r>
      <w:r w:rsidRPr="00657D7F">
        <w:rPr>
          <w:strike/>
          <w:lang w:val="en-US"/>
        </w:rPr>
        <w:t>, 531–</w:t>
      </w:r>
      <w:r w:rsidR="00F9338E" w:rsidRPr="00657D7F">
        <w:rPr>
          <w:strike/>
          <w:lang w:val="en-US"/>
        </w:rPr>
        <w:t>5</w:t>
      </w:r>
      <w:r w:rsidRPr="00657D7F">
        <w:rPr>
          <w:strike/>
          <w:lang w:val="en-US"/>
        </w:rPr>
        <w:t>50.</w:t>
      </w:r>
    </w:p>
    <w:p w14:paraId="34CFD85B" w14:textId="77777777" w:rsidR="008D66F9" w:rsidRPr="00657D7F" w:rsidRDefault="008D66F9" w:rsidP="009C1C4F">
      <w:pPr>
        <w:pStyle w:val="Ref"/>
        <w:ind w:left="0" w:firstLine="0"/>
        <w:rPr>
          <w:strike/>
        </w:rPr>
      </w:pPr>
      <w:r w:rsidRPr="00657D7F">
        <w:rPr>
          <w:smallCaps/>
          <w:strike/>
        </w:rPr>
        <w:t>Reissbrodt R.</w:t>
      </w:r>
      <w:r w:rsidRPr="00657D7F">
        <w:rPr>
          <w:strike/>
        </w:rPr>
        <w:t xml:space="preserve"> (1995). Conventional and alternative methods for isolation and identification of </w:t>
      </w:r>
      <w:r w:rsidRPr="00657D7F">
        <w:rPr>
          <w:i/>
          <w:strike/>
        </w:rPr>
        <w:t xml:space="preserve">Salmonella – </w:t>
      </w:r>
      <w:r w:rsidRPr="00657D7F">
        <w:rPr>
          <w:strike/>
        </w:rPr>
        <w:t xml:space="preserve">an overview. </w:t>
      </w:r>
      <w:r w:rsidRPr="00657D7F">
        <w:rPr>
          <w:i/>
          <w:strike/>
        </w:rPr>
        <w:t>Biotest Bull.,</w:t>
      </w:r>
      <w:r w:rsidRPr="00657D7F">
        <w:rPr>
          <w:strike/>
        </w:rPr>
        <w:t xml:space="preserve"> </w:t>
      </w:r>
      <w:r w:rsidRPr="00657D7F">
        <w:rPr>
          <w:b/>
          <w:strike/>
        </w:rPr>
        <w:t>5,</w:t>
      </w:r>
      <w:r w:rsidRPr="00657D7F">
        <w:rPr>
          <w:strike/>
        </w:rPr>
        <w:t xml:space="preserve"> 143–156.</w:t>
      </w:r>
    </w:p>
    <w:p w14:paraId="2A73F561" w14:textId="16260D96" w:rsidR="00E83537" w:rsidRPr="002B544E" w:rsidRDefault="00402968" w:rsidP="009C1C4F">
      <w:pPr>
        <w:pStyle w:val="CommentText"/>
        <w:spacing w:after="240" w:line="240" w:lineRule="auto"/>
        <w:rPr>
          <w:rFonts w:ascii="Arial" w:hAnsi="Arial" w:cs="Arial"/>
          <w:color w:val="222222"/>
          <w:sz w:val="18"/>
          <w:szCs w:val="18"/>
          <w:u w:val="double"/>
          <w:shd w:val="clear" w:color="auto" w:fill="FFFFFF"/>
          <w:lang w:val="fr-FR"/>
        </w:rPr>
      </w:pPr>
      <w:r w:rsidRPr="00F53EE8">
        <w:rPr>
          <w:rFonts w:ascii="Arial" w:hAnsi="Arial" w:cs="Arial"/>
          <w:smallCaps/>
          <w:color w:val="222222"/>
          <w:sz w:val="18"/>
          <w:szCs w:val="18"/>
          <w:u w:val="double"/>
          <w:shd w:val="clear" w:color="auto" w:fill="FFFFFF"/>
        </w:rPr>
        <w:t>Redweik G.A., Jochum J. &amp; Mellata M.</w:t>
      </w:r>
      <w:r w:rsidRPr="00F53EE8">
        <w:rPr>
          <w:rFonts w:ascii="Arial" w:hAnsi="Arial" w:cs="Arial"/>
          <w:color w:val="222222"/>
          <w:sz w:val="18"/>
          <w:szCs w:val="18"/>
          <w:u w:val="double"/>
          <w:shd w:val="clear" w:color="auto" w:fill="FFFFFF"/>
        </w:rPr>
        <w:t xml:space="preserve"> (</w:t>
      </w:r>
      <w:r w:rsidR="00E83537" w:rsidRPr="00F53EE8">
        <w:rPr>
          <w:rFonts w:ascii="Arial" w:hAnsi="Arial" w:cs="Arial"/>
          <w:color w:val="222222"/>
          <w:sz w:val="18"/>
          <w:szCs w:val="18"/>
          <w:u w:val="double"/>
          <w:shd w:val="clear" w:color="auto" w:fill="FFFFFF"/>
        </w:rPr>
        <w:t>2020</w:t>
      </w:r>
      <w:r w:rsidRPr="00F53EE8">
        <w:rPr>
          <w:rFonts w:ascii="Arial" w:hAnsi="Arial" w:cs="Arial"/>
          <w:color w:val="222222"/>
          <w:sz w:val="18"/>
          <w:szCs w:val="18"/>
          <w:u w:val="double"/>
          <w:shd w:val="clear" w:color="auto" w:fill="FFFFFF"/>
        </w:rPr>
        <w:t>)</w:t>
      </w:r>
      <w:r w:rsidR="00E83537" w:rsidRPr="00F53EE8">
        <w:rPr>
          <w:rFonts w:ascii="Arial" w:hAnsi="Arial" w:cs="Arial"/>
          <w:color w:val="222222"/>
          <w:sz w:val="18"/>
          <w:szCs w:val="18"/>
          <w:u w:val="double"/>
          <w:shd w:val="clear" w:color="auto" w:fill="FFFFFF"/>
        </w:rPr>
        <w:t>. Live Bacterial Prophylactics in Modern Poultry.</w:t>
      </w:r>
      <w:r w:rsidRPr="00F53EE8">
        <w:rPr>
          <w:rFonts w:ascii="Arial" w:hAnsi="Arial" w:cs="Arial"/>
          <w:color w:val="222222"/>
          <w:sz w:val="18"/>
          <w:szCs w:val="18"/>
          <w:u w:val="double"/>
          <w:shd w:val="clear" w:color="auto" w:fill="FFFFFF"/>
        </w:rPr>
        <w:t xml:space="preserve"> </w:t>
      </w:r>
      <w:r w:rsidR="00E83537" w:rsidRPr="002B544E">
        <w:rPr>
          <w:rFonts w:ascii="Arial" w:hAnsi="Arial" w:cs="Arial"/>
          <w:i/>
          <w:iCs/>
          <w:color w:val="222222"/>
          <w:sz w:val="18"/>
          <w:szCs w:val="18"/>
          <w:u w:val="double"/>
          <w:shd w:val="clear" w:color="auto" w:fill="FFFFFF"/>
          <w:lang w:val="fr-FR"/>
        </w:rPr>
        <w:t>Front</w:t>
      </w:r>
      <w:r w:rsidRPr="002B544E">
        <w:rPr>
          <w:rFonts w:ascii="Arial" w:hAnsi="Arial" w:cs="Arial"/>
          <w:i/>
          <w:iCs/>
          <w:color w:val="222222"/>
          <w:sz w:val="18"/>
          <w:szCs w:val="18"/>
          <w:u w:val="double"/>
          <w:shd w:val="clear" w:color="auto" w:fill="FFFFFF"/>
          <w:lang w:val="fr-FR"/>
        </w:rPr>
        <w:t>.</w:t>
      </w:r>
      <w:r w:rsidR="00E83537" w:rsidRPr="002B544E">
        <w:rPr>
          <w:rFonts w:ascii="Arial" w:hAnsi="Arial" w:cs="Arial"/>
          <w:i/>
          <w:iCs/>
          <w:color w:val="222222"/>
          <w:sz w:val="18"/>
          <w:szCs w:val="18"/>
          <w:u w:val="double"/>
          <w:shd w:val="clear" w:color="auto" w:fill="FFFFFF"/>
          <w:lang w:val="fr-FR"/>
        </w:rPr>
        <w:t xml:space="preserve"> Vet</w:t>
      </w:r>
      <w:r w:rsidRPr="002B544E">
        <w:rPr>
          <w:rFonts w:ascii="Arial" w:hAnsi="Arial" w:cs="Arial"/>
          <w:i/>
          <w:iCs/>
          <w:color w:val="222222"/>
          <w:sz w:val="18"/>
          <w:szCs w:val="18"/>
          <w:u w:val="double"/>
          <w:shd w:val="clear" w:color="auto" w:fill="FFFFFF"/>
          <w:lang w:val="fr-FR"/>
        </w:rPr>
        <w:t>.</w:t>
      </w:r>
      <w:r w:rsidR="00E83537" w:rsidRPr="002B544E">
        <w:rPr>
          <w:rFonts w:ascii="Arial" w:hAnsi="Arial" w:cs="Arial"/>
          <w:i/>
          <w:iCs/>
          <w:color w:val="222222"/>
          <w:sz w:val="18"/>
          <w:szCs w:val="18"/>
          <w:u w:val="double"/>
          <w:shd w:val="clear" w:color="auto" w:fill="FFFFFF"/>
          <w:lang w:val="fr-FR"/>
        </w:rPr>
        <w:t xml:space="preserve"> Sc</w:t>
      </w:r>
      <w:r w:rsidRPr="002B544E">
        <w:rPr>
          <w:rFonts w:ascii="Arial" w:hAnsi="Arial" w:cs="Arial"/>
          <w:i/>
          <w:iCs/>
          <w:color w:val="222222"/>
          <w:sz w:val="18"/>
          <w:szCs w:val="18"/>
          <w:u w:val="double"/>
          <w:shd w:val="clear" w:color="auto" w:fill="FFFFFF"/>
          <w:lang w:val="fr-FR"/>
        </w:rPr>
        <w:t>i.</w:t>
      </w:r>
      <w:r w:rsidR="00E83537" w:rsidRPr="002B544E">
        <w:rPr>
          <w:rFonts w:ascii="Arial" w:hAnsi="Arial" w:cs="Arial"/>
          <w:color w:val="222222"/>
          <w:sz w:val="18"/>
          <w:szCs w:val="18"/>
          <w:u w:val="double"/>
          <w:shd w:val="clear" w:color="auto" w:fill="FFFFFF"/>
          <w:lang w:val="fr-FR"/>
        </w:rPr>
        <w:t>,</w:t>
      </w:r>
      <w:r w:rsidR="008D79C7" w:rsidRPr="002B544E">
        <w:rPr>
          <w:rFonts w:ascii="Arial" w:hAnsi="Arial" w:cs="Arial"/>
          <w:color w:val="222222"/>
          <w:sz w:val="18"/>
          <w:szCs w:val="18"/>
          <w:u w:val="double"/>
          <w:shd w:val="clear" w:color="auto" w:fill="FFFFFF"/>
          <w:lang w:val="fr-FR"/>
        </w:rPr>
        <w:t xml:space="preserve"> </w:t>
      </w:r>
      <w:r w:rsidR="00E83537" w:rsidRPr="002B544E">
        <w:rPr>
          <w:rFonts w:ascii="Arial" w:hAnsi="Arial" w:cs="Arial"/>
          <w:b/>
          <w:bCs/>
          <w:color w:val="222222"/>
          <w:sz w:val="18"/>
          <w:szCs w:val="18"/>
          <w:u w:val="double"/>
          <w:shd w:val="clear" w:color="auto" w:fill="FFFFFF"/>
          <w:lang w:val="fr-FR"/>
        </w:rPr>
        <w:t>7</w:t>
      </w:r>
      <w:r w:rsidR="00E83537" w:rsidRPr="002B544E">
        <w:rPr>
          <w:rFonts w:ascii="Arial" w:hAnsi="Arial" w:cs="Arial"/>
          <w:color w:val="222222"/>
          <w:sz w:val="18"/>
          <w:szCs w:val="18"/>
          <w:u w:val="double"/>
          <w:shd w:val="clear" w:color="auto" w:fill="FFFFFF"/>
          <w:lang w:val="fr-FR"/>
        </w:rPr>
        <w:t>, 826.</w:t>
      </w:r>
    </w:p>
    <w:p w14:paraId="692A3556" w14:textId="0CAB41AE" w:rsidR="00E83537" w:rsidRPr="00386DB3" w:rsidRDefault="00402968" w:rsidP="009C1C4F">
      <w:pPr>
        <w:pStyle w:val="Ref"/>
        <w:ind w:left="0" w:firstLine="0"/>
        <w:rPr>
          <w:u w:val="double"/>
        </w:rPr>
      </w:pPr>
      <w:r w:rsidRPr="002B544E">
        <w:rPr>
          <w:smallCaps/>
          <w:color w:val="222222"/>
          <w:u w:val="double"/>
          <w:shd w:val="clear" w:color="auto" w:fill="FFFFFF"/>
          <w:lang w:val="fr-FR"/>
        </w:rPr>
        <w:t>Tang Y., Davies R. &amp; Petrovska-Holmes L</w:t>
      </w:r>
      <w:r w:rsidR="00E83537" w:rsidRPr="002B544E">
        <w:rPr>
          <w:color w:val="222222"/>
          <w:u w:val="double"/>
          <w:shd w:val="clear" w:color="auto" w:fill="FFFFFF"/>
          <w:lang w:val="fr-FR"/>
        </w:rPr>
        <w:t xml:space="preserve">. </w:t>
      </w:r>
      <w:r w:rsidRPr="002B544E">
        <w:rPr>
          <w:color w:val="222222"/>
          <w:u w:val="double"/>
          <w:shd w:val="clear" w:color="auto" w:fill="FFFFFF"/>
          <w:lang w:val="fr-FR"/>
        </w:rPr>
        <w:t>(</w:t>
      </w:r>
      <w:r w:rsidR="00E83537" w:rsidRPr="002B544E">
        <w:rPr>
          <w:color w:val="222222"/>
          <w:u w:val="double"/>
          <w:shd w:val="clear" w:color="auto" w:fill="FFFFFF"/>
          <w:lang w:val="fr-FR"/>
        </w:rPr>
        <w:t>2019</w:t>
      </w:r>
      <w:r w:rsidRPr="002B544E">
        <w:rPr>
          <w:color w:val="222222"/>
          <w:u w:val="double"/>
          <w:shd w:val="clear" w:color="auto" w:fill="FFFFFF"/>
          <w:lang w:val="fr-FR"/>
        </w:rPr>
        <w:t>)</w:t>
      </w:r>
      <w:r w:rsidR="00E83537" w:rsidRPr="002B544E">
        <w:rPr>
          <w:color w:val="222222"/>
          <w:u w:val="double"/>
          <w:shd w:val="clear" w:color="auto" w:fill="FFFFFF"/>
          <w:lang w:val="fr-FR"/>
        </w:rPr>
        <w:t xml:space="preserve">. </w:t>
      </w:r>
      <w:r w:rsidR="00386DB3" w:rsidRPr="00386DB3">
        <w:rPr>
          <w:u w:val="double"/>
        </w:rPr>
        <w:t xml:space="preserve">Identification of Genetic Features for Attenuation of Two </w:t>
      </w:r>
      <w:r w:rsidR="00386DB3" w:rsidRPr="00386DB3">
        <w:rPr>
          <w:i/>
          <w:iCs/>
          <w:u w:val="double"/>
        </w:rPr>
        <w:t>Salmonella</w:t>
      </w:r>
      <w:r w:rsidR="00386DB3" w:rsidRPr="00386DB3">
        <w:rPr>
          <w:u w:val="double"/>
        </w:rPr>
        <w:t xml:space="preserve"> Enteritidis Vaccine Strains and Differentiation of These From Wildtype Isolates Using Whole Genome Sequencing</w:t>
      </w:r>
      <w:r w:rsidR="00E83537" w:rsidRPr="00386DB3">
        <w:rPr>
          <w:color w:val="222222"/>
          <w:u w:val="double"/>
          <w:shd w:val="clear" w:color="auto" w:fill="FFFFFF"/>
        </w:rPr>
        <w:t>.</w:t>
      </w:r>
      <w:r w:rsidRPr="00386DB3">
        <w:rPr>
          <w:color w:val="222222"/>
          <w:u w:val="double"/>
          <w:shd w:val="clear" w:color="auto" w:fill="FFFFFF"/>
        </w:rPr>
        <w:t xml:space="preserve"> </w:t>
      </w:r>
      <w:r w:rsidR="00E83537" w:rsidRPr="00386DB3">
        <w:rPr>
          <w:i/>
          <w:iCs/>
          <w:color w:val="222222"/>
          <w:u w:val="double"/>
          <w:shd w:val="clear" w:color="auto" w:fill="FFFFFF"/>
        </w:rPr>
        <w:t>Front</w:t>
      </w:r>
      <w:r w:rsidRPr="00386DB3">
        <w:rPr>
          <w:i/>
          <w:iCs/>
          <w:color w:val="222222"/>
          <w:u w:val="double"/>
          <w:shd w:val="clear" w:color="auto" w:fill="FFFFFF"/>
        </w:rPr>
        <w:t>.</w:t>
      </w:r>
      <w:r w:rsidR="00E83537" w:rsidRPr="00386DB3">
        <w:rPr>
          <w:i/>
          <w:iCs/>
          <w:color w:val="222222"/>
          <w:u w:val="double"/>
          <w:shd w:val="clear" w:color="auto" w:fill="FFFFFF"/>
        </w:rPr>
        <w:t xml:space="preserve"> Vet</w:t>
      </w:r>
      <w:r w:rsidRPr="00386DB3">
        <w:rPr>
          <w:i/>
          <w:iCs/>
          <w:color w:val="222222"/>
          <w:u w:val="double"/>
          <w:shd w:val="clear" w:color="auto" w:fill="FFFFFF"/>
        </w:rPr>
        <w:t>.</w:t>
      </w:r>
      <w:r w:rsidR="00E83537" w:rsidRPr="00386DB3">
        <w:rPr>
          <w:i/>
          <w:iCs/>
          <w:color w:val="222222"/>
          <w:u w:val="double"/>
          <w:shd w:val="clear" w:color="auto" w:fill="FFFFFF"/>
        </w:rPr>
        <w:t xml:space="preserve"> Sci</w:t>
      </w:r>
      <w:r w:rsidRPr="00386DB3">
        <w:rPr>
          <w:i/>
          <w:iCs/>
          <w:color w:val="222222"/>
          <w:u w:val="double"/>
          <w:shd w:val="clear" w:color="auto" w:fill="FFFFFF"/>
        </w:rPr>
        <w:t>.</w:t>
      </w:r>
      <w:r w:rsidR="00E83537" w:rsidRPr="00386DB3">
        <w:rPr>
          <w:color w:val="222222"/>
          <w:u w:val="double"/>
          <w:shd w:val="clear" w:color="auto" w:fill="FFFFFF"/>
        </w:rPr>
        <w:t>,</w:t>
      </w:r>
      <w:r w:rsidR="008D79C7" w:rsidRPr="00386DB3">
        <w:rPr>
          <w:color w:val="222222"/>
          <w:u w:val="double"/>
          <w:shd w:val="clear" w:color="auto" w:fill="FFFFFF"/>
        </w:rPr>
        <w:t xml:space="preserve"> </w:t>
      </w:r>
      <w:r w:rsidR="00E83537" w:rsidRPr="00386DB3">
        <w:rPr>
          <w:b/>
          <w:bCs/>
          <w:color w:val="222222"/>
          <w:u w:val="double"/>
          <w:shd w:val="clear" w:color="auto" w:fill="FFFFFF"/>
        </w:rPr>
        <w:t>6</w:t>
      </w:r>
      <w:r w:rsidR="00E83537" w:rsidRPr="00386DB3">
        <w:rPr>
          <w:color w:val="222222"/>
          <w:u w:val="double"/>
          <w:shd w:val="clear" w:color="auto" w:fill="FFFFFF"/>
        </w:rPr>
        <w:t>, 447.</w:t>
      </w:r>
    </w:p>
    <w:p w14:paraId="134D1550" w14:textId="63AA2353" w:rsidR="00E83537" w:rsidRPr="00AD6DBC" w:rsidRDefault="00E83537" w:rsidP="009C1C4F">
      <w:pPr>
        <w:pStyle w:val="Ref"/>
        <w:ind w:left="0" w:firstLine="0"/>
        <w:rPr>
          <w:lang w:val="en-US"/>
        </w:rPr>
      </w:pPr>
      <w:r w:rsidRPr="00AD6DBC">
        <w:rPr>
          <w:smallCaps/>
          <w:lang w:val="en-US"/>
        </w:rPr>
        <w:t>Thomson N.R., Clayton D.J., Windhorst D., Vernikos G., Davidson S., Churcher C., Quail M.A., Stevens M., Jones M.A., Watson M., Barron A., Layton A., Pickard D., Kingsley R.A., Bignell A., Clark L., Harris B., Ormond D., Abdellah Z., Brooks K., Cherevach I., Chillingworth T., Woodward J., Norberczak H., Lord A., Arrowsmith C., Jagels K., Moule S., Mungall K., Sanders M., Whitehead S., Chabalgoity J.A., Maskell D., Humphrey T., Roberts M., Barrow P.A., Dougan G. &amp; Parkhill J.</w:t>
      </w:r>
      <w:r w:rsidRPr="00AD6DBC">
        <w:rPr>
          <w:lang w:val="en-US"/>
        </w:rPr>
        <w:t xml:space="preserve"> (2008). Comparative genome analysis of </w:t>
      </w:r>
      <w:r w:rsidRPr="00AD6DBC">
        <w:rPr>
          <w:i/>
          <w:lang w:val="en-US"/>
        </w:rPr>
        <w:t xml:space="preserve">Salmonella </w:t>
      </w:r>
      <w:r w:rsidR="003F54B6" w:rsidRPr="00AD6DBC">
        <w:rPr>
          <w:i/>
          <w:lang w:val="en-US"/>
        </w:rPr>
        <w:t>e</w:t>
      </w:r>
      <w:r w:rsidR="00100ADE" w:rsidRPr="00AD6DBC">
        <w:rPr>
          <w:i/>
          <w:lang w:val="en-US"/>
        </w:rPr>
        <w:t xml:space="preserve">nteritidis </w:t>
      </w:r>
      <w:r w:rsidRPr="00AD6DBC">
        <w:rPr>
          <w:lang w:val="en-US"/>
        </w:rPr>
        <w:t xml:space="preserve">Pt4 and </w:t>
      </w:r>
      <w:r w:rsidRPr="00AD6DBC">
        <w:rPr>
          <w:i/>
          <w:lang w:val="en-US"/>
        </w:rPr>
        <w:t>Salmonella</w:t>
      </w:r>
      <w:r w:rsidRPr="00AD6DBC">
        <w:rPr>
          <w:lang w:val="en-US"/>
        </w:rPr>
        <w:t xml:space="preserve"> Gallinarum 287/91 provides insights into evolutionary and host adaptation pathways. </w:t>
      </w:r>
      <w:r w:rsidRPr="00AD6DBC">
        <w:rPr>
          <w:i/>
          <w:iCs/>
          <w:lang w:val="en-US"/>
        </w:rPr>
        <w:t>Genome Res.</w:t>
      </w:r>
      <w:r w:rsidRPr="00AD6DBC">
        <w:rPr>
          <w:lang w:val="en-US"/>
        </w:rPr>
        <w:t xml:space="preserve">, </w:t>
      </w:r>
      <w:r w:rsidRPr="00AD6DBC">
        <w:rPr>
          <w:b/>
          <w:bCs/>
          <w:lang w:val="en-US"/>
        </w:rPr>
        <w:t>18</w:t>
      </w:r>
      <w:r w:rsidRPr="00AD6DBC">
        <w:rPr>
          <w:lang w:val="en-US"/>
        </w:rPr>
        <w:t>, 1624–1637.</w:t>
      </w:r>
    </w:p>
    <w:p w14:paraId="42E6B8DE" w14:textId="7BD35633" w:rsidR="00E83537" w:rsidRPr="007610CB" w:rsidRDefault="00402968" w:rsidP="009C1C4F">
      <w:pPr>
        <w:pStyle w:val="metadata--citation"/>
        <w:shd w:val="clear" w:color="auto" w:fill="FFFFFF"/>
        <w:spacing w:before="0" w:beforeAutospacing="0" w:after="240" w:afterAutospacing="0"/>
        <w:textAlignment w:val="baseline"/>
        <w:rPr>
          <w:rStyle w:val="metadata--pmid"/>
          <w:rFonts w:ascii="Arial" w:hAnsi="Arial" w:cs="Arial"/>
          <w:color w:val="494949"/>
          <w:sz w:val="18"/>
          <w:szCs w:val="18"/>
          <w:u w:val="double"/>
          <w:bdr w:val="none" w:sz="0" w:space="0" w:color="auto" w:frame="1"/>
        </w:rPr>
      </w:pPr>
      <w:r w:rsidRPr="002B544E">
        <w:rPr>
          <w:rFonts w:ascii="Arial" w:hAnsi="Arial" w:cs="Arial"/>
          <w:smallCaps/>
          <w:color w:val="222222"/>
          <w:sz w:val="18"/>
          <w:szCs w:val="18"/>
          <w:u w:val="double"/>
          <w:shd w:val="clear" w:color="auto" w:fill="FFFFFF"/>
          <w:lang w:val="en-IE"/>
        </w:rPr>
        <w:lastRenderedPageBreak/>
        <w:t>Van Der Heijden H.M.J.F.</w:t>
      </w:r>
      <w:r w:rsidRPr="002B544E">
        <w:rPr>
          <w:rFonts w:ascii="Arial" w:hAnsi="Arial" w:cs="Arial"/>
          <w:color w:val="222222"/>
          <w:sz w:val="18"/>
          <w:szCs w:val="18"/>
          <w:u w:val="double"/>
          <w:shd w:val="clear" w:color="auto" w:fill="FFFFFF"/>
          <w:lang w:val="en-IE"/>
        </w:rPr>
        <w:t xml:space="preserve"> (</w:t>
      </w:r>
      <w:r w:rsidR="00E83537" w:rsidRPr="002B544E">
        <w:rPr>
          <w:rFonts w:ascii="Arial" w:hAnsi="Arial" w:cs="Arial"/>
          <w:color w:val="222222"/>
          <w:sz w:val="18"/>
          <w:szCs w:val="18"/>
          <w:u w:val="double"/>
          <w:shd w:val="clear" w:color="auto" w:fill="FFFFFF"/>
          <w:lang w:val="en-IE"/>
        </w:rPr>
        <w:t>2001</w:t>
      </w:r>
      <w:r w:rsidRPr="002B544E">
        <w:rPr>
          <w:rFonts w:ascii="Arial" w:hAnsi="Arial" w:cs="Arial"/>
          <w:color w:val="222222"/>
          <w:sz w:val="18"/>
          <w:szCs w:val="18"/>
          <w:u w:val="double"/>
          <w:shd w:val="clear" w:color="auto" w:fill="FFFFFF"/>
          <w:lang w:val="en-IE"/>
        </w:rPr>
        <w:t>)</w:t>
      </w:r>
      <w:r w:rsidR="00E83537" w:rsidRPr="002B544E">
        <w:rPr>
          <w:rFonts w:ascii="Arial" w:hAnsi="Arial" w:cs="Arial"/>
          <w:color w:val="222222"/>
          <w:sz w:val="18"/>
          <w:szCs w:val="18"/>
          <w:u w:val="double"/>
          <w:shd w:val="clear" w:color="auto" w:fill="FFFFFF"/>
          <w:lang w:val="en-IE"/>
        </w:rPr>
        <w:t xml:space="preserve">. </w:t>
      </w:r>
      <w:r w:rsidR="00E83537" w:rsidRPr="007610CB">
        <w:rPr>
          <w:rFonts w:ascii="Arial" w:hAnsi="Arial" w:cs="Arial"/>
          <w:color w:val="222222"/>
          <w:sz w:val="18"/>
          <w:szCs w:val="18"/>
          <w:u w:val="double"/>
          <w:shd w:val="clear" w:color="auto" w:fill="FFFFFF"/>
        </w:rPr>
        <w:t xml:space="preserve">First international ring trial of ELISAs for Salmonella-antibody detection in swine. </w:t>
      </w:r>
      <w:r w:rsidR="00E83537" w:rsidRPr="007610CB">
        <w:rPr>
          <w:rStyle w:val="metadata--source-title"/>
          <w:rFonts w:ascii="Arial" w:hAnsi="Arial" w:cs="Arial"/>
          <w:bCs/>
          <w:i/>
          <w:iCs/>
          <w:color w:val="494949"/>
          <w:sz w:val="18"/>
          <w:szCs w:val="18"/>
          <w:u w:val="double"/>
          <w:bdr w:val="none" w:sz="0" w:space="0" w:color="auto" w:frame="1"/>
        </w:rPr>
        <w:t>Berl</w:t>
      </w:r>
      <w:r w:rsidR="007610CB" w:rsidRPr="007610CB">
        <w:rPr>
          <w:rStyle w:val="metadata--source-title"/>
          <w:rFonts w:ascii="Arial" w:hAnsi="Arial" w:cs="Arial"/>
          <w:bCs/>
          <w:i/>
          <w:iCs/>
          <w:color w:val="494949"/>
          <w:sz w:val="18"/>
          <w:szCs w:val="18"/>
          <w:u w:val="double"/>
          <w:bdr w:val="none" w:sz="0" w:space="0" w:color="auto" w:frame="1"/>
        </w:rPr>
        <w:t>.</w:t>
      </w:r>
      <w:r w:rsidR="00E83537" w:rsidRPr="007610CB">
        <w:rPr>
          <w:rStyle w:val="metadata--source-title"/>
          <w:rFonts w:ascii="Arial" w:hAnsi="Arial" w:cs="Arial"/>
          <w:bCs/>
          <w:i/>
          <w:iCs/>
          <w:color w:val="494949"/>
          <w:sz w:val="18"/>
          <w:szCs w:val="18"/>
          <w:u w:val="double"/>
          <w:bdr w:val="none" w:sz="0" w:space="0" w:color="auto" w:frame="1"/>
        </w:rPr>
        <w:t xml:space="preserve"> Munch</w:t>
      </w:r>
      <w:r w:rsidR="005A61CB" w:rsidRPr="007610CB">
        <w:rPr>
          <w:rStyle w:val="metadata--source-title"/>
          <w:rFonts w:ascii="Arial" w:hAnsi="Arial" w:cs="Arial"/>
          <w:bCs/>
          <w:i/>
          <w:iCs/>
          <w:color w:val="494949"/>
          <w:sz w:val="18"/>
          <w:szCs w:val="18"/>
          <w:u w:val="double"/>
          <w:bdr w:val="none" w:sz="0" w:space="0" w:color="auto" w:frame="1"/>
        </w:rPr>
        <w:t>.</w:t>
      </w:r>
      <w:r w:rsidR="00E83537" w:rsidRPr="007610CB">
        <w:rPr>
          <w:rStyle w:val="metadata--source-title"/>
          <w:rFonts w:ascii="Arial" w:hAnsi="Arial" w:cs="Arial"/>
          <w:bCs/>
          <w:i/>
          <w:iCs/>
          <w:color w:val="494949"/>
          <w:sz w:val="18"/>
          <w:szCs w:val="18"/>
          <w:u w:val="double"/>
          <w:bdr w:val="none" w:sz="0" w:space="0" w:color="auto" w:frame="1"/>
        </w:rPr>
        <w:t xml:space="preserve"> Tierarztl</w:t>
      </w:r>
      <w:r w:rsidR="005A61CB" w:rsidRPr="007610CB">
        <w:rPr>
          <w:rStyle w:val="metadata--source-title"/>
          <w:rFonts w:ascii="Arial" w:hAnsi="Arial" w:cs="Arial"/>
          <w:bCs/>
          <w:color w:val="494949"/>
          <w:sz w:val="18"/>
          <w:szCs w:val="18"/>
          <w:u w:val="double"/>
          <w:bdr w:val="none" w:sz="0" w:space="0" w:color="auto" w:frame="1"/>
        </w:rPr>
        <w:t>.</w:t>
      </w:r>
      <w:r w:rsidR="00E83537" w:rsidRPr="007610CB">
        <w:rPr>
          <w:rFonts w:ascii="Arial" w:hAnsi="Arial" w:cs="Arial"/>
          <w:color w:val="494949"/>
          <w:sz w:val="18"/>
          <w:szCs w:val="18"/>
          <w:u w:val="double"/>
        </w:rPr>
        <w:t xml:space="preserve">, </w:t>
      </w:r>
      <w:r w:rsidR="00E83537" w:rsidRPr="007610CB">
        <w:rPr>
          <w:rFonts w:ascii="Arial" w:hAnsi="Arial" w:cs="Arial"/>
          <w:b/>
          <w:color w:val="494949"/>
          <w:sz w:val="18"/>
          <w:szCs w:val="18"/>
          <w:u w:val="double"/>
        </w:rPr>
        <w:t>114</w:t>
      </w:r>
      <w:r w:rsidR="005A61CB" w:rsidRPr="007610CB">
        <w:rPr>
          <w:rFonts w:ascii="Arial" w:hAnsi="Arial" w:cs="Arial"/>
          <w:bCs/>
          <w:color w:val="494949"/>
          <w:sz w:val="18"/>
          <w:szCs w:val="18"/>
          <w:u w:val="double"/>
        </w:rPr>
        <w:t xml:space="preserve">, </w:t>
      </w:r>
      <w:r w:rsidR="00E83537" w:rsidRPr="007610CB">
        <w:rPr>
          <w:rFonts w:ascii="Arial" w:hAnsi="Arial" w:cs="Arial"/>
          <w:color w:val="494949"/>
          <w:sz w:val="18"/>
          <w:szCs w:val="18"/>
          <w:u w:val="double"/>
          <w:bdr w:val="none" w:sz="0" w:space="0" w:color="auto" w:frame="1"/>
        </w:rPr>
        <w:t>389</w:t>
      </w:r>
      <w:r w:rsidR="005A61CB" w:rsidRPr="007610CB">
        <w:rPr>
          <w:rFonts w:ascii="Arial" w:hAnsi="Arial" w:cs="Arial"/>
          <w:color w:val="494949"/>
          <w:sz w:val="18"/>
          <w:szCs w:val="18"/>
          <w:u w:val="double"/>
          <w:bdr w:val="none" w:sz="0" w:space="0" w:color="auto" w:frame="1"/>
        </w:rPr>
        <w:t>–</w:t>
      </w:r>
      <w:r w:rsidR="00E83537" w:rsidRPr="007610CB">
        <w:rPr>
          <w:rFonts w:ascii="Arial" w:hAnsi="Arial" w:cs="Arial"/>
          <w:color w:val="494949"/>
          <w:sz w:val="18"/>
          <w:szCs w:val="18"/>
          <w:u w:val="double"/>
          <w:bdr w:val="none" w:sz="0" w:space="0" w:color="auto" w:frame="1"/>
        </w:rPr>
        <w:t xml:space="preserve">392. </w:t>
      </w:r>
      <w:r w:rsidR="00E83537" w:rsidRPr="007610CB">
        <w:rPr>
          <w:rStyle w:val="metadata--pmid"/>
          <w:rFonts w:ascii="Arial" w:hAnsi="Arial" w:cs="Arial"/>
          <w:color w:val="494949"/>
          <w:sz w:val="18"/>
          <w:szCs w:val="18"/>
          <w:u w:val="double"/>
          <w:bdr w:val="none" w:sz="0" w:space="0" w:color="auto" w:frame="1"/>
        </w:rPr>
        <w:t>PMID: 11570186</w:t>
      </w:r>
      <w:r w:rsidR="007610CB">
        <w:rPr>
          <w:rStyle w:val="metadata--pmid"/>
          <w:rFonts w:ascii="Arial" w:hAnsi="Arial" w:cs="Arial"/>
          <w:color w:val="494949"/>
          <w:sz w:val="18"/>
          <w:szCs w:val="18"/>
          <w:u w:val="double"/>
          <w:bdr w:val="none" w:sz="0" w:space="0" w:color="auto" w:frame="1"/>
        </w:rPr>
        <w:t>.</w:t>
      </w:r>
    </w:p>
    <w:p w14:paraId="79559F71" w14:textId="77777777" w:rsidR="00E83537" w:rsidRPr="00F32643" w:rsidRDefault="00E83537" w:rsidP="009C1C4F">
      <w:pPr>
        <w:spacing w:after="240" w:line="240" w:lineRule="auto"/>
        <w:rPr>
          <w:rFonts w:ascii="Arial" w:hAnsi="Arial" w:cs="Arial"/>
          <w:strike/>
          <w:color w:val="222222"/>
          <w:sz w:val="18"/>
          <w:szCs w:val="18"/>
          <w:lang w:val="nl-NL" w:eastAsia="en-GB"/>
        </w:rPr>
      </w:pPr>
      <w:r w:rsidRPr="00F32643">
        <w:rPr>
          <w:rFonts w:ascii="Arial" w:hAnsi="Arial"/>
          <w:smallCaps/>
          <w:strike/>
          <w:color w:val="222222"/>
          <w:sz w:val="18"/>
        </w:rPr>
        <w:t>Van Immerseel F., Studholme D.J., Eeckhaut V., Heyndrickx M., Dewulf J., Dewaele I., Van Hoorebeke S., Van Meirhaeghe H., Ducatelle R., Paszkeiwicz K. &amp; Titball R.W.</w:t>
      </w:r>
      <w:r w:rsidRPr="00F32643">
        <w:rPr>
          <w:rFonts w:ascii="Arial" w:hAnsi="Arial"/>
          <w:strike/>
          <w:color w:val="222222"/>
          <w:sz w:val="18"/>
        </w:rPr>
        <w:t xml:space="preserve"> (2013). </w:t>
      </w:r>
      <w:r w:rsidRPr="00F32643">
        <w:rPr>
          <w:rFonts w:ascii="Arial" w:hAnsi="Arial" w:cs="Arial"/>
          <w:i/>
          <w:strike/>
          <w:color w:val="222222"/>
          <w:sz w:val="18"/>
          <w:szCs w:val="18"/>
          <w:lang w:eastAsia="en-GB"/>
        </w:rPr>
        <w:t>Salmonella Gallinarum</w:t>
      </w:r>
      <w:r w:rsidRPr="00F32643">
        <w:rPr>
          <w:rFonts w:ascii="Arial" w:hAnsi="Arial" w:cs="Arial"/>
          <w:strike/>
          <w:color w:val="222222"/>
          <w:sz w:val="18"/>
          <w:szCs w:val="18"/>
          <w:lang w:eastAsia="en-GB"/>
        </w:rPr>
        <w:t xml:space="preserve"> field isolates from laying hens are related to the vaccine strain SG9R. </w:t>
      </w:r>
      <w:r w:rsidRPr="00F32643">
        <w:rPr>
          <w:rFonts w:ascii="Arial" w:hAnsi="Arial" w:cs="Arial"/>
          <w:i/>
          <w:iCs/>
          <w:strike/>
          <w:color w:val="222222"/>
          <w:sz w:val="18"/>
          <w:szCs w:val="18"/>
          <w:lang w:val="nl-NL" w:eastAsia="en-GB"/>
        </w:rPr>
        <w:t>Vaccine</w:t>
      </w:r>
      <w:r w:rsidRPr="00F32643">
        <w:rPr>
          <w:rFonts w:ascii="Arial" w:hAnsi="Arial" w:cs="Arial"/>
          <w:strike/>
          <w:color w:val="222222"/>
          <w:sz w:val="18"/>
          <w:szCs w:val="18"/>
          <w:lang w:val="nl-NL" w:eastAsia="en-GB"/>
        </w:rPr>
        <w:t xml:space="preserve">, </w:t>
      </w:r>
      <w:r w:rsidRPr="00F32643">
        <w:rPr>
          <w:rFonts w:ascii="Arial" w:hAnsi="Arial" w:cs="Arial"/>
          <w:b/>
          <w:iCs/>
          <w:strike/>
          <w:color w:val="222222"/>
          <w:sz w:val="18"/>
          <w:szCs w:val="18"/>
          <w:lang w:val="nl-NL" w:eastAsia="en-GB"/>
        </w:rPr>
        <w:t>31</w:t>
      </w:r>
      <w:r w:rsidRPr="00F32643">
        <w:rPr>
          <w:rFonts w:ascii="Arial" w:hAnsi="Arial" w:cs="Arial"/>
          <w:strike/>
          <w:color w:val="222222"/>
          <w:sz w:val="18"/>
          <w:szCs w:val="18"/>
          <w:lang w:val="nl-NL" w:eastAsia="en-GB"/>
        </w:rPr>
        <w:t>, 4940–4945.</w:t>
      </w:r>
    </w:p>
    <w:p w14:paraId="64D2982D" w14:textId="38BECA98" w:rsidR="00E83537" w:rsidRPr="00920E5F" w:rsidRDefault="00E83537" w:rsidP="009C1C4F">
      <w:pPr>
        <w:pStyle w:val="Ref"/>
        <w:ind w:left="0" w:firstLine="0"/>
        <w:rPr>
          <w:strike/>
          <w:lang w:val="nl-NL"/>
        </w:rPr>
      </w:pPr>
      <w:r w:rsidRPr="00920E5F">
        <w:rPr>
          <w:smallCaps/>
          <w:strike/>
          <w:lang w:val="nl-NL"/>
        </w:rPr>
        <w:t xml:space="preserve">Voogt N., Raes M., Wannet W.J.B., Henken N.M. &amp; Van de Giessen A.W. </w:t>
      </w:r>
      <w:r w:rsidRPr="00920E5F">
        <w:rPr>
          <w:strike/>
          <w:lang w:val="nl-NL"/>
        </w:rPr>
        <w:t xml:space="preserve">(2001). </w:t>
      </w:r>
      <w:r w:rsidRPr="00920E5F">
        <w:rPr>
          <w:strike/>
        </w:rPr>
        <w:t xml:space="preserve">Comparison of selective enrichment media for the detection of </w:t>
      </w:r>
      <w:r w:rsidRPr="00920E5F">
        <w:rPr>
          <w:i/>
          <w:strike/>
        </w:rPr>
        <w:t>Salmonella</w:t>
      </w:r>
      <w:r w:rsidRPr="00920E5F">
        <w:rPr>
          <w:strike/>
        </w:rPr>
        <w:t xml:space="preserve"> in poultry faeces. </w:t>
      </w:r>
      <w:r w:rsidRPr="00920E5F">
        <w:rPr>
          <w:i/>
          <w:strike/>
          <w:lang w:val="nl-NL"/>
        </w:rPr>
        <w:t>Lett. Appl. Microbiol</w:t>
      </w:r>
      <w:r w:rsidRPr="00920E5F">
        <w:rPr>
          <w:strike/>
          <w:lang w:val="nl-NL"/>
        </w:rPr>
        <w:t xml:space="preserve">., </w:t>
      </w:r>
      <w:r w:rsidRPr="00920E5F">
        <w:rPr>
          <w:b/>
          <w:strike/>
          <w:lang w:val="nl-NL"/>
        </w:rPr>
        <w:t>32</w:t>
      </w:r>
      <w:r w:rsidRPr="00920E5F">
        <w:rPr>
          <w:strike/>
          <w:lang w:val="nl-NL"/>
        </w:rPr>
        <w:t>, 89–92.</w:t>
      </w:r>
    </w:p>
    <w:p w14:paraId="7DE94987" w14:textId="77777777" w:rsidR="005A61CB" w:rsidRPr="00657D7F" w:rsidRDefault="005A61CB" w:rsidP="005A61CB">
      <w:pPr>
        <w:pStyle w:val="paraA0"/>
        <w:rPr>
          <w:strike/>
          <w:lang w:val="de-DE"/>
        </w:rPr>
      </w:pPr>
      <w:r w:rsidRPr="00657D7F">
        <w:rPr>
          <w:smallCaps/>
          <w:strike/>
          <w:lang w:val="nl-NL"/>
        </w:rPr>
        <w:t>Wang W., Liu L., Song S., Tang L., Kuang H. &amp; Xu C.</w:t>
      </w:r>
      <w:r w:rsidRPr="00657D7F">
        <w:rPr>
          <w:strike/>
          <w:lang w:val="nl-NL"/>
        </w:rPr>
        <w:t xml:space="preserve"> (2015). </w:t>
      </w:r>
      <w:r w:rsidRPr="00657D7F">
        <w:rPr>
          <w:strike/>
        </w:rPr>
        <w:t xml:space="preserve">A highly sensitive ELISA and immune-chromatographic strip for the detection of </w:t>
      </w:r>
      <w:r w:rsidRPr="00657D7F">
        <w:rPr>
          <w:i/>
          <w:strike/>
        </w:rPr>
        <w:t xml:space="preserve">Salmonella typhimurium </w:t>
      </w:r>
      <w:r w:rsidRPr="00657D7F">
        <w:rPr>
          <w:strike/>
        </w:rPr>
        <w:t xml:space="preserve">in milk samples. </w:t>
      </w:r>
      <w:r w:rsidRPr="00657D7F">
        <w:rPr>
          <w:i/>
          <w:strike/>
          <w:lang w:val="de-DE"/>
        </w:rPr>
        <w:t>Sensors</w:t>
      </w:r>
      <w:r w:rsidRPr="00657D7F">
        <w:rPr>
          <w:strike/>
          <w:lang w:val="de-DE"/>
        </w:rPr>
        <w:t xml:space="preserve">, </w:t>
      </w:r>
      <w:r w:rsidRPr="00657D7F">
        <w:rPr>
          <w:b/>
          <w:strike/>
          <w:lang w:val="de-DE"/>
        </w:rPr>
        <w:t>15</w:t>
      </w:r>
      <w:r w:rsidRPr="00657D7F">
        <w:rPr>
          <w:strike/>
          <w:lang w:val="de-DE"/>
        </w:rPr>
        <w:t>, 5281–5292.</w:t>
      </w:r>
    </w:p>
    <w:p w14:paraId="10B7E614" w14:textId="0E3A1567" w:rsidR="005A61CB" w:rsidRPr="00657D7F" w:rsidRDefault="004179F3" w:rsidP="005A61CB">
      <w:pPr>
        <w:pStyle w:val="Ref"/>
        <w:ind w:left="0" w:firstLine="0"/>
        <w:rPr>
          <w:color w:val="222222"/>
          <w:u w:val="double"/>
          <w:shd w:val="clear" w:color="auto" w:fill="FFFFFF"/>
          <w:lang w:val="de-DE"/>
        </w:rPr>
      </w:pPr>
      <w:r w:rsidRPr="00657D7F">
        <w:rPr>
          <w:smallCaps/>
          <w:color w:val="222222"/>
          <w:u w:val="double"/>
          <w:shd w:val="clear" w:color="auto" w:fill="FFFFFF"/>
          <w:lang w:val="de-DE"/>
        </w:rPr>
        <w:t>Wang J., Li Y., Chen J., Hua D., Deng H., Li Y., Liang Z. &amp; Huang J.</w:t>
      </w:r>
      <w:r w:rsidRPr="00657D7F">
        <w:rPr>
          <w:color w:val="222222"/>
          <w:u w:val="double"/>
          <w:shd w:val="clear" w:color="auto" w:fill="FFFFFF"/>
          <w:lang w:val="de-DE"/>
        </w:rPr>
        <w:t xml:space="preserve"> </w:t>
      </w:r>
      <w:r w:rsidR="005A61CB" w:rsidRPr="00657D7F">
        <w:rPr>
          <w:color w:val="222222"/>
          <w:u w:val="double"/>
          <w:shd w:val="clear" w:color="auto" w:fill="FFFFFF"/>
          <w:lang w:val="de-DE"/>
        </w:rPr>
        <w:t xml:space="preserve">(2018). </w:t>
      </w:r>
      <w:r w:rsidR="005A61CB" w:rsidRPr="00657D7F">
        <w:rPr>
          <w:color w:val="222222"/>
          <w:u w:val="double"/>
          <w:shd w:val="clear" w:color="auto" w:fill="FFFFFF"/>
        </w:rPr>
        <w:t xml:space="preserve">Rapid detection of food-borne </w:t>
      </w:r>
      <w:r w:rsidR="005A61CB" w:rsidRPr="00657D7F">
        <w:rPr>
          <w:i/>
          <w:iCs/>
          <w:color w:val="222222"/>
          <w:u w:val="double"/>
          <w:shd w:val="clear" w:color="auto" w:fill="FFFFFF"/>
        </w:rPr>
        <w:t>Salmonella</w:t>
      </w:r>
      <w:r w:rsidR="005A61CB" w:rsidRPr="00657D7F">
        <w:rPr>
          <w:color w:val="222222"/>
          <w:u w:val="double"/>
          <w:shd w:val="clear" w:color="auto" w:fill="FFFFFF"/>
        </w:rPr>
        <w:t xml:space="preserve"> contamination using IMBs-qPCR method based on </w:t>
      </w:r>
      <w:r w:rsidR="005A61CB" w:rsidRPr="00657D7F">
        <w:rPr>
          <w:i/>
          <w:color w:val="222222"/>
          <w:u w:val="double"/>
          <w:shd w:val="clear" w:color="auto" w:fill="FFFFFF"/>
        </w:rPr>
        <w:t>pag</w:t>
      </w:r>
      <w:r w:rsidR="005A61CB" w:rsidRPr="00657D7F">
        <w:rPr>
          <w:color w:val="222222"/>
          <w:u w:val="double"/>
          <w:shd w:val="clear" w:color="auto" w:fill="FFFFFF"/>
        </w:rPr>
        <w:t xml:space="preserve">C gene. </w:t>
      </w:r>
      <w:r w:rsidR="005A61CB" w:rsidRPr="00657D7F">
        <w:rPr>
          <w:i/>
          <w:iCs/>
          <w:color w:val="222222"/>
          <w:u w:val="double"/>
          <w:shd w:val="clear" w:color="auto" w:fill="FFFFFF"/>
          <w:lang w:val="de-DE"/>
        </w:rPr>
        <w:t>Braz. J. Microbiol.</w:t>
      </w:r>
      <w:r w:rsidR="005A61CB" w:rsidRPr="00657D7F">
        <w:rPr>
          <w:color w:val="222222"/>
          <w:u w:val="double"/>
          <w:shd w:val="clear" w:color="auto" w:fill="FFFFFF"/>
          <w:lang w:val="de-DE"/>
        </w:rPr>
        <w:t xml:space="preserve">, </w:t>
      </w:r>
      <w:r w:rsidR="005A61CB" w:rsidRPr="00657D7F">
        <w:rPr>
          <w:b/>
          <w:bCs/>
          <w:color w:val="222222"/>
          <w:u w:val="double"/>
          <w:shd w:val="clear" w:color="auto" w:fill="FFFFFF"/>
          <w:lang w:val="de-DE"/>
        </w:rPr>
        <w:t>49</w:t>
      </w:r>
      <w:r w:rsidR="005A61CB" w:rsidRPr="00657D7F">
        <w:rPr>
          <w:color w:val="222222"/>
          <w:u w:val="double"/>
          <w:shd w:val="clear" w:color="auto" w:fill="FFFFFF"/>
          <w:lang w:val="de-DE"/>
        </w:rPr>
        <w:t>, 320–328.</w:t>
      </w:r>
    </w:p>
    <w:p w14:paraId="7E24E65D" w14:textId="3507D964" w:rsidR="00E83537" w:rsidRPr="00381A8F" w:rsidRDefault="00E83537" w:rsidP="009C1C4F">
      <w:pPr>
        <w:pStyle w:val="Ref"/>
        <w:ind w:left="0" w:firstLine="0"/>
        <w:rPr>
          <w:lang w:val="en-IE"/>
        </w:rPr>
      </w:pPr>
      <w:r w:rsidRPr="00381A8F">
        <w:rPr>
          <w:smallCaps/>
          <w:lang w:val="de-DE"/>
        </w:rPr>
        <w:t>Westphal O. &amp; Luderitz O.</w:t>
      </w:r>
      <w:r w:rsidRPr="00381A8F">
        <w:rPr>
          <w:lang w:val="de-DE"/>
        </w:rPr>
        <w:t xml:space="preserve"> (1954). Chemische Erforschung von Lipopolysacchariden gramnegativer Bakterien. </w:t>
      </w:r>
      <w:r w:rsidRPr="00381A8F">
        <w:rPr>
          <w:i/>
          <w:lang w:val="en-IE"/>
        </w:rPr>
        <w:t>Angew. Chem.,</w:t>
      </w:r>
      <w:r w:rsidRPr="00381A8F">
        <w:rPr>
          <w:lang w:val="en-IE"/>
        </w:rPr>
        <w:t xml:space="preserve"> </w:t>
      </w:r>
      <w:r w:rsidRPr="00381A8F">
        <w:rPr>
          <w:b/>
          <w:lang w:val="en-IE"/>
        </w:rPr>
        <w:t>66</w:t>
      </w:r>
      <w:r w:rsidRPr="00381A8F">
        <w:rPr>
          <w:lang w:val="en-IE"/>
        </w:rPr>
        <w:t>, 407–417.</w:t>
      </w:r>
    </w:p>
    <w:p w14:paraId="674E99B7" w14:textId="77777777" w:rsidR="008D66F9" w:rsidRPr="00DA1DA3" w:rsidRDefault="008D66F9" w:rsidP="009C1C4F">
      <w:pPr>
        <w:pStyle w:val="Ref"/>
        <w:ind w:left="0" w:firstLine="0"/>
        <w:rPr>
          <w:strike/>
        </w:rPr>
      </w:pPr>
      <w:r w:rsidRPr="00DA1DA3">
        <w:rPr>
          <w:smallCaps/>
          <w:strike/>
        </w:rPr>
        <w:t>World Health Organization</w:t>
      </w:r>
      <w:r w:rsidRPr="00DA1DA3">
        <w:rPr>
          <w:strike/>
        </w:rPr>
        <w:t xml:space="preserve"> (WHO) (1994). Guidelines on Detection and Monitoring of </w:t>
      </w:r>
      <w:r w:rsidRPr="00DA1DA3">
        <w:rPr>
          <w:i/>
          <w:strike/>
        </w:rPr>
        <w:t>Salmonella</w:t>
      </w:r>
      <w:r w:rsidRPr="00DA1DA3">
        <w:rPr>
          <w:strike/>
        </w:rPr>
        <w:t xml:space="preserve"> Infected Poultry Flocks with Particular Reference to </w:t>
      </w:r>
      <w:r w:rsidRPr="00DA1DA3">
        <w:rPr>
          <w:i/>
          <w:strike/>
        </w:rPr>
        <w:t>Salmonella enteritidis</w:t>
      </w:r>
      <w:r w:rsidR="00F9338E" w:rsidRPr="00DA1DA3">
        <w:rPr>
          <w:strike/>
        </w:rPr>
        <w:t>.</w:t>
      </w:r>
      <w:r w:rsidRPr="00DA1DA3">
        <w:rPr>
          <w:strike/>
        </w:rPr>
        <w:t xml:space="preserve"> Wray C. &amp; Davies R.H., eds. WHO, Geneva, Switzerland, </w:t>
      </w:r>
      <w:r w:rsidRPr="00DA1DA3">
        <w:rPr>
          <w:strike/>
          <w:lang w:val="en-US"/>
        </w:rPr>
        <w:t>ZOON/94.173.</w:t>
      </w:r>
    </w:p>
    <w:p w14:paraId="53A9E259" w14:textId="1ED3CDF3" w:rsidR="00E83537" w:rsidRPr="00B3713D" w:rsidRDefault="004179F3" w:rsidP="009C1C4F">
      <w:pPr>
        <w:pStyle w:val="Ref"/>
        <w:ind w:left="0" w:firstLine="0"/>
        <w:rPr>
          <w:u w:val="double"/>
          <w:lang w:val="nl-NL"/>
        </w:rPr>
      </w:pPr>
      <w:r w:rsidRPr="00B3713D">
        <w:rPr>
          <w:smallCaps/>
          <w:color w:val="222222"/>
          <w:u w:val="double"/>
          <w:shd w:val="clear" w:color="auto" w:fill="FFFFFF"/>
          <w:lang w:val="nl-NL"/>
        </w:rPr>
        <w:t>Yang Q., Domesle K.J. &amp; Ge B.</w:t>
      </w:r>
      <w:r w:rsidRPr="00B3713D">
        <w:rPr>
          <w:color w:val="222222"/>
          <w:u w:val="double"/>
          <w:shd w:val="clear" w:color="auto" w:fill="FFFFFF"/>
          <w:lang w:val="nl-NL"/>
        </w:rPr>
        <w:t xml:space="preserve"> (</w:t>
      </w:r>
      <w:r w:rsidR="00E83537" w:rsidRPr="00B3713D">
        <w:rPr>
          <w:color w:val="222222"/>
          <w:u w:val="double"/>
          <w:shd w:val="clear" w:color="auto" w:fill="FFFFFF"/>
          <w:lang w:val="nl-NL"/>
        </w:rPr>
        <w:t>2018</w:t>
      </w:r>
      <w:r w:rsidRPr="00B3713D">
        <w:rPr>
          <w:color w:val="222222"/>
          <w:u w:val="double"/>
          <w:shd w:val="clear" w:color="auto" w:fill="FFFFFF"/>
          <w:lang w:val="nl-NL"/>
        </w:rPr>
        <w:t>)</w:t>
      </w:r>
      <w:r w:rsidR="00E83537" w:rsidRPr="00B3713D">
        <w:rPr>
          <w:color w:val="222222"/>
          <w:u w:val="double"/>
          <w:shd w:val="clear" w:color="auto" w:fill="FFFFFF"/>
          <w:lang w:val="nl-NL"/>
        </w:rPr>
        <w:t xml:space="preserve">. </w:t>
      </w:r>
      <w:r w:rsidR="00E83537" w:rsidRPr="00B3713D">
        <w:rPr>
          <w:color w:val="222222"/>
          <w:u w:val="double"/>
          <w:shd w:val="clear" w:color="auto" w:fill="FFFFFF"/>
        </w:rPr>
        <w:t xml:space="preserve">Loop-mediated isothermal amplification for </w:t>
      </w:r>
      <w:r w:rsidR="00E83537" w:rsidRPr="00B3713D">
        <w:rPr>
          <w:i/>
          <w:iCs/>
          <w:color w:val="222222"/>
          <w:u w:val="double"/>
          <w:shd w:val="clear" w:color="auto" w:fill="FFFFFF"/>
        </w:rPr>
        <w:t>Salmonella</w:t>
      </w:r>
      <w:r w:rsidR="00E83537" w:rsidRPr="00B3713D">
        <w:rPr>
          <w:color w:val="222222"/>
          <w:u w:val="double"/>
          <w:shd w:val="clear" w:color="auto" w:fill="FFFFFF"/>
        </w:rPr>
        <w:t xml:space="preserve"> detection in food and feed: current applications and future directions.</w:t>
      </w:r>
      <w:r w:rsidRPr="00B3713D">
        <w:rPr>
          <w:color w:val="222222"/>
          <w:u w:val="double"/>
          <w:shd w:val="clear" w:color="auto" w:fill="FFFFFF"/>
        </w:rPr>
        <w:t xml:space="preserve"> </w:t>
      </w:r>
      <w:r w:rsidR="00E83537" w:rsidRPr="00B3713D">
        <w:rPr>
          <w:i/>
          <w:iCs/>
          <w:color w:val="222222"/>
          <w:u w:val="double"/>
          <w:shd w:val="clear" w:color="auto" w:fill="FFFFFF"/>
          <w:lang w:val="nl-NL"/>
        </w:rPr>
        <w:t xml:space="preserve">Foodborne </w:t>
      </w:r>
      <w:r w:rsidRPr="00B3713D">
        <w:rPr>
          <w:i/>
          <w:iCs/>
          <w:color w:val="222222"/>
          <w:u w:val="double"/>
          <w:shd w:val="clear" w:color="auto" w:fill="FFFFFF"/>
          <w:lang w:val="nl-NL"/>
        </w:rPr>
        <w:t>Pathog. Dis.</w:t>
      </w:r>
      <w:r w:rsidR="00E83537" w:rsidRPr="00B3713D">
        <w:rPr>
          <w:color w:val="222222"/>
          <w:u w:val="double"/>
          <w:shd w:val="clear" w:color="auto" w:fill="FFFFFF"/>
          <w:lang w:val="nl-NL"/>
        </w:rPr>
        <w:t>,</w:t>
      </w:r>
      <w:r w:rsidRPr="00B3713D">
        <w:rPr>
          <w:color w:val="222222"/>
          <w:u w:val="double"/>
          <w:shd w:val="clear" w:color="auto" w:fill="FFFFFF"/>
          <w:lang w:val="nl-NL"/>
        </w:rPr>
        <w:t xml:space="preserve"> </w:t>
      </w:r>
      <w:r w:rsidR="00E83537" w:rsidRPr="00B3713D">
        <w:rPr>
          <w:b/>
          <w:bCs/>
          <w:color w:val="222222"/>
          <w:u w:val="double"/>
          <w:shd w:val="clear" w:color="auto" w:fill="FFFFFF"/>
          <w:lang w:val="nl-NL"/>
        </w:rPr>
        <w:t>15</w:t>
      </w:r>
      <w:r w:rsidR="00E83537" w:rsidRPr="00B3713D">
        <w:rPr>
          <w:color w:val="222222"/>
          <w:u w:val="double"/>
          <w:shd w:val="clear" w:color="auto" w:fill="FFFFFF"/>
          <w:lang w:val="nl-NL"/>
        </w:rPr>
        <w:t>,</w:t>
      </w:r>
      <w:r w:rsidRPr="00B3713D">
        <w:rPr>
          <w:color w:val="222222"/>
          <w:u w:val="double"/>
          <w:shd w:val="clear" w:color="auto" w:fill="FFFFFF"/>
          <w:lang w:val="nl-NL"/>
        </w:rPr>
        <w:t xml:space="preserve"> </w:t>
      </w:r>
      <w:r w:rsidR="00E83537" w:rsidRPr="00B3713D">
        <w:rPr>
          <w:color w:val="222222"/>
          <w:u w:val="double"/>
          <w:shd w:val="clear" w:color="auto" w:fill="FFFFFF"/>
          <w:lang w:val="nl-NL"/>
        </w:rPr>
        <w:t>309</w:t>
      </w:r>
      <w:r w:rsidRPr="00B3713D">
        <w:rPr>
          <w:color w:val="222222"/>
          <w:u w:val="double"/>
          <w:shd w:val="clear" w:color="auto" w:fill="FFFFFF"/>
          <w:lang w:val="nl-NL"/>
        </w:rPr>
        <w:t>–</w:t>
      </w:r>
      <w:r w:rsidR="00E83537" w:rsidRPr="00B3713D">
        <w:rPr>
          <w:color w:val="222222"/>
          <w:u w:val="double"/>
          <w:shd w:val="clear" w:color="auto" w:fill="FFFFFF"/>
          <w:lang w:val="nl-NL"/>
        </w:rPr>
        <w:t>331.</w:t>
      </w:r>
    </w:p>
    <w:p w14:paraId="375D484C" w14:textId="12E781E1" w:rsidR="00E83537" w:rsidRPr="004179F3" w:rsidRDefault="004179F3" w:rsidP="009C1C4F">
      <w:pPr>
        <w:pStyle w:val="Ref"/>
        <w:ind w:left="0" w:firstLine="0"/>
        <w:rPr>
          <w:u w:val="double"/>
        </w:rPr>
      </w:pPr>
      <w:r w:rsidRPr="00EF53A6">
        <w:rPr>
          <w:smallCaps/>
          <w:color w:val="222222"/>
          <w:u w:val="double"/>
          <w:shd w:val="clear" w:color="auto" w:fill="FFFFFF"/>
          <w:lang w:val="nl-NL"/>
        </w:rPr>
        <w:t>Zhang J., Khan S. &amp; Chousalkar K.K.</w:t>
      </w:r>
      <w:r w:rsidRPr="00EF53A6">
        <w:rPr>
          <w:color w:val="222222"/>
          <w:u w:val="double"/>
          <w:shd w:val="clear" w:color="auto" w:fill="FFFFFF"/>
          <w:lang w:val="nl-NL"/>
        </w:rPr>
        <w:t xml:space="preserve"> (</w:t>
      </w:r>
      <w:r w:rsidR="00E83537" w:rsidRPr="00EF53A6">
        <w:rPr>
          <w:color w:val="222222"/>
          <w:u w:val="double"/>
          <w:shd w:val="clear" w:color="auto" w:fill="FFFFFF"/>
          <w:lang w:val="nl-NL"/>
        </w:rPr>
        <w:t>2020</w:t>
      </w:r>
      <w:r w:rsidRPr="00EF53A6">
        <w:rPr>
          <w:color w:val="222222"/>
          <w:u w:val="double"/>
          <w:shd w:val="clear" w:color="auto" w:fill="FFFFFF"/>
          <w:lang w:val="nl-NL"/>
        </w:rPr>
        <w:t>)</w:t>
      </w:r>
      <w:r w:rsidR="00E83537" w:rsidRPr="00EF53A6">
        <w:rPr>
          <w:color w:val="222222"/>
          <w:u w:val="double"/>
          <w:shd w:val="clear" w:color="auto" w:fill="FFFFFF"/>
          <w:lang w:val="nl-NL"/>
        </w:rPr>
        <w:t xml:space="preserve">. </w:t>
      </w:r>
      <w:r w:rsidR="00E83537" w:rsidRPr="00EF53A6">
        <w:rPr>
          <w:color w:val="222222"/>
          <w:u w:val="double"/>
          <w:shd w:val="clear" w:color="auto" w:fill="FFFFFF"/>
        </w:rPr>
        <w:t xml:space="preserve">Development of PMAxxTM-Based qPCR for the Quantification of Viable and Non-viable Load of </w:t>
      </w:r>
      <w:r w:rsidR="00E83537" w:rsidRPr="00EF53A6">
        <w:rPr>
          <w:i/>
          <w:iCs/>
          <w:color w:val="222222"/>
          <w:u w:val="double"/>
          <w:shd w:val="clear" w:color="auto" w:fill="FFFFFF"/>
        </w:rPr>
        <w:t>Salmonella</w:t>
      </w:r>
      <w:r w:rsidR="00E83537" w:rsidRPr="00EF53A6">
        <w:rPr>
          <w:color w:val="222222"/>
          <w:u w:val="double"/>
          <w:shd w:val="clear" w:color="auto" w:fill="FFFFFF"/>
        </w:rPr>
        <w:t xml:space="preserve"> from Poultry Environment.</w:t>
      </w:r>
      <w:r w:rsidRPr="00EF53A6">
        <w:rPr>
          <w:color w:val="222222"/>
          <w:u w:val="double"/>
          <w:shd w:val="clear" w:color="auto" w:fill="FFFFFF"/>
        </w:rPr>
        <w:t xml:space="preserve"> </w:t>
      </w:r>
      <w:r w:rsidR="00E83537" w:rsidRPr="00EF53A6">
        <w:rPr>
          <w:i/>
          <w:iCs/>
          <w:color w:val="222222"/>
          <w:u w:val="double"/>
          <w:shd w:val="clear" w:color="auto" w:fill="FFFFFF"/>
        </w:rPr>
        <w:t>Front</w:t>
      </w:r>
      <w:r w:rsidRPr="00EF53A6">
        <w:rPr>
          <w:i/>
          <w:iCs/>
          <w:color w:val="222222"/>
          <w:u w:val="double"/>
          <w:shd w:val="clear" w:color="auto" w:fill="FFFFFF"/>
        </w:rPr>
        <w:t>.</w:t>
      </w:r>
      <w:r w:rsidR="00E83537" w:rsidRPr="00EF53A6">
        <w:rPr>
          <w:i/>
          <w:iCs/>
          <w:color w:val="222222"/>
          <w:u w:val="double"/>
          <w:shd w:val="clear" w:color="auto" w:fill="FFFFFF"/>
        </w:rPr>
        <w:t xml:space="preserve"> Microbiol</w:t>
      </w:r>
      <w:r w:rsidRPr="00EF53A6">
        <w:rPr>
          <w:i/>
          <w:iCs/>
          <w:color w:val="222222"/>
          <w:u w:val="double"/>
          <w:shd w:val="clear" w:color="auto" w:fill="FFFFFF"/>
        </w:rPr>
        <w:t>.</w:t>
      </w:r>
      <w:r w:rsidR="00E83537" w:rsidRPr="00EF53A6">
        <w:rPr>
          <w:color w:val="222222"/>
          <w:u w:val="double"/>
          <w:shd w:val="clear" w:color="auto" w:fill="FFFFFF"/>
        </w:rPr>
        <w:t>,</w:t>
      </w:r>
      <w:r w:rsidRPr="00EF53A6">
        <w:rPr>
          <w:color w:val="222222"/>
          <w:u w:val="double"/>
          <w:shd w:val="clear" w:color="auto" w:fill="FFFFFF"/>
        </w:rPr>
        <w:t xml:space="preserve"> </w:t>
      </w:r>
      <w:r w:rsidR="00E83537" w:rsidRPr="00EF53A6">
        <w:rPr>
          <w:b/>
          <w:bCs/>
          <w:color w:val="222222"/>
          <w:u w:val="double"/>
          <w:shd w:val="clear" w:color="auto" w:fill="FFFFFF"/>
        </w:rPr>
        <w:t>11</w:t>
      </w:r>
      <w:r w:rsidR="00E83537" w:rsidRPr="00EF53A6">
        <w:rPr>
          <w:color w:val="222222"/>
          <w:u w:val="double"/>
          <w:shd w:val="clear" w:color="auto" w:fill="FFFFFF"/>
        </w:rPr>
        <w:t>.</w:t>
      </w:r>
      <w:r w:rsidR="00E83537" w:rsidRPr="00EF53A6">
        <w:rPr>
          <w:u w:val="double"/>
        </w:rPr>
        <w:t xml:space="preserve"> </w:t>
      </w:r>
      <w:r w:rsidR="00E83537" w:rsidRPr="00EF53A6">
        <w:rPr>
          <w:color w:val="000000"/>
          <w:u w:val="double"/>
          <w:shd w:val="clear" w:color="auto" w:fill="FFFFFF"/>
        </w:rPr>
        <w:t>doi:</w:t>
      </w:r>
      <w:hyperlink r:id="rId11" w:tgtFrame="pmc_ext" w:history="1">
        <w:r w:rsidR="00E83537" w:rsidRPr="00EF53A6">
          <w:rPr>
            <w:color w:val="642A8F"/>
            <w:u w:val="double"/>
            <w:shd w:val="clear" w:color="auto" w:fill="FFFFFF"/>
          </w:rPr>
          <w:t>10.3389/fmicb.2020.581201</w:t>
        </w:r>
      </w:hyperlink>
      <w:r w:rsidR="00946AB3">
        <w:rPr>
          <w:color w:val="642A8F"/>
          <w:u w:val="double"/>
          <w:shd w:val="clear" w:color="auto" w:fill="FFFFFF"/>
        </w:rPr>
        <w:t>.</w:t>
      </w:r>
    </w:p>
    <w:bookmarkEnd w:id="0"/>
    <w:p w14:paraId="10AB6EE4" w14:textId="77777777" w:rsidR="009C6E8E" w:rsidRPr="008D79C7" w:rsidRDefault="009C6E8E" w:rsidP="009C6E8E">
      <w:pPr>
        <w:pStyle w:val="rtoiles"/>
        <w:rPr>
          <w:rFonts w:ascii="Arial" w:hAnsi="Arial"/>
          <w:sz w:val="18"/>
          <w:lang w:val="en-IE"/>
        </w:rPr>
      </w:pPr>
      <w:r w:rsidRPr="008D79C7">
        <w:rPr>
          <w:rFonts w:ascii="Arial" w:hAnsi="Arial"/>
          <w:sz w:val="18"/>
          <w:lang w:val="en-IE"/>
        </w:rPr>
        <w:t>*</w:t>
      </w:r>
      <w:r w:rsidRPr="008D79C7">
        <w:rPr>
          <w:rFonts w:ascii="Arial" w:hAnsi="Arial"/>
          <w:sz w:val="18"/>
          <w:lang w:val="en-IE"/>
        </w:rPr>
        <w:br/>
        <w:t>*   *</w:t>
      </w:r>
    </w:p>
    <w:p w14:paraId="1BC9EE28" w14:textId="6E474F6A" w:rsidR="009C6E8E" w:rsidRPr="0088280C" w:rsidRDefault="009C6E8E" w:rsidP="004A15CD">
      <w:pPr>
        <w:tabs>
          <w:tab w:val="clear" w:pos="-720"/>
          <w:tab w:val="left" w:pos="720"/>
        </w:tabs>
        <w:spacing w:after="240" w:line="240" w:lineRule="auto"/>
        <w:jc w:val="center"/>
        <w:rPr>
          <w:rFonts w:ascii="Arial" w:hAnsi="Arial" w:cs="Arial"/>
          <w:iCs/>
          <w:sz w:val="18"/>
          <w:szCs w:val="18"/>
        </w:rPr>
      </w:pPr>
      <w:r w:rsidRPr="00946AB3">
        <w:rPr>
          <w:rStyle w:val="ReflabnoteCar"/>
          <w:b/>
        </w:rPr>
        <w:t>NB:</w:t>
      </w:r>
      <w:r w:rsidRPr="00946AB3">
        <w:rPr>
          <w:rStyle w:val="ReflabnoteCar"/>
        </w:rPr>
        <w:t xml:space="preserve"> </w:t>
      </w:r>
      <w:r w:rsidRPr="00946AB3">
        <w:rPr>
          <w:rFonts w:ascii="Arial" w:hAnsi="Arial" w:cs="Arial"/>
          <w:sz w:val="18"/>
          <w:szCs w:val="18"/>
          <w:lang w:val="en-IE"/>
        </w:rPr>
        <w:t xml:space="preserve">There are OIE Reference Laboratories for </w:t>
      </w:r>
      <w:r w:rsidRPr="00946AB3">
        <w:rPr>
          <w:rFonts w:ascii="Arial" w:hAnsi="Arial" w:cs="Arial"/>
          <w:iCs/>
          <w:sz w:val="18"/>
          <w:szCs w:val="18"/>
        </w:rPr>
        <w:t>Salmonellosis</w:t>
      </w:r>
      <w:r w:rsidRPr="00946AB3">
        <w:rPr>
          <w:rStyle w:val="ReflabnoteCar"/>
        </w:rPr>
        <w:br/>
        <w:t xml:space="preserve">(see Table in Part 4 of this </w:t>
      </w:r>
      <w:r w:rsidRPr="00946AB3">
        <w:rPr>
          <w:rFonts w:ascii="Arial" w:hAnsi="Arial" w:cs="Arial"/>
          <w:i/>
          <w:sz w:val="18"/>
          <w:szCs w:val="18"/>
        </w:rPr>
        <w:t xml:space="preserve">Terrestrial Manual </w:t>
      </w:r>
      <w:r w:rsidRPr="00946AB3">
        <w:rPr>
          <w:rStyle w:val="ReflabnoteCar"/>
        </w:rPr>
        <w:t xml:space="preserve">or consult the OIE Web site for the most up-to-date list: </w:t>
      </w:r>
      <w:hyperlink r:id="rId12" w:anchor="ui-id-3" w:history="1">
        <w:r w:rsidR="00946AB3" w:rsidRPr="00946AB3">
          <w:rPr>
            <w:rStyle w:val="Hyperlink"/>
            <w:rFonts w:ascii="Arial" w:hAnsi="Arial" w:cs="Arial"/>
            <w:sz w:val="18"/>
            <w:szCs w:val="18"/>
          </w:rPr>
          <w:t>https://www.oie.int/en/what-we-offer/expertise-network/reference-laboratories/#ui-id-3</w:t>
        </w:r>
      </w:hyperlink>
      <w:r w:rsidR="00946AB3" w:rsidRPr="00946AB3">
        <w:rPr>
          <w:rFonts w:ascii="Arial" w:hAnsi="Arial" w:cs="Arial"/>
          <w:sz w:val="18"/>
          <w:szCs w:val="18"/>
        </w:rPr>
        <w:t xml:space="preserve"> </w:t>
      </w:r>
      <w:r w:rsidRPr="00946AB3">
        <w:rPr>
          <w:rStyle w:val="ReflabnoteCar"/>
        </w:rPr>
        <w:t>).</w:t>
      </w:r>
      <w:r w:rsidR="000D531A" w:rsidRPr="00946AB3">
        <w:rPr>
          <w:rStyle w:val="ReflabnoteCar"/>
        </w:rPr>
        <w:br/>
      </w:r>
      <w:r w:rsidRPr="0088280C">
        <w:rPr>
          <w:rFonts w:ascii="Arial" w:hAnsi="Arial" w:cs="Arial"/>
          <w:sz w:val="18"/>
          <w:szCs w:val="18"/>
        </w:rPr>
        <w:t xml:space="preserve">Please contact the OIE Reference Laboratories for any further information on </w:t>
      </w:r>
      <w:r w:rsidRPr="0088280C">
        <w:rPr>
          <w:rFonts w:ascii="Arial" w:hAnsi="Arial" w:cs="Arial"/>
          <w:sz w:val="18"/>
          <w:szCs w:val="18"/>
        </w:rPr>
        <w:br/>
        <w:t xml:space="preserve">diagnostic tests, reagents and vaccines for </w:t>
      </w:r>
      <w:r w:rsidRPr="0088280C">
        <w:rPr>
          <w:rFonts w:ascii="Arial" w:hAnsi="Arial" w:cs="Arial"/>
          <w:iCs/>
          <w:sz w:val="18"/>
          <w:szCs w:val="18"/>
        </w:rPr>
        <w:t>Salmonellosis</w:t>
      </w:r>
    </w:p>
    <w:p w14:paraId="32208865" w14:textId="440CEA1D" w:rsidR="004A15CD" w:rsidRPr="004A15CD" w:rsidRDefault="004A15CD" w:rsidP="008D79C7">
      <w:pPr>
        <w:spacing w:after="240" w:line="240" w:lineRule="auto"/>
        <w:jc w:val="center"/>
        <w:rPr>
          <w:rFonts w:ascii="Arial" w:hAnsi="Arial" w:cs="Arial"/>
          <w:sz w:val="18"/>
          <w:szCs w:val="18"/>
          <w:lang w:val="en-IE"/>
        </w:rPr>
      </w:pPr>
      <w:r w:rsidRPr="0088280C">
        <w:rPr>
          <w:rFonts w:ascii="Arial" w:hAnsi="Arial" w:cs="Arial"/>
          <w:b/>
          <w:smallCaps/>
          <w:sz w:val="18"/>
          <w:szCs w:val="18"/>
        </w:rPr>
        <w:t>NB:</w:t>
      </w:r>
      <w:r w:rsidRPr="0088280C">
        <w:rPr>
          <w:rFonts w:ascii="Arial" w:hAnsi="Arial" w:cs="Arial"/>
          <w:smallCaps/>
          <w:sz w:val="18"/>
          <w:szCs w:val="18"/>
        </w:rPr>
        <w:t xml:space="preserve"> First adopted in 1991</w:t>
      </w:r>
      <w:r w:rsidR="00FC294E" w:rsidRPr="0088280C">
        <w:rPr>
          <w:rFonts w:ascii="Arial" w:hAnsi="Arial" w:cs="Arial"/>
          <w:smallCaps/>
          <w:sz w:val="18"/>
          <w:szCs w:val="18"/>
        </w:rPr>
        <w:t xml:space="preserve"> as Salmonellosis (</w:t>
      </w:r>
      <w:r w:rsidR="00FC294E" w:rsidRPr="0088280C">
        <w:rPr>
          <w:rFonts w:ascii="Arial" w:hAnsi="Arial" w:cs="Arial"/>
          <w:i/>
          <w:smallCaps/>
          <w:sz w:val="18"/>
          <w:szCs w:val="18"/>
        </w:rPr>
        <w:t>S. abortus ovis</w:t>
      </w:r>
      <w:r w:rsidR="00FC294E" w:rsidRPr="0088280C">
        <w:rPr>
          <w:rFonts w:ascii="Arial" w:hAnsi="Arial" w:cs="Arial"/>
          <w:smallCaps/>
          <w:sz w:val="18"/>
          <w:szCs w:val="18"/>
        </w:rPr>
        <w:t xml:space="preserve"> and </w:t>
      </w:r>
      <w:r w:rsidR="00FC294E" w:rsidRPr="0088280C">
        <w:rPr>
          <w:rFonts w:ascii="Arial" w:hAnsi="Arial" w:cs="Arial"/>
          <w:i/>
          <w:smallCaps/>
          <w:sz w:val="18"/>
          <w:szCs w:val="18"/>
        </w:rPr>
        <w:t>S.</w:t>
      </w:r>
      <w:r w:rsidR="00FC294E" w:rsidRPr="0088280C">
        <w:rPr>
          <w:rFonts w:ascii="Arial" w:hAnsi="Arial" w:cs="Arial"/>
          <w:smallCaps/>
          <w:sz w:val="18"/>
          <w:szCs w:val="18"/>
        </w:rPr>
        <w:t xml:space="preserve"> </w:t>
      </w:r>
      <w:r w:rsidR="00FC294E" w:rsidRPr="0088280C">
        <w:rPr>
          <w:rFonts w:ascii="Arial" w:hAnsi="Arial" w:cs="Arial"/>
          <w:i/>
          <w:smallCaps/>
          <w:sz w:val="18"/>
          <w:szCs w:val="18"/>
        </w:rPr>
        <w:t>equi</w:t>
      </w:r>
      <w:r w:rsidR="00FC294E" w:rsidRPr="0088280C">
        <w:rPr>
          <w:rFonts w:ascii="Arial" w:hAnsi="Arial" w:cs="Arial"/>
          <w:smallCaps/>
          <w:sz w:val="18"/>
          <w:szCs w:val="18"/>
        </w:rPr>
        <w:t>) and Salmonellosis (</w:t>
      </w:r>
      <w:r w:rsidR="00FC294E" w:rsidRPr="0088280C">
        <w:rPr>
          <w:rFonts w:ascii="Arial" w:hAnsi="Arial" w:cs="Arial"/>
          <w:i/>
          <w:smallCaps/>
          <w:sz w:val="18"/>
          <w:szCs w:val="18"/>
        </w:rPr>
        <w:t>S. typhimurium</w:t>
      </w:r>
      <w:r w:rsidR="00FC294E" w:rsidRPr="0088280C">
        <w:rPr>
          <w:rFonts w:ascii="Arial" w:hAnsi="Arial" w:cs="Arial"/>
          <w:smallCaps/>
          <w:sz w:val="18"/>
          <w:szCs w:val="18"/>
        </w:rPr>
        <w:t xml:space="preserve"> and </w:t>
      </w:r>
      <w:r w:rsidR="00FC294E" w:rsidRPr="0088280C">
        <w:rPr>
          <w:rFonts w:ascii="Arial" w:hAnsi="Arial" w:cs="Arial"/>
          <w:i/>
          <w:smallCaps/>
          <w:sz w:val="18"/>
          <w:szCs w:val="18"/>
        </w:rPr>
        <w:t>S. enteritidis</w:t>
      </w:r>
      <w:r w:rsidR="00FC294E" w:rsidRPr="0088280C">
        <w:rPr>
          <w:rFonts w:ascii="Arial" w:hAnsi="Arial" w:cs="Arial"/>
          <w:smallCaps/>
          <w:sz w:val="18"/>
          <w:szCs w:val="18"/>
        </w:rPr>
        <w:t>)</w:t>
      </w:r>
      <w:r w:rsidRPr="0088280C">
        <w:rPr>
          <w:rFonts w:ascii="Arial" w:hAnsi="Arial" w:cs="Arial"/>
          <w:smallCaps/>
          <w:sz w:val="18"/>
          <w:szCs w:val="18"/>
        </w:rPr>
        <w:t>; Most recent updates adopted in 2016.</w:t>
      </w:r>
    </w:p>
    <w:sectPr w:rsidR="004A15CD" w:rsidRPr="004A15CD" w:rsidSect="000411EC">
      <w:headerReference w:type="even" r:id="rId13"/>
      <w:headerReference w:type="default" r:id="rId14"/>
      <w:footerReference w:type="even" r:id="rId15"/>
      <w:footerReference w:type="default" r:id="rId16"/>
      <w:footerReference w:type="first" r:id="rId17"/>
      <w:type w:val="oddPage"/>
      <w:pgSz w:w="11907" w:h="16840" w:code="9"/>
      <w:pgMar w:top="-1418" w:right="1418" w:bottom="1418" w:left="1418" w:header="567" w:footer="567" w:gutter="0"/>
      <w:paperSrc w:first="7" w:other="7"/>
      <w:lnNumType w:countBy="1" w:restart="continuous"/>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A268" w14:textId="77777777" w:rsidR="005003A3" w:rsidRDefault="005003A3">
      <w:r>
        <w:separator/>
      </w:r>
    </w:p>
  </w:endnote>
  <w:endnote w:type="continuationSeparator" w:id="0">
    <w:p w14:paraId="4BFA5B3B" w14:textId="77777777" w:rsidR="005003A3" w:rsidRDefault="005003A3">
      <w:r>
        <w:continuationSeparator/>
      </w:r>
    </w:p>
  </w:endnote>
  <w:endnote w:type="continuationNotice" w:id="1">
    <w:p w14:paraId="0ABD1D97" w14:textId="77777777" w:rsidR="005003A3" w:rsidRDefault="005003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ttawa">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FD15" w14:textId="52AC922A" w:rsidR="0073000F" w:rsidRPr="00E94048" w:rsidRDefault="0073000F" w:rsidP="0073000F">
    <w:pPr>
      <w:pBdr>
        <w:top w:val="single" w:sz="6" w:space="5" w:color="auto"/>
      </w:pBdr>
      <w:tabs>
        <w:tab w:val="clear" w:pos="-720"/>
        <w:tab w:val="right" w:pos="9072"/>
      </w:tabs>
      <w:spacing w:line="240" w:lineRule="exact"/>
      <w:jc w:val="left"/>
    </w:pPr>
    <w:r>
      <w:rPr>
        <w:rFonts w:ascii="Ottawa" w:hAnsi="Ottawa"/>
        <w:sz w:val="22"/>
      </w:rPr>
      <w:fldChar w:fldCharType="begin"/>
    </w:r>
    <w:r>
      <w:rPr>
        <w:rFonts w:ascii="Ottawa" w:hAnsi="Ottawa"/>
        <w:sz w:val="22"/>
      </w:rPr>
      <w:instrText>PAGE</w:instrText>
    </w:r>
    <w:r>
      <w:rPr>
        <w:rFonts w:ascii="Ottawa" w:hAnsi="Ottawa"/>
        <w:sz w:val="22"/>
      </w:rPr>
      <w:fldChar w:fldCharType="separate"/>
    </w:r>
    <w:r w:rsidR="00F41579">
      <w:rPr>
        <w:rFonts w:ascii="Ottawa" w:hAnsi="Ottawa"/>
        <w:noProof/>
        <w:sz w:val="22"/>
      </w:rPr>
      <w:t>16</w:t>
    </w:r>
    <w:r>
      <w:rPr>
        <w:rFonts w:ascii="Ottawa" w:hAnsi="Ottawa"/>
        <w:sz w:val="22"/>
      </w:rPr>
      <w:fldChar w:fldCharType="end"/>
    </w:r>
    <w:r>
      <w:rPr>
        <w:rFonts w:ascii="Ottawa" w:hAnsi="Ottawa"/>
        <w:sz w:val="22"/>
      </w:rPr>
      <w:tab/>
      <w:t xml:space="preserve">OIE </w:t>
    </w:r>
    <w:r>
      <w:rPr>
        <w:rFonts w:ascii="Ottawa" w:hAnsi="Ottawa"/>
        <w:i/>
        <w:sz w:val="22"/>
      </w:rPr>
      <w:t>Terrestrial</w:t>
    </w:r>
    <w:r>
      <w:rPr>
        <w:rFonts w:ascii="Ottawa" w:hAnsi="Ottawa"/>
        <w:sz w:val="22"/>
      </w:rPr>
      <w:t xml:space="preserve"> </w:t>
    </w:r>
    <w:r>
      <w:rPr>
        <w:rFonts w:ascii="Ottawa" w:hAnsi="Ottawa"/>
        <w:i/>
        <w:sz w:val="22"/>
      </w:rPr>
      <w:t>Manual</w:t>
    </w:r>
    <w:r>
      <w:rPr>
        <w:rFonts w:ascii="Ottawa" w:hAnsi="Ottawa"/>
        <w:sz w:val="22"/>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CFE7" w14:textId="77777777" w:rsidR="0073000F" w:rsidRPr="00E94048" w:rsidRDefault="0073000F" w:rsidP="0073000F">
    <w:pPr>
      <w:pBdr>
        <w:top w:val="single" w:sz="6" w:space="5" w:color="auto"/>
      </w:pBdr>
      <w:tabs>
        <w:tab w:val="clear" w:pos="-720"/>
        <w:tab w:val="right" w:pos="9072"/>
      </w:tabs>
      <w:spacing w:line="240" w:lineRule="exact"/>
      <w:jc w:val="left"/>
    </w:pPr>
    <w:r>
      <w:rPr>
        <w:rFonts w:ascii="Ottawa" w:hAnsi="Ottawa"/>
        <w:sz w:val="22"/>
      </w:rPr>
      <w:t xml:space="preserve">OIE </w:t>
    </w:r>
    <w:r>
      <w:rPr>
        <w:rFonts w:ascii="Ottawa" w:hAnsi="Ottawa"/>
        <w:i/>
        <w:sz w:val="22"/>
      </w:rPr>
      <w:t>Terrestrial</w:t>
    </w:r>
    <w:r>
      <w:rPr>
        <w:rFonts w:ascii="Ottawa" w:hAnsi="Ottawa"/>
        <w:sz w:val="22"/>
      </w:rPr>
      <w:t xml:space="preserve"> </w:t>
    </w:r>
    <w:r>
      <w:rPr>
        <w:rFonts w:ascii="Ottawa" w:hAnsi="Ottawa"/>
        <w:i/>
        <w:sz w:val="22"/>
      </w:rPr>
      <w:t>Manual</w:t>
    </w:r>
    <w:r>
      <w:rPr>
        <w:rFonts w:ascii="Ottawa" w:hAnsi="Ottawa"/>
        <w:sz w:val="22"/>
      </w:rPr>
      <w:t xml:space="preserve"> 2022</w:t>
    </w:r>
    <w:r>
      <w:rPr>
        <w:rFonts w:ascii="Ottawa" w:hAnsi="Ottawa"/>
        <w:sz w:val="22"/>
      </w:rPr>
      <w:tab/>
    </w:r>
    <w:r>
      <w:rPr>
        <w:rFonts w:ascii="Ottawa" w:hAnsi="Ottawa"/>
        <w:sz w:val="22"/>
      </w:rPr>
      <w:fldChar w:fldCharType="begin"/>
    </w:r>
    <w:r>
      <w:rPr>
        <w:rFonts w:ascii="Ottawa" w:hAnsi="Ottawa"/>
        <w:sz w:val="22"/>
      </w:rPr>
      <w:instrText>PAGE</w:instrText>
    </w:r>
    <w:r>
      <w:rPr>
        <w:rFonts w:ascii="Ottawa" w:hAnsi="Ottawa"/>
        <w:sz w:val="22"/>
      </w:rPr>
      <w:fldChar w:fldCharType="separate"/>
    </w:r>
    <w:r w:rsidR="00F41579">
      <w:rPr>
        <w:rFonts w:ascii="Ottawa" w:hAnsi="Ottawa"/>
        <w:noProof/>
        <w:sz w:val="22"/>
      </w:rPr>
      <w:t>17</w:t>
    </w:r>
    <w:r>
      <w:rPr>
        <w:rFonts w:ascii="Ottawa" w:hAnsi="Ottawa"/>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ED89" w14:textId="3FD019B6" w:rsidR="00E94048" w:rsidRPr="00E94048" w:rsidRDefault="00E94048" w:rsidP="00E94048">
    <w:pPr>
      <w:pBdr>
        <w:top w:val="single" w:sz="6" w:space="5" w:color="auto"/>
      </w:pBdr>
      <w:tabs>
        <w:tab w:val="clear" w:pos="-720"/>
        <w:tab w:val="right" w:pos="9072"/>
      </w:tabs>
      <w:spacing w:line="240" w:lineRule="exact"/>
      <w:jc w:val="left"/>
    </w:pPr>
    <w:r>
      <w:rPr>
        <w:rFonts w:ascii="Ottawa" w:hAnsi="Ottawa"/>
        <w:sz w:val="22"/>
      </w:rPr>
      <w:t xml:space="preserve">OIE </w:t>
    </w:r>
    <w:r>
      <w:rPr>
        <w:rFonts w:ascii="Ottawa" w:hAnsi="Ottawa"/>
        <w:i/>
        <w:sz w:val="22"/>
      </w:rPr>
      <w:t>Terrestrial</w:t>
    </w:r>
    <w:r>
      <w:rPr>
        <w:rFonts w:ascii="Ottawa" w:hAnsi="Ottawa"/>
        <w:sz w:val="22"/>
      </w:rPr>
      <w:t xml:space="preserve"> </w:t>
    </w:r>
    <w:r>
      <w:rPr>
        <w:rFonts w:ascii="Ottawa" w:hAnsi="Ottawa"/>
        <w:i/>
        <w:sz w:val="22"/>
      </w:rPr>
      <w:t>Manual</w:t>
    </w:r>
    <w:r>
      <w:rPr>
        <w:rFonts w:ascii="Ottawa" w:hAnsi="Ottawa"/>
        <w:sz w:val="22"/>
      </w:rPr>
      <w:t xml:space="preserve"> 2022</w:t>
    </w:r>
    <w:r>
      <w:rPr>
        <w:rFonts w:ascii="Ottawa" w:hAnsi="Ottawa"/>
        <w:sz w:val="22"/>
      </w:rPr>
      <w:tab/>
    </w:r>
    <w:r>
      <w:rPr>
        <w:rFonts w:ascii="Ottawa" w:hAnsi="Ottawa"/>
        <w:sz w:val="22"/>
      </w:rPr>
      <w:fldChar w:fldCharType="begin"/>
    </w:r>
    <w:r>
      <w:rPr>
        <w:rFonts w:ascii="Ottawa" w:hAnsi="Ottawa"/>
        <w:sz w:val="22"/>
      </w:rPr>
      <w:instrText>PAGE</w:instrText>
    </w:r>
    <w:r>
      <w:rPr>
        <w:rFonts w:ascii="Ottawa" w:hAnsi="Ottawa"/>
        <w:sz w:val="22"/>
      </w:rPr>
      <w:fldChar w:fldCharType="separate"/>
    </w:r>
    <w:r w:rsidR="00F41579">
      <w:rPr>
        <w:rFonts w:ascii="Ottawa" w:hAnsi="Ottawa"/>
        <w:noProof/>
        <w:sz w:val="22"/>
      </w:rPr>
      <w:t>1</w:t>
    </w:r>
    <w:r>
      <w:rPr>
        <w:rFonts w:ascii="Ottawa" w:hAnsi="Ottaw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BBEC" w14:textId="77777777" w:rsidR="005003A3" w:rsidRDefault="005003A3">
      <w:r>
        <w:separator/>
      </w:r>
    </w:p>
  </w:footnote>
  <w:footnote w:type="continuationSeparator" w:id="0">
    <w:p w14:paraId="24CADADD" w14:textId="77777777" w:rsidR="005003A3" w:rsidRDefault="005003A3">
      <w:r>
        <w:continuationSeparator/>
      </w:r>
    </w:p>
  </w:footnote>
  <w:footnote w:type="continuationNotice" w:id="1">
    <w:p w14:paraId="167BE573" w14:textId="77777777" w:rsidR="005003A3" w:rsidRDefault="005003A3">
      <w:pPr>
        <w:spacing w:line="240" w:lineRule="auto"/>
      </w:pPr>
    </w:p>
  </w:footnote>
  <w:footnote w:id="2">
    <w:p w14:paraId="46EF9B79" w14:textId="77777777" w:rsidR="001B1866" w:rsidRPr="0086263E" w:rsidRDefault="001B1866" w:rsidP="0086263E">
      <w:pPr>
        <w:pStyle w:val="FootnoteText"/>
        <w:spacing w:line="240" w:lineRule="auto"/>
        <w:ind w:left="426" w:hanging="426"/>
        <w:rPr>
          <w:rFonts w:ascii="Arial" w:hAnsi="Arial" w:cs="Arial"/>
          <w:sz w:val="16"/>
          <w:szCs w:val="16"/>
          <w:lang w:val="en-IE"/>
        </w:rPr>
      </w:pPr>
      <w:r w:rsidRPr="0086263E">
        <w:rPr>
          <w:rStyle w:val="FootnoteReference"/>
          <w:rFonts w:ascii="Arial" w:hAnsi="Arial" w:cs="Arial"/>
          <w:sz w:val="16"/>
          <w:szCs w:val="16"/>
          <w:vertAlign w:val="baseline"/>
        </w:rPr>
        <w:footnoteRef/>
      </w:r>
      <w:r w:rsidRPr="0086263E">
        <w:rPr>
          <w:rFonts w:ascii="Arial" w:hAnsi="Arial" w:cs="Arial"/>
          <w:sz w:val="16"/>
          <w:szCs w:val="16"/>
          <w:lang w:val="en-IE"/>
        </w:rPr>
        <w:t xml:space="preserve"> </w:t>
      </w:r>
      <w:r w:rsidRPr="0086263E">
        <w:rPr>
          <w:rFonts w:ascii="Arial" w:hAnsi="Arial" w:cs="Arial"/>
          <w:sz w:val="16"/>
          <w:szCs w:val="16"/>
          <w:lang w:val="en-IE"/>
        </w:rPr>
        <w:tab/>
      </w:r>
      <w:r>
        <w:rPr>
          <w:rFonts w:ascii="Arial" w:hAnsi="Arial" w:cs="Arial"/>
          <w:sz w:val="16"/>
          <w:szCs w:val="16"/>
          <w:lang w:val="en-IE"/>
        </w:rPr>
        <w:t xml:space="preserve">Although certain diseases caused by </w:t>
      </w:r>
      <w:r w:rsidRPr="0086263E">
        <w:rPr>
          <w:rFonts w:ascii="Arial" w:hAnsi="Arial" w:cs="Arial"/>
          <w:i/>
          <w:sz w:val="16"/>
          <w:szCs w:val="16"/>
        </w:rPr>
        <w:t>Salmonella</w:t>
      </w:r>
      <w:r>
        <w:rPr>
          <w:rFonts w:ascii="Arial" w:hAnsi="Arial" w:cs="Arial"/>
          <w:sz w:val="16"/>
          <w:szCs w:val="16"/>
        </w:rPr>
        <w:t xml:space="preserve"> </w:t>
      </w:r>
      <w:r w:rsidRPr="0086263E">
        <w:rPr>
          <w:rFonts w:ascii="Arial" w:hAnsi="Arial" w:cs="Arial"/>
          <w:sz w:val="16"/>
          <w:szCs w:val="16"/>
        </w:rPr>
        <w:t>are included in some individual species sections of the OIE List, this chapter covers several species and thus give</w:t>
      </w:r>
      <w:r>
        <w:rPr>
          <w:rFonts w:ascii="Arial" w:hAnsi="Arial" w:cs="Arial"/>
          <w:sz w:val="16"/>
          <w:szCs w:val="16"/>
        </w:rPr>
        <w:t>s</w:t>
      </w:r>
      <w:r w:rsidRPr="0086263E">
        <w:rPr>
          <w:rFonts w:ascii="Arial" w:hAnsi="Arial" w:cs="Arial"/>
          <w:sz w:val="16"/>
          <w:szCs w:val="16"/>
        </w:rPr>
        <w:t xml:space="preserve"> a broader description.</w:t>
      </w:r>
    </w:p>
  </w:footnote>
  <w:footnote w:id="3">
    <w:p w14:paraId="0D251138" w14:textId="59E22C92" w:rsidR="00494B2C" w:rsidRPr="00494B2C" w:rsidRDefault="00494B2C" w:rsidP="00494B2C">
      <w:pPr>
        <w:pStyle w:val="FootnoteText"/>
        <w:spacing w:line="240" w:lineRule="auto"/>
        <w:ind w:left="425" w:hanging="425"/>
        <w:rPr>
          <w:rFonts w:ascii="Arial" w:hAnsi="Arial" w:cs="Arial"/>
          <w:sz w:val="16"/>
          <w:szCs w:val="16"/>
        </w:rPr>
      </w:pPr>
      <w:r w:rsidRPr="00494B2C">
        <w:rPr>
          <w:rStyle w:val="FootnoteReference"/>
          <w:rFonts w:ascii="Arial" w:hAnsi="Arial" w:cs="Arial"/>
          <w:sz w:val="16"/>
          <w:szCs w:val="16"/>
          <w:vertAlign w:val="baseline"/>
        </w:rPr>
        <w:footnoteRef/>
      </w:r>
      <w:r w:rsidRPr="00494B2C">
        <w:rPr>
          <w:rFonts w:ascii="Arial" w:hAnsi="Arial" w:cs="Arial"/>
          <w:sz w:val="16"/>
          <w:szCs w:val="16"/>
        </w:rPr>
        <w:t xml:space="preserve"> </w:t>
      </w:r>
      <w:r w:rsidRPr="00494B2C">
        <w:rPr>
          <w:rFonts w:ascii="Arial" w:hAnsi="Arial" w:cs="Arial"/>
          <w:sz w:val="16"/>
          <w:szCs w:val="16"/>
        </w:rPr>
        <w:tab/>
      </w:r>
      <w:hyperlink r:id="rId1" w:history="1">
        <w:r w:rsidRPr="00494B2C">
          <w:rPr>
            <w:rStyle w:val="Hyperlink"/>
            <w:rFonts w:ascii="Arial" w:hAnsi="Arial" w:cs="Arial"/>
            <w:sz w:val="16"/>
            <w:szCs w:val="16"/>
          </w:rPr>
          <w:t>http://www.oie.int/en/scientific-expertise/registration-of-diagnostic-kits/the-register-of-diagnostic-kits/</w:t>
        </w:r>
      </w:hyperlink>
    </w:p>
  </w:footnote>
  <w:footnote w:id="4">
    <w:p w14:paraId="4BBF9FF6" w14:textId="4B2E00BC" w:rsidR="001B1866" w:rsidRPr="00C05858" w:rsidRDefault="001B1866" w:rsidP="00C3218B">
      <w:pPr>
        <w:pStyle w:val="FootnoteText"/>
        <w:spacing w:line="240" w:lineRule="auto"/>
        <w:ind w:left="425" w:hanging="425"/>
        <w:rPr>
          <w:rFonts w:ascii="Arial" w:hAnsi="Arial" w:cs="Arial"/>
          <w:sz w:val="16"/>
          <w:szCs w:val="16"/>
          <w:lang w:val="de-DE"/>
        </w:rPr>
      </w:pPr>
      <w:r w:rsidRPr="00C05858">
        <w:rPr>
          <w:rStyle w:val="FootnoteReference"/>
          <w:rFonts w:ascii="Arial" w:hAnsi="Arial"/>
          <w:sz w:val="16"/>
          <w:vertAlign w:val="baseline"/>
        </w:rPr>
        <w:footnoteRef/>
      </w:r>
      <w:r w:rsidRPr="00C05858">
        <w:rPr>
          <w:rFonts w:ascii="Arial" w:hAnsi="Arial" w:cs="Arial"/>
          <w:sz w:val="16"/>
          <w:szCs w:val="16"/>
          <w:lang w:val="de-DE"/>
        </w:rPr>
        <w:t xml:space="preserve"> </w:t>
      </w:r>
      <w:r w:rsidRPr="00C05858">
        <w:rPr>
          <w:rFonts w:ascii="Arial" w:hAnsi="Arial" w:cs="Arial"/>
          <w:sz w:val="16"/>
          <w:szCs w:val="16"/>
          <w:lang w:val="de-DE"/>
        </w:rPr>
        <w:tab/>
        <w:t>Statens Serum Institut, Copenhagen, Denmark (</w:t>
      </w:r>
      <w:hyperlink r:id="rId2" w:history="1">
        <w:r w:rsidR="00381A8F" w:rsidRPr="000F604D">
          <w:rPr>
            <w:rStyle w:val="Hyperlink"/>
            <w:rFonts w:ascii="Arial" w:hAnsi="Arial" w:cs="Arial"/>
            <w:sz w:val="16"/>
            <w:szCs w:val="16"/>
            <w:lang w:val="de-DE"/>
          </w:rPr>
          <w:t>www.ssi.dk</w:t>
        </w:r>
      </w:hyperlink>
      <w:r w:rsidRPr="00C05858">
        <w:rPr>
          <w:rFonts w:ascii="Arial" w:hAnsi="Arial" w:cs="Arial"/>
          <w:sz w:val="16"/>
          <w:szCs w:val="16"/>
          <w:lang w:val="de-DE"/>
        </w:rPr>
        <w:t>)</w:t>
      </w:r>
    </w:p>
  </w:footnote>
  <w:footnote w:id="5">
    <w:p w14:paraId="11688034" w14:textId="0293B569" w:rsidR="001B1866" w:rsidRPr="00C05858" w:rsidRDefault="001B1866" w:rsidP="00C3218B">
      <w:pPr>
        <w:pStyle w:val="FootnoteText"/>
        <w:spacing w:line="240" w:lineRule="auto"/>
        <w:ind w:left="425" w:hanging="425"/>
        <w:rPr>
          <w:rFonts w:ascii="Arial" w:hAnsi="Arial" w:cs="Arial"/>
          <w:sz w:val="16"/>
          <w:szCs w:val="16"/>
        </w:rPr>
      </w:pPr>
      <w:r w:rsidRPr="00C05858">
        <w:rPr>
          <w:rStyle w:val="FootnoteReference"/>
          <w:rFonts w:ascii="Arial" w:hAnsi="Arial"/>
          <w:sz w:val="16"/>
          <w:vertAlign w:val="baseline"/>
        </w:rPr>
        <w:footnoteRef/>
      </w:r>
      <w:r w:rsidRPr="00C05858">
        <w:rPr>
          <w:rFonts w:ascii="Arial" w:hAnsi="Arial" w:cs="Arial"/>
          <w:sz w:val="16"/>
          <w:szCs w:val="16"/>
        </w:rPr>
        <w:t xml:space="preserve"> </w:t>
      </w:r>
      <w:r w:rsidRPr="00C05858">
        <w:rPr>
          <w:rFonts w:ascii="Arial" w:hAnsi="Arial" w:cs="Arial"/>
          <w:sz w:val="16"/>
          <w:szCs w:val="16"/>
        </w:rPr>
        <w:tab/>
        <w:t>GD, Deventer, the Netherlands (</w:t>
      </w:r>
      <w:hyperlink r:id="rId3" w:history="1">
        <w:r w:rsidR="00381A8F" w:rsidRPr="000F604D">
          <w:rPr>
            <w:rStyle w:val="Hyperlink"/>
            <w:rFonts w:ascii="Arial" w:hAnsi="Arial" w:cs="Arial"/>
            <w:sz w:val="16"/>
            <w:szCs w:val="16"/>
          </w:rPr>
          <w:t>www.gddeventer.com</w:t>
        </w:r>
      </w:hyperlink>
      <w:r w:rsidRPr="00C05858">
        <w:rPr>
          <w:rFonts w:ascii="Arial" w:hAnsi="Arial" w:cs="Arial"/>
          <w:sz w:val="16"/>
          <w:szCs w:val="16"/>
        </w:rPr>
        <w:t>)</w:t>
      </w:r>
    </w:p>
  </w:footnote>
  <w:footnote w:id="6">
    <w:p w14:paraId="68974860" w14:textId="39B78124" w:rsidR="00381A8F" w:rsidRPr="00381A8F" w:rsidRDefault="00381A8F" w:rsidP="00381A8F">
      <w:pPr>
        <w:pStyle w:val="FootnoteText"/>
        <w:spacing w:line="240" w:lineRule="auto"/>
        <w:ind w:left="425" w:hanging="425"/>
        <w:rPr>
          <w:rFonts w:ascii="Arial" w:hAnsi="Arial" w:cs="Arial"/>
          <w:sz w:val="16"/>
          <w:szCs w:val="16"/>
          <w:u w:val="double"/>
        </w:rPr>
      </w:pPr>
      <w:r w:rsidRPr="00381A8F">
        <w:rPr>
          <w:rStyle w:val="FootnoteReference"/>
          <w:rFonts w:ascii="Arial" w:hAnsi="Arial" w:cs="Arial"/>
          <w:sz w:val="16"/>
          <w:szCs w:val="16"/>
          <w:u w:val="double"/>
          <w:vertAlign w:val="baseline"/>
        </w:rPr>
        <w:footnoteRef/>
      </w:r>
      <w:r w:rsidRPr="00381A8F">
        <w:rPr>
          <w:rFonts w:ascii="Arial" w:hAnsi="Arial" w:cs="Arial"/>
          <w:sz w:val="16"/>
          <w:szCs w:val="16"/>
          <w:u w:val="double"/>
        </w:rPr>
        <w:t xml:space="preserve"> </w:t>
      </w:r>
      <w:r w:rsidRPr="00381A8F">
        <w:rPr>
          <w:rFonts w:ascii="Arial" w:hAnsi="Arial" w:cs="Arial"/>
          <w:sz w:val="16"/>
          <w:szCs w:val="16"/>
          <w:u w:val="double"/>
        </w:rPr>
        <w:tab/>
      </w:r>
      <w:hyperlink r:id="rId4" w:history="1">
        <w:r w:rsidRPr="00381A8F">
          <w:rPr>
            <w:rStyle w:val="Hyperlink"/>
            <w:rFonts w:ascii="Arial" w:hAnsi="Arial" w:cs="Arial"/>
            <w:sz w:val="16"/>
            <w:szCs w:val="16"/>
            <w:u w:val="double"/>
          </w:rPr>
          <w:t>https://www.oie.int/en/what-we-offer/veterinary-products/diagnostic-kits/the-register-of-diagnostic-kits/</w:t>
        </w:r>
      </w:hyperlink>
      <w:r w:rsidRPr="00381A8F">
        <w:rPr>
          <w:rFonts w:ascii="Arial" w:hAnsi="Arial" w:cs="Arial"/>
          <w:sz w:val="16"/>
          <w:szCs w:val="16"/>
          <w:u w:val="double"/>
        </w:rPr>
        <w:t xml:space="preserve"> </w:t>
      </w:r>
    </w:p>
  </w:footnote>
  <w:footnote w:id="7">
    <w:p w14:paraId="41963CD0" w14:textId="7C3FC6FA" w:rsidR="00381A8F" w:rsidRPr="00381A8F" w:rsidRDefault="00381A8F" w:rsidP="00381A8F">
      <w:pPr>
        <w:pStyle w:val="FootnoteText"/>
        <w:spacing w:line="240" w:lineRule="auto"/>
        <w:ind w:left="425" w:hanging="425"/>
        <w:rPr>
          <w:rFonts w:ascii="Arial" w:hAnsi="Arial" w:cs="Arial"/>
          <w:sz w:val="16"/>
          <w:szCs w:val="16"/>
        </w:rPr>
      </w:pPr>
      <w:r w:rsidRPr="00381A8F">
        <w:rPr>
          <w:rStyle w:val="FootnoteReference"/>
          <w:rFonts w:ascii="Arial" w:hAnsi="Arial" w:cs="Arial"/>
          <w:sz w:val="16"/>
          <w:szCs w:val="16"/>
          <w:vertAlign w:val="baseline"/>
        </w:rPr>
        <w:footnoteRef/>
      </w:r>
      <w:r w:rsidRPr="00381A8F">
        <w:rPr>
          <w:rFonts w:ascii="Arial" w:hAnsi="Arial" w:cs="Arial"/>
          <w:sz w:val="16"/>
          <w:szCs w:val="16"/>
        </w:rPr>
        <w:t xml:space="preserve"> </w:t>
      </w:r>
      <w:r w:rsidRPr="00381A8F">
        <w:rPr>
          <w:rFonts w:ascii="Arial" w:hAnsi="Arial" w:cs="Arial"/>
          <w:sz w:val="16"/>
          <w:szCs w:val="16"/>
        </w:rPr>
        <w:tab/>
      </w:r>
      <w:hyperlink r:id="rId5" w:anchor="ui-id-3" w:history="1">
        <w:r w:rsidRPr="00381A8F">
          <w:rPr>
            <w:rStyle w:val="Hyperlink"/>
            <w:rFonts w:ascii="Arial" w:hAnsi="Arial" w:cs="Arial"/>
            <w:sz w:val="16"/>
            <w:szCs w:val="16"/>
          </w:rPr>
          <w:t>https://www.oie.int/en/what-we-offer/expertise-network/reference-laboratories/#ui-id-3</w:t>
        </w:r>
      </w:hyperlink>
      <w:r w:rsidRPr="00381A8F">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56F5" w14:textId="77777777" w:rsidR="0073000F" w:rsidRPr="005D1BB1" w:rsidRDefault="0073000F" w:rsidP="0073000F">
    <w:pPr>
      <w:pBdr>
        <w:bottom w:val="single" w:sz="6" w:space="1" w:color="auto"/>
      </w:pBdr>
      <w:spacing w:line="240" w:lineRule="auto"/>
      <w:ind w:right="-1"/>
      <w:jc w:val="center"/>
      <w:rPr>
        <w:rFonts w:ascii="Ottawa" w:hAnsi="Ottawa"/>
        <w:i/>
      </w:rPr>
    </w:pPr>
    <w:r>
      <w:rPr>
        <w:rFonts w:ascii="Ottawa" w:hAnsi="Ottawa"/>
        <w:i/>
      </w:rPr>
      <w:t>Chapter 3.10.7. – Salmonellosis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0535" w14:textId="77777777" w:rsidR="0073000F" w:rsidRPr="005D1BB1" w:rsidRDefault="0073000F" w:rsidP="0073000F">
    <w:pPr>
      <w:pBdr>
        <w:bottom w:val="single" w:sz="6" w:space="1" w:color="auto"/>
      </w:pBdr>
      <w:spacing w:line="240" w:lineRule="auto"/>
      <w:ind w:right="-1"/>
      <w:jc w:val="center"/>
      <w:rPr>
        <w:rFonts w:ascii="Ottawa" w:hAnsi="Ottawa"/>
        <w:i/>
      </w:rPr>
    </w:pPr>
    <w:r>
      <w:rPr>
        <w:rFonts w:ascii="Ottawa" w:hAnsi="Ottawa"/>
        <w:i/>
      </w:rPr>
      <w:t>Chapter 3.10.7. – Salmonellosis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9E8"/>
    <w:multiLevelType w:val="hybridMultilevel"/>
    <w:tmpl w:val="620AB21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7359A"/>
    <w:multiLevelType w:val="hybridMultilevel"/>
    <w:tmpl w:val="22C0912C"/>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E255DB"/>
    <w:multiLevelType w:val="hybridMultilevel"/>
    <w:tmpl w:val="0B10D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D004C0"/>
    <w:multiLevelType w:val="hybridMultilevel"/>
    <w:tmpl w:val="E496E8F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7D7374"/>
    <w:multiLevelType w:val="hybridMultilevel"/>
    <w:tmpl w:val="B5D8B162"/>
    <w:lvl w:ilvl="0" w:tplc="0409000F">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DA76C8"/>
    <w:multiLevelType w:val="hybridMultilevel"/>
    <w:tmpl w:val="A342ADC6"/>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FC4683"/>
    <w:multiLevelType w:val="hybridMultilevel"/>
    <w:tmpl w:val="C972B65A"/>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59B83BE0"/>
    <w:multiLevelType w:val="hybridMultilevel"/>
    <w:tmpl w:val="6B3AE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034E19"/>
    <w:multiLevelType w:val="hybridMultilevel"/>
    <w:tmpl w:val="1E8C5A16"/>
    <w:lvl w:ilvl="0" w:tplc="0409000F">
      <w:start w:val="4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3242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8026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94110D4"/>
    <w:multiLevelType w:val="singleLevel"/>
    <w:tmpl w:val="8774F6E2"/>
    <w:lvl w:ilvl="0">
      <w:start w:val="1"/>
      <w:numFmt w:val="lowerRoman"/>
      <w:lvlText w:val="%1) "/>
      <w:legacy w:legacy="1" w:legacySpace="0" w:legacyIndent="283"/>
      <w:lvlJc w:val="left"/>
      <w:pPr>
        <w:ind w:left="708" w:hanging="283"/>
      </w:pPr>
      <w:rPr>
        <w:rFonts w:ascii="Arial" w:hAnsi="Arial" w:hint="default"/>
        <w:b w:val="0"/>
        <w:i w:val="0"/>
        <w:sz w:val="18"/>
        <w:u w:val="none"/>
      </w:rPr>
    </w:lvl>
  </w:abstractNum>
  <w:abstractNum w:abstractNumId="12" w15:restartNumberingAfterBreak="0">
    <w:nsid w:val="7E055F70"/>
    <w:multiLevelType w:val="singleLevel"/>
    <w:tmpl w:val="0BD2D144"/>
    <w:lvl w:ilvl="0">
      <w:start w:val="2"/>
      <w:numFmt w:val="lowerRoman"/>
      <w:lvlText w:val="%1) "/>
      <w:legacy w:legacy="1" w:legacySpace="0" w:legacyIndent="283"/>
      <w:lvlJc w:val="left"/>
      <w:pPr>
        <w:ind w:left="708" w:hanging="283"/>
      </w:pPr>
      <w:rPr>
        <w:rFonts w:ascii="Arial" w:hAnsi="Arial" w:hint="default"/>
        <w:b w:val="0"/>
        <w:i w:val="0"/>
        <w:sz w:val="18"/>
        <w:u w:val="none"/>
      </w:rPr>
    </w:lvl>
  </w:abstractNum>
  <w:num w:numId="1">
    <w:abstractNumId w:val="11"/>
  </w:num>
  <w:num w:numId="2">
    <w:abstractNumId w:val="12"/>
  </w:num>
  <w:num w:numId="3">
    <w:abstractNumId w:val="12"/>
    <w:lvlOverride w:ilvl="0">
      <w:lvl w:ilvl="0">
        <w:start w:val="1"/>
        <w:numFmt w:val="lowerRoman"/>
        <w:lvlText w:val="%1) "/>
        <w:legacy w:legacy="1" w:legacySpace="0" w:legacyIndent="283"/>
        <w:lvlJc w:val="left"/>
        <w:pPr>
          <w:ind w:left="708" w:hanging="283"/>
        </w:pPr>
        <w:rPr>
          <w:rFonts w:ascii="Arial" w:hAnsi="Arial" w:hint="default"/>
          <w:b w:val="0"/>
          <w:i w:val="0"/>
          <w:sz w:val="18"/>
          <w:u w:val="none"/>
        </w:rPr>
      </w:lvl>
    </w:lvlOverride>
  </w:num>
  <w:num w:numId="4">
    <w:abstractNumId w:val="9"/>
  </w:num>
  <w:num w:numId="5">
    <w:abstractNumId w:val="10"/>
  </w:num>
  <w:num w:numId="6">
    <w:abstractNumId w:val="5"/>
  </w:num>
  <w:num w:numId="7">
    <w:abstractNumId w:val="1"/>
  </w:num>
  <w:num w:numId="8">
    <w:abstractNumId w:val="8"/>
  </w:num>
  <w:num w:numId="9">
    <w:abstractNumId w:val="3"/>
  </w:num>
  <w:num w:numId="10">
    <w:abstractNumId w:val="0"/>
  </w:num>
  <w:num w:numId="11">
    <w:abstractNumId w:val="4"/>
  </w:num>
  <w:num w:numId="12">
    <w:abstractNumId w:val="6"/>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nl-NL" w:vendorID="64" w:dllVersion="6" w:nlCheck="1" w:checkStyle="0"/>
  <w:activeWritingStyle w:appName="MSWord" w:lang="en-CA" w:vendorID="64" w:dllVersion="6" w:nlCheck="1" w:checkStyle="1"/>
  <w:activeWritingStyle w:appName="MSWord" w:lang="en-IE" w:vendorID="64" w:dllVersion="6" w:nlCheck="1" w:checkStyle="1"/>
  <w:activeWritingStyle w:appName="MSWord" w:lang="en-GB" w:vendorID="64" w:dllVersion="0" w:nlCheck="1" w:checkStyle="0"/>
  <w:activeWritingStyle w:appName="MSWord" w:lang="en-CA"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SV" w:vendorID="64" w:dllVersion="0" w:nlCheck="1" w:checkStyle="0"/>
  <w:activeWritingStyle w:appName="MSWord" w:lang="fr-FR" w:vendorID="64" w:dllVersion="6" w:nlCheck="1" w:checkStyle="1"/>
  <w:activeWritingStyle w:appName="MSWord" w:lang="es-ES" w:vendorID="64" w:dllVersion="6" w:nlCheck="1" w:checkStyle="1"/>
  <w:activeWritingStyle w:appName="MSWord" w:lang="de-DE" w:vendorID="64" w:dllVersion="6" w:nlCheck="1" w:checkStyle="1"/>
  <w:activeWritingStyle w:appName="MSWord" w:lang="en-GB" w:vendorID="8" w:dllVersion="513" w:checkStyle="1"/>
  <w:activeWritingStyle w:appName="MSWord" w:lang="en-US" w:vendorID="8" w:dllVersion="513" w:checkStyle="1"/>
  <w:activeWritingStyle w:appName="MSWord" w:lang="nl-NL" w:vendorID="1" w:dllVersion="512"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x9dxtpe6w0dadewzf6xx55u2evrd9frp2dw&quot;&gt;EAEC&lt;record-ids&gt;&lt;item&gt;930&lt;/item&gt;&lt;/record-ids&gt;&lt;/item&gt;&lt;/Libraries&gt;"/>
  </w:docVars>
  <w:rsids>
    <w:rsidRoot w:val="006A60D1"/>
    <w:rsid w:val="00004758"/>
    <w:rsid w:val="00004C06"/>
    <w:rsid w:val="00004F2B"/>
    <w:rsid w:val="0000735C"/>
    <w:rsid w:val="00011E39"/>
    <w:rsid w:val="00013C44"/>
    <w:rsid w:val="00015253"/>
    <w:rsid w:val="000158A2"/>
    <w:rsid w:val="000244FB"/>
    <w:rsid w:val="00026F0A"/>
    <w:rsid w:val="0003096B"/>
    <w:rsid w:val="00032AE9"/>
    <w:rsid w:val="0003395E"/>
    <w:rsid w:val="000364CE"/>
    <w:rsid w:val="00036F9A"/>
    <w:rsid w:val="000411EC"/>
    <w:rsid w:val="00041F08"/>
    <w:rsid w:val="0004464D"/>
    <w:rsid w:val="000459F9"/>
    <w:rsid w:val="00053CBE"/>
    <w:rsid w:val="00057302"/>
    <w:rsid w:val="00057406"/>
    <w:rsid w:val="0005784B"/>
    <w:rsid w:val="000629C8"/>
    <w:rsid w:val="000634EB"/>
    <w:rsid w:val="0006469B"/>
    <w:rsid w:val="00064E16"/>
    <w:rsid w:val="00067230"/>
    <w:rsid w:val="00070962"/>
    <w:rsid w:val="00071393"/>
    <w:rsid w:val="00073070"/>
    <w:rsid w:val="000731B7"/>
    <w:rsid w:val="00074017"/>
    <w:rsid w:val="00076A64"/>
    <w:rsid w:val="00076B88"/>
    <w:rsid w:val="000804BC"/>
    <w:rsid w:val="000804DE"/>
    <w:rsid w:val="00096C4E"/>
    <w:rsid w:val="0009757D"/>
    <w:rsid w:val="000A3F75"/>
    <w:rsid w:val="000A47BD"/>
    <w:rsid w:val="000A5802"/>
    <w:rsid w:val="000A5D54"/>
    <w:rsid w:val="000A6E4A"/>
    <w:rsid w:val="000A78B9"/>
    <w:rsid w:val="000A78E9"/>
    <w:rsid w:val="000B2F29"/>
    <w:rsid w:val="000C184D"/>
    <w:rsid w:val="000C5B3F"/>
    <w:rsid w:val="000C79C1"/>
    <w:rsid w:val="000D3040"/>
    <w:rsid w:val="000D531A"/>
    <w:rsid w:val="000D6A9F"/>
    <w:rsid w:val="000E451F"/>
    <w:rsid w:val="000E487E"/>
    <w:rsid w:val="000E5EE3"/>
    <w:rsid w:val="000F0EDF"/>
    <w:rsid w:val="000F1881"/>
    <w:rsid w:val="001005B8"/>
    <w:rsid w:val="00100ADE"/>
    <w:rsid w:val="001118FD"/>
    <w:rsid w:val="00112FE1"/>
    <w:rsid w:val="00113833"/>
    <w:rsid w:val="0012055E"/>
    <w:rsid w:val="00121D9E"/>
    <w:rsid w:val="00125707"/>
    <w:rsid w:val="0013057D"/>
    <w:rsid w:val="00131C94"/>
    <w:rsid w:val="00132D84"/>
    <w:rsid w:val="00133B04"/>
    <w:rsid w:val="00141BEF"/>
    <w:rsid w:val="00142C8B"/>
    <w:rsid w:val="00144572"/>
    <w:rsid w:val="00147164"/>
    <w:rsid w:val="00147330"/>
    <w:rsid w:val="00150604"/>
    <w:rsid w:val="001566D3"/>
    <w:rsid w:val="001569C9"/>
    <w:rsid w:val="001612E6"/>
    <w:rsid w:val="001700E9"/>
    <w:rsid w:val="00171226"/>
    <w:rsid w:val="00176539"/>
    <w:rsid w:val="00176659"/>
    <w:rsid w:val="00180469"/>
    <w:rsid w:val="001813EF"/>
    <w:rsid w:val="00183222"/>
    <w:rsid w:val="0018723E"/>
    <w:rsid w:val="00196086"/>
    <w:rsid w:val="00197C01"/>
    <w:rsid w:val="001A195D"/>
    <w:rsid w:val="001A31B0"/>
    <w:rsid w:val="001A3F65"/>
    <w:rsid w:val="001A40B0"/>
    <w:rsid w:val="001B1866"/>
    <w:rsid w:val="001B1D24"/>
    <w:rsid w:val="001B1ECC"/>
    <w:rsid w:val="001B574C"/>
    <w:rsid w:val="001B7BB4"/>
    <w:rsid w:val="001B7F7A"/>
    <w:rsid w:val="001C74AD"/>
    <w:rsid w:val="001D004C"/>
    <w:rsid w:val="001D1C3C"/>
    <w:rsid w:val="001D682E"/>
    <w:rsid w:val="001E2780"/>
    <w:rsid w:val="001E402D"/>
    <w:rsid w:val="001E75FA"/>
    <w:rsid w:val="001F15F0"/>
    <w:rsid w:val="001F1A70"/>
    <w:rsid w:val="001F1CB3"/>
    <w:rsid w:val="001F1F91"/>
    <w:rsid w:val="001F6C40"/>
    <w:rsid w:val="001F70B8"/>
    <w:rsid w:val="002000A0"/>
    <w:rsid w:val="0020094B"/>
    <w:rsid w:val="002021C6"/>
    <w:rsid w:val="0020682B"/>
    <w:rsid w:val="002136D0"/>
    <w:rsid w:val="00214BBB"/>
    <w:rsid w:val="00220060"/>
    <w:rsid w:val="0022010C"/>
    <w:rsid w:val="00220D76"/>
    <w:rsid w:val="002245CD"/>
    <w:rsid w:val="00224686"/>
    <w:rsid w:val="00225057"/>
    <w:rsid w:val="00225BBC"/>
    <w:rsid w:val="00227B64"/>
    <w:rsid w:val="0023091C"/>
    <w:rsid w:val="00235293"/>
    <w:rsid w:val="00236076"/>
    <w:rsid w:val="00236FA8"/>
    <w:rsid w:val="00237856"/>
    <w:rsid w:val="0024142F"/>
    <w:rsid w:val="00244562"/>
    <w:rsid w:val="002449B4"/>
    <w:rsid w:val="00246AAD"/>
    <w:rsid w:val="00255519"/>
    <w:rsid w:val="0025790A"/>
    <w:rsid w:val="00257A20"/>
    <w:rsid w:val="00257DF8"/>
    <w:rsid w:val="002612C8"/>
    <w:rsid w:val="00265E15"/>
    <w:rsid w:val="00266FA0"/>
    <w:rsid w:val="002726B4"/>
    <w:rsid w:val="00274650"/>
    <w:rsid w:val="00274DA1"/>
    <w:rsid w:val="002771A0"/>
    <w:rsid w:val="0028076F"/>
    <w:rsid w:val="002916D6"/>
    <w:rsid w:val="00292E1A"/>
    <w:rsid w:val="00294B1C"/>
    <w:rsid w:val="00297DCC"/>
    <w:rsid w:val="002A71AD"/>
    <w:rsid w:val="002B03AA"/>
    <w:rsid w:val="002B1806"/>
    <w:rsid w:val="002B1D43"/>
    <w:rsid w:val="002B544E"/>
    <w:rsid w:val="002B5877"/>
    <w:rsid w:val="002B5FF4"/>
    <w:rsid w:val="002C20A7"/>
    <w:rsid w:val="002C304C"/>
    <w:rsid w:val="002C5B44"/>
    <w:rsid w:val="002C6DA6"/>
    <w:rsid w:val="002D2119"/>
    <w:rsid w:val="002D22FB"/>
    <w:rsid w:val="002D31DA"/>
    <w:rsid w:val="002D3CA2"/>
    <w:rsid w:val="002D42BA"/>
    <w:rsid w:val="002D70F4"/>
    <w:rsid w:val="002D75D3"/>
    <w:rsid w:val="002E0E77"/>
    <w:rsid w:val="002E1512"/>
    <w:rsid w:val="002E2D28"/>
    <w:rsid w:val="002E3259"/>
    <w:rsid w:val="002E4B0E"/>
    <w:rsid w:val="002E5F56"/>
    <w:rsid w:val="002E66D0"/>
    <w:rsid w:val="002E6C1F"/>
    <w:rsid w:val="002F21FF"/>
    <w:rsid w:val="00302076"/>
    <w:rsid w:val="00302786"/>
    <w:rsid w:val="0030465E"/>
    <w:rsid w:val="0031040F"/>
    <w:rsid w:val="003144EA"/>
    <w:rsid w:val="003149B6"/>
    <w:rsid w:val="00323753"/>
    <w:rsid w:val="003239A6"/>
    <w:rsid w:val="00323AA1"/>
    <w:rsid w:val="0033633D"/>
    <w:rsid w:val="0034052A"/>
    <w:rsid w:val="00344F87"/>
    <w:rsid w:val="003453C5"/>
    <w:rsid w:val="00350D27"/>
    <w:rsid w:val="003524B7"/>
    <w:rsid w:val="0035431D"/>
    <w:rsid w:val="00356709"/>
    <w:rsid w:val="00356DF7"/>
    <w:rsid w:val="00357232"/>
    <w:rsid w:val="003572D2"/>
    <w:rsid w:val="00357A61"/>
    <w:rsid w:val="00357E53"/>
    <w:rsid w:val="00361F89"/>
    <w:rsid w:val="003654B3"/>
    <w:rsid w:val="003717DD"/>
    <w:rsid w:val="00375B34"/>
    <w:rsid w:val="00375B5B"/>
    <w:rsid w:val="00377DA3"/>
    <w:rsid w:val="00381A8F"/>
    <w:rsid w:val="003827CB"/>
    <w:rsid w:val="00385699"/>
    <w:rsid w:val="00386DB3"/>
    <w:rsid w:val="00394517"/>
    <w:rsid w:val="0039699D"/>
    <w:rsid w:val="003A23B1"/>
    <w:rsid w:val="003A6273"/>
    <w:rsid w:val="003A62D1"/>
    <w:rsid w:val="003B6238"/>
    <w:rsid w:val="003C6665"/>
    <w:rsid w:val="003C7FA4"/>
    <w:rsid w:val="003D185D"/>
    <w:rsid w:val="003D6C7B"/>
    <w:rsid w:val="003D7035"/>
    <w:rsid w:val="003E3725"/>
    <w:rsid w:val="003F33D5"/>
    <w:rsid w:val="003F54B6"/>
    <w:rsid w:val="00400868"/>
    <w:rsid w:val="004011C7"/>
    <w:rsid w:val="00402968"/>
    <w:rsid w:val="00405845"/>
    <w:rsid w:val="0041250C"/>
    <w:rsid w:val="00413232"/>
    <w:rsid w:val="004143B7"/>
    <w:rsid w:val="004179F3"/>
    <w:rsid w:val="00426A14"/>
    <w:rsid w:val="0042738F"/>
    <w:rsid w:val="0043406C"/>
    <w:rsid w:val="0043481C"/>
    <w:rsid w:val="00441C49"/>
    <w:rsid w:val="0044329F"/>
    <w:rsid w:val="0044582A"/>
    <w:rsid w:val="004479A8"/>
    <w:rsid w:val="00447E6E"/>
    <w:rsid w:val="0045442B"/>
    <w:rsid w:val="00454CD1"/>
    <w:rsid w:val="004645BA"/>
    <w:rsid w:val="00466CC1"/>
    <w:rsid w:val="00476898"/>
    <w:rsid w:val="00477DFD"/>
    <w:rsid w:val="00480231"/>
    <w:rsid w:val="00482274"/>
    <w:rsid w:val="0048718F"/>
    <w:rsid w:val="00491DB5"/>
    <w:rsid w:val="00492B70"/>
    <w:rsid w:val="00494B2C"/>
    <w:rsid w:val="004A01E0"/>
    <w:rsid w:val="004A08B4"/>
    <w:rsid w:val="004A15CD"/>
    <w:rsid w:val="004A265E"/>
    <w:rsid w:val="004A365A"/>
    <w:rsid w:val="004A47C7"/>
    <w:rsid w:val="004A7BC3"/>
    <w:rsid w:val="004B2565"/>
    <w:rsid w:val="004B2E18"/>
    <w:rsid w:val="004B3331"/>
    <w:rsid w:val="004B42B1"/>
    <w:rsid w:val="004B49F6"/>
    <w:rsid w:val="004B5A21"/>
    <w:rsid w:val="004B6159"/>
    <w:rsid w:val="004B7289"/>
    <w:rsid w:val="004C5CF6"/>
    <w:rsid w:val="004C6134"/>
    <w:rsid w:val="004D1504"/>
    <w:rsid w:val="004D40D0"/>
    <w:rsid w:val="004D75F8"/>
    <w:rsid w:val="004E1754"/>
    <w:rsid w:val="004E6327"/>
    <w:rsid w:val="004E6EC2"/>
    <w:rsid w:val="004F0409"/>
    <w:rsid w:val="004F132C"/>
    <w:rsid w:val="004F1F12"/>
    <w:rsid w:val="004F442E"/>
    <w:rsid w:val="004F79C5"/>
    <w:rsid w:val="005003A3"/>
    <w:rsid w:val="00505690"/>
    <w:rsid w:val="00511D3C"/>
    <w:rsid w:val="005144E3"/>
    <w:rsid w:val="00515121"/>
    <w:rsid w:val="00515E25"/>
    <w:rsid w:val="005243AA"/>
    <w:rsid w:val="00527A9D"/>
    <w:rsid w:val="00527B51"/>
    <w:rsid w:val="00530D49"/>
    <w:rsid w:val="00533B75"/>
    <w:rsid w:val="00536C8E"/>
    <w:rsid w:val="00542F4E"/>
    <w:rsid w:val="0055058D"/>
    <w:rsid w:val="005543B9"/>
    <w:rsid w:val="005544D6"/>
    <w:rsid w:val="00554987"/>
    <w:rsid w:val="005553A1"/>
    <w:rsid w:val="00557141"/>
    <w:rsid w:val="005601AB"/>
    <w:rsid w:val="00560574"/>
    <w:rsid w:val="00563526"/>
    <w:rsid w:val="00572165"/>
    <w:rsid w:val="00575834"/>
    <w:rsid w:val="00581CC3"/>
    <w:rsid w:val="00581D41"/>
    <w:rsid w:val="00585917"/>
    <w:rsid w:val="00587A70"/>
    <w:rsid w:val="0059015E"/>
    <w:rsid w:val="005901B3"/>
    <w:rsid w:val="00590BBD"/>
    <w:rsid w:val="00591350"/>
    <w:rsid w:val="00593AE8"/>
    <w:rsid w:val="00593E9C"/>
    <w:rsid w:val="005961C6"/>
    <w:rsid w:val="005A400D"/>
    <w:rsid w:val="005A438A"/>
    <w:rsid w:val="005A4DA0"/>
    <w:rsid w:val="005A60CE"/>
    <w:rsid w:val="005A61CB"/>
    <w:rsid w:val="005A68DB"/>
    <w:rsid w:val="005B0920"/>
    <w:rsid w:val="005B23E2"/>
    <w:rsid w:val="005B3086"/>
    <w:rsid w:val="005C5300"/>
    <w:rsid w:val="005D1BB1"/>
    <w:rsid w:val="005D21C2"/>
    <w:rsid w:val="005D524E"/>
    <w:rsid w:val="005D66F0"/>
    <w:rsid w:val="005D6971"/>
    <w:rsid w:val="005E3F47"/>
    <w:rsid w:val="005F09CD"/>
    <w:rsid w:val="005F1E6C"/>
    <w:rsid w:val="005F739C"/>
    <w:rsid w:val="005F7505"/>
    <w:rsid w:val="006006E3"/>
    <w:rsid w:val="0060628F"/>
    <w:rsid w:val="00607F94"/>
    <w:rsid w:val="00615B14"/>
    <w:rsid w:val="00624EA4"/>
    <w:rsid w:val="0062740F"/>
    <w:rsid w:val="006279C1"/>
    <w:rsid w:val="00633947"/>
    <w:rsid w:val="006351D3"/>
    <w:rsid w:val="00635740"/>
    <w:rsid w:val="0064197C"/>
    <w:rsid w:val="00643294"/>
    <w:rsid w:val="00650EF8"/>
    <w:rsid w:val="00650FAD"/>
    <w:rsid w:val="0065122B"/>
    <w:rsid w:val="006560CE"/>
    <w:rsid w:val="00657D7F"/>
    <w:rsid w:val="0066035E"/>
    <w:rsid w:val="006605F9"/>
    <w:rsid w:val="00661F2B"/>
    <w:rsid w:val="00661FFB"/>
    <w:rsid w:val="0066317D"/>
    <w:rsid w:val="0066375C"/>
    <w:rsid w:val="00664EAC"/>
    <w:rsid w:val="00667136"/>
    <w:rsid w:val="00676CA8"/>
    <w:rsid w:val="0068186D"/>
    <w:rsid w:val="0068351D"/>
    <w:rsid w:val="00686E63"/>
    <w:rsid w:val="006879DE"/>
    <w:rsid w:val="0069218B"/>
    <w:rsid w:val="006933B9"/>
    <w:rsid w:val="00694F7C"/>
    <w:rsid w:val="006A357F"/>
    <w:rsid w:val="006A3A54"/>
    <w:rsid w:val="006A4520"/>
    <w:rsid w:val="006A60D1"/>
    <w:rsid w:val="006B680A"/>
    <w:rsid w:val="006C01D4"/>
    <w:rsid w:val="006C2454"/>
    <w:rsid w:val="006C3090"/>
    <w:rsid w:val="006C53F9"/>
    <w:rsid w:val="006C7ACF"/>
    <w:rsid w:val="006D5706"/>
    <w:rsid w:val="006D69BB"/>
    <w:rsid w:val="006D6A37"/>
    <w:rsid w:val="006D7019"/>
    <w:rsid w:val="006D783B"/>
    <w:rsid w:val="006E26AA"/>
    <w:rsid w:val="006E3B34"/>
    <w:rsid w:val="006F39CF"/>
    <w:rsid w:val="006F53D3"/>
    <w:rsid w:val="006F5578"/>
    <w:rsid w:val="00703987"/>
    <w:rsid w:val="00703E1E"/>
    <w:rsid w:val="00704F95"/>
    <w:rsid w:val="007101EC"/>
    <w:rsid w:val="00711292"/>
    <w:rsid w:val="00711CA3"/>
    <w:rsid w:val="007222BD"/>
    <w:rsid w:val="00725349"/>
    <w:rsid w:val="007263C1"/>
    <w:rsid w:val="0073000F"/>
    <w:rsid w:val="00730DDE"/>
    <w:rsid w:val="00733B1E"/>
    <w:rsid w:val="00741337"/>
    <w:rsid w:val="00743E45"/>
    <w:rsid w:val="00751B9A"/>
    <w:rsid w:val="00752D4A"/>
    <w:rsid w:val="007610CB"/>
    <w:rsid w:val="00761278"/>
    <w:rsid w:val="00767D80"/>
    <w:rsid w:val="00767EEF"/>
    <w:rsid w:val="00772FF1"/>
    <w:rsid w:val="00780BA2"/>
    <w:rsid w:val="0079012A"/>
    <w:rsid w:val="00790E5D"/>
    <w:rsid w:val="00793AAF"/>
    <w:rsid w:val="007955F6"/>
    <w:rsid w:val="0079679E"/>
    <w:rsid w:val="007A1DBB"/>
    <w:rsid w:val="007A2A7C"/>
    <w:rsid w:val="007A4FE0"/>
    <w:rsid w:val="007A6412"/>
    <w:rsid w:val="007B3E46"/>
    <w:rsid w:val="007B3EEA"/>
    <w:rsid w:val="007C35BB"/>
    <w:rsid w:val="007D0C51"/>
    <w:rsid w:val="007D273F"/>
    <w:rsid w:val="007D33E4"/>
    <w:rsid w:val="007D4961"/>
    <w:rsid w:val="007D681B"/>
    <w:rsid w:val="007D6A71"/>
    <w:rsid w:val="007D7B2D"/>
    <w:rsid w:val="007E0460"/>
    <w:rsid w:val="007E144F"/>
    <w:rsid w:val="007E540F"/>
    <w:rsid w:val="007E5A60"/>
    <w:rsid w:val="007E69B1"/>
    <w:rsid w:val="007F05AB"/>
    <w:rsid w:val="007F1B6D"/>
    <w:rsid w:val="007F3A63"/>
    <w:rsid w:val="00801DFC"/>
    <w:rsid w:val="0080300F"/>
    <w:rsid w:val="008039AE"/>
    <w:rsid w:val="00803ACD"/>
    <w:rsid w:val="00804C20"/>
    <w:rsid w:val="00805794"/>
    <w:rsid w:val="008120C2"/>
    <w:rsid w:val="0081656A"/>
    <w:rsid w:val="0081711B"/>
    <w:rsid w:val="00817F82"/>
    <w:rsid w:val="00823D56"/>
    <w:rsid w:val="008268A3"/>
    <w:rsid w:val="00833CBF"/>
    <w:rsid w:val="00833F87"/>
    <w:rsid w:val="00836B96"/>
    <w:rsid w:val="00841BDB"/>
    <w:rsid w:val="0085014E"/>
    <w:rsid w:val="00861BA8"/>
    <w:rsid w:val="0086263E"/>
    <w:rsid w:val="00864A93"/>
    <w:rsid w:val="0086567E"/>
    <w:rsid w:val="00866A45"/>
    <w:rsid w:val="00867BE0"/>
    <w:rsid w:val="00867C21"/>
    <w:rsid w:val="008700E7"/>
    <w:rsid w:val="00877EA7"/>
    <w:rsid w:val="00881D99"/>
    <w:rsid w:val="0088258F"/>
    <w:rsid w:val="0088280C"/>
    <w:rsid w:val="00883D17"/>
    <w:rsid w:val="00892C17"/>
    <w:rsid w:val="00893CE8"/>
    <w:rsid w:val="00894244"/>
    <w:rsid w:val="00894810"/>
    <w:rsid w:val="00895716"/>
    <w:rsid w:val="008969BE"/>
    <w:rsid w:val="00897119"/>
    <w:rsid w:val="008A6011"/>
    <w:rsid w:val="008B053E"/>
    <w:rsid w:val="008B226A"/>
    <w:rsid w:val="008B6977"/>
    <w:rsid w:val="008B7DF2"/>
    <w:rsid w:val="008C6025"/>
    <w:rsid w:val="008D51C8"/>
    <w:rsid w:val="008D53D5"/>
    <w:rsid w:val="008D560B"/>
    <w:rsid w:val="008D66F9"/>
    <w:rsid w:val="008D78A2"/>
    <w:rsid w:val="008D79C7"/>
    <w:rsid w:val="008E0CDF"/>
    <w:rsid w:val="008E64CB"/>
    <w:rsid w:val="008F12BD"/>
    <w:rsid w:val="009006CD"/>
    <w:rsid w:val="0090128A"/>
    <w:rsid w:val="009029FF"/>
    <w:rsid w:val="00904A25"/>
    <w:rsid w:val="00906B24"/>
    <w:rsid w:val="0091663A"/>
    <w:rsid w:val="0092046D"/>
    <w:rsid w:val="00920926"/>
    <w:rsid w:val="00920E5F"/>
    <w:rsid w:val="009211AC"/>
    <w:rsid w:val="00922C27"/>
    <w:rsid w:val="00925963"/>
    <w:rsid w:val="00925D3D"/>
    <w:rsid w:val="00931ABC"/>
    <w:rsid w:val="00933346"/>
    <w:rsid w:val="00934260"/>
    <w:rsid w:val="009364FC"/>
    <w:rsid w:val="0093753B"/>
    <w:rsid w:val="009376B4"/>
    <w:rsid w:val="00942139"/>
    <w:rsid w:val="009436F0"/>
    <w:rsid w:val="00945008"/>
    <w:rsid w:val="0094513E"/>
    <w:rsid w:val="009467C8"/>
    <w:rsid w:val="00946AB3"/>
    <w:rsid w:val="0094745F"/>
    <w:rsid w:val="009520DC"/>
    <w:rsid w:val="00953B13"/>
    <w:rsid w:val="009577B0"/>
    <w:rsid w:val="00962409"/>
    <w:rsid w:val="00962E18"/>
    <w:rsid w:val="0096366C"/>
    <w:rsid w:val="00964D16"/>
    <w:rsid w:val="00965797"/>
    <w:rsid w:val="009749C5"/>
    <w:rsid w:val="009779A8"/>
    <w:rsid w:val="00980A3A"/>
    <w:rsid w:val="009827C5"/>
    <w:rsid w:val="00986D61"/>
    <w:rsid w:val="009914B2"/>
    <w:rsid w:val="009924D6"/>
    <w:rsid w:val="00993FB2"/>
    <w:rsid w:val="00995BF5"/>
    <w:rsid w:val="00996069"/>
    <w:rsid w:val="0099726D"/>
    <w:rsid w:val="00997A26"/>
    <w:rsid w:val="009A1396"/>
    <w:rsid w:val="009A34DD"/>
    <w:rsid w:val="009A4559"/>
    <w:rsid w:val="009A515F"/>
    <w:rsid w:val="009A6E78"/>
    <w:rsid w:val="009B2F61"/>
    <w:rsid w:val="009B4D2B"/>
    <w:rsid w:val="009B4DD5"/>
    <w:rsid w:val="009C0716"/>
    <w:rsid w:val="009C1C4F"/>
    <w:rsid w:val="009C3208"/>
    <w:rsid w:val="009C6E8E"/>
    <w:rsid w:val="009D13B7"/>
    <w:rsid w:val="009D2409"/>
    <w:rsid w:val="009D28B0"/>
    <w:rsid w:val="009D5BE9"/>
    <w:rsid w:val="009D69D3"/>
    <w:rsid w:val="009D7255"/>
    <w:rsid w:val="009E0746"/>
    <w:rsid w:val="009E0E13"/>
    <w:rsid w:val="009E41D7"/>
    <w:rsid w:val="009E4332"/>
    <w:rsid w:val="009F5B8F"/>
    <w:rsid w:val="009F7AA6"/>
    <w:rsid w:val="00A052A2"/>
    <w:rsid w:val="00A05DC3"/>
    <w:rsid w:val="00A062FA"/>
    <w:rsid w:val="00A10E46"/>
    <w:rsid w:val="00A111B2"/>
    <w:rsid w:val="00A14C0D"/>
    <w:rsid w:val="00A207A6"/>
    <w:rsid w:val="00A2168A"/>
    <w:rsid w:val="00A45427"/>
    <w:rsid w:val="00A51CCB"/>
    <w:rsid w:val="00A562BC"/>
    <w:rsid w:val="00A72E88"/>
    <w:rsid w:val="00A75053"/>
    <w:rsid w:val="00A86357"/>
    <w:rsid w:val="00A86E40"/>
    <w:rsid w:val="00A92AE1"/>
    <w:rsid w:val="00A93966"/>
    <w:rsid w:val="00A93D7E"/>
    <w:rsid w:val="00A94FA6"/>
    <w:rsid w:val="00A97A5F"/>
    <w:rsid w:val="00AA31E6"/>
    <w:rsid w:val="00AA72A4"/>
    <w:rsid w:val="00AB5067"/>
    <w:rsid w:val="00AC1DC0"/>
    <w:rsid w:val="00AC254D"/>
    <w:rsid w:val="00AC2B9D"/>
    <w:rsid w:val="00AC3BA3"/>
    <w:rsid w:val="00AC4786"/>
    <w:rsid w:val="00AC6542"/>
    <w:rsid w:val="00AD34B5"/>
    <w:rsid w:val="00AD5C32"/>
    <w:rsid w:val="00AD6DBC"/>
    <w:rsid w:val="00AE6880"/>
    <w:rsid w:val="00AE7745"/>
    <w:rsid w:val="00AF20AF"/>
    <w:rsid w:val="00AF36E1"/>
    <w:rsid w:val="00AF3D04"/>
    <w:rsid w:val="00B02FEF"/>
    <w:rsid w:val="00B03798"/>
    <w:rsid w:val="00B11938"/>
    <w:rsid w:val="00B12750"/>
    <w:rsid w:val="00B1314D"/>
    <w:rsid w:val="00B13E3B"/>
    <w:rsid w:val="00B166E8"/>
    <w:rsid w:val="00B173BA"/>
    <w:rsid w:val="00B22539"/>
    <w:rsid w:val="00B265EC"/>
    <w:rsid w:val="00B26BFD"/>
    <w:rsid w:val="00B326AE"/>
    <w:rsid w:val="00B32BA7"/>
    <w:rsid w:val="00B35331"/>
    <w:rsid w:val="00B3713D"/>
    <w:rsid w:val="00B401BB"/>
    <w:rsid w:val="00B40EDD"/>
    <w:rsid w:val="00B46130"/>
    <w:rsid w:val="00B47CF3"/>
    <w:rsid w:val="00B513DB"/>
    <w:rsid w:val="00B51422"/>
    <w:rsid w:val="00B544F7"/>
    <w:rsid w:val="00B5483D"/>
    <w:rsid w:val="00B54C93"/>
    <w:rsid w:val="00B57162"/>
    <w:rsid w:val="00B60245"/>
    <w:rsid w:val="00B6303F"/>
    <w:rsid w:val="00B6530D"/>
    <w:rsid w:val="00B71D8D"/>
    <w:rsid w:val="00B72BAA"/>
    <w:rsid w:val="00B74011"/>
    <w:rsid w:val="00B75BB7"/>
    <w:rsid w:val="00B76597"/>
    <w:rsid w:val="00B77F09"/>
    <w:rsid w:val="00B8029A"/>
    <w:rsid w:val="00B8132B"/>
    <w:rsid w:val="00B8447A"/>
    <w:rsid w:val="00B92175"/>
    <w:rsid w:val="00B9366B"/>
    <w:rsid w:val="00B93C58"/>
    <w:rsid w:val="00B93E83"/>
    <w:rsid w:val="00B975D7"/>
    <w:rsid w:val="00BA02BE"/>
    <w:rsid w:val="00BA2563"/>
    <w:rsid w:val="00BA2A80"/>
    <w:rsid w:val="00BA3954"/>
    <w:rsid w:val="00BA6702"/>
    <w:rsid w:val="00BA7AC1"/>
    <w:rsid w:val="00BB3ADB"/>
    <w:rsid w:val="00BB3D6B"/>
    <w:rsid w:val="00BB5D92"/>
    <w:rsid w:val="00BB7222"/>
    <w:rsid w:val="00BC43D2"/>
    <w:rsid w:val="00BC6EF6"/>
    <w:rsid w:val="00BD2102"/>
    <w:rsid w:val="00BD236A"/>
    <w:rsid w:val="00BD6B98"/>
    <w:rsid w:val="00BD71FA"/>
    <w:rsid w:val="00BD72F6"/>
    <w:rsid w:val="00BD790C"/>
    <w:rsid w:val="00BF08BF"/>
    <w:rsid w:val="00BF2439"/>
    <w:rsid w:val="00BF5C0C"/>
    <w:rsid w:val="00BF624F"/>
    <w:rsid w:val="00C05858"/>
    <w:rsid w:val="00C0603C"/>
    <w:rsid w:val="00C07959"/>
    <w:rsid w:val="00C106AD"/>
    <w:rsid w:val="00C145C6"/>
    <w:rsid w:val="00C15232"/>
    <w:rsid w:val="00C15A9A"/>
    <w:rsid w:val="00C201CB"/>
    <w:rsid w:val="00C20881"/>
    <w:rsid w:val="00C23037"/>
    <w:rsid w:val="00C23C0D"/>
    <w:rsid w:val="00C2593C"/>
    <w:rsid w:val="00C3218B"/>
    <w:rsid w:val="00C32715"/>
    <w:rsid w:val="00C33A12"/>
    <w:rsid w:val="00C351BF"/>
    <w:rsid w:val="00C537A3"/>
    <w:rsid w:val="00C64040"/>
    <w:rsid w:val="00C6729A"/>
    <w:rsid w:val="00C700B1"/>
    <w:rsid w:val="00C7462E"/>
    <w:rsid w:val="00C74734"/>
    <w:rsid w:val="00C76B1C"/>
    <w:rsid w:val="00C7756D"/>
    <w:rsid w:val="00C837DB"/>
    <w:rsid w:val="00C84093"/>
    <w:rsid w:val="00C87AA8"/>
    <w:rsid w:val="00C95C2A"/>
    <w:rsid w:val="00C97DFD"/>
    <w:rsid w:val="00CA18DB"/>
    <w:rsid w:val="00CA21DE"/>
    <w:rsid w:val="00CA53F6"/>
    <w:rsid w:val="00CB5540"/>
    <w:rsid w:val="00CD00CB"/>
    <w:rsid w:val="00CE05A8"/>
    <w:rsid w:val="00CE0653"/>
    <w:rsid w:val="00CE1BEC"/>
    <w:rsid w:val="00CE2168"/>
    <w:rsid w:val="00CE72D9"/>
    <w:rsid w:val="00CF20B8"/>
    <w:rsid w:val="00CF2C7D"/>
    <w:rsid w:val="00CF3A6E"/>
    <w:rsid w:val="00CF7F93"/>
    <w:rsid w:val="00D023CA"/>
    <w:rsid w:val="00D0308E"/>
    <w:rsid w:val="00D06A10"/>
    <w:rsid w:val="00D13FE8"/>
    <w:rsid w:val="00D15640"/>
    <w:rsid w:val="00D20758"/>
    <w:rsid w:val="00D21440"/>
    <w:rsid w:val="00D21A5D"/>
    <w:rsid w:val="00D21E7E"/>
    <w:rsid w:val="00D23FF8"/>
    <w:rsid w:val="00D24057"/>
    <w:rsid w:val="00D255C1"/>
    <w:rsid w:val="00D263DD"/>
    <w:rsid w:val="00D27DD8"/>
    <w:rsid w:val="00D31862"/>
    <w:rsid w:val="00D3598C"/>
    <w:rsid w:val="00D40280"/>
    <w:rsid w:val="00D40CD4"/>
    <w:rsid w:val="00D41B30"/>
    <w:rsid w:val="00D421B4"/>
    <w:rsid w:val="00D449D4"/>
    <w:rsid w:val="00D44A1A"/>
    <w:rsid w:val="00D4548B"/>
    <w:rsid w:val="00D45B39"/>
    <w:rsid w:val="00D45DA4"/>
    <w:rsid w:val="00D46BD2"/>
    <w:rsid w:val="00D5026A"/>
    <w:rsid w:val="00D51F58"/>
    <w:rsid w:val="00D52DB7"/>
    <w:rsid w:val="00D54F74"/>
    <w:rsid w:val="00D60D63"/>
    <w:rsid w:val="00D6245D"/>
    <w:rsid w:val="00D665EB"/>
    <w:rsid w:val="00D66877"/>
    <w:rsid w:val="00D66D19"/>
    <w:rsid w:val="00D72D37"/>
    <w:rsid w:val="00D801F5"/>
    <w:rsid w:val="00D85277"/>
    <w:rsid w:val="00D85B74"/>
    <w:rsid w:val="00D87299"/>
    <w:rsid w:val="00D87747"/>
    <w:rsid w:val="00D916CB"/>
    <w:rsid w:val="00D91A7A"/>
    <w:rsid w:val="00D95E07"/>
    <w:rsid w:val="00DA1DA3"/>
    <w:rsid w:val="00DA3CE8"/>
    <w:rsid w:val="00DA58A2"/>
    <w:rsid w:val="00DB5AAF"/>
    <w:rsid w:val="00DC0C3E"/>
    <w:rsid w:val="00DC1C9A"/>
    <w:rsid w:val="00DD399E"/>
    <w:rsid w:val="00DD56D5"/>
    <w:rsid w:val="00DE0C85"/>
    <w:rsid w:val="00DE1C07"/>
    <w:rsid w:val="00DE2429"/>
    <w:rsid w:val="00DE40A4"/>
    <w:rsid w:val="00DE53F4"/>
    <w:rsid w:val="00DF198D"/>
    <w:rsid w:val="00E03D75"/>
    <w:rsid w:val="00E0562C"/>
    <w:rsid w:val="00E06C8B"/>
    <w:rsid w:val="00E15201"/>
    <w:rsid w:val="00E169B8"/>
    <w:rsid w:val="00E216BE"/>
    <w:rsid w:val="00E21C7B"/>
    <w:rsid w:val="00E26BE1"/>
    <w:rsid w:val="00E27104"/>
    <w:rsid w:val="00E35E6A"/>
    <w:rsid w:val="00E36B46"/>
    <w:rsid w:val="00E37941"/>
    <w:rsid w:val="00E41348"/>
    <w:rsid w:val="00E42FD4"/>
    <w:rsid w:val="00E430AA"/>
    <w:rsid w:val="00E560A3"/>
    <w:rsid w:val="00E6213D"/>
    <w:rsid w:val="00E63D50"/>
    <w:rsid w:val="00E64DFC"/>
    <w:rsid w:val="00E65FED"/>
    <w:rsid w:val="00E67293"/>
    <w:rsid w:val="00E67324"/>
    <w:rsid w:val="00E71D2E"/>
    <w:rsid w:val="00E76ED0"/>
    <w:rsid w:val="00E83537"/>
    <w:rsid w:val="00E85E38"/>
    <w:rsid w:val="00E8782C"/>
    <w:rsid w:val="00E87D0F"/>
    <w:rsid w:val="00E94048"/>
    <w:rsid w:val="00E96A43"/>
    <w:rsid w:val="00EB024D"/>
    <w:rsid w:val="00EB151D"/>
    <w:rsid w:val="00EB1680"/>
    <w:rsid w:val="00EB31BC"/>
    <w:rsid w:val="00EB3565"/>
    <w:rsid w:val="00EC3A44"/>
    <w:rsid w:val="00EC5B6A"/>
    <w:rsid w:val="00ED0D82"/>
    <w:rsid w:val="00ED2941"/>
    <w:rsid w:val="00ED3DBE"/>
    <w:rsid w:val="00ED623D"/>
    <w:rsid w:val="00ED6D7B"/>
    <w:rsid w:val="00EE0933"/>
    <w:rsid w:val="00EE0DA2"/>
    <w:rsid w:val="00EE1FA8"/>
    <w:rsid w:val="00EF18BA"/>
    <w:rsid w:val="00EF1AAD"/>
    <w:rsid w:val="00EF466D"/>
    <w:rsid w:val="00EF468D"/>
    <w:rsid w:val="00EF53A6"/>
    <w:rsid w:val="00EF55EF"/>
    <w:rsid w:val="00EF590C"/>
    <w:rsid w:val="00EF60C5"/>
    <w:rsid w:val="00EF7224"/>
    <w:rsid w:val="00F00413"/>
    <w:rsid w:val="00F00807"/>
    <w:rsid w:val="00F05EB0"/>
    <w:rsid w:val="00F201E5"/>
    <w:rsid w:val="00F209EC"/>
    <w:rsid w:val="00F25F6E"/>
    <w:rsid w:val="00F30553"/>
    <w:rsid w:val="00F32643"/>
    <w:rsid w:val="00F33B46"/>
    <w:rsid w:val="00F368C3"/>
    <w:rsid w:val="00F3777F"/>
    <w:rsid w:val="00F41579"/>
    <w:rsid w:val="00F45B36"/>
    <w:rsid w:val="00F52424"/>
    <w:rsid w:val="00F534AB"/>
    <w:rsid w:val="00F53EE8"/>
    <w:rsid w:val="00F55356"/>
    <w:rsid w:val="00F6197F"/>
    <w:rsid w:val="00F61DE7"/>
    <w:rsid w:val="00F63FA0"/>
    <w:rsid w:val="00F6464C"/>
    <w:rsid w:val="00F67A31"/>
    <w:rsid w:val="00F71A94"/>
    <w:rsid w:val="00F71F23"/>
    <w:rsid w:val="00F72ECA"/>
    <w:rsid w:val="00F80A82"/>
    <w:rsid w:val="00F827F4"/>
    <w:rsid w:val="00F8426F"/>
    <w:rsid w:val="00F85CAE"/>
    <w:rsid w:val="00F85EFA"/>
    <w:rsid w:val="00F87928"/>
    <w:rsid w:val="00F91C67"/>
    <w:rsid w:val="00F91DF3"/>
    <w:rsid w:val="00F9338E"/>
    <w:rsid w:val="00F934DD"/>
    <w:rsid w:val="00F940D3"/>
    <w:rsid w:val="00FB2932"/>
    <w:rsid w:val="00FB6DF3"/>
    <w:rsid w:val="00FC294E"/>
    <w:rsid w:val="00FC4D7A"/>
    <w:rsid w:val="00FC5143"/>
    <w:rsid w:val="00FD1F2E"/>
    <w:rsid w:val="00FD4A1D"/>
    <w:rsid w:val="00FD4E1E"/>
    <w:rsid w:val="00FD5C25"/>
    <w:rsid w:val="00FD6A41"/>
    <w:rsid w:val="00FD775A"/>
    <w:rsid w:val="00FD7F0B"/>
    <w:rsid w:val="00FE7BCB"/>
    <w:rsid w:val="00FF04C9"/>
    <w:rsid w:val="00FF1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3916EF"/>
  <w15:docId w15:val="{85294A13-6C3A-4C6F-A4C3-F932D762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s>
      <w:spacing w:line="360" w:lineRule="atLeast"/>
      <w:jc w:val="both"/>
    </w:pPr>
    <w:rPr>
      <w:lang w:eastAsia="fr-FR"/>
    </w:rPr>
  </w:style>
  <w:style w:type="paragraph" w:styleId="Heading1">
    <w:name w:val="heading 1"/>
    <w:basedOn w:val="Normal"/>
    <w:next w:val="Normal"/>
    <w:link w:val="Heading1Char"/>
    <w:uiPriority w:val="99"/>
    <w:qFormat/>
    <w:pPr>
      <w:spacing w:before="240"/>
      <w:outlineLvl w:val="0"/>
    </w:pPr>
    <w:rPr>
      <w:rFonts w:ascii="Arial" w:hAnsi="Arial" w:cs="Arial"/>
      <w:b/>
      <w:bCs/>
      <w:sz w:val="24"/>
      <w:szCs w:val="24"/>
      <w:u w:val="single"/>
    </w:rPr>
  </w:style>
  <w:style w:type="paragraph" w:styleId="Heading2">
    <w:name w:val="heading 2"/>
    <w:basedOn w:val="Normal"/>
    <w:next w:val="Normal"/>
    <w:qFormat/>
    <w:pPr>
      <w:spacing w:before="120"/>
      <w:outlineLvl w:val="1"/>
    </w:pPr>
    <w:rPr>
      <w:rFonts w:ascii="Arial" w:hAnsi="Arial" w:cs="Arial"/>
      <w:b/>
      <w:bCs/>
      <w:sz w:val="24"/>
      <w:szCs w:val="24"/>
    </w:rPr>
  </w:style>
  <w:style w:type="paragraph" w:styleId="Heading3">
    <w:name w:val="heading 3"/>
    <w:basedOn w:val="Normal"/>
    <w:next w:val="Normal"/>
    <w:qFormat/>
    <w:pPr>
      <w:ind w:left="360"/>
      <w:outlineLvl w:val="2"/>
    </w:pPr>
    <w:rPr>
      <w:b/>
      <w:bCs/>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F71F23"/>
    <w:rPr>
      <w:rFonts w:ascii="Arial" w:hAnsi="Arial"/>
      <w:sz w:val="16"/>
    </w:rPr>
  </w:style>
  <w:style w:type="paragraph" w:styleId="Header">
    <w:name w:val="header"/>
    <w:basedOn w:val="Normal"/>
    <w:link w:val="HeaderChar"/>
    <w:pPr>
      <w:tabs>
        <w:tab w:val="clear" w:pos="-720"/>
        <w:tab w:val="center" w:pos="4536"/>
        <w:tab w:val="right" w:pos="9072"/>
      </w:tabs>
    </w:pPr>
  </w:style>
  <w:style w:type="paragraph" w:customStyle="1" w:styleId="notedebas">
    <w:name w:val="note de bas"/>
    <w:basedOn w:val="Normal"/>
    <w:pPr>
      <w:widowControl w:val="0"/>
      <w:spacing w:line="240" w:lineRule="auto"/>
      <w:ind w:left="425" w:hanging="425"/>
    </w:pPr>
    <w:rPr>
      <w:rFonts w:ascii="Arial" w:hAnsi="Arial" w:cs="Arial"/>
      <w:sz w:val="16"/>
      <w:szCs w:val="16"/>
      <w:lang w:val="en-US"/>
    </w:rPr>
  </w:style>
  <w:style w:type="paragraph" w:customStyle="1" w:styleId="a">
    <w:name w:val="a)"/>
    <w:basedOn w:val="Normal"/>
    <w:pPr>
      <w:tabs>
        <w:tab w:val="clear" w:pos="-720"/>
      </w:tabs>
      <w:spacing w:after="120" w:line="240" w:lineRule="auto"/>
      <w:ind w:left="425" w:hanging="425"/>
    </w:pPr>
    <w:rPr>
      <w:rFonts w:ascii="Ottawa" w:hAnsi="Ottawa"/>
      <w:b/>
      <w:bCs/>
    </w:rPr>
  </w:style>
  <w:style w:type="paragraph" w:customStyle="1" w:styleId="paraa">
    <w:name w:val="paraa)"/>
    <w:basedOn w:val="Normal"/>
    <w:pPr>
      <w:spacing w:after="240" w:line="240" w:lineRule="auto"/>
      <w:ind w:left="425"/>
    </w:pPr>
    <w:rPr>
      <w:rFonts w:ascii="Arial" w:hAnsi="Arial" w:cs="Arial"/>
      <w:sz w:val="18"/>
      <w:szCs w:val="18"/>
    </w:rPr>
  </w:style>
  <w:style w:type="paragraph" w:customStyle="1" w:styleId="1">
    <w:name w:val="1"/>
    <w:basedOn w:val="para1"/>
    <w:qFormat/>
    <w:rsid w:val="00F71F23"/>
    <w:pPr>
      <w:tabs>
        <w:tab w:val="clear" w:pos="-720"/>
      </w:tabs>
      <w:ind w:left="426" w:hanging="426"/>
    </w:pPr>
    <w:rPr>
      <w:rFonts w:ascii="Ottawa" w:hAnsi="Ottawa"/>
      <w:b/>
      <w:bCs/>
      <w:sz w:val="22"/>
      <w:szCs w:val="22"/>
    </w:rPr>
  </w:style>
  <w:style w:type="paragraph" w:customStyle="1" w:styleId="para1">
    <w:name w:val="para1"/>
    <w:basedOn w:val="Normal"/>
    <w:pPr>
      <w:spacing w:after="240" w:line="240" w:lineRule="auto"/>
    </w:pPr>
    <w:rPr>
      <w:rFonts w:ascii="Arial" w:hAnsi="Arial" w:cs="Arial"/>
      <w:sz w:val="18"/>
      <w:szCs w:val="18"/>
    </w:rPr>
  </w:style>
  <w:style w:type="paragraph" w:customStyle="1" w:styleId="i">
    <w:name w:val="i)"/>
    <w:basedOn w:val="Normal"/>
    <w:link w:val="iCar1"/>
    <w:qFormat/>
    <w:rsid w:val="00F71F23"/>
    <w:pPr>
      <w:spacing w:after="120" w:line="240" w:lineRule="auto"/>
      <w:ind w:left="1843" w:hanging="425"/>
    </w:pPr>
    <w:rPr>
      <w:rFonts w:ascii="Arial" w:hAnsi="Arial" w:cs="Arial"/>
      <w:sz w:val="18"/>
      <w:szCs w:val="18"/>
    </w:rPr>
  </w:style>
  <w:style w:type="paragraph" w:customStyle="1" w:styleId="A0">
    <w:name w:val="A"/>
    <w:basedOn w:val="Normal"/>
    <w:pPr>
      <w:spacing w:after="240" w:line="240" w:lineRule="auto"/>
      <w:jc w:val="center"/>
    </w:pPr>
    <w:rPr>
      <w:rFonts w:ascii="Ottawa" w:hAnsi="Ottawa"/>
      <w:b/>
      <w:bCs/>
      <w:sz w:val="24"/>
      <w:szCs w:val="24"/>
    </w:rPr>
  </w:style>
  <w:style w:type="paragraph" w:customStyle="1" w:styleId="Ref">
    <w:name w:val="Ref."/>
    <w:basedOn w:val="Normal"/>
    <w:pPr>
      <w:spacing w:after="240" w:line="240" w:lineRule="auto"/>
      <w:ind w:left="426" w:hanging="426"/>
    </w:pPr>
    <w:rPr>
      <w:rFonts w:ascii="Arial" w:hAnsi="Arial" w:cs="Arial"/>
      <w:sz w:val="18"/>
      <w:szCs w:val="18"/>
    </w:rPr>
  </w:style>
  <w:style w:type="paragraph" w:customStyle="1" w:styleId="sumtexte">
    <w:name w:val="sumtexte"/>
    <w:basedOn w:val="Normal"/>
    <w:pPr>
      <w:spacing w:after="120" w:line="240" w:lineRule="exact"/>
      <w:ind w:left="567" w:right="567"/>
    </w:pPr>
    <w:rPr>
      <w:rFonts w:ascii="Arial" w:hAnsi="Arial" w:cs="Arial"/>
      <w:i/>
      <w:iCs/>
      <w:sz w:val="18"/>
      <w:szCs w:val="18"/>
    </w:rPr>
  </w:style>
  <w:style w:type="paragraph" w:customStyle="1" w:styleId="paraA0">
    <w:name w:val="paraA"/>
    <w:basedOn w:val="Normal"/>
    <w:pPr>
      <w:spacing w:after="240" w:line="240" w:lineRule="auto"/>
    </w:pPr>
    <w:rPr>
      <w:rFonts w:ascii="Arial" w:hAnsi="Arial" w:cs="Arial"/>
      <w:sz w:val="18"/>
      <w:szCs w:val="18"/>
    </w:rPr>
  </w:style>
  <w:style w:type="paragraph" w:customStyle="1" w:styleId="TITRE">
    <w:name w:val="TITRE"/>
    <w:basedOn w:val="Normal"/>
    <w:pPr>
      <w:spacing w:after="240"/>
      <w:jc w:val="center"/>
    </w:pPr>
    <w:rPr>
      <w:b/>
      <w:bCs/>
      <w:caps/>
    </w:rPr>
  </w:style>
  <w:style w:type="paragraph" w:styleId="Footer">
    <w:name w:val="footer"/>
    <w:basedOn w:val="Normal"/>
    <w:pPr>
      <w:tabs>
        <w:tab w:val="clear" w:pos="-720"/>
        <w:tab w:val="center" w:pos="4536"/>
        <w:tab w:val="right" w:pos="9072"/>
      </w:tabs>
    </w:pPr>
  </w:style>
  <w:style w:type="paragraph" w:styleId="FootnoteText">
    <w:name w:val="footnote text"/>
    <w:basedOn w:val="Normal"/>
    <w:link w:val="FootnoteTextChar"/>
    <w:rsid w:val="00F71F23"/>
  </w:style>
  <w:style w:type="character" w:styleId="FootnoteReference">
    <w:name w:val="footnote reference"/>
    <w:rsid w:val="00F71F23"/>
    <w:rPr>
      <w:vertAlign w:val="superscript"/>
    </w:rPr>
  </w:style>
  <w:style w:type="paragraph" w:customStyle="1" w:styleId="sumtextelastpara">
    <w:name w:val="sumtexte last para"/>
    <w:basedOn w:val="sumtexte"/>
    <w:link w:val="sumtextelastparaCar"/>
    <w:pPr>
      <w:spacing w:after="480"/>
    </w:pPr>
  </w:style>
  <w:style w:type="paragraph" w:customStyle="1" w:styleId="b">
    <w:name w:val="b)"/>
    <w:basedOn w:val="Normal"/>
    <w:pPr>
      <w:spacing w:after="120" w:line="240" w:lineRule="auto"/>
      <w:ind w:left="850" w:hanging="425"/>
    </w:pPr>
    <w:rPr>
      <w:rFonts w:ascii="Ottawa" w:hAnsi="Ottawa"/>
      <w:b/>
      <w:bCs/>
      <w:sz w:val="18"/>
      <w:szCs w:val="18"/>
    </w:rPr>
  </w:style>
  <w:style w:type="paragraph" w:customStyle="1" w:styleId="ipara">
    <w:name w:val="i_para"/>
    <w:basedOn w:val="i"/>
    <w:link w:val="iparaCar"/>
    <w:pPr>
      <w:spacing w:line="200" w:lineRule="exact"/>
      <w:ind w:left="851" w:firstLine="0"/>
    </w:pPr>
  </w:style>
  <w:style w:type="paragraph" w:customStyle="1" w:styleId="iparalast">
    <w:name w:val="i_para_last"/>
    <w:basedOn w:val="i"/>
    <w:rsid w:val="00F71F23"/>
    <w:pPr>
      <w:spacing w:after="240" w:line="200" w:lineRule="exact"/>
    </w:pPr>
  </w:style>
  <w:style w:type="paragraph" w:customStyle="1" w:styleId="Referencetitle">
    <w:name w:val="Reference_title"/>
    <w:basedOn w:val="Normal"/>
    <w:pPr>
      <w:widowControl w:val="0"/>
      <w:tabs>
        <w:tab w:val="left" w:pos="2410"/>
      </w:tabs>
      <w:spacing w:after="240" w:line="240" w:lineRule="auto"/>
      <w:jc w:val="center"/>
    </w:pPr>
    <w:rPr>
      <w:rFonts w:ascii="Ottawa" w:hAnsi="Ottawa"/>
      <w:b/>
      <w:bCs/>
      <w:sz w:val="22"/>
      <w:szCs w:val="22"/>
    </w:rPr>
  </w:style>
  <w:style w:type="paragraph" w:customStyle="1" w:styleId="rtoiles">
    <w:name w:val="r_étoiles"/>
    <w:basedOn w:val="Normal"/>
    <w:next w:val="Normal"/>
    <w:pPr>
      <w:keepLines/>
      <w:tabs>
        <w:tab w:val="clear" w:pos="-720"/>
      </w:tabs>
      <w:spacing w:before="240" w:after="240" w:line="240" w:lineRule="atLeast"/>
      <w:jc w:val="center"/>
    </w:pPr>
    <w:rPr>
      <w:lang w:val="fr-FR"/>
    </w:rPr>
  </w:style>
  <w:style w:type="character" w:customStyle="1" w:styleId="iCar">
    <w:name w:val="i) Car"/>
    <w:rPr>
      <w:rFonts w:ascii="Arial" w:hAnsi="Arial" w:cs="Arial"/>
      <w:noProof w:val="0"/>
      <w:sz w:val="18"/>
      <w:szCs w:val="18"/>
      <w:lang w:val="en-GB" w:eastAsia="fr-FR" w:bidi="ar-SA"/>
    </w:rPr>
  </w:style>
  <w:style w:type="character" w:customStyle="1" w:styleId="iparalastCar">
    <w:name w:val="i_para_last Car"/>
    <w:basedOn w:val="iCar"/>
    <w:rPr>
      <w:rFonts w:ascii="Arial" w:hAnsi="Arial" w:cs="Arial"/>
      <w:noProof w:val="0"/>
      <w:sz w:val="18"/>
      <w:szCs w:val="18"/>
      <w:lang w:val="en-GB" w:eastAsia="fr-FR" w:bidi="ar-SA"/>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NormalWeb">
    <w:name w:val="Normal (Web)"/>
    <w:basedOn w:val="Normal"/>
    <w:pPr>
      <w:tabs>
        <w:tab w:val="clear" w:pos="-720"/>
      </w:tabs>
      <w:spacing w:before="100" w:beforeAutospacing="1" w:after="100" w:afterAutospacing="1" w:line="360" w:lineRule="auto"/>
      <w:jc w:val="left"/>
    </w:pPr>
    <w:rPr>
      <w:rFonts w:ascii="Arial Unicode MS" w:eastAsia="Arial Unicode MS" w:hAnsi="Arial Unicode MS" w:cs="Arial Unicode MS"/>
      <w:color w:val="000000"/>
      <w:sz w:val="24"/>
      <w:szCs w:val="24"/>
      <w:lang w:eastAsia="en-US"/>
    </w:rPr>
  </w:style>
  <w:style w:type="character" w:styleId="Strong">
    <w:name w:val="Strong"/>
    <w:qFormat/>
    <w:rPr>
      <w:b/>
      <w:bCs/>
    </w:rPr>
  </w:style>
  <w:style w:type="character" w:customStyle="1" w:styleId="iCar1">
    <w:name w:val="i) Car1"/>
    <w:link w:val="i"/>
    <w:rsid w:val="00F85EFA"/>
    <w:rPr>
      <w:rFonts w:ascii="Arial" w:hAnsi="Arial" w:cs="Arial"/>
      <w:sz w:val="18"/>
      <w:szCs w:val="18"/>
      <w:lang w:eastAsia="fr-FR"/>
    </w:rPr>
  </w:style>
  <w:style w:type="character" w:customStyle="1" w:styleId="iparaCar">
    <w:name w:val="i_para Car"/>
    <w:basedOn w:val="iCar1"/>
    <w:link w:val="ipara"/>
    <w:rsid w:val="00572165"/>
    <w:rPr>
      <w:rFonts w:ascii="Arial" w:hAnsi="Arial" w:cs="Arial"/>
      <w:sz w:val="18"/>
      <w:szCs w:val="18"/>
      <w:lang w:val="en-GB" w:eastAsia="fr-FR" w:bidi="ar-SA"/>
    </w:rPr>
  </w:style>
  <w:style w:type="paragraph" w:customStyle="1" w:styleId="citation">
    <w:name w:val="citation"/>
    <w:basedOn w:val="Normal"/>
    <w:rsid w:val="004A01E0"/>
    <w:pPr>
      <w:tabs>
        <w:tab w:val="clear" w:pos="-720"/>
      </w:tabs>
      <w:spacing w:before="100" w:beforeAutospacing="1" w:after="100" w:afterAutospacing="1" w:line="240" w:lineRule="auto"/>
      <w:jc w:val="left"/>
    </w:pPr>
    <w:rPr>
      <w:sz w:val="24"/>
      <w:szCs w:val="24"/>
      <w:lang w:eastAsia="en-GB"/>
    </w:rPr>
  </w:style>
  <w:style w:type="paragraph" w:customStyle="1" w:styleId="authlist">
    <w:name w:val="auth_list"/>
    <w:basedOn w:val="Normal"/>
    <w:rsid w:val="004A01E0"/>
    <w:pPr>
      <w:tabs>
        <w:tab w:val="clear" w:pos="-720"/>
      </w:tabs>
      <w:spacing w:before="100" w:beforeAutospacing="1" w:after="100" w:afterAutospacing="1" w:line="240" w:lineRule="auto"/>
      <w:jc w:val="left"/>
    </w:pPr>
    <w:rPr>
      <w:sz w:val="24"/>
      <w:szCs w:val="24"/>
      <w:lang w:eastAsia="en-GB"/>
    </w:rPr>
  </w:style>
  <w:style w:type="character" w:customStyle="1" w:styleId="Heading1Char">
    <w:name w:val="Heading 1 Char"/>
    <w:link w:val="Heading1"/>
    <w:uiPriority w:val="99"/>
    <w:rsid w:val="007D4961"/>
    <w:rPr>
      <w:rFonts w:ascii="Arial" w:hAnsi="Arial" w:cs="Arial"/>
      <w:b/>
      <w:bCs/>
      <w:sz w:val="24"/>
      <w:szCs w:val="24"/>
      <w:u w:val="single"/>
      <w:lang w:eastAsia="fr-FR"/>
    </w:rPr>
  </w:style>
  <w:style w:type="character" w:customStyle="1" w:styleId="HeaderChar">
    <w:name w:val="Header Char"/>
    <w:link w:val="Header"/>
    <w:rsid w:val="00752D4A"/>
    <w:rPr>
      <w:lang w:eastAsia="fr-FR"/>
    </w:rPr>
  </w:style>
  <w:style w:type="paragraph" w:customStyle="1" w:styleId="Reflabnote">
    <w:name w:val="Ref_lab_note"/>
    <w:basedOn w:val="Normal"/>
    <w:link w:val="ReflabnoteCar"/>
    <w:rsid w:val="003149B6"/>
    <w:pPr>
      <w:tabs>
        <w:tab w:val="clear" w:pos="-720"/>
      </w:tabs>
      <w:spacing w:before="120" w:after="120" w:line="240" w:lineRule="auto"/>
      <w:jc w:val="center"/>
    </w:pPr>
    <w:rPr>
      <w:rFonts w:ascii="Arial" w:hAnsi="Arial" w:cs="Arial"/>
      <w:sz w:val="18"/>
      <w:szCs w:val="18"/>
    </w:rPr>
  </w:style>
  <w:style w:type="character" w:customStyle="1" w:styleId="ReflabnoteCar">
    <w:name w:val="Ref_lab_note Car"/>
    <w:link w:val="Reflabnote"/>
    <w:rsid w:val="003149B6"/>
    <w:rPr>
      <w:rFonts w:ascii="Arial" w:hAnsi="Arial" w:cs="Arial"/>
      <w:sz w:val="18"/>
      <w:szCs w:val="18"/>
      <w:lang w:eastAsia="fr-FR"/>
    </w:rPr>
  </w:style>
  <w:style w:type="paragraph" w:customStyle="1" w:styleId="TableHead">
    <w:name w:val="Table Head"/>
    <w:basedOn w:val="Normal"/>
    <w:rsid w:val="00904A25"/>
    <w:pPr>
      <w:tabs>
        <w:tab w:val="clear" w:pos="-720"/>
      </w:tabs>
      <w:spacing w:before="120" w:after="120" w:line="240" w:lineRule="auto"/>
      <w:jc w:val="center"/>
    </w:pPr>
    <w:rPr>
      <w:rFonts w:ascii="Ottawa" w:hAnsi="Ottawa"/>
      <w:b/>
      <w:bCs/>
      <w:sz w:val="18"/>
      <w:szCs w:val="22"/>
      <w:lang w:val="en-IE" w:eastAsia="en-US" w:bidi="en-US"/>
    </w:rPr>
  </w:style>
  <w:style w:type="paragraph" w:customStyle="1" w:styleId="Tabletext">
    <w:name w:val="Table text"/>
    <w:basedOn w:val="Normal"/>
    <w:rsid w:val="00904A25"/>
    <w:pPr>
      <w:tabs>
        <w:tab w:val="clear" w:pos="-720"/>
      </w:tabs>
      <w:spacing w:before="120" w:after="120" w:line="240" w:lineRule="auto"/>
      <w:jc w:val="center"/>
    </w:pPr>
    <w:rPr>
      <w:rFonts w:ascii="Arial" w:hAnsi="Arial" w:cs="Arial"/>
      <w:bCs/>
      <w:sz w:val="18"/>
      <w:szCs w:val="22"/>
      <w:lang w:val="en-IE" w:eastAsia="en-US" w:bidi="en-US"/>
    </w:rPr>
  </w:style>
  <w:style w:type="paragraph" w:customStyle="1" w:styleId="Tabletitle">
    <w:name w:val="Table title"/>
    <w:basedOn w:val="Normal"/>
    <w:autoRedefine/>
    <w:rsid w:val="008E0CDF"/>
    <w:pPr>
      <w:tabs>
        <w:tab w:val="clear" w:pos="-720"/>
      </w:tabs>
      <w:spacing w:after="120" w:line="240" w:lineRule="auto"/>
      <w:jc w:val="center"/>
    </w:pPr>
    <w:rPr>
      <w:rFonts w:ascii="Ottawa" w:hAnsi="Ottawa" w:cs="Calibri"/>
      <w:b/>
      <w:bCs/>
      <w:i/>
      <w:sz w:val="18"/>
      <w:szCs w:val="22"/>
      <w:u w:val="double"/>
      <w:lang w:eastAsia="en-US" w:bidi="en-US"/>
    </w:rPr>
  </w:style>
  <w:style w:type="paragraph" w:styleId="PlainText">
    <w:name w:val="Plain Text"/>
    <w:basedOn w:val="Normal"/>
    <w:link w:val="PlainTextChar"/>
    <w:uiPriority w:val="99"/>
    <w:unhideWhenUsed/>
    <w:rsid w:val="00904A25"/>
    <w:pPr>
      <w:tabs>
        <w:tab w:val="clear" w:pos="-720"/>
      </w:tabs>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04A25"/>
    <w:rPr>
      <w:rFonts w:ascii="Calibri" w:eastAsiaTheme="minorHAnsi" w:hAnsi="Calibri" w:cstheme="minorBidi"/>
      <w:sz w:val="22"/>
      <w:szCs w:val="21"/>
      <w:lang w:eastAsia="en-US"/>
    </w:rPr>
  </w:style>
  <w:style w:type="character" w:customStyle="1" w:styleId="FootnoteTextChar">
    <w:name w:val="Footnote Text Char"/>
    <w:basedOn w:val="DefaultParagraphFont"/>
    <w:link w:val="FootnoteText"/>
    <w:rsid w:val="00904A25"/>
    <w:rPr>
      <w:lang w:eastAsia="fr-FR"/>
    </w:rPr>
  </w:style>
  <w:style w:type="paragraph" w:customStyle="1" w:styleId="A1">
    <w:name w:val="A1"/>
    <w:basedOn w:val="Heading1"/>
    <w:qFormat/>
    <w:rsid w:val="00904A25"/>
    <w:pPr>
      <w:tabs>
        <w:tab w:val="clear" w:pos="-720"/>
      </w:tabs>
      <w:spacing w:before="0" w:after="240" w:line="240" w:lineRule="auto"/>
      <w:ind w:left="425" w:hanging="425"/>
      <w:jc w:val="left"/>
    </w:pPr>
    <w:rPr>
      <w:rFonts w:ascii="Ottawa" w:eastAsiaTheme="majorEastAsia" w:hAnsi="Ottawa"/>
      <w:sz w:val="22"/>
      <w:szCs w:val="28"/>
      <w:u w:val="none"/>
      <w:lang w:eastAsia="en-US"/>
    </w:rPr>
  </w:style>
  <w:style w:type="paragraph" w:customStyle="1" w:styleId="1Para">
    <w:name w:val="1_Para"/>
    <w:basedOn w:val="Normal"/>
    <w:qFormat/>
    <w:rsid w:val="00904A25"/>
    <w:pPr>
      <w:tabs>
        <w:tab w:val="clear" w:pos="-720"/>
      </w:tabs>
      <w:spacing w:after="240" w:line="240" w:lineRule="auto"/>
    </w:pPr>
    <w:rPr>
      <w:rFonts w:ascii="Arial" w:eastAsiaTheme="minorHAnsi" w:hAnsi="Arial" w:cs="Arial"/>
      <w:sz w:val="18"/>
      <w:szCs w:val="18"/>
      <w:lang w:eastAsia="en-US"/>
    </w:rPr>
  </w:style>
  <w:style w:type="paragraph" w:customStyle="1" w:styleId="11">
    <w:name w:val="1.1"/>
    <w:basedOn w:val="Normal"/>
    <w:qFormat/>
    <w:rsid w:val="00703987"/>
    <w:pPr>
      <w:tabs>
        <w:tab w:val="clear" w:pos="-720"/>
      </w:tabs>
      <w:spacing w:after="240" w:line="240" w:lineRule="auto"/>
      <w:ind w:left="850" w:hanging="425"/>
    </w:pPr>
    <w:rPr>
      <w:rFonts w:ascii="Ottawa" w:eastAsiaTheme="minorHAnsi" w:hAnsi="Ottawa" w:cs="Arial"/>
      <w:b/>
      <w:szCs w:val="22"/>
      <w:lang w:eastAsia="en-US"/>
    </w:rPr>
  </w:style>
  <w:style w:type="paragraph" w:customStyle="1" w:styleId="11Para">
    <w:name w:val="1.1_Para"/>
    <w:basedOn w:val="Normal"/>
    <w:link w:val="11ParaChar"/>
    <w:qFormat/>
    <w:rsid w:val="00904A25"/>
    <w:pPr>
      <w:tabs>
        <w:tab w:val="clear" w:pos="-720"/>
      </w:tabs>
      <w:spacing w:after="240" w:line="240" w:lineRule="auto"/>
      <w:ind w:left="851"/>
    </w:pPr>
    <w:rPr>
      <w:rFonts w:ascii="Arial" w:eastAsiaTheme="minorHAnsi" w:hAnsi="Arial" w:cs="Arial"/>
      <w:sz w:val="18"/>
      <w:szCs w:val="18"/>
      <w:lang w:eastAsia="en-US"/>
    </w:rPr>
  </w:style>
  <w:style w:type="paragraph" w:customStyle="1" w:styleId="111">
    <w:name w:val="1.1.1"/>
    <w:basedOn w:val="Normal"/>
    <w:qFormat/>
    <w:rsid w:val="00904A25"/>
    <w:pPr>
      <w:tabs>
        <w:tab w:val="clear" w:pos="-720"/>
      </w:tabs>
      <w:spacing w:after="120" w:line="240" w:lineRule="auto"/>
      <w:ind w:left="1418" w:hanging="567"/>
      <w:jc w:val="left"/>
    </w:pPr>
    <w:rPr>
      <w:rFonts w:ascii="Ottawa" w:eastAsiaTheme="minorHAnsi" w:hAnsi="Ottawa" w:cs="Arial"/>
      <w:b/>
      <w:sz w:val="19"/>
      <w:lang w:eastAsia="en-US"/>
    </w:rPr>
  </w:style>
  <w:style w:type="paragraph" w:customStyle="1" w:styleId="111Para">
    <w:name w:val="1.1.1_Para"/>
    <w:basedOn w:val="Normal"/>
    <w:qFormat/>
    <w:rsid w:val="00904A25"/>
    <w:pPr>
      <w:tabs>
        <w:tab w:val="clear" w:pos="-720"/>
      </w:tabs>
      <w:spacing w:after="240" w:line="240" w:lineRule="auto"/>
      <w:ind w:left="1418"/>
    </w:pPr>
    <w:rPr>
      <w:rFonts w:ascii="Arial" w:eastAsiaTheme="minorHAnsi" w:hAnsi="Arial" w:cs="Arial"/>
      <w:sz w:val="18"/>
      <w:szCs w:val="18"/>
      <w:lang w:eastAsia="en-US"/>
    </w:rPr>
  </w:style>
  <w:style w:type="paragraph" w:customStyle="1" w:styleId="ilast">
    <w:name w:val="i)_last"/>
    <w:basedOn w:val="Normal"/>
    <w:qFormat/>
    <w:rsid w:val="00904A25"/>
    <w:pPr>
      <w:tabs>
        <w:tab w:val="clear" w:pos="-720"/>
      </w:tabs>
      <w:spacing w:after="240" w:line="240" w:lineRule="auto"/>
      <w:ind w:left="1843" w:hanging="425"/>
      <w:jc w:val="left"/>
    </w:pPr>
    <w:rPr>
      <w:rFonts w:ascii="Arial" w:eastAsiaTheme="minorHAnsi" w:hAnsi="Arial" w:cs="Arial"/>
      <w:sz w:val="18"/>
      <w:szCs w:val="18"/>
      <w:lang w:eastAsia="en-US"/>
    </w:rPr>
  </w:style>
  <w:style w:type="paragraph" w:customStyle="1" w:styleId="afourthlevel">
    <w:name w:val="a)_fourth_level"/>
    <w:basedOn w:val="Normal"/>
    <w:qFormat/>
    <w:rsid w:val="00904A25"/>
    <w:pPr>
      <w:tabs>
        <w:tab w:val="clear" w:pos="-720"/>
      </w:tabs>
      <w:spacing w:after="120" w:line="240" w:lineRule="auto"/>
      <w:ind w:left="1843" w:hanging="425"/>
      <w:jc w:val="left"/>
    </w:pPr>
    <w:rPr>
      <w:rFonts w:ascii="Ottawa" w:eastAsiaTheme="minorHAnsi" w:hAnsi="Ottawa" w:cs="Arial"/>
      <w:b/>
      <w:sz w:val="18"/>
      <w:lang w:eastAsia="en-US"/>
    </w:rPr>
  </w:style>
  <w:style w:type="paragraph" w:customStyle="1" w:styleId="afourthpara">
    <w:name w:val="a)_fourth_para"/>
    <w:basedOn w:val="Normal"/>
    <w:qFormat/>
    <w:rsid w:val="00904A25"/>
    <w:pPr>
      <w:tabs>
        <w:tab w:val="clear" w:pos="-720"/>
      </w:tabs>
      <w:spacing w:after="240" w:line="240" w:lineRule="auto"/>
      <w:ind w:left="1843"/>
    </w:pPr>
    <w:rPr>
      <w:rFonts w:ascii="Arial" w:eastAsiaTheme="minorHAnsi" w:hAnsi="Arial" w:cs="Arial"/>
      <w:sz w:val="18"/>
      <w:szCs w:val="18"/>
      <w:lang w:eastAsia="en-US"/>
    </w:rPr>
  </w:style>
  <w:style w:type="paragraph" w:customStyle="1" w:styleId="ififthlevel">
    <w:name w:val="i)_fifth_level"/>
    <w:basedOn w:val="Normal"/>
    <w:qFormat/>
    <w:rsid w:val="00904A25"/>
    <w:pPr>
      <w:tabs>
        <w:tab w:val="clear" w:pos="-720"/>
      </w:tabs>
      <w:spacing w:after="120" w:line="240" w:lineRule="auto"/>
      <w:ind w:left="2268" w:hanging="425"/>
      <w:jc w:val="left"/>
    </w:pPr>
    <w:rPr>
      <w:rFonts w:ascii="Ottawa" w:eastAsiaTheme="minorHAnsi" w:hAnsi="Ottawa" w:cs="Arial"/>
      <w:b/>
      <w:sz w:val="17"/>
      <w:szCs w:val="18"/>
      <w:lang w:eastAsia="en-US"/>
    </w:rPr>
  </w:style>
  <w:style w:type="paragraph" w:customStyle="1" w:styleId="ififthpara">
    <w:name w:val="i)_fifth_para"/>
    <w:basedOn w:val="Normal"/>
    <w:qFormat/>
    <w:rsid w:val="00904A25"/>
    <w:pPr>
      <w:tabs>
        <w:tab w:val="clear" w:pos="-720"/>
      </w:tabs>
      <w:spacing w:after="240" w:line="240" w:lineRule="auto"/>
      <w:ind w:left="2268"/>
    </w:pPr>
    <w:rPr>
      <w:rFonts w:ascii="Arial" w:eastAsiaTheme="minorHAnsi" w:hAnsi="Arial" w:cs="Arial"/>
      <w:sz w:val="18"/>
      <w:szCs w:val="18"/>
      <w:lang w:eastAsia="en-US"/>
    </w:rPr>
  </w:style>
  <w:style w:type="paragraph" w:customStyle="1" w:styleId="dotsixthlevel">
    <w:name w:val="dot_sixth_level"/>
    <w:basedOn w:val="Normal"/>
    <w:qFormat/>
    <w:rsid w:val="00904A25"/>
    <w:pPr>
      <w:tabs>
        <w:tab w:val="clear" w:pos="-720"/>
      </w:tabs>
      <w:spacing w:after="120" w:line="240" w:lineRule="auto"/>
      <w:ind w:left="2268" w:hanging="425"/>
      <w:jc w:val="left"/>
    </w:pPr>
    <w:rPr>
      <w:rFonts w:ascii="Arial" w:eastAsiaTheme="minorHAnsi" w:hAnsi="Arial" w:cs="Arial"/>
      <w:sz w:val="18"/>
      <w:szCs w:val="18"/>
      <w:lang w:eastAsia="en-US"/>
    </w:rPr>
  </w:style>
  <w:style w:type="paragraph" w:customStyle="1" w:styleId="dotsixthpara">
    <w:name w:val="dot_sixth_para"/>
    <w:basedOn w:val="Normal"/>
    <w:qFormat/>
    <w:rsid w:val="00904A25"/>
    <w:pPr>
      <w:tabs>
        <w:tab w:val="clear" w:pos="-720"/>
      </w:tabs>
      <w:spacing w:after="240" w:line="240" w:lineRule="auto"/>
      <w:ind w:left="2268"/>
    </w:pPr>
    <w:rPr>
      <w:rFonts w:ascii="Arial" w:eastAsiaTheme="minorHAnsi" w:hAnsi="Arial" w:cs="Arial"/>
      <w:sz w:val="18"/>
      <w:szCs w:val="18"/>
      <w:lang w:eastAsia="en-US"/>
    </w:rPr>
  </w:style>
  <w:style w:type="paragraph" w:customStyle="1" w:styleId="ififthlevellist">
    <w:name w:val="i_fifth_level_list"/>
    <w:basedOn w:val="ififthpara"/>
    <w:qFormat/>
    <w:rsid w:val="00904A25"/>
    <w:pPr>
      <w:spacing w:after="120"/>
      <w:ind w:hanging="425"/>
    </w:pPr>
  </w:style>
  <w:style w:type="paragraph" w:customStyle="1" w:styleId="11ilist">
    <w:name w:val="1.1.i_list"/>
    <w:basedOn w:val="i"/>
    <w:qFormat/>
    <w:rsid w:val="00904A25"/>
    <w:pPr>
      <w:tabs>
        <w:tab w:val="clear" w:pos="-720"/>
      </w:tabs>
      <w:ind w:left="1276"/>
    </w:pPr>
    <w:rPr>
      <w:rFonts w:eastAsiaTheme="minorHAnsi"/>
      <w:lang w:eastAsia="en-US"/>
    </w:rPr>
  </w:style>
  <w:style w:type="character" w:styleId="SubtleReference">
    <w:name w:val="Subtle Reference"/>
    <w:basedOn w:val="DefaultParagraphFont"/>
    <w:uiPriority w:val="31"/>
    <w:qFormat/>
    <w:rsid w:val="00861BA8"/>
    <w:rPr>
      <w:smallCaps/>
      <w:color w:val="C0504D" w:themeColor="accent2"/>
      <w:u w:val="single"/>
    </w:rPr>
  </w:style>
  <w:style w:type="character" w:styleId="IntenseReference">
    <w:name w:val="Intense Reference"/>
    <w:basedOn w:val="DefaultParagraphFont"/>
    <w:uiPriority w:val="32"/>
    <w:qFormat/>
    <w:rsid w:val="00D665EB"/>
    <w:rPr>
      <w:b/>
      <w:bCs/>
      <w:smallCaps/>
      <w:color w:val="C0504D" w:themeColor="accent2"/>
      <w:spacing w:val="5"/>
      <w:u w:val="single"/>
    </w:rPr>
  </w:style>
  <w:style w:type="character" w:styleId="BookTitle">
    <w:name w:val="Book Title"/>
    <w:basedOn w:val="DefaultParagraphFont"/>
    <w:uiPriority w:val="33"/>
    <w:qFormat/>
    <w:rsid w:val="00D665EB"/>
    <w:rPr>
      <w:b/>
      <w:bCs/>
      <w:smallCaps/>
      <w:spacing w:val="5"/>
    </w:rPr>
  </w:style>
  <w:style w:type="paragraph" w:customStyle="1" w:styleId="EndNoteBibliographyTitle">
    <w:name w:val="EndNote Bibliography Title"/>
    <w:basedOn w:val="Normal"/>
    <w:link w:val="EndNoteBibliographyTitleChar"/>
    <w:rsid w:val="00013C44"/>
    <w:pPr>
      <w:jc w:val="center"/>
    </w:pPr>
    <w:rPr>
      <w:noProof/>
      <w:lang w:val="fr-FR"/>
    </w:rPr>
  </w:style>
  <w:style w:type="character" w:customStyle="1" w:styleId="11ParaChar">
    <w:name w:val="1.1_Para Char"/>
    <w:basedOn w:val="DefaultParagraphFont"/>
    <w:link w:val="11Para"/>
    <w:rsid w:val="00013C44"/>
    <w:rPr>
      <w:rFonts w:ascii="Arial" w:eastAsiaTheme="minorHAnsi" w:hAnsi="Arial" w:cs="Arial"/>
      <w:sz w:val="18"/>
      <w:szCs w:val="18"/>
      <w:lang w:eastAsia="en-US"/>
    </w:rPr>
  </w:style>
  <w:style w:type="character" w:customStyle="1" w:styleId="EndNoteBibliographyTitleChar">
    <w:name w:val="EndNote Bibliography Title Char"/>
    <w:basedOn w:val="11ParaChar"/>
    <w:link w:val="EndNoteBibliographyTitle"/>
    <w:rsid w:val="00013C44"/>
    <w:rPr>
      <w:rFonts w:ascii="Arial" w:eastAsiaTheme="minorHAnsi" w:hAnsi="Arial" w:cs="Arial"/>
      <w:noProof/>
      <w:sz w:val="18"/>
      <w:szCs w:val="18"/>
      <w:lang w:val="fr-FR" w:eastAsia="fr-FR"/>
    </w:rPr>
  </w:style>
  <w:style w:type="paragraph" w:customStyle="1" w:styleId="EndNoteBibliography">
    <w:name w:val="EndNote Bibliography"/>
    <w:basedOn w:val="Normal"/>
    <w:link w:val="EndNoteBibliographyChar"/>
    <w:rsid w:val="00013C44"/>
    <w:pPr>
      <w:spacing w:line="240" w:lineRule="atLeast"/>
      <w:jc w:val="center"/>
    </w:pPr>
    <w:rPr>
      <w:noProof/>
      <w:lang w:val="fr-FR"/>
    </w:rPr>
  </w:style>
  <w:style w:type="character" w:customStyle="1" w:styleId="EndNoteBibliographyChar">
    <w:name w:val="EndNote Bibliography Char"/>
    <w:basedOn w:val="11ParaChar"/>
    <w:link w:val="EndNoteBibliography"/>
    <w:rsid w:val="00013C44"/>
    <w:rPr>
      <w:rFonts w:ascii="Arial" w:eastAsiaTheme="minorHAnsi" w:hAnsi="Arial" w:cs="Arial"/>
      <w:noProof/>
      <w:sz w:val="18"/>
      <w:szCs w:val="18"/>
      <w:lang w:val="fr-FR" w:eastAsia="fr-FR"/>
    </w:rPr>
  </w:style>
  <w:style w:type="paragraph" w:styleId="Revision">
    <w:name w:val="Revision"/>
    <w:hidden/>
    <w:uiPriority w:val="99"/>
    <w:semiHidden/>
    <w:rsid w:val="006351D3"/>
    <w:rPr>
      <w:lang w:eastAsia="fr-FR"/>
    </w:rPr>
  </w:style>
  <w:style w:type="character" w:customStyle="1" w:styleId="attribute-item-value">
    <w:name w:val="attribute-item-value"/>
    <w:basedOn w:val="DefaultParagraphFont"/>
    <w:rsid w:val="00945008"/>
  </w:style>
  <w:style w:type="character" w:customStyle="1" w:styleId="source-item">
    <w:name w:val="source-item"/>
    <w:basedOn w:val="DefaultParagraphFont"/>
    <w:rsid w:val="00945008"/>
  </w:style>
  <w:style w:type="character" w:customStyle="1" w:styleId="doi-item">
    <w:name w:val="doi-item"/>
    <w:basedOn w:val="DefaultParagraphFont"/>
    <w:rsid w:val="00945008"/>
  </w:style>
  <w:style w:type="paragraph" w:customStyle="1" w:styleId="ifourthlevellist">
    <w:name w:val="i_fourth_level_list"/>
    <w:basedOn w:val="ififthlevellist"/>
    <w:qFormat/>
    <w:rsid w:val="00A05DC3"/>
    <w:pPr>
      <w:ind w:left="1843"/>
    </w:pPr>
  </w:style>
  <w:style w:type="paragraph" w:styleId="BodyText">
    <w:name w:val="Body Text"/>
    <w:basedOn w:val="Normal"/>
    <w:link w:val="BodyTextChar"/>
    <w:uiPriority w:val="99"/>
    <w:rsid w:val="0034052A"/>
    <w:pPr>
      <w:tabs>
        <w:tab w:val="clear" w:pos="-720"/>
      </w:tabs>
      <w:spacing w:line="720" w:lineRule="auto"/>
    </w:pPr>
    <w:rPr>
      <w:b/>
      <w:bCs/>
      <w:sz w:val="24"/>
      <w:szCs w:val="24"/>
      <w:lang w:val="en-IE" w:eastAsia="en-US"/>
    </w:rPr>
  </w:style>
  <w:style w:type="character" w:customStyle="1" w:styleId="BodyTextChar">
    <w:name w:val="Body Text Char"/>
    <w:basedOn w:val="DefaultParagraphFont"/>
    <w:link w:val="BodyText"/>
    <w:uiPriority w:val="99"/>
    <w:rsid w:val="0034052A"/>
    <w:rPr>
      <w:b/>
      <w:bCs/>
      <w:sz w:val="24"/>
      <w:szCs w:val="24"/>
      <w:lang w:val="en-IE" w:eastAsia="en-US"/>
    </w:rPr>
  </w:style>
  <w:style w:type="paragraph" w:styleId="ListParagraph">
    <w:name w:val="List Paragraph"/>
    <w:basedOn w:val="Normal"/>
    <w:uiPriority w:val="34"/>
    <w:qFormat/>
    <w:rsid w:val="0086263E"/>
    <w:pPr>
      <w:ind w:left="720"/>
      <w:contextualSpacing/>
    </w:pPr>
  </w:style>
  <w:style w:type="paragraph" w:customStyle="1" w:styleId="metadata--citation">
    <w:name w:val="metadata--citation"/>
    <w:basedOn w:val="Normal"/>
    <w:rsid w:val="00F72ECA"/>
    <w:pPr>
      <w:tabs>
        <w:tab w:val="clear" w:pos="-720"/>
      </w:tabs>
      <w:spacing w:before="100" w:beforeAutospacing="1" w:after="100" w:afterAutospacing="1" w:line="240" w:lineRule="auto"/>
      <w:jc w:val="left"/>
    </w:pPr>
    <w:rPr>
      <w:sz w:val="24"/>
      <w:szCs w:val="24"/>
      <w:lang w:eastAsia="en-GB"/>
    </w:rPr>
  </w:style>
  <w:style w:type="character" w:customStyle="1" w:styleId="metadata--source-title">
    <w:name w:val="metadata--source-title"/>
    <w:basedOn w:val="DefaultParagraphFont"/>
    <w:rsid w:val="00F72ECA"/>
  </w:style>
  <w:style w:type="character" w:customStyle="1" w:styleId="metadata--pmid">
    <w:name w:val="metadata--pmid"/>
    <w:basedOn w:val="DefaultParagraphFont"/>
    <w:rsid w:val="00F72ECA"/>
  </w:style>
  <w:style w:type="character" w:customStyle="1" w:styleId="nlmarticle-title">
    <w:name w:val="nlm_article-title"/>
    <w:basedOn w:val="DefaultParagraphFont"/>
    <w:rsid w:val="001B1ECC"/>
  </w:style>
  <w:style w:type="character" w:customStyle="1" w:styleId="nlmyear">
    <w:name w:val="nlm_year"/>
    <w:basedOn w:val="DefaultParagraphFont"/>
    <w:rsid w:val="001B1ECC"/>
  </w:style>
  <w:style w:type="character" w:customStyle="1" w:styleId="nlmfpage">
    <w:name w:val="nlm_fpage"/>
    <w:basedOn w:val="DefaultParagraphFont"/>
    <w:rsid w:val="001B1ECC"/>
  </w:style>
  <w:style w:type="character" w:customStyle="1" w:styleId="nlmlpage">
    <w:name w:val="nlm_lpage"/>
    <w:basedOn w:val="DefaultParagraphFont"/>
    <w:rsid w:val="001B1ECC"/>
  </w:style>
  <w:style w:type="character" w:customStyle="1" w:styleId="title-text">
    <w:name w:val="title-text"/>
    <w:basedOn w:val="DefaultParagraphFont"/>
    <w:rsid w:val="007F1B6D"/>
  </w:style>
  <w:style w:type="character" w:customStyle="1" w:styleId="Mentionnonrsolue1">
    <w:name w:val="Mention non résolue1"/>
    <w:basedOn w:val="DefaultParagraphFont"/>
    <w:uiPriority w:val="99"/>
    <w:semiHidden/>
    <w:unhideWhenUsed/>
    <w:rsid w:val="00381A8F"/>
    <w:rPr>
      <w:color w:val="605E5C"/>
      <w:shd w:val="clear" w:color="auto" w:fill="E1DFDD"/>
    </w:rPr>
  </w:style>
  <w:style w:type="character" w:customStyle="1" w:styleId="sumtextelastparaCar">
    <w:name w:val="sumtexte last para Car"/>
    <w:basedOn w:val="DefaultParagraphFont"/>
    <w:link w:val="sumtextelastpara"/>
    <w:rsid w:val="00494B2C"/>
    <w:rPr>
      <w:rFonts w:ascii="Arial" w:hAnsi="Arial" w:cs="Arial"/>
      <w:i/>
      <w:iCs/>
      <w:sz w:val="18"/>
      <w:szCs w:val="18"/>
      <w:lang w:eastAsia="fr-FR"/>
    </w:rPr>
  </w:style>
  <w:style w:type="character" w:customStyle="1" w:styleId="CommentTextChar">
    <w:name w:val="Comment Text Char"/>
    <w:basedOn w:val="DefaultParagraphFont"/>
    <w:link w:val="CommentText"/>
    <w:semiHidden/>
    <w:rsid w:val="00494B2C"/>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9178">
      <w:bodyDiv w:val="1"/>
      <w:marLeft w:val="0"/>
      <w:marRight w:val="0"/>
      <w:marTop w:val="0"/>
      <w:marBottom w:val="0"/>
      <w:divBdr>
        <w:top w:val="none" w:sz="0" w:space="0" w:color="auto"/>
        <w:left w:val="none" w:sz="0" w:space="0" w:color="auto"/>
        <w:bottom w:val="none" w:sz="0" w:space="0" w:color="auto"/>
        <w:right w:val="none" w:sz="0" w:space="0" w:color="auto"/>
      </w:divBdr>
      <w:divsChild>
        <w:div w:id="901479483">
          <w:marLeft w:val="0"/>
          <w:marRight w:val="0"/>
          <w:marTop w:val="0"/>
          <w:marBottom w:val="0"/>
          <w:divBdr>
            <w:top w:val="none" w:sz="0" w:space="0" w:color="auto"/>
            <w:left w:val="none" w:sz="0" w:space="0" w:color="auto"/>
            <w:bottom w:val="none" w:sz="0" w:space="0" w:color="auto"/>
            <w:right w:val="none" w:sz="0" w:space="0" w:color="auto"/>
          </w:divBdr>
          <w:divsChild>
            <w:div w:id="390617072">
              <w:marLeft w:val="0"/>
              <w:marRight w:val="0"/>
              <w:marTop w:val="0"/>
              <w:marBottom w:val="0"/>
              <w:divBdr>
                <w:top w:val="none" w:sz="0" w:space="0" w:color="auto"/>
                <w:left w:val="none" w:sz="0" w:space="0" w:color="auto"/>
                <w:bottom w:val="none" w:sz="0" w:space="0" w:color="auto"/>
                <w:right w:val="none" w:sz="0" w:space="0" w:color="auto"/>
              </w:divBdr>
              <w:divsChild>
                <w:div w:id="755056975">
                  <w:marLeft w:val="0"/>
                  <w:marRight w:val="0"/>
                  <w:marTop w:val="0"/>
                  <w:marBottom w:val="0"/>
                  <w:divBdr>
                    <w:top w:val="none" w:sz="0" w:space="0" w:color="auto"/>
                    <w:left w:val="none" w:sz="0" w:space="0" w:color="auto"/>
                    <w:bottom w:val="none" w:sz="0" w:space="0" w:color="auto"/>
                    <w:right w:val="none" w:sz="0" w:space="0" w:color="auto"/>
                  </w:divBdr>
                  <w:divsChild>
                    <w:div w:id="1552958076">
                      <w:marLeft w:val="0"/>
                      <w:marRight w:val="0"/>
                      <w:marTop w:val="0"/>
                      <w:marBottom w:val="0"/>
                      <w:divBdr>
                        <w:top w:val="none" w:sz="0" w:space="0" w:color="auto"/>
                        <w:left w:val="none" w:sz="0" w:space="0" w:color="auto"/>
                        <w:bottom w:val="none" w:sz="0" w:space="0" w:color="auto"/>
                        <w:right w:val="none" w:sz="0" w:space="0" w:color="auto"/>
                      </w:divBdr>
                      <w:divsChild>
                        <w:div w:id="1030378194">
                          <w:marLeft w:val="0"/>
                          <w:marRight w:val="0"/>
                          <w:marTop w:val="0"/>
                          <w:marBottom w:val="0"/>
                          <w:divBdr>
                            <w:top w:val="none" w:sz="0" w:space="0" w:color="auto"/>
                            <w:left w:val="none" w:sz="0" w:space="0" w:color="auto"/>
                            <w:bottom w:val="none" w:sz="0" w:space="0" w:color="auto"/>
                            <w:right w:val="none" w:sz="0" w:space="0" w:color="auto"/>
                          </w:divBdr>
                          <w:divsChild>
                            <w:div w:id="1420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23853">
      <w:bodyDiv w:val="1"/>
      <w:marLeft w:val="0"/>
      <w:marRight w:val="0"/>
      <w:marTop w:val="0"/>
      <w:marBottom w:val="0"/>
      <w:divBdr>
        <w:top w:val="none" w:sz="0" w:space="0" w:color="auto"/>
        <w:left w:val="none" w:sz="0" w:space="0" w:color="auto"/>
        <w:bottom w:val="none" w:sz="0" w:space="0" w:color="auto"/>
        <w:right w:val="none" w:sz="0" w:space="0" w:color="auto"/>
      </w:divBdr>
      <w:divsChild>
        <w:div w:id="665788535">
          <w:marLeft w:val="0"/>
          <w:marRight w:val="0"/>
          <w:marTop w:val="0"/>
          <w:marBottom w:val="0"/>
          <w:divBdr>
            <w:top w:val="none" w:sz="0" w:space="0" w:color="auto"/>
            <w:left w:val="none" w:sz="0" w:space="0" w:color="auto"/>
            <w:bottom w:val="none" w:sz="0" w:space="0" w:color="auto"/>
            <w:right w:val="none" w:sz="0" w:space="0" w:color="auto"/>
          </w:divBdr>
          <w:divsChild>
            <w:div w:id="1326132405">
              <w:marLeft w:val="0"/>
              <w:marRight w:val="0"/>
              <w:marTop w:val="0"/>
              <w:marBottom w:val="0"/>
              <w:divBdr>
                <w:top w:val="none" w:sz="0" w:space="0" w:color="auto"/>
                <w:left w:val="none" w:sz="0" w:space="0" w:color="auto"/>
                <w:bottom w:val="none" w:sz="0" w:space="0" w:color="auto"/>
                <w:right w:val="none" w:sz="0" w:space="0" w:color="auto"/>
              </w:divBdr>
              <w:divsChild>
                <w:div w:id="1809735775">
                  <w:marLeft w:val="0"/>
                  <w:marRight w:val="0"/>
                  <w:marTop w:val="0"/>
                  <w:marBottom w:val="0"/>
                  <w:divBdr>
                    <w:top w:val="none" w:sz="0" w:space="0" w:color="auto"/>
                    <w:left w:val="none" w:sz="0" w:space="0" w:color="auto"/>
                    <w:bottom w:val="none" w:sz="0" w:space="0" w:color="auto"/>
                    <w:right w:val="none" w:sz="0" w:space="0" w:color="auto"/>
                  </w:divBdr>
                  <w:divsChild>
                    <w:div w:id="662779827">
                      <w:marLeft w:val="0"/>
                      <w:marRight w:val="0"/>
                      <w:marTop w:val="0"/>
                      <w:marBottom w:val="0"/>
                      <w:divBdr>
                        <w:top w:val="none" w:sz="0" w:space="0" w:color="auto"/>
                        <w:left w:val="none" w:sz="0" w:space="0" w:color="auto"/>
                        <w:bottom w:val="none" w:sz="0" w:space="0" w:color="auto"/>
                        <w:right w:val="none" w:sz="0" w:space="0" w:color="auto"/>
                      </w:divBdr>
                      <w:divsChild>
                        <w:div w:id="811679192">
                          <w:marLeft w:val="0"/>
                          <w:marRight w:val="0"/>
                          <w:marTop w:val="0"/>
                          <w:marBottom w:val="0"/>
                          <w:divBdr>
                            <w:top w:val="none" w:sz="0" w:space="0" w:color="auto"/>
                            <w:left w:val="none" w:sz="0" w:space="0" w:color="auto"/>
                            <w:bottom w:val="none" w:sz="0" w:space="0" w:color="auto"/>
                            <w:right w:val="none" w:sz="0" w:space="0" w:color="auto"/>
                          </w:divBdr>
                          <w:divsChild>
                            <w:div w:id="9024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8286">
      <w:bodyDiv w:val="1"/>
      <w:marLeft w:val="0"/>
      <w:marRight w:val="0"/>
      <w:marTop w:val="0"/>
      <w:marBottom w:val="0"/>
      <w:divBdr>
        <w:top w:val="none" w:sz="0" w:space="0" w:color="auto"/>
        <w:left w:val="none" w:sz="0" w:space="0" w:color="auto"/>
        <w:bottom w:val="none" w:sz="0" w:space="0" w:color="auto"/>
        <w:right w:val="none" w:sz="0" w:space="0" w:color="auto"/>
      </w:divBdr>
      <w:divsChild>
        <w:div w:id="407576662">
          <w:marLeft w:val="0"/>
          <w:marRight w:val="0"/>
          <w:marTop w:val="0"/>
          <w:marBottom w:val="0"/>
          <w:divBdr>
            <w:top w:val="none" w:sz="0" w:space="0" w:color="auto"/>
            <w:left w:val="none" w:sz="0" w:space="0" w:color="auto"/>
            <w:bottom w:val="none" w:sz="0" w:space="0" w:color="auto"/>
            <w:right w:val="none" w:sz="0" w:space="0" w:color="auto"/>
          </w:divBdr>
          <w:divsChild>
            <w:div w:id="736443150">
              <w:marLeft w:val="0"/>
              <w:marRight w:val="0"/>
              <w:marTop w:val="0"/>
              <w:marBottom w:val="0"/>
              <w:divBdr>
                <w:top w:val="none" w:sz="0" w:space="0" w:color="auto"/>
                <w:left w:val="none" w:sz="0" w:space="0" w:color="auto"/>
                <w:bottom w:val="none" w:sz="0" w:space="0" w:color="auto"/>
                <w:right w:val="none" w:sz="0" w:space="0" w:color="auto"/>
              </w:divBdr>
              <w:divsChild>
                <w:div w:id="544608625">
                  <w:marLeft w:val="0"/>
                  <w:marRight w:val="-6084"/>
                  <w:marTop w:val="0"/>
                  <w:marBottom w:val="0"/>
                  <w:divBdr>
                    <w:top w:val="none" w:sz="0" w:space="0" w:color="auto"/>
                    <w:left w:val="none" w:sz="0" w:space="0" w:color="auto"/>
                    <w:bottom w:val="none" w:sz="0" w:space="0" w:color="auto"/>
                    <w:right w:val="none" w:sz="0" w:space="0" w:color="auto"/>
                  </w:divBdr>
                  <w:divsChild>
                    <w:div w:id="1042094933">
                      <w:marLeft w:val="0"/>
                      <w:marRight w:val="5604"/>
                      <w:marTop w:val="0"/>
                      <w:marBottom w:val="0"/>
                      <w:divBdr>
                        <w:top w:val="none" w:sz="0" w:space="0" w:color="auto"/>
                        <w:left w:val="none" w:sz="0" w:space="0" w:color="auto"/>
                        <w:bottom w:val="none" w:sz="0" w:space="0" w:color="auto"/>
                        <w:right w:val="none" w:sz="0" w:space="0" w:color="auto"/>
                      </w:divBdr>
                      <w:divsChild>
                        <w:div w:id="1371110420">
                          <w:marLeft w:val="0"/>
                          <w:marRight w:val="0"/>
                          <w:marTop w:val="0"/>
                          <w:marBottom w:val="0"/>
                          <w:divBdr>
                            <w:top w:val="none" w:sz="0" w:space="0" w:color="auto"/>
                            <w:left w:val="none" w:sz="0" w:space="0" w:color="auto"/>
                            <w:bottom w:val="none" w:sz="0" w:space="0" w:color="auto"/>
                            <w:right w:val="none" w:sz="0" w:space="0" w:color="auto"/>
                          </w:divBdr>
                          <w:divsChild>
                            <w:div w:id="161212384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19783">
      <w:bodyDiv w:val="1"/>
      <w:marLeft w:val="0"/>
      <w:marRight w:val="0"/>
      <w:marTop w:val="0"/>
      <w:marBottom w:val="0"/>
      <w:divBdr>
        <w:top w:val="none" w:sz="0" w:space="0" w:color="auto"/>
        <w:left w:val="none" w:sz="0" w:space="0" w:color="auto"/>
        <w:bottom w:val="none" w:sz="0" w:space="0" w:color="auto"/>
        <w:right w:val="none" w:sz="0" w:space="0" w:color="auto"/>
      </w:divBdr>
    </w:div>
    <w:div w:id="362706165">
      <w:bodyDiv w:val="1"/>
      <w:marLeft w:val="0"/>
      <w:marRight w:val="0"/>
      <w:marTop w:val="0"/>
      <w:marBottom w:val="0"/>
      <w:divBdr>
        <w:top w:val="none" w:sz="0" w:space="0" w:color="auto"/>
        <w:left w:val="none" w:sz="0" w:space="0" w:color="auto"/>
        <w:bottom w:val="none" w:sz="0" w:space="0" w:color="auto"/>
        <w:right w:val="none" w:sz="0" w:space="0" w:color="auto"/>
      </w:divBdr>
      <w:divsChild>
        <w:div w:id="835075554">
          <w:marLeft w:val="0"/>
          <w:marRight w:val="0"/>
          <w:marTop w:val="0"/>
          <w:marBottom w:val="0"/>
          <w:divBdr>
            <w:top w:val="none" w:sz="0" w:space="0" w:color="auto"/>
            <w:left w:val="none" w:sz="0" w:space="0" w:color="auto"/>
            <w:bottom w:val="none" w:sz="0" w:space="0" w:color="auto"/>
            <w:right w:val="none" w:sz="0" w:space="0" w:color="auto"/>
          </w:divBdr>
          <w:divsChild>
            <w:div w:id="2019036809">
              <w:marLeft w:val="0"/>
              <w:marRight w:val="0"/>
              <w:marTop w:val="0"/>
              <w:marBottom w:val="0"/>
              <w:divBdr>
                <w:top w:val="none" w:sz="0" w:space="0" w:color="auto"/>
                <w:left w:val="none" w:sz="0" w:space="0" w:color="auto"/>
                <w:bottom w:val="none" w:sz="0" w:space="0" w:color="auto"/>
                <w:right w:val="none" w:sz="0" w:space="0" w:color="auto"/>
              </w:divBdr>
              <w:divsChild>
                <w:div w:id="474949211">
                  <w:marLeft w:val="0"/>
                  <w:marRight w:val="0"/>
                  <w:marTop w:val="0"/>
                  <w:marBottom w:val="0"/>
                  <w:divBdr>
                    <w:top w:val="none" w:sz="0" w:space="0" w:color="auto"/>
                    <w:left w:val="none" w:sz="0" w:space="0" w:color="auto"/>
                    <w:bottom w:val="none" w:sz="0" w:space="0" w:color="auto"/>
                    <w:right w:val="none" w:sz="0" w:space="0" w:color="auto"/>
                  </w:divBdr>
                  <w:divsChild>
                    <w:div w:id="794061485">
                      <w:marLeft w:val="0"/>
                      <w:marRight w:val="0"/>
                      <w:marTop w:val="0"/>
                      <w:marBottom w:val="0"/>
                      <w:divBdr>
                        <w:top w:val="none" w:sz="0" w:space="0" w:color="auto"/>
                        <w:left w:val="none" w:sz="0" w:space="0" w:color="auto"/>
                        <w:bottom w:val="none" w:sz="0" w:space="0" w:color="auto"/>
                        <w:right w:val="none" w:sz="0" w:space="0" w:color="auto"/>
                      </w:divBdr>
                      <w:divsChild>
                        <w:div w:id="127283758">
                          <w:marLeft w:val="0"/>
                          <w:marRight w:val="0"/>
                          <w:marTop w:val="0"/>
                          <w:marBottom w:val="0"/>
                          <w:divBdr>
                            <w:top w:val="none" w:sz="0" w:space="0" w:color="auto"/>
                            <w:left w:val="none" w:sz="0" w:space="0" w:color="auto"/>
                            <w:bottom w:val="none" w:sz="0" w:space="0" w:color="auto"/>
                            <w:right w:val="none" w:sz="0" w:space="0" w:color="auto"/>
                          </w:divBdr>
                          <w:divsChild>
                            <w:div w:id="11144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638674">
      <w:bodyDiv w:val="1"/>
      <w:marLeft w:val="0"/>
      <w:marRight w:val="0"/>
      <w:marTop w:val="0"/>
      <w:marBottom w:val="0"/>
      <w:divBdr>
        <w:top w:val="none" w:sz="0" w:space="0" w:color="auto"/>
        <w:left w:val="none" w:sz="0" w:space="0" w:color="auto"/>
        <w:bottom w:val="none" w:sz="0" w:space="0" w:color="auto"/>
        <w:right w:val="none" w:sz="0" w:space="0" w:color="auto"/>
      </w:divBdr>
    </w:div>
    <w:div w:id="462043561">
      <w:bodyDiv w:val="1"/>
      <w:marLeft w:val="0"/>
      <w:marRight w:val="0"/>
      <w:marTop w:val="0"/>
      <w:marBottom w:val="0"/>
      <w:divBdr>
        <w:top w:val="none" w:sz="0" w:space="0" w:color="auto"/>
        <w:left w:val="none" w:sz="0" w:space="0" w:color="auto"/>
        <w:bottom w:val="none" w:sz="0" w:space="0" w:color="auto"/>
        <w:right w:val="none" w:sz="0" w:space="0" w:color="auto"/>
      </w:divBdr>
      <w:divsChild>
        <w:div w:id="980765472">
          <w:marLeft w:val="0"/>
          <w:marRight w:val="0"/>
          <w:marTop w:val="0"/>
          <w:marBottom w:val="0"/>
          <w:divBdr>
            <w:top w:val="none" w:sz="0" w:space="0" w:color="auto"/>
            <w:left w:val="none" w:sz="0" w:space="0" w:color="auto"/>
            <w:bottom w:val="none" w:sz="0" w:space="0" w:color="auto"/>
            <w:right w:val="none" w:sz="0" w:space="0" w:color="auto"/>
          </w:divBdr>
          <w:divsChild>
            <w:div w:id="1260917129">
              <w:marLeft w:val="0"/>
              <w:marRight w:val="0"/>
              <w:marTop w:val="0"/>
              <w:marBottom w:val="0"/>
              <w:divBdr>
                <w:top w:val="none" w:sz="0" w:space="0" w:color="auto"/>
                <w:left w:val="none" w:sz="0" w:space="0" w:color="auto"/>
                <w:bottom w:val="none" w:sz="0" w:space="0" w:color="auto"/>
                <w:right w:val="none" w:sz="0" w:space="0" w:color="auto"/>
              </w:divBdr>
              <w:divsChild>
                <w:div w:id="878857810">
                  <w:marLeft w:val="0"/>
                  <w:marRight w:val="0"/>
                  <w:marTop w:val="0"/>
                  <w:marBottom w:val="0"/>
                  <w:divBdr>
                    <w:top w:val="none" w:sz="0" w:space="0" w:color="auto"/>
                    <w:left w:val="none" w:sz="0" w:space="0" w:color="auto"/>
                    <w:bottom w:val="none" w:sz="0" w:space="0" w:color="auto"/>
                    <w:right w:val="none" w:sz="0" w:space="0" w:color="auto"/>
                  </w:divBdr>
                  <w:divsChild>
                    <w:div w:id="636909648">
                      <w:marLeft w:val="0"/>
                      <w:marRight w:val="0"/>
                      <w:marTop w:val="0"/>
                      <w:marBottom w:val="0"/>
                      <w:divBdr>
                        <w:top w:val="none" w:sz="0" w:space="0" w:color="auto"/>
                        <w:left w:val="none" w:sz="0" w:space="0" w:color="auto"/>
                        <w:bottom w:val="none" w:sz="0" w:space="0" w:color="auto"/>
                        <w:right w:val="none" w:sz="0" w:space="0" w:color="auto"/>
                      </w:divBdr>
                      <w:divsChild>
                        <w:div w:id="524294280">
                          <w:marLeft w:val="0"/>
                          <w:marRight w:val="0"/>
                          <w:marTop w:val="0"/>
                          <w:marBottom w:val="0"/>
                          <w:divBdr>
                            <w:top w:val="none" w:sz="0" w:space="0" w:color="auto"/>
                            <w:left w:val="none" w:sz="0" w:space="0" w:color="auto"/>
                            <w:bottom w:val="none" w:sz="0" w:space="0" w:color="auto"/>
                            <w:right w:val="none" w:sz="0" w:space="0" w:color="auto"/>
                          </w:divBdr>
                          <w:divsChild>
                            <w:div w:id="14400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955237">
      <w:bodyDiv w:val="1"/>
      <w:marLeft w:val="0"/>
      <w:marRight w:val="0"/>
      <w:marTop w:val="0"/>
      <w:marBottom w:val="0"/>
      <w:divBdr>
        <w:top w:val="none" w:sz="0" w:space="0" w:color="auto"/>
        <w:left w:val="none" w:sz="0" w:space="0" w:color="auto"/>
        <w:bottom w:val="none" w:sz="0" w:space="0" w:color="auto"/>
        <w:right w:val="none" w:sz="0" w:space="0" w:color="auto"/>
      </w:divBdr>
    </w:div>
    <w:div w:id="578711256">
      <w:bodyDiv w:val="1"/>
      <w:marLeft w:val="0"/>
      <w:marRight w:val="0"/>
      <w:marTop w:val="0"/>
      <w:marBottom w:val="0"/>
      <w:divBdr>
        <w:top w:val="none" w:sz="0" w:space="0" w:color="auto"/>
        <w:left w:val="none" w:sz="0" w:space="0" w:color="auto"/>
        <w:bottom w:val="none" w:sz="0" w:space="0" w:color="auto"/>
        <w:right w:val="none" w:sz="0" w:space="0" w:color="auto"/>
      </w:divBdr>
    </w:div>
    <w:div w:id="595403507">
      <w:bodyDiv w:val="1"/>
      <w:marLeft w:val="0"/>
      <w:marRight w:val="0"/>
      <w:marTop w:val="0"/>
      <w:marBottom w:val="0"/>
      <w:divBdr>
        <w:top w:val="none" w:sz="0" w:space="0" w:color="auto"/>
        <w:left w:val="none" w:sz="0" w:space="0" w:color="auto"/>
        <w:bottom w:val="none" w:sz="0" w:space="0" w:color="auto"/>
        <w:right w:val="none" w:sz="0" w:space="0" w:color="auto"/>
      </w:divBdr>
      <w:divsChild>
        <w:div w:id="111411781">
          <w:marLeft w:val="0"/>
          <w:marRight w:val="0"/>
          <w:marTop w:val="0"/>
          <w:marBottom w:val="0"/>
          <w:divBdr>
            <w:top w:val="none" w:sz="0" w:space="0" w:color="auto"/>
            <w:left w:val="none" w:sz="0" w:space="0" w:color="auto"/>
            <w:bottom w:val="none" w:sz="0" w:space="0" w:color="auto"/>
            <w:right w:val="none" w:sz="0" w:space="0" w:color="auto"/>
          </w:divBdr>
          <w:divsChild>
            <w:div w:id="2130932227">
              <w:marLeft w:val="0"/>
              <w:marRight w:val="0"/>
              <w:marTop w:val="0"/>
              <w:marBottom w:val="0"/>
              <w:divBdr>
                <w:top w:val="none" w:sz="0" w:space="0" w:color="auto"/>
                <w:left w:val="none" w:sz="0" w:space="0" w:color="auto"/>
                <w:bottom w:val="none" w:sz="0" w:space="0" w:color="auto"/>
                <w:right w:val="none" w:sz="0" w:space="0" w:color="auto"/>
              </w:divBdr>
              <w:divsChild>
                <w:div w:id="1523124361">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0"/>
                      <w:marRight w:val="0"/>
                      <w:marTop w:val="0"/>
                      <w:marBottom w:val="0"/>
                      <w:divBdr>
                        <w:top w:val="none" w:sz="0" w:space="0" w:color="auto"/>
                        <w:left w:val="none" w:sz="0" w:space="0" w:color="auto"/>
                        <w:bottom w:val="none" w:sz="0" w:space="0" w:color="auto"/>
                        <w:right w:val="none" w:sz="0" w:space="0" w:color="auto"/>
                      </w:divBdr>
                      <w:divsChild>
                        <w:div w:id="708184673">
                          <w:marLeft w:val="0"/>
                          <w:marRight w:val="0"/>
                          <w:marTop w:val="0"/>
                          <w:marBottom w:val="0"/>
                          <w:divBdr>
                            <w:top w:val="none" w:sz="0" w:space="0" w:color="auto"/>
                            <w:left w:val="none" w:sz="0" w:space="0" w:color="auto"/>
                            <w:bottom w:val="none" w:sz="0" w:space="0" w:color="auto"/>
                            <w:right w:val="none" w:sz="0" w:space="0" w:color="auto"/>
                          </w:divBdr>
                          <w:divsChild>
                            <w:div w:id="14766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2179">
      <w:bodyDiv w:val="1"/>
      <w:marLeft w:val="0"/>
      <w:marRight w:val="0"/>
      <w:marTop w:val="0"/>
      <w:marBottom w:val="0"/>
      <w:divBdr>
        <w:top w:val="none" w:sz="0" w:space="0" w:color="auto"/>
        <w:left w:val="none" w:sz="0" w:space="0" w:color="auto"/>
        <w:bottom w:val="none" w:sz="0" w:space="0" w:color="auto"/>
        <w:right w:val="none" w:sz="0" w:space="0" w:color="auto"/>
      </w:divBdr>
      <w:divsChild>
        <w:div w:id="214852269">
          <w:marLeft w:val="0"/>
          <w:marRight w:val="0"/>
          <w:marTop w:val="0"/>
          <w:marBottom w:val="0"/>
          <w:divBdr>
            <w:top w:val="none" w:sz="0" w:space="0" w:color="auto"/>
            <w:left w:val="none" w:sz="0" w:space="0" w:color="auto"/>
            <w:bottom w:val="none" w:sz="0" w:space="0" w:color="auto"/>
            <w:right w:val="none" w:sz="0" w:space="0" w:color="auto"/>
          </w:divBdr>
          <w:divsChild>
            <w:div w:id="969170390">
              <w:marLeft w:val="0"/>
              <w:marRight w:val="0"/>
              <w:marTop w:val="0"/>
              <w:marBottom w:val="0"/>
              <w:divBdr>
                <w:top w:val="none" w:sz="0" w:space="0" w:color="auto"/>
                <w:left w:val="none" w:sz="0" w:space="0" w:color="auto"/>
                <w:bottom w:val="none" w:sz="0" w:space="0" w:color="auto"/>
                <w:right w:val="none" w:sz="0" w:space="0" w:color="auto"/>
              </w:divBdr>
              <w:divsChild>
                <w:div w:id="777063786">
                  <w:marLeft w:val="0"/>
                  <w:marRight w:val="0"/>
                  <w:marTop w:val="0"/>
                  <w:marBottom w:val="0"/>
                  <w:divBdr>
                    <w:top w:val="none" w:sz="0" w:space="0" w:color="auto"/>
                    <w:left w:val="none" w:sz="0" w:space="0" w:color="auto"/>
                    <w:bottom w:val="none" w:sz="0" w:space="0" w:color="auto"/>
                    <w:right w:val="none" w:sz="0" w:space="0" w:color="auto"/>
                  </w:divBdr>
                  <w:divsChild>
                    <w:div w:id="1243641238">
                      <w:marLeft w:val="0"/>
                      <w:marRight w:val="0"/>
                      <w:marTop w:val="0"/>
                      <w:marBottom w:val="0"/>
                      <w:divBdr>
                        <w:top w:val="none" w:sz="0" w:space="0" w:color="auto"/>
                        <w:left w:val="none" w:sz="0" w:space="0" w:color="auto"/>
                        <w:bottom w:val="none" w:sz="0" w:space="0" w:color="auto"/>
                        <w:right w:val="none" w:sz="0" w:space="0" w:color="auto"/>
                      </w:divBdr>
                      <w:divsChild>
                        <w:div w:id="1259020382">
                          <w:marLeft w:val="0"/>
                          <w:marRight w:val="0"/>
                          <w:marTop w:val="0"/>
                          <w:marBottom w:val="0"/>
                          <w:divBdr>
                            <w:top w:val="none" w:sz="0" w:space="0" w:color="auto"/>
                            <w:left w:val="none" w:sz="0" w:space="0" w:color="auto"/>
                            <w:bottom w:val="none" w:sz="0" w:space="0" w:color="auto"/>
                            <w:right w:val="none" w:sz="0" w:space="0" w:color="auto"/>
                          </w:divBdr>
                          <w:divsChild>
                            <w:div w:id="11938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8255">
      <w:bodyDiv w:val="1"/>
      <w:marLeft w:val="0"/>
      <w:marRight w:val="0"/>
      <w:marTop w:val="0"/>
      <w:marBottom w:val="0"/>
      <w:divBdr>
        <w:top w:val="none" w:sz="0" w:space="0" w:color="auto"/>
        <w:left w:val="none" w:sz="0" w:space="0" w:color="auto"/>
        <w:bottom w:val="none" w:sz="0" w:space="0" w:color="auto"/>
        <w:right w:val="none" w:sz="0" w:space="0" w:color="auto"/>
      </w:divBdr>
    </w:div>
    <w:div w:id="757366559">
      <w:bodyDiv w:val="1"/>
      <w:marLeft w:val="0"/>
      <w:marRight w:val="0"/>
      <w:marTop w:val="0"/>
      <w:marBottom w:val="0"/>
      <w:divBdr>
        <w:top w:val="none" w:sz="0" w:space="0" w:color="auto"/>
        <w:left w:val="none" w:sz="0" w:space="0" w:color="auto"/>
        <w:bottom w:val="none" w:sz="0" w:space="0" w:color="auto"/>
        <w:right w:val="none" w:sz="0" w:space="0" w:color="auto"/>
      </w:divBdr>
    </w:div>
    <w:div w:id="946351641">
      <w:bodyDiv w:val="1"/>
      <w:marLeft w:val="0"/>
      <w:marRight w:val="0"/>
      <w:marTop w:val="0"/>
      <w:marBottom w:val="0"/>
      <w:divBdr>
        <w:top w:val="none" w:sz="0" w:space="0" w:color="auto"/>
        <w:left w:val="none" w:sz="0" w:space="0" w:color="auto"/>
        <w:bottom w:val="none" w:sz="0" w:space="0" w:color="auto"/>
        <w:right w:val="none" w:sz="0" w:space="0" w:color="auto"/>
      </w:divBdr>
    </w:div>
    <w:div w:id="999233528">
      <w:bodyDiv w:val="1"/>
      <w:marLeft w:val="0"/>
      <w:marRight w:val="0"/>
      <w:marTop w:val="0"/>
      <w:marBottom w:val="0"/>
      <w:divBdr>
        <w:top w:val="none" w:sz="0" w:space="0" w:color="auto"/>
        <w:left w:val="none" w:sz="0" w:space="0" w:color="auto"/>
        <w:bottom w:val="none" w:sz="0" w:space="0" w:color="auto"/>
        <w:right w:val="none" w:sz="0" w:space="0" w:color="auto"/>
      </w:divBdr>
    </w:div>
    <w:div w:id="1173840035">
      <w:bodyDiv w:val="1"/>
      <w:marLeft w:val="0"/>
      <w:marRight w:val="0"/>
      <w:marTop w:val="0"/>
      <w:marBottom w:val="0"/>
      <w:divBdr>
        <w:top w:val="none" w:sz="0" w:space="0" w:color="auto"/>
        <w:left w:val="none" w:sz="0" w:space="0" w:color="auto"/>
        <w:bottom w:val="none" w:sz="0" w:space="0" w:color="auto"/>
        <w:right w:val="none" w:sz="0" w:space="0" w:color="auto"/>
      </w:divBdr>
    </w:div>
    <w:div w:id="1515149544">
      <w:bodyDiv w:val="1"/>
      <w:marLeft w:val="0"/>
      <w:marRight w:val="0"/>
      <w:marTop w:val="0"/>
      <w:marBottom w:val="0"/>
      <w:divBdr>
        <w:top w:val="none" w:sz="0" w:space="0" w:color="auto"/>
        <w:left w:val="none" w:sz="0" w:space="0" w:color="auto"/>
        <w:bottom w:val="none" w:sz="0" w:space="0" w:color="auto"/>
        <w:right w:val="none" w:sz="0" w:space="0" w:color="auto"/>
      </w:divBdr>
    </w:div>
    <w:div w:id="1667704816">
      <w:bodyDiv w:val="1"/>
      <w:marLeft w:val="0"/>
      <w:marRight w:val="0"/>
      <w:marTop w:val="0"/>
      <w:marBottom w:val="0"/>
      <w:divBdr>
        <w:top w:val="none" w:sz="0" w:space="0" w:color="auto"/>
        <w:left w:val="none" w:sz="0" w:space="0" w:color="auto"/>
        <w:bottom w:val="none" w:sz="0" w:space="0" w:color="auto"/>
        <w:right w:val="none" w:sz="0" w:space="0" w:color="auto"/>
      </w:divBdr>
    </w:div>
    <w:div w:id="2139688875">
      <w:bodyDiv w:val="1"/>
      <w:marLeft w:val="0"/>
      <w:marRight w:val="0"/>
      <w:marTop w:val="0"/>
      <w:marBottom w:val="0"/>
      <w:divBdr>
        <w:top w:val="none" w:sz="0" w:space="0" w:color="auto"/>
        <w:left w:val="none" w:sz="0" w:space="0" w:color="auto"/>
        <w:bottom w:val="none" w:sz="0" w:space="0" w:color="auto"/>
        <w:right w:val="none" w:sz="0" w:space="0" w:color="auto"/>
      </w:divBdr>
      <w:divsChild>
        <w:div w:id="474638390">
          <w:marLeft w:val="0"/>
          <w:marRight w:val="0"/>
          <w:marTop w:val="0"/>
          <w:marBottom w:val="0"/>
          <w:divBdr>
            <w:top w:val="none" w:sz="0" w:space="0" w:color="auto"/>
            <w:left w:val="none" w:sz="0" w:space="0" w:color="auto"/>
            <w:bottom w:val="none" w:sz="0" w:space="0" w:color="auto"/>
            <w:right w:val="none" w:sz="0" w:space="0" w:color="auto"/>
          </w:divBdr>
          <w:divsChild>
            <w:div w:id="2136754836">
              <w:marLeft w:val="0"/>
              <w:marRight w:val="0"/>
              <w:marTop w:val="0"/>
              <w:marBottom w:val="0"/>
              <w:divBdr>
                <w:top w:val="none" w:sz="0" w:space="0" w:color="auto"/>
                <w:left w:val="none" w:sz="0" w:space="0" w:color="auto"/>
                <w:bottom w:val="none" w:sz="0" w:space="0" w:color="auto"/>
                <w:right w:val="none" w:sz="0" w:space="0" w:color="auto"/>
              </w:divBdr>
              <w:divsChild>
                <w:div w:id="2103449201">
                  <w:marLeft w:val="0"/>
                  <w:marRight w:val="0"/>
                  <w:marTop w:val="0"/>
                  <w:marBottom w:val="0"/>
                  <w:divBdr>
                    <w:top w:val="none" w:sz="0" w:space="0" w:color="auto"/>
                    <w:left w:val="none" w:sz="0" w:space="0" w:color="auto"/>
                    <w:bottom w:val="none" w:sz="0" w:space="0" w:color="auto"/>
                    <w:right w:val="none" w:sz="0" w:space="0" w:color="auto"/>
                  </w:divBdr>
                  <w:divsChild>
                    <w:div w:id="806237915">
                      <w:marLeft w:val="0"/>
                      <w:marRight w:val="0"/>
                      <w:marTop w:val="0"/>
                      <w:marBottom w:val="0"/>
                      <w:divBdr>
                        <w:top w:val="none" w:sz="0" w:space="0" w:color="auto"/>
                        <w:left w:val="none" w:sz="0" w:space="0" w:color="auto"/>
                        <w:bottom w:val="none" w:sz="0" w:space="0" w:color="auto"/>
                        <w:right w:val="none" w:sz="0" w:space="0" w:color="auto"/>
                      </w:divBdr>
                      <w:divsChild>
                        <w:div w:id="1598975205">
                          <w:marLeft w:val="0"/>
                          <w:marRight w:val="0"/>
                          <w:marTop w:val="0"/>
                          <w:marBottom w:val="0"/>
                          <w:divBdr>
                            <w:top w:val="none" w:sz="0" w:space="0" w:color="auto"/>
                            <w:left w:val="none" w:sz="0" w:space="0" w:color="auto"/>
                            <w:bottom w:val="none" w:sz="0" w:space="0" w:color="auto"/>
                            <w:right w:val="none" w:sz="0" w:space="0" w:color="auto"/>
                          </w:divBdr>
                          <w:divsChild>
                            <w:div w:id="291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direct.org/cabdirect/search/?q=bn%3a%229781845939021%2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ie.int/en/what-we-offer/expertise-network/reference-laboratori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3389%2Ffmicb.2020.5812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c.gov/salmonella/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079/9781845939021.000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gddeventer.com" TargetMode="External"/><Relationship Id="rId2" Type="http://schemas.openxmlformats.org/officeDocument/2006/relationships/hyperlink" Target="http://www.ssi.dk" TargetMode="External"/><Relationship Id="rId1" Type="http://schemas.openxmlformats.org/officeDocument/2006/relationships/hyperlink" Target="http://www.oie.int/en/scientific-expertise/registration-of-diagnostic-kits/the-register-of-diagnostic-kits/" TargetMode="External"/><Relationship Id="rId5" Type="http://schemas.openxmlformats.org/officeDocument/2006/relationships/hyperlink" Target="https://www.oie.int/en/what-we-offer/expertise-network/reference-laboratories/" TargetMode="External"/><Relationship Id="rId4" Type="http://schemas.openxmlformats.org/officeDocument/2006/relationships/hyperlink" Target="https://www.oie.int/en/what-we-offer/veterinary-products/diagnostic-kits/the-register-of-diagnostic-k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ANUAL96.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ADFC-8909-46AF-870E-89177F0D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MANUAL96.DOT</Template>
  <TotalTime>1</TotalTime>
  <Pages>20</Pages>
  <Words>12873</Words>
  <Characters>72900</Characters>
  <Application>Microsoft Office Word</Application>
  <DocSecurity>0</DocSecurity>
  <Lines>607</Lines>
  <Paragraphs>171</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fmd with viaa test incl.</vt:lpstr>
      <vt:lpstr>fmd with viaa test incl.</vt:lpstr>
      <vt:lpstr>fmd with viaa test incl.</vt:lpstr>
      <vt:lpstr>fmd with viaa test incl.</vt:lpstr>
    </vt:vector>
  </TitlesOfParts>
  <Company>Toshiba</Company>
  <LinksUpToDate>false</LinksUpToDate>
  <CharactersWithSpaces>85602</CharactersWithSpaces>
  <SharedDoc>false</SharedDoc>
  <HLinks>
    <vt:vector size="96" baseType="variant">
      <vt:variant>
        <vt:i4>3932281</vt:i4>
      </vt:variant>
      <vt:variant>
        <vt:i4>45</vt:i4>
      </vt:variant>
      <vt:variant>
        <vt:i4>0</vt:i4>
      </vt:variant>
      <vt:variant>
        <vt:i4>5</vt:i4>
      </vt:variant>
      <vt:variant>
        <vt:lpwstr>http://www.oie.int/</vt:lpwstr>
      </vt:variant>
      <vt:variant>
        <vt:lpwstr/>
      </vt:variant>
      <vt:variant>
        <vt:i4>8323145</vt:i4>
      </vt:variant>
      <vt:variant>
        <vt:i4>42</vt:i4>
      </vt:variant>
      <vt:variant>
        <vt:i4>0</vt:i4>
      </vt:variant>
      <vt:variant>
        <vt:i4>5</vt:i4>
      </vt:variant>
      <vt:variant>
        <vt:lpwstr>javascript:AL_get(this, 'jour', 'J Clin Microbiol.');</vt:lpwstr>
      </vt:variant>
      <vt:variant>
        <vt:lpwstr/>
      </vt:variant>
      <vt:variant>
        <vt:i4>2359403</vt:i4>
      </vt:variant>
      <vt:variant>
        <vt:i4>39</vt:i4>
      </vt:variant>
      <vt:variant>
        <vt:i4>0</vt:i4>
      </vt:variant>
      <vt:variant>
        <vt:i4>5</vt:i4>
      </vt:variant>
      <vt:variant>
        <vt:lpwstr>http://www.ncbi.nlm.nih.gov/pubmed?term=%22Wiedmann%20M%22%5BAuthor%5D</vt:lpwstr>
      </vt:variant>
      <vt:variant>
        <vt:lpwstr/>
      </vt:variant>
      <vt:variant>
        <vt:i4>786499</vt:i4>
      </vt:variant>
      <vt:variant>
        <vt:i4>36</vt:i4>
      </vt:variant>
      <vt:variant>
        <vt:i4>0</vt:i4>
      </vt:variant>
      <vt:variant>
        <vt:i4>5</vt:i4>
      </vt:variant>
      <vt:variant>
        <vt:lpwstr>http://www.ncbi.nlm.nih.gov/pubmed?term=%22Gr%C3%B6hn%20YT%22%5BAuthor%5D</vt:lpwstr>
      </vt:variant>
      <vt:variant>
        <vt:lpwstr/>
      </vt:variant>
      <vt:variant>
        <vt:i4>7929899</vt:i4>
      </vt:variant>
      <vt:variant>
        <vt:i4>33</vt:i4>
      </vt:variant>
      <vt:variant>
        <vt:i4>0</vt:i4>
      </vt:variant>
      <vt:variant>
        <vt:i4>5</vt:i4>
      </vt:variant>
      <vt:variant>
        <vt:lpwstr>http://www.ncbi.nlm.nih.gov/pubmed?term=%22Warnick%20LD%22%5BAuthor%5D</vt:lpwstr>
      </vt:variant>
      <vt:variant>
        <vt:lpwstr/>
      </vt:variant>
      <vt:variant>
        <vt:i4>2621547</vt:i4>
      </vt:variant>
      <vt:variant>
        <vt:i4>30</vt:i4>
      </vt:variant>
      <vt:variant>
        <vt:i4>0</vt:i4>
      </vt:variant>
      <vt:variant>
        <vt:i4>5</vt:i4>
      </vt:variant>
      <vt:variant>
        <vt:lpwstr>http://www.ncbi.nlm.nih.gov/pubmed?term=%22Root%20T%22%5BAuthor%5D</vt:lpwstr>
      </vt:variant>
      <vt:variant>
        <vt:lpwstr/>
      </vt:variant>
      <vt:variant>
        <vt:i4>393301</vt:i4>
      </vt:variant>
      <vt:variant>
        <vt:i4>27</vt:i4>
      </vt:variant>
      <vt:variant>
        <vt:i4>0</vt:i4>
      </vt:variant>
      <vt:variant>
        <vt:i4>5</vt:i4>
      </vt:variant>
      <vt:variant>
        <vt:lpwstr>http://www.ncbi.nlm.nih.gov/pubmed?term=%22Dumas%20NB%22%5BAuthor%5D</vt:lpwstr>
      </vt:variant>
      <vt:variant>
        <vt:lpwstr/>
      </vt:variant>
      <vt:variant>
        <vt:i4>8061030</vt:i4>
      </vt:variant>
      <vt:variant>
        <vt:i4>24</vt:i4>
      </vt:variant>
      <vt:variant>
        <vt:i4>0</vt:i4>
      </vt:variant>
      <vt:variant>
        <vt:i4>5</vt:i4>
      </vt:variant>
      <vt:variant>
        <vt:lpwstr>http://www.ncbi.nlm.nih.gov/pubmed?term=%22Schoonmaker-Bopp%20DJ%22%5BAuthor%5D</vt:lpwstr>
      </vt:variant>
      <vt:variant>
        <vt:lpwstr/>
      </vt:variant>
      <vt:variant>
        <vt:i4>1572939</vt:i4>
      </vt:variant>
      <vt:variant>
        <vt:i4>21</vt:i4>
      </vt:variant>
      <vt:variant>
        <vt:i4>0</vt:i4>
      </vt:variant>
      <vt:variant>
        <vt:i4>5</vt:i4>
      </vt:variant>
      <vt:variant>
        <vt:lpwstr>http://www.ncbi.nlm.nih.gov/pubmed?term=%22McDonough%20PL%22%5BAuthor%5D</vt:lpwstr>
      </vt:variant>
      <vt:variant>
        <vt:lpwstr/>
      </vt:variant>
      <vt:variant>
        <vt:i4>4718607</vt:i4>
      </vt:variant>
      <vt:variant>
        <vt:i4>18</vt:i4>
      </vt:variant>
      <vt:variant>
        <vt:i4>0</vt:i4>
      </vt:variant>
      <vt:variant>
        <vt:i4>5</vt:i4>
      </vt:variant>
      <vt:variant>
        <vt:lpwstr>http://www.ncbi.nlm.nih.gov/pubmed?term=%22Maurer%20J%22%5BAuthor%5D</vt:lpwstr>
      </vt:variant>
      <vt:variant>
        <vt:lpwstr/>
      </vt:variant>
      <vt:variant>
        <vt:i4>1966154</vt:i4>
      </vt:variant>
      <vt:variant>
        <vt:i4>15</vt:i4>
      </vt:variant>
      <vt:variant>
        <vt:i4>0</vt:i4>
      </vt:variant>
      <vt:variant>
        <vt:i4>5</vt:i4>
      </vt:variant>
      <vt:variant>
        <vt:lpwstr>http://www.ncbi.nlm.nih.gov/pubmed?term=%22Davis%20MA%22%5BAuthor%5D</vt:lpwstr>
      </vt:variant>
      <vt:variant>
        <vt:lpwstr/>
      </vt:variant>
      <vt:variant>
        <vt:i4>5374044</vt:i4>
      </vt:variant>
      <vt:variant>
        <vt:i4>12</vt:i4>
      </vt:variant>
      <vt:variant>
        <vt:i4>0</vt:i4>
      </vt:variant>
      <vt:variant>
        <vt:i4>5</vt:i4>
      </vt:variant>
      <vt:variant>
        <vt:lpwstr>http://www.ncbi.nlm.nih.gov/pubmed?term=%22Moreno%20Switt%20A%22%5BAuthor%5D</vt:lpwstr>
      </vt:variant>
      <vt:variant>
        <vt:lpwstr/>
      </vt:variant>
      <vt:variant>
        <vt:i4>2424955</vt:i4>
      </vt:variant>
      <vt:variant>
        <vt:i4>9</vt:i4>
      </vt:variant>
      <vt:variant>
        <vt:i4>0</vt:i4>
      </vt:variant>
      <vt:variant>
        <vt:i4>5</vt:i4>
      </vt:variant>
      <vt:variant>
        <vt:lpwstr>http://www.ncbi.nlm.nih.gov/pubmed?term=%22Soyer%20Y%22%5BAuthor%5D</vt:lpwstr>
      </vt:variant>
      <vt:variant>
        <vt:lpwstr/>
      </vt:variant>
      <vt:variant>
        <vt:i4>6750248</vt:i4>
      </vt:variant>
      <vt:variant>
        <vt:i4>6</vt:i4>
      </vt:variant>
      <vt:variant>
        <vt:i4>0</vt:i4>
      </vt:variant>
      <vt:variant>
        <vt:i4>5</vt:i4>
      </vt:variant>
      <vt:variant>
        <vt:lpwstr>http://www.efsa.europa.eu/EFSA/efsa_locale-1178620753812_home.htm</vt:lpwstr>
      </vt:variant>
      <vt:variant>
        <vt:lpwstr/>
      </vt:variant>
      <vt:variant>
        <vt:i4>8257551</vt:i4>
      </vt:variant>
      <vt:variant>
        <vt:i4>3</vt:i4>
      </vt:variant>
      <vt:variant>
        <vt:i4>0</vt:i4>
      </vt:variant>
      <vt:variant>
        <vt:i4>5</vt:i4>
      </vt:variant>
      <vt:variant>
        <vt:lpwstr>http://ec.europa.eu/food/food/biosafety/salmonella/index_en.htm</vt:lpwstr>
      </vt:variant>
      <vt:variant>
        <vt:lpwstr/>
      </vt:variant>
      <vt:variant>
        <vt:i4>3211301</vt:i4>
      </vt:variant>
      <vt:variant>
        <vt:i4>0</vt:i4>
      </vt:variant>
      <vt:variant>
        <vt:i4>0</vt:i4>
      </vt:variant>
      <vt:variant>
        <vt:i4>5</vt:i4>
      </vt:variant>
      <vt:variant>
        <vt:lpwstr>http://www.aoac.org/testkits/testedmethods.html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Salmonellosis</dc:title>
  <dc:subject>arial/trait</dc:subject>
  <dc:creator>sara</dc:creator>
  <cp:lastModifiedBy>Wattenberg, Jay L - APHIS</cp:lastModifiedBy>
  <cp:revision>3</cp:revision>
  <cp:lastPrinted>2016-10-04T08:29:00Z</cp:lastPrinted>
  <dcterms:created xsi:type="dcterms:W3CDTF">2022-03-21T18:54:00Z</dcterms:created>
  <dcterms:modified xsi:type="dcterms:W3CDTF">2022-03-22T13:20:00Z</dcterms:modified>
</cp:coreProperties>
</file>