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9CBA68" w14:textId="18BF84FA" w:rsidR="00682ECF" w:rsidRPr="00686E9D" w:rsidRDefault="00D253ED">
      <w:pPr>
        <w:pStyle w:val="Chatperno"/>
        <w:rPr>
          <w:lang w:val="en-IE"/>
        </w:rPr>
      </w:pPr>
      <w:r w:rsidRPr="00686E9D">
        <w:rPr>
          <w:lang w:val="en-IE"/>
        </w:rPr>
        <w:t xml:space="preserve">chapter </w:t>
      </w:r>
      <w:r w:rsidR="004A0FE2" w:rsidRPr="00686E9D">
        <w:rPr>
          <w:lang w:val="en-IE"/>
        </w:rPr>
        <w:t>3</w:t>
      </w:r>
      <w:r w:rsidR="00964ED2" w:rsidRPr="00686E9D">
        <w:rPr>
          <w:lang w:val="en-IE"/>
        </w:rPr>
        <w:t>.</w:t>
      </w:r>
      <w:r w:rsidR="00A77EE2" w:rsidRPr="00686E9D">
        <w:rPr>
          <w:lang w:val="en-IE"/>
        </w:rPr>
        <w:t>1.14</w:t>
      </w:r>
      <w:r w:rsidR="00964ED2" w:rsidRPr="00686E9D">
        <w:rPr>
          <w:lang w:val="en-IE"/>
        </w:rPr>
        <w:t>.</w:t>
      </w:r>
    </w:p>
    <w:p w14:paraId="37A7F2EF" w14:textId="15F29F33" w:rsidR="00682ECF" w:rsidRPr="00686E9D" w:rsidRDefault="00964ED2">
      <w:pPr>
        <w:pStyle w:val="Chaptertitle"/>
        <w:rPr>
          <w:lang w:val="en-IE"/>
        </w:rPr>
      </w:pPr>
      <w:r w:rsidRPr="00686E9D">
        <w:rPr>
          <w:lang w:val="en-IE"/>
        </w:rPr>
        <w:t>nipah and Hendra Virus diseases</w:t>
      </w:r>
    </w:p>
    <w:p w14:paraId="411F9BC8" w14:textId="77777777" w:rsidR="00682ECF" w:rsidRPr="00686E9D" w:rsidRDefault="00964ED2">
      <w:pPr>
        <w:pStyle w:val="Summarytitle"/>
        <w:rPr>
          <w:lang w:val="en-IE"/>
        </w:rPr>
      </w:pPr>
      <w:r w:rsidRPr="00686E9D">
        <w:rPr>
          <w:lang w:val="en-IE"/>
        </w:rPr>
        <w:t>SUMMARY</w:t>
      </w:r>
    </w:p>
    <w:p w14:paraId="74A82324" w14:textId="284344EA" w:rsidR="00682ECF" w:rsidRPr="00686E9D" w:rsidRDefault="00964ED2">
      <w:pPr>
        <w:pStyle w:val="sumtexte"/>
        <w:rPr>
          <w:lang w:val="en-IE"/>
        </w:rPr>
      </w:pPr>
      <w:r w:rsidRPr="00686E9D">
        <w:rPr>
          <w:lang w:val="en-IE"/>
        </w:rPr>
        <w:t xml:space="preserve">Hendra virus </w:t>
      </w:r>
      <w:r w:rsidRPr="00686E9D">
        <w:rPr>
          <w:i w:val="0"/>
          <w:iCs w:val="0"/>
          <w:lang w:val="en-IE"/>
        </w:rPr>
        <w:t>(</w:t>
      </w:r>
      <w:proofErr w:type="spellStart"/>
      <w:r w:rsidRPr="00686E9D">
        <w:rPr>
          <w:lang w:val="en-IE"/>
        </w:rPr>
        <w:t>HeV</w:t>
      </w:r>
      <w:proofErr w:type="spellEnd"/>
      <w:r w:rsidRPr="00686E9D">
        <w:rPr>
          <w:i w:val="0"/>
          <w:iCs w:val="0"/>
          <w:lang w:val="en-IE"/>
        </w:rPr>
        <w:t>)</w:t>
      </w:r>
      <w:r w:rsidRPr="00686E9D">
        <w:rPr>
          <w:lang w:val="en-IE"/>
        </w:rPr>
        <w:t xml:space="preserve"> and </w:t>
      </w:r>
      <w:proofErr w:type="spellStart"/>
      <w:r w:rsidRPr="00686E9D">
        <w:rPr>
          <w:lang w:val="en-IE"/>
        </w:rPr>
        <w:t>Nipah</w:t>
      </w:r>
      <w:proofErr w:type="spellEnd"/>
      <w:r w:rsidRPr="00686E9D">
        <w:rPr>
          <w:lang w:val="en-IE"/>
        </w:rPr>
        <w:t xml:space="preserve"> virus </w:t>
      </w:r>
      <w:r w:rsidRPr="00686E9D">
        <w:rPr>
          <w:i w:val="0"/>
          <w:iCs w:val="0"/>
          <w:lang w:val="en-IE"/>
        </w:rPr>
        <w:t>(</w:t>
      </w:r>
      <w:proofErr w:type="spellStart"/>
      <w:r w:rsidRPr="00686E9D">
        <w:rPr>
          <w:lang w:val="en-IE"/>
        </w:rPr>
        <w:t>NiV</w:t>
      </w:r>
      <w:proofErr w:type="spellEnd"/>
      <w:r w:rsidRPr="00686E9D">
        <w:rPr>
          <w:i w:val="0"/>
          <w:iCs w:val="0"/>
          <w:lang w:val="en-IE"/>
        </w:rPr>
        <w:t>)</w:t>
      </w:r>
      <w:r w:rsidRPr="00686E9D">
        <w:rPr>
          <w:lang w:val="en-IE"/>
        </w:rPr>
        <w:t xml:space="preserve"> emerged in the </w:t>
      </w:r>
      <w:r w:rsidR="002B48BA" w:rsidRPr="00686E9D">
        <w:rPr>
          <w:u w:val="double"/>
          <w:lang w:val="en-IE"/>
        </w:rPr>
        <w:t>1990s</w:t>
      </w:r>
      <w:r w:rsidR="002B48BA" w:rsidRPr="00686E9D">
        <w:rPr>
          <w:lang w:val="en-IE"/>
        </w:rPr>
        <w:t xml:space="preserve"> </w:t>
      </w:r>
      <w:r w:rsidRPr="00686E9D">
        <w:rPr>
          <w:strike/>
          <w:lang w:val="en-IE"/>
        </w:rPr>
        <w:t>last decade of the twentieth century</w:t>
      </w:r>
      <w:r w:rsidRPr="00686E9D">
        <w:rPr>
          <w:lang w:val="en-IE"/>
        </w:rPr>
        <w:t xml:space="preserve"> as the causes of outbreaks of </w:t>
      </w:r>
      <w:r w:rsidR="001E7BE3" w:rsidRPr="00686E9D">
        <w:rPr>
          <w:u w:val="double"/>
          <w:lang w:val="en-IE"/>
        </w:rPr>
        <w:t>zoonotic</w:t>
      </w:r>
      <w:r w:rsidR="001E7BE3" w:rsidRPr="00686E9D">
        <w:rPr>
          <w:lang w:val="en-IE"/>
        </w:rPr>
        <w:t xml:space="preserve"> </w:t>
      </w:r>
      <w:r w:rsidRPr="00686E9D">
        <w:rPr>
          <w:strike/>
          <w:lang w:val="en-IE"/>
        </w:rPr>
        <w:t>respiratory and neurological</w:t>
      </w:r>
      <w:r w:rsidRPr="00686E9D">
        <w:rPr>
          <w:lang w:val="en-IE"/>
        </w:rPr>
        <w:t xml:space="preserve"> disease</w:t>
      </w:r>
      <w:r w:rsidR="00D64441" w:rsidRPr="00686E9D">
        <w:rPr>
          <w:u w:val="double"/>
          <w:lang w:val="en-IE"/>
        </w:rPr>
        <w:t>s</w:t>
      </w:r>
      <w:r w:rsidR="001E7BE3" w:rsidRPr="00686E9D">
        <w:rPr>
          <w:strike/>
          <w:lang w:val="en-IE"/>
        </w:rPr>
        <w:t xml:space="preserve"> </w:t>
      </w:r>
      <w:r w:rsidRPr="00686E9D">
        <w:rPr>
          <w:strike/>
          <w:lang w:val="en-IE"/>
        </w:rPr>
        <w:t xml:space="preserve">that infected </w:t>
      </w:r>
      <w:proofErr w:type="gramStart"/>
      <w:r w:rsidRPr="00686E9D">
        <w:rPr>
          <w:strike/>
          <w:lang w:val="en-IE"/>
        </w:rPr>
        <w:t>a number of</w:t>
      </w:r>
      <w:proofErr w:type="gramEnd"/>
      <w:r w:rsidRPr="00686E9D">
        <w:rPr>
          <w:strike/>
          <w:lang w:val="en-IE"/>
        </w:rPr>
        <w:t xml:space="preserve"> animal species and human</w:t>
      </w:r>
      <w:r w:rsidR="00DB4FD4" w:rsidRPr="00686E9D">
        <w:rPr>
          <w:lang w:val="en-IE"/>
        </w:rPr>
        <w:t>.</w:t>
      </w:r>
      <w:r w:rsidRPr="00686E9D">
        <w:rPr>
          <w:lang w:val="en-IE"/>
        </w:rPr>
        <w:t xml:space="preserve"> </w:t>
      </w:r>
      <w:r w:rsidR="00C14ABA" w:rsidRPr="004A1E39">
        <w:rPr>
          <w:highlight w:val="yellow"/>
          <w:u w:val="double"/>
          <w:lang w:val="en-IE"/>
        </w:rPr>
        <w:t xml:space="preserve">The first reported outbreak of </w:t>
      </w:r>
      <w:proofErr w:type="spellStart"/>
      <w:r w:rsidR="00C14ABA" w:rsidRPr="004A1E39">
        <w:rPr>
          <w:highlight w:val="yellow"/>
          <w:u w:val="double"/>
          <w:lang w:val="en-IE"/>
        </w:rPr>
        <w:t>HeV</w:t>
      </w:r>
      <w:proofErr w:type="spellEnd"/>
      <w:r w:rsidR="00C14ABA" w:rsidRPr="004A1E39">
        <w:rPr>
          <w:highlight w:val="yellow"/>
          <w:u w:val="double"/>
          <w:lang w:val="en-IE"/>
        </w:rPr>
        <w:t xml:space="preserve"> occurred in Brisbane</w:t>
      </w:r>
      <w:r w:rsidR="00EC6E04" w:rsidRPr="004A1E39">
        <w:rPr>
          <w:highlight w:val="yellow"/>
          <w:u w:val="double"/>
          <w:lang w:val="en-IE"/>
        </w:rPr>
        <w:t>, Australia</w:t>
      </w:r>
      <w:r w:rsidR="00EC6E04">
        <w:rPr>
          <w:lang w:val="en-IE"/>
        </w:rPr>
        <w:t xml:space="preserve"> i</w:t>
      </w:r>
      <w:r w:rsidRPr="00686E9D">
        <w:rPr>
          <w:lang w:val="en-IE"/>
        </w:rPr>
        <w:t>n 1994</w:t>
      </w:r>
      <w:r w:rsidR="00EC6E04">
        <w:rPr>
          <w:lang w:val="en-IE"/>
        </w:rPr>
        <w:t>.</w:t>
      </w:r>
      <w:r w:rsidRPr="00686E9D">
        <w:rPr>
          <w:lang w:val="en-IE"/>
        </w:rPr>
        <w:t xml:space="preserve"> </w:t>
      </w:r>
      <w:r w:rsidR="00EC6E04" w:rsidRPr="004A1E39">
        <w:rPr>
          <w:highlight w:val="yellow"/>
          <w:u w:val="double"/>
          <w:lang w:val="en-IE"/>
        </w:rPr>
        <w:t>In this case</w:t>
      </w:r>
      <w:r w:rsidR="00EC6E04">
        <w:rPr>
          <w:lang w:val="en-IE"/>
        </w:rPr>
        <w:t xml:space="preserve"> </w:t>
      </w:r>
      <w:proofErr w:type="spellStart"/>
      <w:r w:rsidRPr="00686E9D">
        <w:rPr>
          <w:lang w:val="en-IE"/>
        </w:rPr>
        <w:t>HeV</w:t>
      </w:r>
      <w:proofErr w:type="spellEnd"/>
      <w:r w:rsidRPr="00686E9D">
        <w:rPr>
          <w:lang w:val="en-IE"/>
        </w:rPr>
        <w:t xml:space="preserve"> caused severe respiratory disease and the death of 13</w:t>
      </w:r>
      <w:r w:rsidR="0096677B" w:rsidRPr="00686E9D">
        <w:rPr>
          <w:lang w:val="en-IE"/>
        </w:rPr>
        <w:t> </w:t>
      </w:r>
      <w:r w:rsidRPr="00686E9D">
        <w:rPr>
          <w:lang w:val="en-IE"/>
        </w:rPr>
        <w:t xml:space="preserve">horses and a horse trainer </w:t>
      </w:r>
      <w:r w:rsidRPr="002509E1">
        <w:rPr>
          <w:lang w:val="en-IE"/>
        </w:rPr>
        <w:t>at a stable</w:t>
      </w:r>
      <w:r w:rsidRPr="00686E9D">
        <w:rPr>
          <w:strike/>
          <w:lang w:val="en-IE"/>
        </w:rPr>
        <w:t xml:space="preserve"> </w:t>
      </w:r>
      <w:r w:rsidRPr="004A1E39">
        <w:rPr>
          <w:strike/>
          <w:highlight w:val="yellow"/>
          <w:lang w:val="en-IE"/>
        </w:rPr>
        <w:t>in Brisbane, Australia</w:t>
      </w:r>
      <w:r w:rsidRPr="00686E9D">
        <w:rPr>
          <w:lang w:val="en-IE"/>
        </w:rPr>
        <w:t xml:space="preserve">. </w:t>
      </w:r>
      <w:proofErr w:type="spellStart"/>
      <w:r w:rsidRPr="00686E9D">
        <w:rPr>
          <w:lang w:val="en-IE"/>
        </w:rPr>
        <w:t>NiV</w:t>
      </w:r>
      <w:proofErr w:type="spellEnd"/>
      <w:r w:rsidRPr="00686E9D">
        <w:rPr>
          <w:lang w:val="en-IE"/>
        </w:rPr>
        <w:t xml:space="preserve"> appeared in the human population between September 1998 and April 1999 in Malaysia as the cause of fatal acute encephalitis, after spreading primarily</w:t>
      </w:r>
      <w:r w:rsidR="00193036" w:rsidRPr="00686E9D">
        <w:rPr>
          <w:lang w:val="en-IE"/>
        </w:rPr>
        <w:t xml:space="preserve"> as </w:t>
      </w:r>
      <w:r w:rsidRPr="00686E9D">
        <w:rPr>
          <w:lang w:val="en-IE"/>
        </w:rPr>
        <w:t xml:space="preserve">a </w:t>
      </w:r>
      <w:r w:rsidRPr="00686E9D">
        <w:rPr>
          <w:strike/>
          <w:lang w:val="en-IE"/>
        </w:rPr>
        <w:t xml:space="preserve">severe </w:t>
      </w:r>
      <w:r w:rsidRPr="00686E9D">
        <w:rPr>
          <w:lang w:val="en-IE"/>
        </w:rPr>
        <w:t>respiratory disease</w:t>
      </w:r>
      <w:r w:rsidR="00193036" w:rsidRPr="00686E9D">
        <w:rPr>
          <w:lang w:val="en-IE"/>
        </w:rPr>
        <w:t xml:space="preserve"> of unknown aetiology</w:t>
      </w:r>
      <w:r w:rsidRPr="00686E9D">
        <w:rPr>
          <w:lang w:val="en-IE"/>
        </w:rPr>
        <w:t xml:space="preserve"> in </w:t>
      </w:r>
      <w:r w:rsidR="00193036" w:rsidRPr="00686E9D">
        <w:rPr>
          <w:lang w:val="en-IE"/>
        </w:rPr>
        <w:t xml:space="preserve">the </w:t>
      </w:r>
      <w:r w:rsidRPr="00686E9D">
        <w:rPr>
          <w:lang w:val="en-IE"/>
        </w:rPr>
        <w:t xml:space="preserve">pig population. </w:t>
      </w:r>
      <w:r w:rsidRPr="00686E9D">
        <w:rPr>
          <w:strike/>
          <w:lang w:val="en-IE"/>
        </w:rPr>
        <w:t xml:space="preserve">Over one million pigs were culled to stop spread of the disease. </w:t>
      </w:r>
      <w:proofErr w:type="spellStart"/>
      <w:r w:rsidRPr="00686E9D">
        <w:rPr>
          <w:lang w:val="en-IE"/>
        </w:rPr>
        <w:t>HeV</w:t>
      </w:r>
      <w:proofErr w:type="spellEnd"/>
      <w:r w:rsidRPr="00686E9D">
        <w:rPr>
          <w:lang w:val="en-IE"/>
        </w:rPr>
        <w:t xml:space="preserve"> has caused the death of four of seven infected people </w:t>
      </w:r>
      <w:r w:rsidR="00081824" w:rsidRPr="00686E9D">
        <w:rPr>
          <w:lang w:val="en-IE"/>
        </w:rPr>
        <w:t xml:space="preserve">in Australia </w:t>
      </w:r>
      <w:r w:rsidRPr="00686E9D">
        <w:rPr>
          <w:lang w:val="en-IE"/>
        </w:rPr>
        <w:t xml:space="preserve">while it has been reported that there have been </w:t>
      </w:r>
      <w:r w:rsidR="0081027A" w:rsidRPr="0081027A">
        <w:rPr>
          <w:highlight w:val="yellow"/>
          <w:u w:val="double"/>
          <w:lang w:val="en-IE"/>
        </w:rPr>
        <w:t>more than</w:t>
      </w:r>
      <w:r w:rsidR="0081027A" w:rsidRPr="0081027A">
        <w:rPr>
          <w:strike/>
          <w:highlight w:val="yellow"/>
          <w:lang w:val="en-IE"/>
        </w:rPr>
        <w:t xml:space="preserve"> </w:t>
      </w:r>
      <w:r w:rsidR="007A570A" w:rsidRPr="0081027A">
        <w:rPr>
          <w:strike/>
          <w:highlight w:val="yellow"/>
          <w:lang w:val="en-IE"/>
        </w:rPr>
        <w:t>&gt;</w:t>
      </w:r>
      <w:r w:rsidR="00AE75AE" w:rsidRPr="00686E9D">
        <w:rPr>
          <w:u w:val="double"/>
          <w:lang w:val="en-IE"/>
        </w:rPr>
        <w:t> </w:t>
      </w:r>
      <w:r w:rsidR="002D1E5B" w:rsidRPr="00686E9D">
        <w:rPr>
          <w:u w:val="double"/>
          <w:lang w:val="en-IE"/>
        </w:rPr>
        <w:t>600</w:t>
      </w:r>
      <w:r w:rsidR="00DB4FD4" w:rsidRPr="00686E9D">
        <w:rPr>
          <w:lang w:val="en-IE"/>
        </w:rPr>
        <w:t xml:space="preserve"> </w:t>
      </w:r>
      <w:r w:rsidRPr="00686E9D">
        <w:rPr>
          <w:strike/>
          <w:lang w:val="en-IE"/>
        </w:rPr>
        <w:t xml:space="preserve">585 </w:t>
      </w:r>
      <w:r w:rsidRPr="00686E9D">
        <w:rPr>
          <w:lang w:val="en-IE"/>
        </w:rPr>
        <w:t xml:space="preserve">cases of </w:t>
      </w:r>
      <w:proofErr w:type="spellStart"/>
      <w:r w:rsidRPr="00686E9D">
        <w:rPr>
          <w:lang w:val="en-IE"/>
        </w:rPr>
        <w:t>NiV</w:t>
      </w:r>
      <w:proofErr w:type="spellEnd"/>
      <w:r w:rsidRPr="00686E9D">
        <w:rPr>
          <w:lang w:val="en-IE"/>
        </w:rPr>
        <w:t xml:space="preserve"> in humans, with </w:t>
      </w:r>
      <w:r w:rsidR="0081027A" w:rsidRPr="0081027A">
        <w:rPr>
          <w:highlight w:val="yellow"/>
          <w:u w:val="double"/>
          <w:lang w:val="en-IE"/>
        </w:rPr>
        <w:t>more than</w:t>
      </w:r>
      <w:r w:rsidR="0081027A" w:rsidRPr="0081027A">
        <w:rPr>
          <w:strike/>
          <w:highlight w:val="yellow"/>
          <w:lang w:val="en-IE"/>
        </w:rPr>
        <w:t xml:space="preserve"> &gt;</w:t>
      </w:r>
      <w:r w:rsidR="0081027A" w:rsidRPr="00686E9D">
        <w:rPr>
          <w:u w:val="double"/>
          <w:lang w:val="en-IE"/>
        </w:rPr>
        <w:t> </w:t>
      </w:r>
      <w:r w:rsidR="007A570A" w:rsidRPr="00686E9D">
        <w:rPr>
          <w:u w:val="double"/>
          <w:lang w:val="en-IE"/>
        </w:rPr>
        <w:t>400</w:t>
      </w:r>
      <w:r w:rsidR="00DB4FD4" w:rsidRPr="00686E9D">
        <w:rPr>
          <w:strike/>
          <w:lang w:val="en-IE"/>
        </w:rPr>
        <w:t xml:space="preserve"> </w:t>
      </w:r>
      <w:r w:rsidRPr="00686E9D">
        <w:rPr>
          <w:strike/>
          <w:lang w:val="en-IE"/>
        </w:rPr>
        <w:t>approximately 300</w:t>
      </w:r>
      <w:r w:rsidRPr="00686E9D">
        <w:rPr>
          <w:lang w:val="en-IE"/>
        </w:rPr>
        <w:t xml:space="preserve"> deaths, in </w:t>
      </w:r>
      <w:r w:rsidR="008F1305" w:rsidRPr="00686E9D">
        <w:rPr>
          <w:lang w:val="en-IE"/>
        </w:rPr>
        <w:t xml:space="preserve">Bangladesh, India, </w:t>
      </w:r>
      <w:r w:rsidRPr="00686E9D">
        <w:rPr>
          <w:lang w:val="en-IE"/>
        </w:rPr>
        <w:t xml:space="preserve">Malaysia, </w:t>
      </w:r>
      <w:r w:rsidR="002D1E5B" w:rsidRPr="00686E9D">
        <w:rPr>
          <w:u w:val="double"/>
          <w:lang w:val="en-IE"/>
        </w:rPr>
        <w:t>Philippines</w:t>
      </w:r>
      <w:r w:rsidRPr="00686E9D">
        <w:rPr>
          <w:lang w:val="en-IE"/>
        </w:rPr>
        <w:t xml:space="preserve"> and</w:t>
      </w:r>
      <w:r w:rsidR="008F1305" w:rsidRPr="00686E9D">
        <w:rPr>
          <w:lang w:val="en-IE"/>
        </w:rPr>
        <w:t xml:space="preserve"> Singapore</w:t>
      </w:r>
      <w:r w:rsidRPr="00686E9D">
        <w:rPr>
          <w:lang w:val="en-IE"/>
        </w:rPr>
        <w:t xml:space="preserve">. </w:t>
      </w:r>
      <w:r w:rsidR="00081824" w:rsidRPr="00686E9D">
        <w:rPr>
          <w:strike/>
          <w:lang w:val="en-IE"/>
        </w:rPr>
        <w:t xml:space="preserve">Most recently fatal </w:t>
      </w:r>
      <w:proofErr w:type="spellStart"/>
      <w:r w:rsidR="00081824" w:rsidRPr="00686E9D">
        <w:rPr>
          <w:strike/>
          <w:lang w:val="en-IE"/>
        </w:rPr>
        <w:t>NiV</w:t>
      </w:r>
      <w:proofErr w:type="spellEnd"/>
      <w:r w:rsidR="00081824" w:rsidRPr="00686E9D">
        <w:rPr>
          <w:strike/>
          <w:lang w:val="en-IE"/>
        </w:rPr>
        <w:t xml:space="preserve"> encephalitis has been reported in the Philippines, where 9 of 17 human cases died. </w:t>
      </w:r>
      <w:r w:rsidRPr="00686E9D">
        <w:rPr>
          <w:lang w:val="en-IE"/>
        </w:rPr>
        <w:t xml:space="preserve">Fruit bats </w:t>
      </w:r>
      <w:r w:rsidRPr="00686E9D">
        <w:rPr>
          <w:i w:val="0"/>
          <w:iCs w:val="0"/>
          <w:lang w:val="en-IE"/>
        </w:rPr>
        <w:t>(</w:t>
      </w:r>
      <w:proofErr w:type="gramStart"/>
      <w:r w:rsidRPr="00686E9D">
        <w:rPr>
          <w:lang w:val="en-IE"/>
        </w:rPr>
        <w:t>flying</w:t>
      </w:r>
      <w:r w:rsidR="00D12A45">
        <w:rPr>
          <w:lang w:val="en-IE"/>
        </w:rPr>
        <w:t>-</w:t>
      </w:r>
      <w:r w:rsidRPr="00686E9D">
        <w:rPr>
          <w:lang w:val="en-IE"/>
        </w:rPr>
        <w:t>foxes</w:t>
      </w:r>
      <w:proofErr w:type="gramEnd"/>
      <w:r w:rsidRPr="00686E9D">
        <w:rPr>
          <w:i w:val="0"/>
          <w:iCs w:val="0"/>
          <w:lang w:val="en-IE"/>
        </w:rPr>
        <w:t>)</w:t>
      </w:r>
      <w:r w:rsidRPr="00686E9D">
        <w:rPr>
          <w:lang w:val="en-IE"/>
        </w:rPr>
        <w:t xml:space="preserve"> in the genus </w:t>
      </w:r>
      <w:proofErr w:type="spellStart"/>
      <w:r w:rsidR="00350017" w:rsidRPr="00686E9D">
        <w:rPr>
          <w:i w:val="0"/>
          <w:lang w:val="en-IE"/>
        </w:rPr>
        <w:t>Pteropus</w:t>
      </w:r>
      <w:proofErr w:type="spellEnd"/>
      <w:r w:rsidRPr="00686E9D">
        <w:rPr>
          <w:lang w:val="en-IE"/>
        </w:rPr>
        <w:t xml:space="preserve"> are </w:t>
      </w:r>
      <w:r w:rsidR="00E461F1" w:rsidRPr="00FE2714">
        <w:rPr>
          <w:highlight w:val="yellow"/>
          <w:u w:val="double"/>
          <w:lang w:val="en-IE"/>
        </w:rPr>
        <w:t>reservoir</w:t>
      </w:r>
      <w:r w:rsidR="00E461F1" w:rsidRPr="00FE2714">
        <w:rPr>
          <w:highlight w:val="yellow"/>
          <w:lang w:val="en-IE"/>
        </w:rPr>
        <w:t xml:space="preserve"> </w:t>
      </w:r>
      <w:r w:rsidRPr="00FE2714">
        <w:rPr>
          <w:strike/>
          <w:highlight w:val="yellow"/>
          <w:lang w:val="en-IE"/>
        </w:rPr>
        <w:t>natural</w:t>
      </w:r>
      <w:r w:rsidRPr="004A1E39">
        <w:rPr>
          <w:strike/>
          <w:lang w:val="en-IE"/>
        </w:rPr>
        <w:t xml:space="preserve"> </w:t>
      </w:r>
      <w:r w:rsidRPr="00686E9D">
        <w:rPr>
          <w:lang w:val="en-IE"/>
        </w:rPr>
        <w:t xml:space="preserve">hosts of both viruses. </w:t>
      </w:r>
    </w:p>
    <w:p w14:paraId="715913F6" w14:textId="1C516C21" w:rsidR="00682ECF" w:rsidRPr="00686E9D" w:rsidRDefault="00964ED2">
      <w:pPr>
        <w:pStyle w:val="sumtexte"/>
        <w:rPr>
          <w:lang w:val="en-IE"/>
        </w:rPr>
      </w:pPr>
      <w:proofErr w:type="spellStart"/>
      <w:r w:rsidRPr="00686E9D">
        <w:rPr>
          <w:lang w:val="en-IE"/>
        </w:rPr>
        <w:t>HeV</w:t>
      </w:r>
      <w:proofErr w:type="spellEnd"/>
      <w:r w:rsidRPr="00686E9D">
        <w:rPr>
          <w:lang w:val="en-IE"/>
        </w:rPr>
        <w:t xml:space="preserve"> infection of </w:t>
      </w:r>
      <w:r w:rsidRPr="00910B61">
        <w:rPr>
          <w:lang w:val="en-IE"/>
        </w:rPr>
        <w:t xml:space="preserve">horses </w:t>
      </w:r>
      <w:r w:rsidR="00910B61" w:rsidRPr="004A1E39">
        <w:rPr>
          <w:highlight w:val="yellow"/>
          <w:u w:val="double"/>
          <w:lang w:val="en-IE"/>
        </w:rPr>
        <w:t>does not have a pathognomonic presentation. Horses may present with respiratory, neurological or non-specific clinical signs. Respiratory signs include tachypnoea or frothy nasal discharge. Neurological signs include ataxia, head tilt, circling, seizures, depression or recumbency. Non-specific signs include high fever, tachycardia, inappetence or colic</w:t>
      </w:r>
      <w:r w:rsidR="004A1E39" w:rsidRPr="004A1E39">
        <w:rPr>
          <w:strike/>
          <w:lang w:val="en-IE"/>
        </w:rPr>
        <w:t xml:space="preserve"> </w:t>
      </w:r>
      <w:r w:rsidRPr="004A1E39">
        <w:rPr>
          <w:strike/>
          <w:lang w:val="en-IE"/>
        </w:rPr>
        <w:t>is characterised by</w:t>
      </w:r>
      <w:r w:rsidR="00DB4FD4" w:rsidRPr="004A1E39">
        <w:rPr>
          <w:strike/>
          <w:lang w:val="en-IE"/>
        </w:rPr>
        <w:t xml:space="preserve"> </w:t>
      </w:r>
      <w:r w:rsidRPr="004A1E39">
        <w:rPr>
          <w:strike/>
          <w:highlight w:val="yellow"/>
          <w:lang w:val="en-IE"/>
        </w:rPr>
        <w:t>high fevers, facial swelling, severe respiratory difficulty and</w:t>
      </w:r>
      <w:r w:rsidR="002D1E5B" w:rsidRPr="004A1E39">
        <w:rPr>
          <w:strike/>
          <w:highlight w:val="yellow"/>
          <w:lang w:val="en-IE"/>
        </w:rPr>
        <w:t xml:space="preserve"> ataxia</w:t>
      </w:r>
      <w:r w:rsidRPr="004A1E39">
        <w:rPr>
          <w:strike/>
          <w:lang w:val="en-IE"/>
        </w:rPr>
        <w:t>, terminally, copious frothy nasal discharge. Ataxia and myoclonus may also be seen</w:t>
      </w:r>
      <w:r w:rsidR="00DB4FD4" w:rsidRPr="004A1E39">
        <w:rPr>
          <w:strike/>
          <w:highlight w:val="yellow"/>
          <w:lang w:val="en-IE"/>
        </w:rPr>
        <w:t>.</w:t>
      </w:r>
      <w:r w:rsidRPr="004A1E39">
        <w:rPr>
          <w:strike/>
          <w:highlight w:val="yellow"/>
          <w:lang w:val="en-IE"/>
        </w:rPr>
        <w:t xml:space="preserve"> Some horses display neurological signs while others have presented with colic-like signs.</w:t>
      </w:r>
      <w:r w:rsidRPr="004A1E39">
        <w:rPr>
          <w:strike/>
          <w:lang w:val="en-IE"/>
        </w:rPr>
        <w:t xml:space="preserve"> The</w:t>
      </w:r>
      <w:r w:rsidRPr="00686E9D">
        <w:rPr>
          <w:strike/>
          <w:lang w:val="en-IE"/>
        </w:rPr>
        <w:t xml:space="preserve"> most common post-mortem observations are dilated pulmonary lymphatic vessels, severe pulmonary oedema and congestion. The underlying lesion is generalised degeneration of small blood vessels in a range of organs. Syncytial endothelial cells containing viral antigen are common in capillaries and arterioles</w:t>
      </w:r>
      <w:r w:rsidRPr="004A1E39">
        <w:rPr>
          <w:lang w:val="en-IE"/>
        </w:rPr>
        <w:t xml:space="preserve">. </w:t>
      </w:r>
      <w:proofErr w:type="spellStart"/>
      <w:r w:rsidRPr="00686E9D">
        <w:rPr>
          <w:lang w:val="en-IE"/>
        </w:rPr>
        <w:t>HeV</w:t>
      </w:r>
      <w:proofErr w:type="spellEnd"/>
      <w:r w:rsidRPr="00686E9D">
        <w:rPr>
          <w:lang w:val="en-IE"/>
        </w:rPr>
        <w:t xml:space="preserve"> infection of horses is not uniformly fata</w:t>
      </w:r>
      <w:r w:rsidR="00D5582E" w:rsidRPr="00686E9D">
        <w:rPr>
          <w:lang w:val="en-IE"/>
        </w:rPr>
        <w:t>l</w:t>
      </w:r>
      <w:r w:rsidR="001E7BE3" w:rsidRPr="00686E9D">
        <w:rPr>
          <w:u w:val="double"/>
          <w:lang w:val="en-IE"/>
        </w:rPr>
        <w:t>, nor</w:t>
      </w:r>
      <w:r w:rsidRPr="00686E9D">
        <w:rPr>
          <w:lang w:val="en-IE"/>
        </w:rPr>
        <w:t xml:space="preserve"> </w:t>
      </w:r>
      <w:r w:rsidRPr="00686E9D">
        <w:rPr>
          <w:strike/>
          <w:lang w:val="en-IE"/>
        </w:rPr>
        <w:t xml:space="preserve">and some horses manifesting clinical signs survive infection. </w:t>
      </w:r>
      <w:proofErr w:type="spellStart"/>
      <w:r w:rsidRPr="00686E9D">
        <w:rPr>
          <w:strike/>
          <w:lang w:val="en-IE"/>
        </w:rPr>
        <w:t>HeV</w:t>
      </w:r>
      <w:proofErr w:type="spellEnd"/>
      <w:r w:rsidRPr="00686E9D">
        <w:rPr>
          <w:strike/>
          <w:lang w:val="en-IE"/>
        </w:rPr>
        <w:t xml:space="preserve"> </w:t>
      </w:r>
      <w:r w:rsidRPr="00686E9D">
        <w:rPr>
          <w:lang w:val="en-IE"/>
        </w:rPr>
        <w:t>does</w:t>
      </w:r>
      <w:r w:rsidR="001E7BE3" w:rsidRPr="00686E9D">
        <w:rPr>
          <w:lang w:val="en-IE"/>
        </w:rPr>
        <w:t xml:space="preserve"> </w:t>
      </w:r>
      <w:r w:rsidR="001E7BE3" w:rsidRPr="00686E9D">
        <w:rPr>
          <w:u w:val="double"/>
          <w:lang w:val="en-IE"/>
        </w:rPr>
        <w:t>it</w:t>
      </w:r>
      <w:r w:rsidRPr="00686E9D">
        <w:rPr>
          <w:strike/>
          <w:lang w:val="en-IE"/>
        </w:rPr>
        <w:t xml:space="preserve"> not</w:t>
      </w:r>
      <w:r w:rsidRPr="00686E9D">
        <w:rPr>
          <w:lang w:val="en-IE"/>
        </w:rPr>
        <w:t xml:space="preserve"> appear to be highly contagious among horses</w:t>
      </w:r>
      <w:r w:rsidR="00355978" w:rsidRPr="004A1E39">
        <w:rPr>
          <w:highlight w:val="yellow"/>
          <w:u w:val="double"/>
          <w:lang w:val="en-IE"/>
        </w:rPr>
        <w:t>.</w:t>
      </w:r>
      <w:r w:rsidRPr="004A1E39">
        <w:rPr>
          <w:strike/>
          <w:highlight w:val="yellow"/>
          <w:lang w:val="en-IE"/>
        </w:rPr>
        <w:t>,</w:t>
      </w:r>
      <w:r w:rsidRPr="00686E9D">
        <w:rPr>
          <w:lang w:val="en-IE"/>
        </w:rPr>
        <w:t xml:space="preserve"> </w:t>
      </w:r>
      <w:r w:rsidRPr="00686E9D">
        <w:rPr>
          <w:strike/>
          <w:lang w:val="en-IE"/>
        </w:rPr>
        <w:t xml:space="preserve">and </w:t>
      </w:r>
      <w:r w:rsidR="00830F65">
        <w:rPr>
          <w:lang w:val="en-IE"/>
        </w:rPr>
        <w:t>C</w:t>
      </w:r>
      <w:r w:rsidRPr="00686E9D">
        <w:rPr>
          <w:lang w:val="en-IE"/>
        </w:rPr>
        <w:t xml:space="preserve">lose contact </w:t>
      </w:r>
      <w:r w:rsidR="009A24E3" w:rsidRPr="004A1E39">
        <w:rPr>
          <w:highlight w:val="yellow"/>
          <w:u w:val="double"/>
          <w:lang w:val="en-IE"/>
        </w:rPr>
        <w:t>with infected flying</w:t>
      </w:r>
      <w:r w:rsidR="00D12A45">
        <w:rPr>
          <w:highlight w:val="yellow"/>
          <w:u w:val="double"/>
          <w:lang w:val="en-IE"/>
        </w:rPr>
        <w:t>-</w:t>
      </w:r>
      <w:r w:rsidR="009A24E3" w:rsidRPr="004A1E39">
        <w:rPr>
          <w:highlight w:val="yellow"/>
          <w:u w:val="double"/>
          <w:lang w:val="en-IE"/>
        </w:rPr>
        <w:t xml:space="preserve">fox </w:t>
      </w:r>
      <w:bookmarkStart w:id="0" w:name="_Hlk95812709"/>
      <w:r w:rsidR="009A24E3" w:rsidRPr="004A1E39">
        <w:rPr>
          <w:highlight w:val="yellow"/>
          <w:u w:val="double"/>
          <w:lang w:val="en-IE"/>
        </w:rPr>
        <w:t>urine, saliva or birth products</w:t>
      </w:r>
      <w:bookmarkEnd w:id="0"/>
      <w:r w:rsidR="009A24E3" w:rsidRPr="004A1E39">
        <w:rPr>
          <w:highlight w:val="yellow"/>
          <w:u w:val="double"/>
          <w:lang w:val="en-IE"/>
        </w:rPr>
        <w:t xml:space="preserve"> is</w:t>
      </w:r>
      <w:r w:rsidR="007B48C1">
        <w:rPr>
          <w:lang w:val="en-IE"/>
        </w:rPr>
        <w:t xml:space="preserve"> </w:t>
      </w:r>
      <w:r w:rsidRPr="00686E9D">
        <w:rPr>
          <w:strike/>
          <w:lang w:val="en-IE"/>
        </w:rPr>
        <w:t xml:space="preserve">seems to be </w:t>
      </w:r>
      <w:r w:rsidRPr="00686E9D">
        <w:rPr>
          <w:lang w:val="en-IE"/>
        </w:rPr>
        <w:t>necessary for it</w:t>
      </w:r>
      <w:r w:rsidR="001E7BE3" w:rsidRPr="00686E9D">
        <w:rPr>
          <w:u w:val="double"/>
          <w:lang w:val="en-IE"/>
        </w:rPr>
        <w:t>s</w:t>
      </w:r>
      <w:r w:rsidRPr="00686E9D">
        <w:rPr>
          <w:strike/>
          <w:lang w:val="en-IE"/>
        </w:rPr>
        <w:t xml:space="preserve"> to </w:t>
      </w:r>
      <w:r w:rsidRPr="004A1E39">
        <w:rPr>
          <w:strike/>
          <w:highlight w:val="yellow"/>
          <w:lang w:val="en-IE"/>
        </w:rPr>
        <w:t>spread</w:t>
      </w:r>
      <w:r w:rsidR="004A1E39" w:rsidRPr="004A1E39">
        <w:rPr>
          <w:strike/>
          <w:highlight w:val="yellow"/>
          <w:lang w:val="en-IE"/>
        </w:rPr>
        <w:t xml:space="preserve"> </w:t>
      </w:r>
      <w:r w:rsidR="00D6209F" w:rsidRPr="004A1E39">
        <w:rPr>
          <w:highlight w:val="yellow"/>
          <w:u w:val="double"/>
          <w:lang w:val="en-IE"/>
        </w:rPr>
        <w:t>spill over</w:t>
      </w:r>
      <w:r w:rsidR="003F0107" w:rsidRPr="004A1E39">
        <w:rPr>
          <w:highlight w:val="yellow"/>
          <w:u w:val="double"/>
          <w:lang w:val="en-IE"/>
        </w:rPr>
        <w:t xml:space="preserve"> from flying</w:t>
      </w:r>
      <w:r w:rsidR="00D12A45">
        <w:rPr>
          <w:highlight w:val="yellow"/>
          <w:u w:val="double"/>
          <w:lang w:val="en-IE"/>
        </w:rPr>
        <w:t>-</w:t>
      </w:r>
      <w:r w:rsidR="003F0107" w:rsidRPr="004A1E39">
        <w:rPr>
          <w:highlight w:val="yellow"/>
          <w:u w:val="double"/>
          <w:lang w:val="en-IE"/>
        </w:rPr>
        <w:t>foxes to horses</w:t>
      </w:r>
      <w:r w:rsidRPr="00686E9D">
        <w:rPr>
          <w:lang w:val="en-IE"/>
        </w:rPr>
        <w:t>. Infected horses on pastures have rarely transmitted the virus</w:t>
      </w:r>
      <w:r w:rsidR="002D1E5B" w:rsidRPr="00686E9D">
        <w:rPr>
          <w:lang w:val="en-IE"/>
        </w:rPr>
        <w:t xml:space="preserve"> </w:t>
      </w:r>
      <w:r w:rsidR="002D1E5B" w:rsidRPr="00686E9D">
        <w:rPr>
          <w:u w:val="double"/>
          <w:lang w:val="en-IE"/>
        </w:rPr>
        <w:t>to other horses</w:t>
      </w:r>
      <w:r w:rsidRPr="00686E9D">
        <w:rPr>
          <w:lang w:val="en-IE"/>
        </w:rPr>
        <w:t xml:space="preserve">. </w:t>
      </w:r>
      <w:r w:rsidRPr="00686E9D">
        <w:rPr>
          <w:strike/>
          <w:lang w:val="en-IE"/>
        </w:rPr>
        <w:t xml:space="preserve">However, </w:t>
      </w:r>
      <w:r w:rsidR="001E7BE3" w:rsidRPr="00686E9D">
        <w:rPr>
          <w:lang w:val="en-IE"/>
        </w:rPr>
        <w:t>T</w:t>
      </w:r>
      <w:r w:rsidRPr="00686E9D">
        <w:rPr>
          <w:lang w:val="en-IE"/>
        </w:rPr>
        <w:t>ransmission appears to occur more readily in closed environments such as stables</w:t>
      </w:r>
      <w:r w:rsidR="002D1E5B" w:rsidRPr="00686E9D">
        <w:rPr>
          <w:lang w:val="en-IE"/>
        </w:rPr>
        <w:t xml:space="preserve"> </w:t>
      </w:r>
      <w:r w:rsidR="002D1E5B" w:rsidRPr="00686E9D">
        <w:rPr>
          <w:u w:val="double"/>
          <w:lang w:val="en-IE"/>
        </w:rPr>
        <w:t>and veterinary clinics</w:t>
      </w:r>
      <w:r w:rsidR="00E06808">
        <w:rPr>
          <w:u w:val="double"/>
          <w:lang w:val="en-IE"/>
        </w:rPr>
        <w:t xml:space="preserve"> </w:t>
      </w:r>
      <w:r w:rsidR="00E06808" w:rsidRPr="004A1E39">
        <w:rPr>
          <w:highlight w:val="yellow"/>
          <w:u w:val="double"/>
          <w:lang w:val="en-IE"/>
        </w:rPr>
        <w:t>and</w:t>
      </w:r>
      <w:r w:rsidR="006232DA" w:rsidRPr="004A1E39">
        <w:rPr>
          <w:highlight w:val="yellow"/>
          <w:u w:val="double"/>
          <w:lang w:val="en-IE"/>
        </w:rPr>
        <w:t xml:space="preserve"> is associated with </w:t>
      </w:r>
      <w:r w:rsidR="006773FA">
        <w:rPr>
          <w:highlight w:val="yellow"/>
          <w:u w:val="double"/>
          <w:lang w:val="en-IE"/>
        </w:rPr>
        <w:t xml:space="preserve">contact with </w:t>
      </w:r>
      <w:r w:rsidR="006232DA" w:rsidRPr="004A1E39">
        <w:rPr>
          <w:highlight w:val="yellow"/>
          <w:u w:val="double"/>
          <w:lang w:val="en-IE"/>
        </w:rPr>
        <w:t>bodily fluids from infected horses</w:t>
      </w:r>
      <w:r w:rsidRPr="00686E9D">
        <w:rPr>
          <w:lang w:val="en-IE"/>
        </w:rPr>
        <w:t>.</w:t>
      </w:r>
    </w:p>
    <w:p w14:paraId="015FB630" w14:textId="26B278E5" w:rsidR="00682ECF" w:rsidRPr="00686E9D" w:rsidRDefault="00964ED2">
      <w:pPr>
        <w:pStyle w:val="sumtexte"/>
        <w:rPr>
          <w:lang w:val="en-IE"/>
        </w:rPr>
      </w:pPr>
      <w:proofErr w:type="spellStart"/>
      <w:r w:rsidRPr="00686E9D">
        <w:rPr>
          <w:lang w:val="en-IE"/>
        </w:rPr>
        <w:t>NiV</w:t>
      </w:r>
      <w:proofErr w:type="spellEnd"/>
      <w:r w:rsidRPr="00686E9D">
        <w:rPr>
          <w:lang w:val="en-IE"/>
        </w:rPr>
        <w:t xml:space="preserve"> infection of pigs is highly contagious</w:t>
      </w:r>
      <w:r w:rsidR="002D1E5B" w:rsidRPr="00686E9D">
        <w:rPr>
          <w:lang w:val="en-IE"/>
        </w:rPr>
        <w:t xml:space="preserve"> </w:t>
      </w:r>
      <w:r w:rsidR="002D1E5B" w:rsidRPr="00686E9D">
        <w:rPr>
          <w:u w:val="double"/>
          <w:lang w:val="en-IE"/>
        </w:rPr>
        <w:t>and</w:t>
      </w:r>
      <w:r w:rsidRPr="00686E9D">
        <w:rPr>
          <w:strike/>
          <w:lang w:val="en-IE"/>
        </w:rPr>
        <w:t xml:space="preserve">, but it was not initially identified as a new disease because morbidity and mortality were not </w:t>
      </w:r>
      <w:proofErr w:type="gramStart"/>
      <w:r w:rsidRPr="00686E9D">
        <w:rPr>
          <w:strike/>
          <w:lang w:val="en-IE"/>
        </w:rPr>
        <w:t>marked</w:t>
      </w:r>
      <w:proofErr w:type="gramEnd"/>
      <w:r w:rsidRPr="00686E9D">
        <w:rPr>
          <w:strike/>
          <w:lang w:val="en-IE"/>
        </w:rPr>
        <w:t xml:space="preserve"> and clinical signs were not significantly different from other known pig diseases in Malaysia. Based on the observations made during the outbreak and during experimental infections, </w:t>
      </w:r>
      <w:proofErr w:type="spellStart"/>
      <w:r w:rsidRPr="00686E9D">
        <w:rPr>
          <w:strike/>
          <w:lang w:val="en-IE"/>
        </w:rPr>
        <w:t>NiV</w:t>
      </w:r>
      <w:proofErr w:type="spellEnd"/>
      <w:r w:rsidRPr="00686E9D">
        <w:rPr>
          <w:strike/>
          <w:lang w:val="en-IE"/>
        </w:rPr>
        <w:t xml:space="preserve"> infection of pigs is</w:t>
      </w:r>
      <w:r w:rsidRPr="00686E9D">
        <w:rPr>
          <w:lang w:val="en-IE"/>
        </w:rPr>
        <w:t xml:space="preserve"> characterised by fever with respiratory and </w:t>
      </w:r>
      <w:r w:rsidRPr="00686E9D">
        <w:rPr>
          <w:strike/>
          <w:lang w:val="en-IE"/>
        </w:rPr>
        <w:t xml:space="preserve">often </w:t>
      </w:r>
      <w:r w:rsidR="00EB3039" w:rsidRPr="00686E9D">
        <w:rPr>
          <w:u w:val="double"/>
          <w:lang w:val="en-IE"/>
        </w:rPr>
        <w:t>sometimes</w:t>
      </w:r>
      <w:r w:rsidR="00EB3039" w:rsidRPr="00686E9D">
        <w:rPr>
          <w:lang w:val="en-IE"/>
        </w:rPr>
        <w:t xml:space="preserve"> </w:t>
      </w:r>
      <w:r w:rsidRPr="00686E9D">
        <w:rPr>
          <w:lang w:val="en-IE"/>
        </w:rPr>
        <w:t xml:space="preserve">neurological involvement, but many infections are subclinical. Some infected </w:t>
      </w:r>
      <w:proofErr w:type="gramStart"/>
      <w:r w:rsidRPr="00686E9D">
        <w:rPr>
          <w:strike/>
          <w:lang w:val="en-IE"/>
        </w:rPr>
        <w:t>animals</w:t>
      </w:r>
      <w:proofErr w:type="gramEnd"/>
      <w:r w:rsidRPr="00686E9D">
        <w:rPr>
          <w:strike/>
          <w:lang w:val="en-IE"/>
        </w:rPr>
        <w:t xml:space="preserve"> </w:t>
      </w:r>
      <w:r w:rsidR="00EB3039" w:rsidRPr="00686E9D">
        <w:rPr>
          <w:lang w:val="en-IE"/>
        </w:rPr>
        <w:t xml:space="preserve">pigs </w:t>
      </w:r>
      <w:r w:rsidRPr="00686E9D">
        <w:rPr>
          <w:lang w:val="en-IE"/>
        </w:rPr>
        <w:t xml:space="preserve">display an unusual loud barking cough. Abortion </w:t>
      </w:r>
      <w:proofErr w:type="gramStart"/>
      <w:r w:rsidR="002D1E5B" w:rsidRPr="00686E9D">
        <w:rPr>
          <w:u w:val="double"/>
          <w:lang w:val="en-IE"/>
        </w:rPr>
        <w:t xml:space="preserve">has </w:t>
      </w:r>
      <w:r w:rsidR="00EB3039" w:rsidRPr="00686E9D">
        <w:rPr>
          <w:u w:val="double"/>
          <w:lang w:val="en-IE"/>
        </w:rPr>
        <w:t xml:space="preserve">also </w:t>
      </w:r>
      <w:r w:rsidR="002D1E5B" w:rsidRPr="00686E9D">
        <w:rPr>
          <w:u w:val="double"/>
          <w:lang w:val="en-IE"/>
        </w:rPr>
        <w:t>been</w:t>
      </w:r>
      <w:r w:rsidR="00824A54" w:rsidRPr="00686E9D">
        <w:rPr>
          <w:lang w:val="en-IE"/>
        </w:rPr>
        <w:t xml:space="preserve"> </w:t>
      </w:r>
      <w:r w:rsidR="002A680B" w:rsidRPr="00686E9D">
        <w:rPr>
          <w:strike/>
          <w:lang w:val="en-IE"/>
        </w:rPr>
        <w:t>was</w:t>
      </w:r>
      <w:proofErr w:type="gramEnd"/>
      <w:r w:rsidR="002A680B" w:rsidRPr="00686E9D">
        <w:rPr>
          <w:strike/>
          <w:lang w:val="en-IE"/>
        </w:rPr>
        <w:t xml:space="preserve"> </w:t>
      </w:r>
      <w:r w:rsidRPr="00686E9D">
        <w:rPr>
          <w:lang w:val="en-IE"/>
        </w:rPr>
        <w:t>reported</w:t>
      </w:r>
      <w:r w:rsidRPr="00686E9D">
        <w:rPr>
          <w:strike/>
          <w:lang w:val="en-IE"/>
        </w:rPr>
        <w:t xml:space="preserve"> in </w:t>
      </w:r>
      <w:proofErr w:type="spellStart"/>
      <w:r w:rsidRPr="00686E9D">
        <w:rPr>
          <w:strike/>
          <w:lang w:val="en-IE"/>
        </w:rPr>
        <w:t>sows</w:t>
      </w:r>
      <w:r w:rsidR="00824A54" w:rsidRPr="00686E9D">
        <w:rPr>
          <w:lang w:val="en-IE"/>
        </w:rPr>
        <w:t>.</w:t>
      </w:r>
      <w:proofErr w:type="spellEnd"/>
      <w:r w:rsidRPr="00686E9D">
        <w:rPr>
          <w:strike/>
          <w:lang w:val="en-IE"/>
        </w:rPr>
        <w:t xml:space="preserve"> Sows and boars sometimes died </w:t>
      </w:r>
      <w:proofErr w:type="spellStart"/>
      <w:r w:rsidRPr="00686E9D">
        <w:rPr>
          <w:strike/>
          <w:lang w:val="en-IE"/>
        </w:rPr>
        <w:t>peracutely</w:t>
      </w:r>
      <w:proofErr w:type="spellEnd"/>
      <w:r w:rsidRPr="00686E9D">
        <w:rPr>
          <w:strike/>
          <w:lang w:val="en-IE"/>
        </w:rPr>
        <w:t xml:space="preserve">. Immunohistochemical lesions are found in either or both the respiratory system </w:t>
      </w:r>
      <w:r w:rsidRPr="00686E9D">
        <w:rPr>
          <w:i w:val="0"/>
          <w:iCs w:val="0"/>
          <w:strike/>
          <w:lang w:val="en-IE"/>
        </w:rPr>
        <w:t>(</w:t>
      </w:r>
      <w:r w:rsidRPr="00686E9D">
        <w:rPr>
          <w:strike/>
          <w:lang w:val="en-IE"/>
        </w:rPr>
        <w:t>tracheitis and bronchial and interstitial pneumonia</w:t>
      </w:r>
      <w:r w:rsidRPr="00686E9D">
        <w:rPr>
          <w:i w:val="0"/>
          <w:iCs w:val="0"/>
          <w:strike/>
          <w:lang w:val="en-IE"/>
        </w:rPr>
        <w:t>)</w:t>
      </w:r>
      <w:r w:rsidRPr="00686E9D">
        <w:rPr>
          <w:strike/>
          <w:lang w:val="en-IE"/>
        </w:rPr>
        <w:t xml:space="preserve"> and the brain </w:t>
      </w:r>
      <w:r w:rsidRPr="00686E9D">
        <w:rPr>
          <w:i w:val="0"/>
          <w:iCs w:val="0"/>
          <w:strike/>
          <w:lang w:val="en-IE"/>
        </w:rPr>
        <w:t>(</w:t>
      </w:r>
      <w:r w:rsidRPr="00686E9D">
        <w:rPr>
          <w:strike/>
          <w:lang w:val="en-IE"/>
        </w:rPr>
        <w:t>meningitis</w:t>
      </w:r>
      <w:r w:rsidRPr="00686E9D">
        <w:rPr>
          <w:i w:val="0"/>
          <w:iCs w:val="0"/>
          <w:strike/>
          <w:lang w:val="en-IE"/>
        </w:rPr>
        <w:t>)</w:t>
      </w:r>
      <w:r w:rsidRPr="00686E9D">
        <w:rPr>
          <w:strike/>
          <w:lang w:val="en-IE"/>
        </w:rPr>
        <w:t xml:space="preserve"> of infected animals. Syncytial cells containing viral antigen are seen in small blood vessels, lymphatic vessels and the respiratory epithelium</w:t>
      </w:r>
      <w:r w:rsidR="00824A54" w:rsidRPr="00686E9D">
        <w:rPr>
          <w:strike/>
          <w:lang w:val="en-IE"/>
        </w:rPr>
        <w:t>.</w:t>
      </w:r>
    </w:p>
    <w:p w14:paraId="4FDCFF9E" w14:textId="6DF6F5D1" w:rsidR="00682ECF" w:rsidRPr="00686E9D" w:rsidRDefault="00964ED2">
      <w:pPr>
        <w:pStyle w:val="sumtexte"/>
        <w:rPr>
          <w:lang w:val="en-IE"/>
        </w:rPr>
      </w:pPr>
      <w:r w:rsidRPr="00686E9D">
        <w:rPr>
          <w:lang w:val="en-IE"/>
        </w:rPr>
        <w:t xml:space="preserve">Both viruses </w:t>
      </w:r>
      <w:r w:rsidR="001E7BE3" w:rsidRPr="00686E9D">
        <w:rPr>
          <w:u w:val="double"/>
          <w:lang w:val="en-IE"/>
        </w:rPr>
        <w:t>can infect</w:t>
      </w:r>
      <w:r w:rsidR="00824A54" w:rsidRPr="00686E9D">
        <w:rPr>
          <w:lang w:val="en-IE"/>
        </w:rPr>
        <w:t xml:space="preserve"> </w:t>
      </w:r>
      <w:r w:rsidRPr="00686E9D">
        <w:rPr>
          <w:strike/>
          <w:lang w:val="en-IE"/>
        </w:rPr>
        <w:t xml:space="preserve">affect </w:t>
      </w:r>
      <w:r w:rsidRPr="00686E9D">
        <w:rPr>
          <w:lang w:val="en-IE"/>
        </w:rPr>
        <w:t>companion animals</w:t>
      </w:r>
      <w:r w:rsidR="00D5582E" w:rsidRPr="00686E9D">
        <w:rPr>
          <w:u w:val="double"/>
          <w:lang w:val="en-IE"/>
        </w:rPr>
        <w:t xml:space="preserve">, </w:t>
      </w:r>
      <w:r w:rsidR="001E7BE3" w:rsidRPr="00686E9D">
        <w:rPr>
          <w:u w:val="double"/>
          <w:lang w:val="en-IE"/>
        </w:rPr>
        <w:t>but they do not seem to play a role in the epidemiology of the disease</w:t>
      </w:r>
      <w:r w:rsidRPr="00686E9D">
        <w:rPr>
          <w:lang w:val="en-IE"/>
        </w:rPr>
        <w:t xml:space="preserve">. </w:t>
      </w:r>
      <w:r w:rsidRPr="00686E9D">
        <w:rPr>
          <w:strike/>
          <w:lang w:val="en-IE"/>
        </w:rPr>
        <w:t xml:space="preserve">Experimentally, </w:t>
      </w:r>
      <w:proofErr w:type="spellStart"/>
      <w:r w:rsidRPr="00686E9D">
        <w:rPr>
          <w:strike/>
          <w:lang w:val="en-IE"/>
        </w:rPr>
        <w:t>HeV</w:t>
      </w:r>
      <w:proofErr w:type="spellEnd"/>
      <w:r w:rsidRPr="00686E9D">
        <w:rPr>
          <w:strike/>
          <w:lang w:val="en-IE"/>
        </w:rPr>
        <w:t xml:space="preserve"> causes pulmonary disease in cats </w:t>
      </w:r>
      <w:proofErr w:type="gramStart"/>
      <w:r w:rsidRPr="00686E9D">
        <w:rPr>
          <w:strike/>
          <w:lang w:val="en-IE"/>
        </w:rPr>
        <w:t>similar to</w:t>
      </w:r>
      <w:proofErr w:type="gramEnd"/>
      <w:r w:rsidRPr="00686E9D">
        <w:rPr>
          <w:strike/>
          <w:lang w:val="en-IE"/>
        </w:rPr>
        <w:t xml:space="preserve"> that observed in horses while dogs may appear clinically well. Natural infection of dogs with </w:t>
      </w:r>
      <w:proofErr w:type="spellStart"/>
      <w:r w:rsidRPr="00686E9D">
        <w:rPr>
          <w:strike/>
          <w:lang w:val="en-IE"/>
        </w:rPr>
        <w:t>NiV</w:t>
      </w:r>
      <w:proofErr w:type="spellEnd"/>
      <w:r w:rsidRPr="00686E9D">
        <w:rPr>
          <w:strike/>
          <w:lang w:val="en-IE"/>
        </w:rPr>
        <w:t xml:space="preserve"> causes a distemper-like syndrome with a </w:t>
      </w:r>
      <w:proofErr w:type="gramStart"/>
      <w:r w:rsidRPr="00686E9D">
        <w:rPr>
          <w:strike/>
          <w:lang w:val="en-IE"/>
        </w:rPr>
        <w:t>high mortality rates</w:t>
      </w:r>
      <w:proofErr w:type="gramEnd"/>
      <w:r w:rsidRPr="00686E9D">
        <w:rPr>
          <w:strike/>
          <w:lang w:val="en-IE"/>
        </w:rPr>
        <w:t xml:space="preserve">; there is serological evidence that some dogs survive infection. Experimentally </w:t>
      </w:r>
      <w:proofErr w:type="spellStart"/>
      <w:r w:rsidRPr="00686E9D">
        <w:rPr>
          <w:strike/>
          <w:lang w:val="en-IE"/>
        </w:rPr>
        <w:t>NiV</w:t>
      </w:r>
      <w:proofErr w:type="spellEnd"/>
      <w:r w:rsidRPr="00686E9D">
        <w:rPr>
          <w:strike/>
          <w:lang w:val="en-IE"/>
        </w:rPr>
        <w:t xml:space="preserve"> causes a similar disease to </w:t>
      </w:r>
      <w:proofErr w:type="spellStart"/>
      <w:r w:rsidRPr="00686E9D">
        <w:rPr>
          <w:strike/>
          <w:lang w:val="en-IE"/>
        </w:rPr>
        <w:t>HeV</w:t>
      </w:r>
      <w:proofErr w:type="spellEnd"/>
      <w:r w:rsidRPr="00686E9D">
        <w:rPr>
          <w:strike/>
          <w:lang w:val="en-IE"/>
        </w:rPr>
        <w:t xml:space="preserve"> in cats. Syncytial endothelial </w:t>
      </w:r>
      <w:r w:rsidRPr="00686E9D">
        <w:rPr>
          <w:strike/>
          <w:lang w:val="en-IE"/>
        </w:rPr>
        <w:lastRenderedPageBreak/>
        <w:t xml:space="preserve">cells containing viral antigen were demonstrated in both </w:t>
      </w:r>
      <w:proofErr w:type="spellStart"/>
      <w:r w:rsidRPr="00686E9D">
        <w:rPr>
          <w:strike/>
          <w:lang w:val="en-IE"/>
        </w:rPr>
        <w:t>HeV</w:t>
      </w:r>
      <w:proofErr w:type="spellEnd"/>
      <w:r w:rsidRPr="00686E9D">
        <w:rPr>
          <w:strike/>
          <w:lang w:val="en-IE"/>
        </w:rPr>
        <w:t xml:space="preserve"> and </w:t>
      </w:r>
      <w:proofErr w:type="spellStart"/>
      <w:r w:rsidRPr="00686E9D">
        <w:rPr>
          <w:strike/>
          <w:lang w:val="en-IE"/>
        </w:rPr>
        <w:t>NiV</w:t>
      </w:r>
      <w:proofErr w:type="spellEnd"/>
      <w:r w:rsidRPr="00686E9D">
        <w:rPr>
          <w:strike/>
          <w:lang w:val="en-IE"/>
        </w:rPr>
        <w:t xml:space="preserve"> infections in cats and in </w:t>
      </w:r>
      <w:proofErr w:type="spellStart"/>
      <w:r w:rsidRPr="00686E9D">
        <w:rPr>
          <w:strike/>
          <w:lang w:val="en-IE"/>
        </w:rPr>
        <w:t>NiV</w:t>
      </w:r>
      <w:proofErr w:type="spellEnd"/>
      <w:r w:rsidRPr="00686E9D">
        <w:rPr>
          <w:strike/>
          <w:lang w:val="en-IE"/>
        </w:rPr>
        <w:t xml:space="preserve"> infection in dogs. </w:t>
      </w:r>
    </w:p>
    <w:p w14:paraId="6C47225E" w14:textId="6F0B42DB" w:rsidR="00682ECF" w:rsidRPr="00686E9D" w:rsidRDefault="00964ED2">
      <w:pPr>
        <w:pStyle w:val="sumtexte"/>
        <w:rPr>
          <w:lang w:val="en-IE"/>
        </w:rPr>
      </w:pPr>
      <w:r w:rsidRPr="00686E9D">
        <w:rPr>
          <w:lang w:val="en-IE"/>
        </w:rPr>
        <w:t xml:space="preserve">Infection of humans is from animal contact, usually from an amplifier host rather than directly from the </w:t>
      </w:r>
      <w:r w:rsidRPr="00686E9D">
        <w:rPr>
          <w:strike/>
          <w:lang w:val="en-IE"/>
        </w:rPr>
        <w:t xml:space="preserve">natural, </w:t>
      </w:r>
      <w:r w:rsidRPr="00686E9D">
        <w:rPr>
          <w:lang w:val="en-IE"/>
        </w:rPr>
        <w:t xml:space="preserve">reservoir host: </w:t>
      </w:r>
      <w:proofErr w:type="spellStart"/>
      <w:r w:rsidRPr="00686E9D">
        <w:rPr>
          <w:lang w:val="en-IE"/>
        </w:rPr>
        <w:t>NiV</w:t>
      </w:r>
      <w:proofErr w:type="spellEnd"/>
      <w:r w:rsidRPr="00686E9D">
        <w:rPr>
          <w:lang w:val="en-IE"/>
        </w:rPr>
        <w:t xml:space="preserve"> from swine</w:t>
      </w:r>
      <w:r w:rsidR="00EB3039" w:rsidRPr="00686E9D">
        <w:rPr>
          <w:lang w:val="en-IE"/>
        </w:rPr>
        <w:t xml:space="preserve"> </w:t>
      </w:r>
      <w:r w:rsidR="00EB3039" w:rsidRPr="00686E9D">
        <w:rPr>
          <w:u w:val="double"/>
          <w:lang w:val="en-IE"/>
        </w:rPr>
        <w:t>and horses</w:t>
      </w:r>
      <w:r w:rsidRPr="00686E9D">
        <w:rPr>
          <w:lang w:val="en-IE"/>
        </w:rPr>
        <w:t xml:space="preserve"> and </w:t>
      </w:r>
      <w:proofErr w:type="spellStart"/>
      <w:r w:rsidRPr="00686E9D">
        <w:rPr>
          <w:lang w:val="en-IE"/>
        </w:rPr>
        <w:t>HeV</w:t>
      </w:r>
      <w:proofErr w:type="spellEnd"/>
      <w:r w:rsidRPr="00686E9D">
        <w:rPr>
          <w:lang w:val="en-IE"/>
        </w:rPr>
        <w:t xml:space="preserve"> from horses. </w:t>
      </w:r>
      <w:proofErr w:type="gramStart"/>
      <w:r w:rsidRPr="00686E9D">
        <w:rPr>
          <w:strike/>
          <w:lang w:val="en-IE"/>
        </w:rPr>
        <w:t>However</w:t>
      </w:r>
      <w:proofErr w:type="gramEnd"/>
      <w:r w:rsidRPr="00686E9D">
        <w:rPr>
          <w:strike/>
          <w:lang w:val="en-IE"/>
        </w:rPr>
        <w:t xml:space="preserve"> </w:t>
      </w:r>
      <w:r w:rsidR="00986A3E" w:rsidRPr="00686E9D">
        <w:rPr>
          <w:lang w:val="en-IE"/>
        </w:rPr>
        <w:t xml:space="preserve">Investigations </w:t>
      </w:r>
      <w:r w:rsidRPr="00686E9D">
        <w:rPr>
          <w:lang w:val="en-IE"/>
        </w:rPr>
        <w:t>of outbreaks of human</w:t>
      </w:r>
      <w:r w:rsidR="00EB3039" w:rsidRPr="00686E9D">
        <w:rPr>
          <w:lang w:val="en-IE"/>
        </w:rPr>
        <w:t xml:space="preserve"> </w:t>
      </w:r>
      <w:r w:rsidR="00EB3039" w:rsidRPr="00686E9D">
        <w:rPr>
          <w:u w:val="double"/>
          <w:lang w:val="en-IE"/>
        </w:rPr>
        <w:t>cases of</w:t>
      </w:r>
      <w:r w:rsidRPr="00686E9D">
        <w:rPr>
          <w:lang w:val="en-IE"/>
        </w:rPr>
        <w:t xml:space="preserve"> </w:t>
      </w:r>
      <w:proofErr w:type="spellStart"/>
      <w:r w:rsidRPr="00686E9D">
        <w:rPr>
          <w:lang w:val="en-IE"/>
        </w:rPr>
        <w:t>NiV</w:t>
      </w:r>
      <w:proofErr w:type="spellEnd"/>
      <w:r w:rsidRPr="00686E9D">
        <w:rPr>
          <w:lang w:val="en-IE"/>
        </w:rPr>
        <w:t xml:space="preserve"> in Bangladesh have indicated human infection from </w:t>
      </w:r>
      <w:proofErr w:type="spellStart"/>
      <w:r w:rsidRPr="00686E9D">
        <w:rPr>
          <w:lang w:val="en-IE"/>
        </w:rPr>
        <w:t>Pteropid</w:t>
      </w:r>
      <w:proofErr w:type="spellEnd"/>
      <w:r w:rsidRPr="00686E9D">
        <w:rPr>
          <w:lang w:val="en-IE"/>
        </w:rPr>
        <w:t xml:space="preserve"> bats </w:t>
      </w:r>
      <w:r w:rsidR="00EB3039" w:rsidRPr="00686E9D">
        <w:rPr>
          <w:u w:val="double"/>
          <w:lang w:val="en-IE"/>
        </w:rPr>
        <w:t>directly</w:t>
      </w:r>
      <w:r w:rsidR="00EB3039" w:rsidRPr="00686E9D">
        <w:rPr>
          <w:lang w:val="en-IE"/>
        </w:rPr>
        <w:t xml:space="preserve"> </w:t>
      </w:r>
      <w:r w:rsidRPr="00686E9D">
        <w:rPr>
          <w:lang w:val="en-IE"/>
        </w:rPr>
        <w:t xml:space="preserve">without an intermediary/amplifier host. Human-to-human transmission has </w:t>
      </w:r>
      <w:r w:rsidR="001E7BE3" w:rsidRPr="00686E9D">
        <w:rPr>
          <w:u w:val="double"/>
          <w:lang w:val="en-IE"/>
        </w:rPr>
        <w:t xml:space="preserve">only </w:t>
      </w:r>
      <w:proofErr w:type="gramStart"/>
      <w:r w:rsidR="001E7BE3" w:rsidRPr="00686E9D">
        <w:rPr>
          <w:u w:val="double"/>
          <w:lang w:val="en-IE"/>
        </w:rPr>
        <w:t>been</w:t>
      </w:r>
      <w:r w:rsidR="00824A54" w:rsidRPr="00686E9D">
        <w:rPr>
          <w:lang w:val="en-IE"/>
        </w:rPr>
        <w:t xml:space="preserve"> </w:t>
      </w:r>
      <w:r w:rsidRPr="00686E9D">
        <w:rPr>
          <w:strike/>
          <w:lang w:val="en-IE"/>
        </w:rPr>
        <w:t>not been</w:t>
      </w:r>
      <w:proofErr w:type="gramEnd"/>
      <w:r w:rsidRPr="00686E9D">
        <w:rPr>
          <w:strike/>
          <w:lang w:val="en-IE"/>
        </w:rPr>
        <w:t xml:space="preserve"> seen with </w:t>
      </w:r>
      <w:proofErr w:type="spellStart"/>
      <w:r w:rsidRPr="00686E9D">
        <w:rPr>
          <w:strike/>
          <w:lang w:val="en-IE"/>
        </w:rPr>
        <w:t>HeV</w:t>
      </w:r>
      <w:proofErr w:type="spellEnd"/>
      <w:r w:rsidRPr="00686E9D">
        <w:rPr>
          <w:strike/>
          <w:lang w:val="en-IE"/>
        </w:rPr>
        <w:t xml:space="preserve"> or with </w:t>
      </w:r>
      <w:proofErr w:type="spellStart"/>
      <w:r w:rsidRPr="00686E9D">
        <w:rPr>
          <w:strike/>
          <w:lang w:val="en-IE"/>
        </w:rPr>
        <w:t>NiV</w:t>
      </w:r>
      <w:proofErr w:type="spellEnd"/>
      <w:r w:rsidRPr="00686E9D">
        <w:rPr>
          <w:strike/>
          <w:lang w:val="en-IE"/>
        </w:rPr>
        <w:t xml:space="preserve"> in Malaysia and Singapore, but limited human-to-human transmission is suspected</w:t>
      </w:r>
      <w:r w:rsidR="001E7BE3" w:rsidRPr="00686E9D">
        <w:rPr>
          <w:strike/>
          <w:lang w:val="en-IE"/>
        </w:rPr>
        <w:t xml:space="preserve"> </w:t>
      </w:r>
      <w:r w:rsidR="001E7BE3" w:rsidRPr="00686E9D">
        <w:rPr>
          <w:u w:val="double"/>
          <w:lang w:val="en-IE"/>
        </w:rPr>
        <w:t>seen</w:t>
      </w:r>
      <w:r w:rsidRPr="00686E9D">
        <w:rPr>
          <w:lang w:val="en-IE"/>
        </w:rPr>
        <w:t xml:space="preserve"> in outbreaks of </w:t>
      </w:r>
      <w:proofErr w:type="spellStart"/>
      <w:r w:rsidRPr="00686E9D">
        <w:rPr>
          <w:lang w:val="en-IE"/>
        </w:rPr>
        <w:t>NiV</w:t>
      </w:r>
      <w:proofErr w:type="spellEnd"/>
      <w:r w:rsidRPr="00686E9D">
        <w:rPr>
          <w:lang w:val="en-IE"/>
        </w:rPr>
        <w:t xml:space="preserve"> in Bangladesh</w:t>
      </w:r>
      <w:r w:rsidR="005E763A">
        <w:rPr>
          <w:lang w:val="en-IE"/>
        </w:rPr>
        <w:t xml:space="preserve"> </w:t>
      </w:r>
      <w:r w:rsidR="005E763A" w:rsidRPr="009354E6">
        <w:rPr>
          <w:highlight w:val="yellow"/>
          <w:u w:val="double"/>
          <w:lang w:val="en-IE"/>
        </w:rPr>
        <w:t>and India</w:t>
      </w:r>
      <w:r w:rsidRPr="00686E9D">
        <w:rPr>
          <w:lang w:val="en-IE"/>
        </w:rPr>
        <w:t xml:space="preserve">. </w:t>
      </w:r>
    </w:p>
    <w:p w14:paraId="7FFE70DF" w14:textId="2726582A" w:rsidR="00682ECF" w:rsidRPr="00686E9D" w:rsidRDefault="00964ED2">
      <w:pPr>
        <w:pStyle w:val="sumtexte"/>
        <w:rPr>
          <w:lang w:val="en-IE"/>
        </w:rPr>
      </w:pPr>
      <w:proofErr w:type="spellStart"/>
      <w:r w:rsidRPr="00686E9D">
        <w:rPr>
          <w:lang w:val="en-IE"/>
        </w:rPr>
        <w:t>HeV</w:t>
      </w:r>
      <w:proofErr w:type="spellEnd"/>
      <w:r w:rsidRPr="00686E9D">
        <w:rPr>
          <w:lang w:val="en-IE"/>
        </w:rPr>
        <w:t xml:space="preserve"> and </w:t>
      </w:r>
      <w:proofErr w:type="spellStart"/>
      <w:r w:rsidRPr="00686E9D">
        <w:rPr>
          <w:lang w:val="en-IE"/>
        </w:rPr>
        <w:t>NiV</w:t>
      </w:r>
      <w:proofErr w:type="spellEnd"/>
      <w:r w:rsidRPr="00686E9D">
        <w:rPr>
          <w:lang w:val="en-IE"/>
        </w:rPr>
        <w:t xml:space="preserve"> are closely related </w:t>
      </w:r>
      <w:r w:rsidR="001E7BE3" w:rsidRPr="00686E9D">
        <w:rPr>
          <w:u w:val="double"/>
          <w:lang w:val="en-IE"/>
        </w:rPr>
        <w:t>and are the founding</w:t>
      </w:r>
      <w:r w:rsidR="001E7BE3" w:rsidRPr="00686E9D">
        <w:rPr>
          <w:lang w:val="en-IE"/>
        </w:rPr>
        <w:t xml:space="preserve"> </w:t>
      </w:r>
      <w:r w:rsidRPr="00686E9D">
        <w:rPr>
          <w:lang w:val="en-IE"/>
        </w:rPr>
        <w:t xml:space="preserve">members of the genus </w:t>
      </w:r>
      <w:proofErr w:type="spellStart"/>
      <w:r w:rsidRPr="00686E9D">
        <w:rPr>
          <w:i w:val="0"/>
          <w:lang w:val="en-IE"/>
        </w:rPr>
        <w:t>Henipavirus</w:t>
      </w:r>
      <w:proofErr w:type="spellEnd"/>
      <w:r w:rsidRPr="00686E9D">
        <w:rPr>
          <w:lang w:val="en-IE"/>
        </w:rPr>
        <w:t xml:space="preserve">, </w:t>
      </w:r>
      <w:r w:rsidRPr="00686E9D">
        <w:rPr>
          <w:strike/>
          <w:lang w:val="en-IE"/>
        </w:rPr>
        <w:t xml:space="preserve">subfamily </w:t>
      </w:r>
      <w:proofErr w:type="spellStart"/>
      <w:r w:rsidRPr="00686E9D">
        <w:rPr>
          <w:i w:val="0"/>
          <w:strike/>
          <w:lang w:val="en-IE"/>
        </w:rPr>
        <w:t>Paramyxovirinae</w:t>
      </w:r>
      <w:proofErr w:type="spellEnd"/>
      <w:r w:rsidRPr="00686E9D">
        <w:rPr>
          <w:strike/>
          <w:lang w:val="en-IE"/>
        </w:rPr>
        <w:t xml:space="preserve">, </w:t>
      </w:r>
      <w:r w:rsidRPr="00686E9D">
        <w:rPr>
          <w:lang w:val="en-IE"/>
        </w:rPr>
        <w:t xml:space="preserve">family </w:t>
      </w:r>
      <w:proofErr w:type="spellStart"/>
      <w:r w:rsidRPr="00686E9D">
        <w:rPr>
          <w:i w:val="0"/>
          <w:lang w:val="en-IE"/>
        </w:rPr>
        <w:t>Paramyxoviridae</w:t>
      </w:r>
      <w:proofErr w:type="spellEnd"/>
      <w:r w:rsidRPr="00686E9D">
        <w:rPr>
          <w:lang w:val="en-IE"/>
        </w:rPr>
        <w:t>.</w:t>
      </w:r>
      <w:r w:rsidR="00DB4FD4" w:rsidRPr="00686E9D">
        <w:rPr>
          <w:lang w:val="en-IE"/>
        </w:rPr>
        <w:t xml:space="preserve"> </w:t>
      </w:r>
      <w:r w:rsidR="00C25D0F" w:rsidRPr="00686E9D">
        <w:rPr>
          <w:u w:val="double"/>
          <w:lang w:val="en-IE"/>
        </w:rPr>
        <w:t>There are two</w:t>
      </w:r>
      <w:r w:rsidR="00C25D0F" w:rsidRPr="009354E6">
        <w:rPr>
          <w:lang w:val="en-IE"/>
        </w:rPr>
        <w:t xml:space="preserve"> </w:t>
      </w:r>
      <w:r w:rsidR="00C25D0F" w:rsidRPr="009354E6">
        <w:rPr>
          <w:strike/>
          <w:highlight w:val="yellow"/>
          <w:lang w:val="en-IE"/>
        </w:rPr>
        <w:t xml:space="preserve">strains </w:t>
      </w:r>
      <w:r w:rsidR="00485FD9" w:rsidRPr="009354E6">
        <w:rPr>
          <w:highlight w:val="yellow"/>
          <w:u w:val="double"/>
          <w:lang w:val="en-IE"/>
        </w:rPr>
        <w:t>genotypes</w:t>
      </w:r>
      <w:r w:rsidR="00485FD9" w:rsidRPr="00686E9D">
        <w:rPr>
          <w:u w:val="double"/>
          <w:lang w:val="en-IE"/>
        </w:rPr>
        <w:t xml:space="preserve"> </w:t>
      </w:r>
      <w:r w:rsidR="00C25D0F" w:rsidRPr="00686E9D">
        <w:rPr>
          <w:u w:val="double"/>
          <w:lang w:val="en-IE"/>
        </w:rPr>
        <w:t xml:space="preserve">of </w:t>
      </w:r>
      <w:proofErr w:type="spellStart"/>
      <w:r w:rsidR="00C25D0F" w:rsidRPr="00686E9D">
        <w:rPr>
          <w:u w:val="double"/>
          <w:lang w:val="en-IE"/>
        </w:rPr>
        <w:t>NiV</w:t>
      </w:r>
      <w:proofErr w:type="spellEnd"/>
      <w:r w:rsidR="00986A3E" w:rsidRPr="00686E9D">
        <w:rPr>
          <w:u w:val="double"/>
          <w:lang w:val="en-IE"/>
        </w:rPr>
        <w:t>,</w:t>
      </w:r>
      <w:r w:rsidR="00C25D0F" w:rsidRPr="00686E9D">
        <w:rPr>
          <w:u w:val="double"/>
          <w:lang w:val="en-IE"/>
        </w:rPr>
        <w:t xml:space="preserve"> namely </w:t>
      </w:r>
      <w:proofErr w:type="spellStart"/>
      <w:r w:rsidR="00C25D0F" w:rsidRPr="00686E9D">
        <w:rPr>
          <w:u w:val="double"/>
          <w:lang w:val="en-IE"/>
        </w:rPr>
        <w:t>NiV</w:t>
      </w:r>
      <w:proofErr w:type="spellEnd"/>
      <w:r w:rsidR="00C25D0F" w:rsidRPr="00686E9D">
        <w:rPr>
          <w:u w:val="double"/>
          <w:lang w:val="en-IE"/>
        </w:rPr>
        <w:t xml:space="preserve">-M </w:t>
      </w:r>
      <w:r w:rsidR="00C25D0F" w:rsidRPr="00686E9D">
        <w:rPr>
          <w:i w:val="0"/>
          <w:iCs w:val="0"/>
          <w:u w:val="double"/>
          <w:lang w:val="en-IE"/>
        </w:rPr>
        <w:t>(</w:t>
      </w:r>
      <w:r w:rsidR="00C25D0F" w:rsidRPr="00686E9D">
        <w:rPr>
          <w:u w:val="double"/>
          <w:lang w:val="en-IE"/>
        </w:rPr>
        <w:t>Malaysia</w:t>
      </w:r>
      <w:r w:rsidR="00C25D0F" w:rsidRPr="00686E9D">
        <w:rPr>
          <w:i w:val="0"/>
          <w:iCs w:val="0"/>
          <w:u w:val="double"/>
          <w:lang w:val="en-IE"/>
        </w:rPr>
        <w:t xml:space="preserve">) </w:t>
      </w:r>
      <w:r w:rsidR="00C25D0F" w:rsidRPr="00686E9D">
        <w:rPr>
          <w:u w:val="double"/>
          <w:lang w:val="en-IE"/>
        </w:rPr>
        <w:t xml:space="preserve">and </w:t>
      </w:r>
      <w:proofErr w:type="spellStart"/>
      <w:r w:rsidR="00C25D0F" w:rsidRPr="00686E9D">
        <w:rPr>
          <w:u w:val="double"/>
          <w:lang w:val="en-IE"/>
        </w:rPr>
        <w:t>NiV</w:t>
      </w:r>
      <w:proofErr w:type="spellEnd"/>
      <w:r w:rsidR="00C25D0F" w:rsidRPr="00686E9D">
        <w:rPr>
          <w:u w:val="double"/>
          <w:lang w:val="en-IE"/>
        </w:rPr>
        <w:t xml:space="preserve">-B </w:t>
      </w:r>
      <w:r w:rsidR="00C25D0F" w:rsidRPr="00686E9D">
        <w:rPr>
          <w:i w:val="0"/>
          <w:iCs w:val="0"/>
          <w:u w:val="double"/>
          <w:lang w:val="en-IE"/>
        </w:rPr>
        <w:t>(</w:t>
      </w:r>
      <w:r w:rsidR="00C25D0F" w:rsidRPr="00686E9D">
        <w:rPr>
          <w:u w:val="double"/>
          <w:lang w:val="en-IE"/>
        </w:rPr>
        <w:t>Bangladesh</w:t>
      </w:r>
      <w:r w:rsidR="00C25D0F" w:rsidRPr="00686E9D">
        <w:rPr>
          <w:i w:val="0"/>
          <w:iCs w:val="0"/>
          <w:u w:val="double"/>
          <w:lang w:val="en-IE"/>
        </w:rPr>
        <w:t>)</w:t>
      </w:r>
      <w:r w:rsidR="007A521C">
        <w:rPr>
          <w:i w:val="0"/>
          <w:iCs w:val="0"/>
          <w:u w:val="double"/>
          <w:lang w:val="en-IE"/>
        </w:rPr>
        <w:t>.</w:t>
      </w:r>
      <w:r w:rsidR="00D97DF7" w:rsidRPr="00FE2714">
        <w:rPr>
          <w:strike/>
          <w:lang w:val="en-IE"/>
        </w:rPr>
        <w:t>,</w:t>
      </w:r>
      <w:r w:rsidR="00D97DF7">
        <w:rPr>
          <w:u w:val="double"/>
          <w:lang w:val="en-IE"/>
        </w:rPr>
        <w:t xml:space="preserve"> </w:t>
      </w:r>
      <w:r w:rsidR="00D04C55" w:rsidRPr="00FE2714">
        <w:rPr>
          <w:rStyle w:val="eop"/>
          <w:rFonts w:eastAsiaTheme="minorEastAsia"/>
          <w:color w:val="000000" w:themeColor="text1"/>
          <w:highlight w:val="yellow"/>
          <w:u w:val="double"/>
          <w:lang w:val="en-IE"/>
        </w:rPr>
        <w:t xml:space="preserve">Recent genetic characterisation of </w:t>
      </w:r>
      <w:proofErr w:type="spellStart"/>
      <w:r w:rsidR="00D04C55" w:rsidRPr="00FE2714">
        <w:rPr>
          <w:rStyle w:val="eop"/>
          <w:rFonts w:eastAsiaTheme="minorEastAsia"/>
          <w:color w:val="000000" w:themeColor="text1"/>
          <w:highlight w:val="yellow"/>
          <w:u w:val="double"/>
          <w:lang w:val="en-IE"/>
        </w:rPr>
        <w:t>NiV</w:t>
      </w:r>
      <w:proofErr w:type="spellEnd"/>
      <w:r w:rsidR="00D04C55" w:rsidRPr="00FE2714">
        <w:rPr>
          <w:rStyle w:val="eop"/>
          <w:rFonts w:eastAsiaTheme="minorEastAsia"/>
          <w:color w:val="000000" w:themeColor="text1"/>
          <w:highlight w:val="yellow"/>
          <w:u w:val="double"/>
          <w:lang w:val="en-IE"/>
        </w:rPr>
        <w:t>-B from bat and human cases in Bangladesh 2012</w:t>
      </w:r>
      <w:r w:rsidR="00976718">
        <w:rPr>
          <w:rStyle w:val="eop"/>
          <w:rFonts w:eastAsiaTheme="minorEastAsia"/>
          <w:color w:val="000000" w:themeColor="text1"/>
          <w:highlight w:val="yellow"/>
          <w:u w:val="double"/>
          <w:lang w:val="en-IE"/>
        </w:rPr>
        <w:t>–</w:t>
      </w:r>
      <w:r w:rsidR="00D04C55" w:rsidRPr="00FE2714">
        <w:rPr>
          <w:rStyle w:val="eop"/>
          <w:rFonts w:eastAsiaTheme="minorEastAsia"/>
          <w:color w:val="000000" w:themeColor="text1"/>
          <w:highlight w:val="yellow"/>
          <w:u w:val="double"/>
          <w:lang w:val="en-IE"/>
        </w:rPr>
        <w:t xml:space="preserve">2018 have shown genetic divergence during 1995 forming two </w:t>
      </w:r>
      <w:proofErr w:type="spellStart"/>
      <w:r w:rsidR="00D04C55" w:rsidRPr="00FE2714">
        <w:rPr>
          <w:rStyle w:val="eop"/>
          <w:rFonts w:eastAsiaTheme="minorEastAsia"/>
          <w:color w:val="000000" w:themeColor="text1"/>
          <w:highlight w:val="yellow"/>
          <w:u w:val="double"/>
          <w:lang w:val="en-IE"/>
        </w:rPr>
        <w:t>sublineages</w:t>
      </w:r>
      <w:proofErr w:type="spellEnd"/>
      <w:r w:rsidR="00D04C55" w:rsidRPr="00FE2714">
        <w:rPr>
          <w:rStyle w:val="eop"/>
          <w:rFonts w:eastAsiaTheme="minorEastAsia"/>
          <w:color w:val="000000" w:themeColor="text1"/>
          <w:highlight w:val="yellow"/>
          <w:u w:val="double"/>
          <w:lang w:val="en-IE"/>
        </w:rPr>
        <w:t xml:space="preserve">: NiV-B1 and NiV-B2 </w:t>
      </w:r>
      <w:r w:rsidR="00D04C55" w:rsidRPr="00FE2714">
        <w:rPr>
          <w:rStyle w:val="eop"/>
          <w:rFonts w:eastAsiaTheme="minorEastAsia"/>
          <w:i w:val="0"/>
          <w:iCs w:val="0"/>
          <w:color w:val="000000" w:themeColor="text1"/>
          <w:highlight w:val="yellow"/>
          <w:u w:val="double"/>
          <w:lang w:val="en-IE"/>
        </w:rPr>
        <w:t>(</w:t>
      </w:r>
      <w:r w:rsidR="00D04C55" w:rsidRPr="00FE2714">
        <w:rPr>
          <w:rStyle w:val="eop"/>
          <w:rFonts w:eastAsiaTheme="minorEastAsia"/>
          <w:color w:val="000000" w:themeColor="text1"/>
          <w:highlight w:val="yellow"/>
          <w:u w:val="double"/>
          <w:lang w:val="en-IE"/>
        </w:rPr>
        <w:t xml:space="preserve">Rahman </w:t>
      </w:r>
      <w:r w:rsidR="00D04C55" w:rsidRPr="00FE2714">
        <w:rPr>
          <w:rStyle w:val="eop"/>
          <w:rFonts w:eastAsiaTheme="minorEastAsia"/>
          <w:i w:val="0"/>
          <w:iCs w:val="0"/>
          <w:color w:val="000000" w:themeColor="text1"/>
          <w:highlight w:val="yellow"/>
          <w:u w:val="double"/>
          <w:lang w:val="en-IE"/>
        </w:rPr>
        <w:t>et al.,</w:t>
      </w:r>
      <w:r w:rsidR="00D04C55" w:rsidRPr="00FE2714">
        <w:rPr>
          <w:rStyle w:val="eop"/>
          <w:rFonts w:eastAsiaTheme="minorEastAsia"/>
          <w:color w:val="000000" w:themeColor="text1"/>
          <w:highlight w:val="yellow"/>
          <w:u w:val="double"/>
          <w:lang w:val="en-IE"/>
        </w:rPr>
        <w:t xml:space="preserve"> 2021</w:t>
      </w:r>
      <w:r w:rsidR="00D04C55" w:rsidRPr="00FE2714">
        <w:rPr>
          <w:rStyle w:val="eop"/>
          <w:rFonts w:eastAsiaTheme="minorEastAsia"/>
          <w:i w:val="0"/>
          <w:iCs w:val="0"/>
          <w:color w:val="000000" w:themeColor="text1"/>
          <w:highlight w:val="yellow"/>
          <w:u w:val="double"/>
          <w:lang w:val="en-IE"/>
        </w:rPr>
        <w:t>)</w:t>
      </w:r>
      <w:r w:rsidR="007A521C" w:rsidRPr="00FE2714">
        <w:rPr>
          <w:rStyle w:val="eop"/>
          <w:rFonts w:eastAsiaTheme="minorEastAsia"/>
          <w:color w:val="000000" w:themeColor="text1"/>
          <w:highlight w:val="yellow"/>
          <w:u w:val="double"/>
          <w:lang w:val="en-IE"/>
        </w:rPr>
        <w:t>.</w:t>
      </w:r>
      <w:r w:rsidR="009354E6">
        <w:rPr>
          <w:rStyle w:val="eop"/>
          <w:rFonts w:eastAsiaTheme="minorEastAsia"/>
          <w:color w:val="000000" w:themeColor="text1"/>
          <w:lang w:val="en-IE"/>
        </w:rPr>
        <w:t xml:space="preserve"> </w:t>
      </w:r>
      <w:r w:rsidR="00950FBF">
        <w:rPr>
          <w:u w:val="double"/>
          <w:lang w:val="en-IE"/>
        </w:rPr>
        <w:t>T</w:t>
      </w:r>
      <w:r w:rsidR="00D97DF7">
        <w:rPr>
          <w:u w:val="double"/>
          <w:lang w:val="en-IE"/>
        </w:rPr>
        <w:t>wo</w:t>
      </w:r>
      <w:r w:rsidR="00D97DF7" w:rsidRPr="009354E6">
        <w:rPr>
          <w:lang w:val="en-IE"/>
        </w:rPr>
        <w:t xml:space="preserve"> </w:t>
      </w:r>
      <w:r w:rsidR="009354E6" w:rsidRPr="009354E6">
        <w:rPr>
          <w:strike/>
          <w:highlight w:val="yellow"/>
          <w:lang w:val="en-IE"/>
        </w:rPr>
        <w:t xml:space="preserve">strains </w:t>
      </w:r>
      <w:r w:rsidR="009354E6" w:rsidRPr="009354E6">
        <w:rPr>
          <w:highlight w:val="yellow"/>
          <w:u w:val="double"/>
          <w:lang w:val="en-IE"/>
        </w:rPr>
        <w:t>genotypes</w:t>
      </w:r>
      <w:r w:rsidR="00D97DF7">
        <w:rPr>
          <w:u w:val="double"/>
          <w:lang w:val="en-IE"/>
        </w:rPr>
        <w:t xml:space="preserve"> of </w:t>
      </w:r>
      <w:proofErr w:type="spellStart"/>
      <w:r w:rsidR="00D97DF7">
        <w:rPr>
          <w:u w:val="double"/>
          <w:lang w:val="en-IE"/>
        </w:rPr>
        <w:t>HeV</w:t>
      </w:r>
      <w:proofErr w:type="spellEnd"/>
      <w:r w:rsidR="00950FBF">
        <w:rPr>
          <w:u w:val="double"/>
          <w:lang w:val="en-IE"/>
        </w:rPr>
        <w:t xml:space="preserve"> </w:t>
      </w:r>
      <w:r w:rsidR="00950FBF" w:rsidRPr="009354E6">
        <w:rPr>
          <w:highlight w:val="yellow"/>
          <w:u w:val="double"/>
          <w:lang w:val="en-IE"/>
        </w:rPr>
        <w:t>have been recognised</w:t>
      </w:r>
      <w:r w:rsidR="00D97DF7">
        <w:rPr>
          <w:u w:val="double"/>
          <w:lang w:val="en-IE"/>
        </w:rPr>
        <w:t>, namely HeV-g1 and HeV-g2</w:t>
      </w:r>
      <w:r w:rsidR="00E02688">
        <w:rPr>
          <w:u w:val="double"/>
          <w:lang w:val="en-IE"/>
        </w:rPr>
        <w:t>.</w:t>
      </w:r>
      <w:r w:rsidRPr="00686E9D">
        <w:rPr>
          <w:lang w:val="en-IE"/>
        </w:rPr>
        <w:t xml:space="preserve"> </w:t>
      </w:r>
      <w:proofErr w:type="spellStart"/>
      <w:r w:rsidRPr="00686E9D">
        <w:rPr>
          <w:lang w:val="en-IE"/>
        </w:rPr>
        <w:t>HeV</w:t>
      </w:r>
      <w:proofErr w:type="spellEnd"/>
      <w:r w:rsidRPr="00686E9D">
        <w:rPr>
          <w:lang w:val="en-IE"/>
        </w:rPr>
        <w:t xml:space="preserve"> and </w:t>
      </w:r>
      <w:proofErr w:type="spellStart"/>
      <w:r w:rsidRPr="00686E9D">
        <w:rPr>
          <w:lang w:val="en-IE"/>
        </w:rPr>
        <w:t>NiV</w:t>
      </w:r>
      <w:proofErr w:type="spellEnd"/>
      <w:r w:rsidRPr="00686E9D">
        <w:rPr>
          <w:lang w:val="en-IE"/>
        </w:rPr>
        <w:t xml:space="preserve"> are dangerous human pathogens</w:t>
      </w:r>
      <w:r w:rsidR="00D21AC7" w:rsidRPr="00686E9D">
        <w:rPr>
          <w:u w:val="double"/>
          <w:lang w:val="en-IE"/>
        </w:rPr>
        <w:t>.</w:t>
      </w:r>
      <w:r w:rsidR="002470F6" w:rsidRPr="00686E9D">
        <w:rPr>
          <w:u w:val="double"/>
          <w:lang w:val="en-IE"/>
        </w:rPr>
        <w:t xml:space="preserve"> All laboratory manipulations with live cultures or potentially infected/contaminated material must be performed at an appropriate biosafety and containment leve</w:t>
      </w:r>
      <w:r w:rsidR="007F0F6F" w:rsidRPr="00686E9D">
        <w:rPr>
          <w:u w:val="double"/>
          <w:lang w:val="en-IE"/>
        </w:rPr>
        <w:t>l.</w:t>
      </w:r>
      <w:r w:rsidR="002470F6" w:rsidRPr="00686E9D">
        <w:rPr>
          <w:lang w:val="en-IE"/>
        </w:rPr>
        <w:t xml:space="preserve"> </w:t>
      </w:r>
      <w:r w:rsidRPr="00686E9D">
        <w:rPr>
          <w:strike/>
          <w:lang w:val="en-IE"/>
        </w:rPr>
        <w:t>such as are designated in laboratory risk management analyses as requiring</w:t>
      </w:r>
      <w:r w:rsidR="001E7BE3" w:rsidRPr="00686E9D">
        <w:rPr>
          <w:strike/>
          <w:lang w:val="en-IE"/>
        </w:rPr>
        <w:t xml:space="preserve"> </w:t>
      </w:r>
      <w:r w:rsidRPr="00686E9D">
        <w:rPr>
          <w:strike/>
          <w:lang w:val="en-IE"/>
        </w:rPr>
        <w:t xml:space="preserve">biosafety level 4 </w:t>
      </w:r>
      <w:r w:rsidRPr="00686E9D">
        <w:rPr>
          <w:i w:val="0"/>
          <w:strike/>
          <w:lang w:val="en-IE"/>
        </w:rPr>
        <w:t>(</w:t>
      </w:r>
      <w:r w:rsidRPr="00686E9D">
        <w:rPr>
          <w:strike/>
          <w:lang w:val="en-IE"/>
        </w:rPr>
        <w:t>BSL4</w:t>
      </w:r>
      <w:r w:rsidRPr="00686E9D">
        <w:rPr>
          <w:i w:val="0"/>
          <w:strike/>
          <w:lang w:val="en-IE"/>
        </w:rPr>
        <w:t>)</w:t>
      </w:r>
      <w:r w:rsidRPr="00686E9D">
        <w:rPr>
          <w:strike/>
          <w:lang w:val="en-IE"/>
        </w:rPr>
        <w:t xml:space="preserve"> containment. It is important that samples from suspect animals be transported to authorised laboratories only under biologically secure conditions according to international regulations.</w:t>
      </w:r>
      <w:r w:rsidRPr="00686E9D">
        <w:rPr>
          <w:lang w:val="en-IE"/>
        </w:rPr>
        <w:t xml:space="preserve"> </w:t>
      </w:r>
    </w:p>
    <w:p w14:paraId="5F3D1D9C" w14:textId="6623C4C3" w:rsidR="00682ECF" w:rsidRPr="00686E9D" w:rsidRDefault="00411503">
      <w:pPr>
        <w:pStyle w:val="sumtexte"/>
        <w:rPr>
          <w:lang w:val="en-IE"/>
        </w:rPr>
      </w:pPr>
      <w:r w:rsidRPr="00686E9D">
        <w:rPr>
          <w:b/>
          <w:bCs/>
          <w:lang w:val="en-IE"/>
        </w:rPr>
        <w:t>Detection</w:t>
      </w:r>
      <w:r w:rsidR="00964ED2" w:rsidRPr="00686E9D">
        <w:rPr>
          <w:b/>
          <w:bCs/>
          <w:lang w:val="en-IE"/>
        </w:rPr>
        <w:t xml:space="preserve"> of the agent: </w:t>
      </w:r>
      <w:r w:rsidR="00E6610F" w:rsidRPr="00686E9D">
        <w:rPr>
          <w:rFonts w:eastAsia="Calibri"/>
          <w:u w:val="double"/>
          <w:lang w:val="en-IE" w:eastAsia="en-US"/>
        </w:rPr>
        <w:t>Because of the zoonotic potential and high fatality rates associated with these viruses</w:t>
      </w:r>
      <w:r w:rsidR="00686E9D" w:rsidRPr="00686E9D">
        <w:rPr>
          <w:rFonts w:eastAsia="Calibri"/>
          <w:u w:val="double"/>
          <w:lang w:val="en-IE" w:eastAsia="en-US"/>
        </w:rPr>
        <w:t>,</w:t>
      </w:r>
      <w:r w:rsidR="00E6610F" w:rsidRPr="00686E9D">
        <w:rPr>
          <w:rFonts w:eastAsia="Calibri"/>
          <w:u w:val="double"/>
          <w:lang w:val="en-IE" w:eastAsia="en-US"/>
        </w:rPr>
        <w:t xml:space="preserve"> di</w:t>
      </w:r>
      <w:r w:rsidR="00C95553" w:rsidRPr="00686E9D">
        <w:rPr>
          <w:rFonts w:eastAsia="Calibri"/>
          <w:u w:val="double"/>
          <w:lang w:val="en-IE" w:eastAsia="en-US"/>
        </w:rPr>
        <w:t>agnostic laboratories may decide</w:t>
      </w:r>
      <w:r w:rsidR="00B234E9">
        <w:rPr>
          <w:rFonts w:eastAsia="Calibri"/>
          <w:u w:val="double"/>
          <w:lang w:val="en-IE" w:eastAsia="en-US"/>
        </w:rPr>
        <w:t>,</w:t>
      </w:r>
      <w:r w:rsidR="00E6610F" w:rsidRPr="00686E9D">
        <w:rPr>
          <w:rFonts w:eastAsia="Calibri"/>
          <w:u w:val="double"/>
          <w:lang w:val="en-IE" w:eastAsia="en-US"/>
        </w:rPr>
        <w:t xml:space="preserve"> </w:t>
      </w:r>
      <w:r w:rsidR="00686E9D">
        <w:rPr>
          <w:rFonts w:eastAsia="Calibri"/>
          <w:u w:val="double"/>
          <w:lang w:val="en-IE" w:eastAsia="en-US"/>
        </w:rPr>
        <w:t>following</w:t>
      </w:r>
      <w:r w:rsidR="00E6610F" w:rsidRPr="00686E9D">
        <w:rPr>
          <w:rFonts w:eastAsia="Calibri"/>
          <w:u w:val="double"/>
          <w:lang w:val="en-IE" w:eastAsia="en-US"/>
        </w:rPr>
        <w:t xml:space="preserve"> a comprehensive risk assessment, to use molecular techniques such as real</w:t>
      </w:r>
      <w:r w:rsidR="00686E9D" w:rsidRPr="00686E9D">
        <w:rPr>
          <w:rFonts w:eastAsia="Calibri"/>
          <w:u w:val="double"/>
          <w:lang w:val="en-IE" w:eastAsia="en-US"/>
        </w:rPr>
        <w:t>-</w:t>
      </w:r>
      <w:r w:rsidR="00E6610F" w:rsidRPr="00686E9D">
        <w:rPr>
          <w:rFonts w:eastAsia="Calibri"/>
          <w:u w:val="double"/>
          <w:lang w:val="en-IE" w:eastAsia="en-US"/>
        </w:rPr>
        <w:t xml:space="preserve">time </w:t>
      </w:r>
      <w:r w:rsidR="00686E9D" w:rsidRPr="00686E9D">
        <w:rPr>
          <w:u w:val="double"/>
          <w:lang w:val="en-IE"/>
        </w:rPr>
        <w:t xml:space="preserve">reverse transcription polymerase chain reaction </w:t>
      </w:r>
      <w:r w:rsidR="00686E9D" w:rsidRPr="00686E9D">
        <w:rPr>
          <w:i w:val="0"/>
          <w:iCs w:val="0"/>
          <w:u w:val="double"/>
          <w:lang w:val="en-IE"/>
        </w:rPr>
        <w:t>(</w:t>
      </w:r>
      <w:r w:rsidR="00686E9D" w:rsidRPr="00686E9D">
        <w:rPr>
          <w:u w:val="double"/>
          <w:lang w:val="en-IE"/>
        </w:rPr>
        <w:t>RT-PCR</w:t>
      </w:r>
      <w:r w:rsidR="00686E9D" w:rsidRPr="00686E9D">
        <w:rPr>
          <w:i w:val="0"/>
          <w:iCs w:val="0"/>
          <w:u w:val="double"/>
          <w:lang w:val="en-IE"/>
        </w:rPr>
        <w:t>)</w:t>
      </w:r>
      <w:r w:rsidR="00686E9D">
        <w:rPr>
          <w:i w:val="0"/>
          <w:iCs w:val="0"/>
          <w:u w:val="double"/>
          <w:lang w:val="en-IE"/>
        </w:rPr>
        <w:t xml:space="preserve"> </w:t>
      </w:r>
      <w:r w:rsidR="00E6610F" w:rsidRPr="00686E9D">
        <w:rPr>
          <w:rFonts w:eastAsia="Calibri"/>
          <w:u w:val="double"/>
          <w:lang w:val="en-IE" w:eastAsia="en-US"/>
        </w:rPr>
        <w:t>for agent detection rather than attempting propagation of infectious virus.</w:t>
      </w:r>
      <w:r w:rsidR="00686E9D" w:rsidRPr="00686E9D">
        <w:rPr>
          <w:rFonts w:eastAsia="Calibri"/>
          <w:lang w:val="en-IE" w:eastAsia="en-US"/>
        </w:rPr>
        <w:t xml:space="preserve"> </w:t>
      </w:r>
      <w:r w:rsidR="00964ED2" w:rsidRPr="00686E9D">
        <w:rPr>
          <w:lang w:val="en-IE"/>
        </w:rPr>
        <w:t xml:space="preserve">Both </w:t>
      </w:r>
      <w:proofErr w:type="spellStart"/>
      <w:r w:rsidR="00964ED2" w:rsidRPr="00686E9D">
        <w:rPr>
          <w:lang w:val="en-IE"/>
        </w:rPr>
        <w:t>HeV</w:t>
      </w:r>
      <w:proofErr w:type="spellEnd"/>
      <w:r w:rsidR="00964ED2" w:rsidRPr="00686E9D">
        <w:rPr>
          <w:lang w:val="en-IE"/>
        </w:rPr>
        <w:t xml:space="preserve"> and </w:t>
      </w:r>
      <w:proofErr w:type="spellStart"/>
      <w:r w:rsidR="00964ED2" w:rsidRPr="00686E9D">
        <w:rPr>
          <w:lang w:val="en-IE"/>
        </w:rPr>
        <w:t>NiV</w:t>
      </w:r>
      <w:proofErr w:type="spellEnd"/>
      <w:r w:rsidR="00964ED2" w:rsidRPr="00686E9D">
        <w:rPr>
          <w:lang w:val="en-IE"/>
        </w:rPr>
        <w:t xml:space="preserve"> </w:t>
      </w:r>
      <w:r w:rsidR="00964ED2" w:rsidRPr="00686E9D">
        <w:rPr>
          <w:strike/>
          <w:lang w:val="en-IE"/>
        </w:rPr>
        <w:t xml:space="preserve">may </w:t>
      </w:r>
      <w:r w:rsidR="00EB3039" w:rsidRPr="00686E9D">
        <w:rPr>
          <w:u w:val="double"/>
          <w:lang w:val="en-IE"/>
        </w:rPr>
        <w:t>can</w:t>
      </w:r>
      <w:r w:rsidR="00EB3039" w:rsidRPr="00686E9D">
        <w:rPr>
          <w:lang w:val="en-IE"/>
        </w:rPr>
        <w:t xml:space="preserve"> </w:t>
      </w:r>
      <w:r w:rsidR="00964ED2" w:rsidRPr="00686E9D">
        <w:rPr>
          <w:lang w:val="en-IE"/>
        </w:rPr>
        <w:t xml:space="preserve">be propagated in a </w:t>
      </w:r>
      <w:r w:rsidR="002D1E5B" w:rsidRPr="00686E9D">
        <w:rPr>
          <w:u w:val="double"/>
          <w:lang w:val="en-IE"/>
        </w:rPr>
        <w:t>wide</w:t>
      </w:r>
      <w:r w:rsidR="002D1E5B" w:rsidRPr="00686E9D">
        <w:rPr>
          <w:lang w:val="en-IE"/>
        </w:rPr>
        <w:t xml:space="preserve"> </w:t>
      </w:r>
      <w:r w:rsidR="00964ED2" w:rsidRPr="00686E9D">
        <w:rPr>
          <w:lang w:val="en-IE"/>
        </w:rPr>
        <w:t xml:space="preserve">range of cultured cells. Virus isolation from </w:t>
      </w:r>
      <w:r w:rsidR="00964ED2" w:rsidRPr="00686E9D">
        <w:rPr>
          <w:strike/>
          <w:lang w:val="en-IE"/>
        </w:rPr>
        <w:t xml:space="preserve">unfixed </w:t>
      </w:r>
      <w:r w:rsidR="00964ED2" w:rsidRPr="00686E9D">
        <w:rPr>
          <w:lang w:val="en-IE"/>
        </w:rPr>
        <w:t xml:space="preserve">field samples should be attempted, but only in situations where operator safety can be assured. Identification procedures </w:t>
      </w:r>
      <w:r w:rsidR="00964ED2" w:rsidRPr="00686E9D">
        <w:rPr>
          <w:strike/>
          <w:lang w:val="en-IE"/>
        </w:rPr>
        <w:t xml:space="preserve">following virus isolation </w:t>
      </w:r>
      <w:r w:rsidR="00964ED2" w:rsidRPr="00686E9D">
        <w:rPr>
          <w:lang w:val="en-IE"/>
        </w:rPr>
        <w:t xml:space="preserve">include </w:t>
      </w:r>
      <w:r w:rsidR="008D50B4" w:rsidRPr="00686E9D">
        <w:rPr>
          <w:u w:val="double"/>
          <w:lang w:val="en-IE"/>
        </w:rPr>
        <w:t>RT-</w:t>
      </w:r>
      <w:r w:rsidR="002D1E5B" w:rsidRPr="00686E9D">
        <w:rPr>
          <w:u w:val="double"/>
          <w:lang w:val="en-IE"/>
        </w:rPr>
        <w:t>PCR,</w:t>
      </w:r>
      <w:r w:rsidR="002D1E5B" w:rsidRPr="00686E9D">
        <w:rPr>
          <w:lang w:val="en-IE"/>
        </w:rPr>
        <w:t xml:space="preserve"> </w:t>
      </w:r>
      <w:r w:rsidR="00964ED2" w:rsidRPr="00686E9D">
        <w:rPr>
          <w:lang w:val="en-IE"/>
        </w:rPr>
        <w:t xml:space="preserve">immunostaining of infected cells, </w:t>
      </w:r>
      <w:r w:rsidR="001E7BE3" w:rsidRPr="00686E9D">
        <w:rPr>
          <w:u w:val="double"/>
          <w:lang w:val="en-IE"/>
        </w:rPr>
        <w:t>and</w:t>
      </w:r>
      <w:r w:rsidR="001E7BE3" w:rsidRPr="00686E9D">
        <w:rPr>
          <w:lang w:val="en-IE"/>
        </w:rPr>
        <w:t xml:space="preserve"> </w:t>
      </w:r>
      <w:r w:rsidR="00964ED2" w:rsidRPr="00686E9D">
        <w:rPr>
          <w:lang w:val="en-IE"/>
        </w:rPr>
        <w:t xml:space="preserve">neutralisation with specific </w:t>
      </w:r>
      <w:r w:rsidR="005B2C81" w:rsidRPr="009354E6">
        <w:rPr>
          <w:highlight w:val="yellow"/>
          <w:u w:val="double"/>
          <w:lang w:val="en-IE"/>
        </w:rPr>
        <w:t>viral</w:t>
      </w:r>
      <w:r w:rsidR="005B2C81">
        <w:rPr>
          <w:lang w:val="en-IE"/>
        </w:rPr>
        <w:t xml:space="preserve"> </w:t>
      </w:r>
      <w:r w:rsidR="00964ED2" w:rsidRPr="00686E9D">
        <w:rPr>
          <w:lang w:val="en-IE"/>
        </w:rPr>
        <w:t xml:space="preserve">antisera </w:t>
      </w:r>
      <w:r w:rsidR="00964ED2" w:rsidRPr="00CA6411">
        <w:rPr>
          <w:strike/>
          <w:highlight w:val="yellow"/>
          <w:lang w:val="en-IE"/>
        </w:rPr>
        <w:t>to the viruses</w:t>
      </w:r>
      <w:r w:rsidR="001E7BE3" w:rsidRPr="00CA6411">
        <w:rPr>
          <w:strike/>
          <w:lang w:val="en-IE"/>
        </w:rPr>
        <w:t xml:space="preserve"> </w:t>
      </w:r>
      <w:r w:rsidR="00964ED2" w:rsidRPr="00CA6411">
        <w:rPr>
          <w:strike/>
          <w:lang w:val="en-IE"/>
        </w:rPr>
        <w:t>and</w:t>
      </w:r>
      <w:r w:rsidR="00964ED2" w:rsidRPr="00686E9D">
        <w:rPr>
          <w:strike/>
          <w:lang w:val="en-IE"/>
        </w:rPr>
        <w:t xml:space="preserve"> molecular characterisation</w:t>
      </w:r>
      <w:r w:rsidR="00964ED2" w:rsidRPr="00686E9D">
        <w:rPr>
          <w:lang w:val="en-IE"/>
        </w:rPr>
        <w:t xml:space="preserve">. </w:t>
      </w:r>
      <w:r w:rsidR="00964ED2" w:rsidRPr="00686E9D">
        <w:rPr>
          <w:strike/>
          <w:lang w:val="en-IE"/>
        </w:rPr>
        <w:t>Both reverse-transcript</w:t>
      </w:r>
      <w:r w:rsidR="00B00859" w:rsidRPr="00686E9D">
        <w:rPr>
          <w:strike/>
          <w:lang w:val="en-IE"/>
        </w:rPr>
        <w:t>ion</w:t>
      </w:r>
      <w:r w:rsidR="00964ED2" w:rsidRPr="00686E9D">
        <w:rPr>
          <w:strike/>
          <w:lang w:val="en-IE"/>
        </w:rPr>
        <w:t xml:space="preserve"> polymerase chain reaction </w:t>
      </w:r>
      <w:r w:rsidR="00964ED2" w:rsidRPr="00686E9D">
        <w:rPr>
          <w:i w:val="0"/>
          <w:iCs w:val="0"/>
          <w:strike/>
          <w:lang w:val="en-IE"/>
        </w:rPr>
        <w:t>(</w:t>
      </w:r>
      <w:r w:rsidR="00964ED2" w:rsidRPr="00686E9D">
        <w:rPr>
          <w:iCs w:val="0"/>
          <w:strike/>
          <w:lang w:val="en-IE"/>
        </w:rPr>
        <w:t>RT</w:t>
      </w:r>
      <w:r w:rsidR="00964ED2" w:rsidRPr="00686E9D">
        <w:rPr>
          <w:i w:val="0"/>
          <w:iCs w:val="0"/>
          <w:strike/>
          <w:lang w:val="en-IE"/>
        </w:rPr>
        <w:t>-</w:t>
      </w:r>
      <w:r w:rsidR="00964ED2" w:rsidRPr="00686E9D">
        <w:rPr>
          <w:strike/>
          <w:lang w:val="en-IE"/>
        </w:rPr>
        <w:t>PCR</w:t>
      </w:r>
      <w:r w:rsidR="00964ED2" w:rsidRPr="00686E9D">
        <w:rPr>
          <w:i w:val="0"/>
          <w:iCs w:val="0"/>
          <w:strike/>
          <w:lang w:val="en-IE"/>
        </w:rPr>
        <w:t xml:space="preserve">) </w:t>
      </w:r>
      <w:r w:rsidR="00964ED2" w:rsidRPr="00686E9D">
        <w:rPr>
          <w:iCs w:val="0"/>
          <w:strike/>
          <w:lang w:val="en-IE"/>
        </w:rPr>
        <w:t>and</w:t>
      </w:r>
      <w:r w:rsidR="00964ED2" w:rsidRPr="00686E9D">
        <w:rPr>
          <w:strike/>
          <w:lang w:val="en-IE"/>
        </w:rPr>
        <w:t xml:space="preserve"> </w:t>
      </w:r>
      <w:r w:rsidR="005768A8" w:rsidRPr="00686E9D">
        <w:rPr>
          <w:strike/>
          <w:lang w:val="en-IE"/>
        </w:rPr>
        <w:t>real</w:t>
      </w:r>
      <w:r w:rsidR="00964ED2" w:rsidRPr="00686E9D">
        <w:rPr>
          <w:strike/>
          <w:lang w:val="en-IE"/>
        </w:rPr>
        <w:t>-time</w:t>
      </w:r>
      <w:r w:rsidR="00964ED2" w:rsidRPr="00686E9D">
        <w:rPr>
          <w:strike/>
          <w:color w:val="0070C0"/>
          <w:lang w:val="en-IE"/>
        </w:rPr>
        <w:t xml:space="preserve"> </w:t>
      </w:r>
      <w:r w:rsidR="00B00859" w:rsidRPr="00686E9D">
        <w:rPr>
          <w:strike/>
          <w:lang w:val="en-IE"/>
        </w:rPr>
        <w:t>RT-PCR</w:t>
      </w:r>
      <w:r w:rsidR="00964ED2" w:rsidRPr="00686E9D">
        <w:rPr>
          <w:strike/>
          <w:lang w:val="en-IE"/>
        </w:rPr>
        <w:t xml:space="preserve"> are now available as diagnostic test</w:t>
      </w:r>
      <w:r w:rsidR="00D45801" w:rsidRPr="00686E9D">
        <w:rPr>
          <w:strike/>
          <w:lang w:val="en-IE"/>
        </w:rPr>
        <w:t>s</w:t>
      </w:r>
      <w:r w:rsidR="00964ED2" w:rsidRPr="00686E9D">
        <w:rPr>
          <w:strike/>
          <w:lang w:val="en-IE"/>
        </w:rPr>
        <w:t>.</w:t>
      </w:r>
    </w:p>
    <w:p w14:paraId="46A5DA97" w14:textId="7F1AC70C" w:rsidR="00682ECF" w:rsidRPr="00686E9D" w:rsidRDefault="00964ED2">
      <w:pPr>
        <w:pStyle w:val="sumtexte"/>
        <w:rPr>
          <w:lang w:val="en-IE"/>
        </w:rPr>
      </w:pPr>
      <w:r w:rsidRPr="00686E9D">
        <w:rPr>
          <w:lang w:val="en-IE"/>
        </w:rPr>
        <w:t xml:space="preserve">Viral antigen is present in vascular endothelium, and in the case of </w:t>
      </w:r>
      <w:proofErr w:type="spellStart"/>
      <w:r w:rsidRPr="00686E9D">
        <w:rPr>
          <w:lang w:val="en-IE"/>
        </w:rPr>
        <w:t>NiV</w:t>
      </w:r>
      <w:proofErr w:type="spellEnd"/>
      <w:r w:rsidRPr="00686E9D">
        <w:rPr>
          <w:lang w:val="en-IE"/>
        </w:rPr>
        <w:t xml:space="preserve"> in pigs, the respiratory epithelium. A wide range of formalin-fixed tissues can be examined to detect </w:t>
      </w:r>
      <w:proofErr w:type="spellStart"/>
      <w:r w:rsidRPr="00686E9D">
        <w:rPr>
          <w:lang w:val="en-IE"/>
        </w:rPr>
        <w:t>HeV</w:t>
      </w:r>
      <w:proofErr w:type="spellEnd"/>
      <w:r w:rsidRPr="00686E9D">
        <w:rPr>
          <w:lang w:val="en-IE"/>
        </w:rPr>
        <w:t xml:space="preserve"> and </w:t>
      </w:r>
      <w:proofErr w:type="spellStart"/>
      <w:r w:rsidRPr="00686E9D">
        <w:rPr>
          <w:lang w:val="en-IE"/>
        </w:rPr>
        <w:t>NiV</w:t>
      </w:r>
      <w:proofErr w:type="spellEnd"/>
      <w:r w:rsidRPr="00686E9D">
        <w:rPr>
          <w:lang w:val="en-IE"/>
        </w:rPr>
        <w:t xml:space="preserve"> antigen by immunohistochemistry </w:t>
      </w:r>
      <w:r w:rsidRPr="00686E9D">
        <w:rPr>
          <w:i w:val="0"/>
          <w:lang w:val="en-IE"/>
        </w:rPr>
        <w:t>(</w:t>
      </w:r>
      <w:r w:rsidRPr="00686E9D">
        <w:rPr>
          <w:lang w:val="en-IE"/>
        </w:rPr>
        <w:t>IHC</w:t>
      </w:r>
      <w:r w:rsidRPr="00686E9D">
        <w:rPr>
          <w:i w:val="0"/>
          <w:lang w:val="en-IE"/>
        </w:rPr>
        <w:t>)</w:t>
      </w:r>
      <w:r w:rsidRPr="00686E9D">
        <w:rPr>
          <w:lang w:val="en-IE"/>
        </w:rPr>
        <w:t xml:space="preserve">. </w:t>
      </w:r>
      <w:r w:rsidRPr="00686E9D">
        <w:rPr>
          <w:strike/>
          <w:lang w:val="en-IE"/>
        </w:rPr>
        <w:t xml:space="preserve">Submissions for IHC should include samples of lung, spleen, kidney and brain at various levels including meninges. In pregnant animals or in cases of abortion, uterus, placenta and </w:t>
      </w:r>
      <w:proofErr w:type="spellStart"/>
      <w:r w:rsidRPr="00686E9D">
        <w:rPr>
          <w:strike/>
          <w:lang w:val="en-IE"/>
        </w:rPr>
        <w:t>fetal</w:t>
      </w:r>
      <w:proofErr w:type="spellEnd"/>
      <w:r w:rsidRPr="00686E9D">
        <w:rPr>
          <w:strike/>
          <w:lang w:val="en-IE"/>
        </w:rPr>
        <w:t xml:space="preserve"> tissues should be included as appropriate. Specimens for virus isolation and molecular detection should be taken from the same fresh tissues of infected organs, and/or urine, throat or nasal swabs. </w:t>
      </w:r>
    </w:p>
    <w:p w14:paraId="63BFA26D" w14:textId="3751A92A" w:rsidR="00682ECF" w:rsidRPr="00686E9D" w:rsidRDefault="00964ED2" w:rsidP="00686E9D">
      <w:pPr>
        <w:pStyle w:val="sumtexte"/>
        <w:rPr>
          <w:lang w:val="en-IE"/>
        </w:rPr>
      </w:pPr>
      <w:r w:rsidRPr="00686E9D">
        <w:rPr>
          <w:b/>
          <w:bCs/>
          <w:lang w:val="en-IE"/>
        </w:rPr>
        <w:t>Serological tests:</w:t>
      </w:r>
      <w:r w:rsidRPr="00686E9D">
        <w:rPr>
          <w:lang w:val="en-IE"/>
        </w:rPr>
        <w:t xml:space="preserve"> </w:t>
      </w:r>
      <w:r w:rsidR="00686E9D">
        <w:rPr>
          <w:u w:val="double"/>
          <w:lang w:val="en-IE"/>
        </w:rPr>
        <w:t>Following</w:t>
      </w:r>
      <w:r w:rsidR="00E6610F" w:rsidRPr="00686E9D">
        <w:rPr>
          <w:u w:val="double"/>
          <w:lang w:val="en-IE"/>
        </w:rPr>
        <w:t xml:space="preserve"> a biological risk assessment</w:t>
      </w:r>
      <w:r w:rsidR="00C95553" w:rsidRPr="00686E9D">
        <w:rPr>
          <w:u w:val="double"/>
          <w:lang w:val="en-IE"/>
        </w:rPr>
        <w:t>,</w:t>
      </w:r>
      <w:r w:rsidR="00E6610F" w:rsidRPr="00686E9D">
        <w:rPr>
          <w:rFonts w:eastAsia="Calibri"/>
          <w:u w:val="double"/>
          <w:lang w:val="en-IE" w:eastAsia="en-US"/>
        </w:rPr>
        <w:t xml:space="preserve"> diagnostic laboratories may decide to </w:t>
      </w:r>
      <w:r w:rsidR="00E6610F" w:rsidRPr="00686E9D">
        <w:rPr>
          <w:bCs/>
          <w:u w:val="double"/>
          <w:lang w:val="en-IE"/>
        </w:rPr>
        <w:t xml:space="preserve">avoid </w:t>
      </w:r>
      <w:r w:rsidR="00E6610F" w:rsidRPr="00686E9D">
        <w:rPr>
          <w:rFonts w:eastAsia="Calibri"/>
          <w:u w:val="double"/>
          <w:lang w:val="en-IE" w:eastAsia="en-US"/>
        </w:rPr>
        <w:t>serological tests that use live virus.</w:t>
      </w:r>
      <w:r w:rsidR="00E6610F" w:rsidRPr="00686E9D">
        <w:rPr>
          <w:rFonts w:eastAsia="Calibri"/>
          <w:lang w:val="en-IE" w:eastAsia="en-US"/>
        </w:rPr>
        <w:t xml:space="preserve"> </w:t>
      </w:r>
      <w:r w:rsidRPr="00686E9D">
        <w:rPr>
          <w:lang w:val="en-IE"/>
        </w:rPr>
        <w:t>Virus neutralisation tests (VNT) and enzyme-linked immunosorbent assay</w:t>
      </w:r>
      <w:r w:rsidR="00A11B2B" w:rsidRPr="00686E9D">
        <w:rPr>
          <w:u w:val="double"/>
          <w:lang w:val="en-IE"/>
        </w:rPr>
        <w:t>s</w:t>
      </w:r>
      <w:r w:rsidRPr="00686E9D">
        <w:rPr>
          <w:lang w:val="en-IE"/>
        </w:rPr>
        <w:t xml:space="preserve"> (ELISA) are available. ELISA </w:t>
      </w:r>
      <w:r w:rsidR="002A680B" w:rsidRPr="00686E9D">
        <w:rPr>
          <w:lang w:val="en-IE"/>
        </w:rPr>
        <w:t xml:space="preserve">is </w:t>
      </w:r>
      <w:r w:rsidRPr="00686E9D">
        <w:rPr>
          <w:lang w:val="en-IE"/>
        </w:rPr>
        <w:t xml:space="preserve">currently being used as </w:t>
      </w:r>
      <w:r w:rsidR="002A680B" w:rsidRPr="00686E9D">
        <w:rPr>
          <w:lang w:val="en-IE"/>
        </w:rPr>
        <w:t xml:space="preserve">a </w:t>
      </w:r>
      <w:r w:rsidRPr="00686E9D">
        <w:rPr>
          <w:lang w:val="en-IE"/>
        </w:rPr>
        <w:t xml:space="preserve">screening tool and VNT is </w:t>
      </w:r>
      <w:r w:rsidRPr="00686E9D">
        <w:rPr>
          <w:strike/>
          <w:lang w:val="en-IE"/>
        </w:rPr>
        <w:t xml:space="preserve">currently </w:t>
      </w:r>
      <w:r w:rsidRPr="00686E9D">
        <w:rPr>
          <w:lang w:val="en-IE"/>
        </w:rPr>
        <w:t>accepted as the reference procedure and confirmat</w:t>
      </w:r>
      <w:r w:rsidR="002A680B" w:rsidRPr="00686E9D">
        <w:rPr>
          <w:lang w:val="en-IE"/>
        </w:rPr>
        <w:t>ory</w:t>
      </w:r>
      <w:r w:rsidRPr="00686E9D">
        <w:rPr>
          <w:lang w:val="en-IE"/>
        </w:rPr>
        <w:t xml:space="preserve"> test. The ability of antibodies to </w:t>
      </w:r>
      <w:proofErr w:type="spellStart"/>
      <w:r w:rsidRPr="00686E9D">
        <w:rPr>
          <w:lang w:val="en-IE"/>
        </w:rPr>
        <w:t>HeV</w:t>
      </w:r>
      <w:proofErr w:type="spellEnd"/>
      <w:r w:rsidRPr="00686E9D">
        <w:rPr>
          <w:lang w:val="en-IE"/>
        </w:rPr>
        <w:t xml:space="preserve"> and </w:t>
      </w:r>
      <w:proofErr w:type="spellStart"/>
      <w:r w:rsidRPr="00686E9D">
        <w:rPr>
          <w:lang w:val="en-IE"/>
        </w:rPr>
        <w:t>NiV</w:t>
      </w:r>
      <w:proofErr w:type="spellEnd"/>
      <w:r w:rsidRPr="00686E9D">
        <w:rPr>
          <w:lang w:val="en-IE"/>
        </w:rPr>
        <w:t xml:space="preserve"> to cross-neutralise to a limited degree means that a single VNT using either virus does not provide definitive identification of antibody specificity. </w:t>
      </w:r>
      <w:r w:rsidRPr="00686E9D">
        <w:rPr>
          <w:strike/>
          <w:lang w:val="en-IE"/>
        </w:rPr>
        <w:t xml:space="preserve">Neutralising antibodies to </w:t>
      </w:r>
      <w:proofErr w:type="spellStart"/>
      <w:r w:rsidRPr="00686E9D">
        <w:rPr>
          <w:strike/>
          <w:lang w:val="en-IE"/>
        </w:rPr>
        <w:t>HeV</w:t>
      </w:r>
      <w:proofErr w:type="spellEnd"/>
      <w:r w:rsidRPr="00686E9D">
        <w:rPr>
          <w:strike/>
          <w:lang w:val="en-IE"/>
        </w:rPr>
        <w:t xml:space="preserve"> and </w:t>
      </w:r>
      <w:proofErr w:type="spellStart"/>
      <w:r w:rsidRPr="00686E9D">
        <w:rPr>
          <w:strike/>
          <w:lang w:val="en-IE"/>
        </w:rPr>
        <w:t>NiV</w:t>
      </w:r>
      <w:proofErr w:type="spellEnd"/>
      <w:r w:rsidRPr="00686E9D">
        <w:rPr>
          <w:strike/>
          <w:lang w:val="en-IE"/>
        </w:rPr>
        <w:t xml:space="preserve"> can be differentiated by the greater capacity to neutralise the homologous compared with the heterologous virus. This may not be a major impediment in outbreak situations where the causative agent is known, but serum samples from suspect cases or from areas of the world other than Australia and Malaysia should be subjected to VNT analyses with both </w:t>
      </w:r>
      <w:proofErr w:type="spellStart"/>
      <w:r w:rsidRPr="00686E9D">
        <w:rPr>
          <w:strike/>
          <w:lang w:val="en-IE"/>
        </w:rPr>
        <w:t>HeV</w:t>
      </w:r>
      <w:proofErr w:type="spellEnd"/>
      <w:r w:rsidRPr="00686E9D">
        <w:rPr>
          <w:strike/>
          <w:lang w:val="en-IE"/>
        </w:rPr>
        <w:t xml:space="preserve"> and </w:t>
      </w:r>
      <w:proofErr w:type="spellStart"/>
      <w:r w:rsidRPr="00686E9D">
        <w:rPr>
          <w:strike/>
          <w:lang w:val="en-IE"/>
        </w:rPr>
        <w:t>NiV</w:t>
      </w:r>
      <w:proofErr w:type="spellEnd"/>
      <w:r w:rsidRPr="00686E9D">
        <w:rPr>
          <w:strike/>
          <w:lang w:val="en-IE"/>
        </w:rPr>
        <w:t>.</w:t>
      </w:r>
      <w:r w:rsidR="00342F90" w:rsidRPr="00686E9D">
        <w:rPr>
          <w:strike/>
          <w:lang w:val="en-IE"/>
        </w:rPr>
        <w:t xml:space="preserve"> </w:t>
      </w:r>
      <w:r w:rsidRPr="00686E9D">
        <w:rPr>
          <w:strike/>
          <w:lang w:val="en-IE"/>
        </w:rPr>
        <w:t xml:space="preserve">The serological relationship between </w:t>
      </w:r>
      <w:proofErr w:type="spellStart"/>
      <w:r w:rsidRPr="00686E9D">
        <w:rPr>
          <w:strike/>
          <w:lang w:val="en-IE"/>
        </w:rPr>
        <w:t>HeV</w:t>
      </w:r>
      <w:proofErr w:type="spellEnd"/>
      <w:r w:rsidRPr="00686E9D">
        <w:rPr>
          <w:strike/>
          <w:lang w:val="en-IE"/>
        </w:rPr>
        <w:t xml:space="preserve"> and </w:t>
      </w:r>
      <w:proofErr w:type="spellStart"/>
      <w:r w:rsidRPr="00686E9D">
        <w:rPr>
          <w:strike/>
          <w:lang w:val="en-IE"/>
        </w:rPr>
        <w:t>NiV</w:t>
      </w:r>
      <w:proofErr w:type="spellEnd"/>
      <w:r w:rsidRPr="00686E9D">
        <w:rPr>
          <w:strike/>
          <w:lang w:val="en-IE"/>
        </w:rPr>
        <w:t xml:space="preserve"> ensures that ELISAs using </w:t>
      </w:r>
      <w:proofErr w:type="spellStart"/>
      <w:r w:rsidRPr="00686E9D">
        <w:rPr>
          <w:strike/>
          <w:lang w:val="en-IE"/>
        </w:rPr>
        <w:t>HeV</w:t>
      </w:r>
      <w:proofErr w:type="spellEnd"/>
      <w:r w:rsidRPr="00686E9D">
        <w:rPr>
          <w:strike/>
          <w:lang w:val="en-IE"/>
        </w:rPr>
        <w:t xml:space="preserve"> or </w:t>
      </w:r>
      <w:proofErr w:type="spellStart"/>
      <w:r w:rsidRPr="00686E9D">
        <w:rPr>
          <w:strike/>
          <w:lang w:val="en-IE"/>
        </w:rPr>
        <w:t>NiV</w:t>
      </w:r>
      <w:proofErr w:type="spellEnd"/>
      <w:r w:rsidRPr="00686E9D">
        <w:rPr>
          <w:strike/>
          <w:lang w:val="en-IE"/>
        </w:rPr>
        <w:t xml:space="preserve"> antigen can be used to detect antibodies to both viruses</w:t>
      </w:r>
      <w:r w:rsidR="005768A8" w:rsidRPr="00686E9D">
        <w:rPr>
          <w:strike/>
          <w:lang w:val="en-IE"/>
        </w:rPr>
        <w:t>.</w:t>
      </w:r>
    </w:p>
    <w:p w14:paraId="49C72C0E" w14:textId="24308752" w:rsidR="00682ECF" w:rsidRPr="00686E9D" w:rsidRDefault="00964ED2">
      <w:pPr>
        <w:pStyle w:val="sumtextelastpara"/>
        <w:rPr>
          <w:lang w:val="en-IE"/>
        </w:rPr>
      </w:pPr>
      <w:r w:rsidRPr="00686E9D">
        <w:rPr>
          <w:b/>
          <w:bCs/>
          <w:lang w:val="en-IE"/>
        </w:rPr>
        <w:t>Requirements for vaccines</w:t>
      </w:r>
      <w:r w:rsidRPr="00686E9D">
        <w:rPr>
          <w:b/>
          <w:bCs/>
          <w:strike/>
          <w:lang w:val="en-IE"/>
        </w:rPr>
        <w:t xml:space="preserve"> and diagnostic biologicals</w:t>
      </w:r>
      <w:r w:rsidRPr="00686E9D">
        <w:rPr>
          <w:b/>
          <w:bCs/>
          <w:lang w:val="en-IE"/>
        </w:rPr>
        <w:t xml:space="preserve">: </w:t>
      </w:r>
      <w:r w:rsidRPr="00686E9D">
        <w:rPr>
          <w:lang w:val="en-IE"/>
        </w:rPr>
        <w:t xml:space="preserve">There is a vaccine available for </w:t>
      </w:r>
      <w:proofErr w:type="spellStart"/>
      <w:r w:rsidRPr="00686E9D">
        <w:rPr>
          <w:lang w:val="en-IE"/>
        </w:rPr>
        <w:t>HeV</w:t>
      </w:r>
      <w:proofErr w:type="spellEnd"/>
      <w:r w:rsidRPr="00686E9D">
        <w:rPr>
          <w:lang w:val="en-IE"/>
        </w:rPr>
        <w:t xml:space="preserve"> </w:t>
      </w:r>
      <w:r w:rsidRPr="009354E6">
        <w:rPr>
          <w:strike/>
          <w:highlight w:val="yellow"/>
          <w:lang w:val="en-IE"/>
        </w:rPr>
        <w:t xml:space="preserve">registered </w:t>
      </w:r>
      <w:r w:rsidR="008E3024" w:rsidRPr="009354E6">
        <w:rPr>
          <w:highlight w:val="yellow"/>
          <w:u w:val="double"/>
          <w:lang w:val="en-IE"/>
        </w:rPr>
        <w:t>approved</w:t>
      </w:r>
      <w:r w:rsidR="008E3024" w:rsidRPr="00686E9D">
        <w:rPr>
          <w:lang w:val="en-IE"/>
        </w:rPr>
        <w:t xml:space="preserve"> </w:t>
      </w:r>
      <w:r w:rsidRPr="00686E9D">
        <w:rPr>
          <w:lang w:val="en-IE"/>
        </w:rPr>
        <w:t xml:space="preserve">for use in horses in Australia. There is no vaccine currently available for </w:t>
      </w:r>
      <w:proofErr w:type="spellStart"/>
      <w:r w:rsidRPr="00686E9D">
        <w:rPr>
          <w:lang w:val="en-IE"/>
        </w:rPr>
        <w:t>NiV</w:t>
      </w:r>
      <w:proofErr w:type="spellEnd"/>
      <w:r w:rsidRPr="00686E9D">
        <w:rPr>
          <w:lang w:val="en-IE"/>
        </w:rPr>
        <w:t>.</w:t>
      </w:r>
    </w:p>
    <w:p w14:paraId="78F1E39C" w14:textId="77777777" w:rsidR="00682ECF" w:rsidRPr="00686E9D" w:rsidRDefault="00964ED2">
      <w:pPr>
        <w:pStyle w:val="A"/>
        <w:rPr>
          <w:lang w:val="en-IE"/>
        </w:rPr>
      </w:pPr>
      <w:r w:rsidRPr="00686E9D">
        <w:rPr>
          <w:lang w:val="en-IE"/>
        </w:rPr>
        <w:t>A.  introduction</w:t>
      </w:r>
    </w:p>
    <w:p w14:paraId="72B5BF4C" w14:textId="2E296D31" w:rsidR="00682ECF" w:rsidRPr="00686E9D" w:rsidRDefault="00964ED2">
      <w:pPr>
        <w:pStyle w:val="paraA"/>
        <w:rPr>
          <w:lang w:val="en-IE"/>
        </w:rPr>
      </w:pPr>
      <w:r w:rsidRPr="00686E9D">
        <w:rPr>
          <w:lang w:val="en-IE"/>
        </w:rPr>
        <w:lastRenderedPageBreak/>
        <w:t>Hendra virus (</w:t>
      </w:r>
      <w:proofErr w:type="spellStart"/>
      <w:r w:rsidRPr="00686E9D">
        <w:rPr>
          <w:lang w:val="en-IE"/>
        </w:rPr>
        <w:t>HeV</w:t>
      </w:r>
      <w:proofErr w:type="spellEnd"/>
      <w:r w:rsidRPr="00686E9D">
        <w:rPr>
          <w:lang w:val="en-IE"/>
        </w:rPr>
        <w:t xml:space="preserve">) and </w:t>
      </w:r>
      <w:proofErr w:type="spellStart"/>
      <w:r w:rsidRPr="00686E9D">
        <w:rPr>
          <w:lang w:val="en-IE"/>
        </w:rPr>
        <w:t>Nipah</w:t>
      </w:r>
      <w:proofErr w:type="spellEnd"/>
      <w:r w:rsidRPr="00686E9D">
        <w:rPr>
          <w:lang w:val="en-IE"/>
        </w:rPr>
        <w:t xml:space="preserve"> virus (</w:t>
      </w:r>
      <w:proofErr w:type="spellStart"/>
      <w:r w:rsidRPr="00686E9D">
        <w:rPr>
          <w:lang w:val="en-IE"/>
        </w:rPr>
        <w:t>NiV</w:t>
      </w:r>
      <w:proofErr w:type="spellEnd"/>
      <w:r w:rsidRPr="00686E9D">
        <w:rPr>
          <w:lang w:val="en-IE"/>
        </w:rPr>
        <w:t xml:space="preserve">) are classified in the family </w:t>
      </w:r>
      <w:proofErr w:type="spellStart"/>
      <w:r w:rsidRPr="00686E9D">
        <w:rPr>
          <w:i/>
          <w:lang w:val="en-IE"/>
        </w:rPr>
        <w:t>Paramyxoviridae</w:t>
      </w:r>
      <w:proofErr w:type="spellEnd"/>
      <w:r w:rsidRPr="00686E9D">
        <w:rPr>
          <w:lang w:val="en-IE"/>
        </w:rPr>
        <w:t xml:space="preserve"> subfamily</w:t>
      </w:r>
      <w:r w:rsidRPr="00686E9D">
        <w:rPr>
          <w:strike/>
          <w:lang w:val="en-IE"/>
        </w:rPr>
        <w:t xml:space="preserve"> </w:t>
      </w:r>
      <w:proofErr w:type="spellStart"/>
      <w:r w:rsidRPr="00686E9D">
        <w:rPr>
          <w:i/>
          <w:strike/>
          <w:lang w:val="en-IE"/>
        </w:rPr>
        <w:t>Paramyxovirinae</w:t>
      </w:r>
      <w:proofErr w:type="spellEnd"/>
      <w:r w:rsidR="005A3E99" w:rsidRPr="00686E9D">
        <w:rPr>
          <w:i/>
          <w:lang w:val="en-IE"/>
        </w:rPr>
        <w:t xml:space="preserve"> </w:t>
      </w:r>
      <w:proofErr w:type="spellStart"/>
      <w:r w:rsidR="005A3E99" w:rsidRPr="00686E9D">
        <w:rPr>
          <w:i/>
          <w:u w:val="double"/>
          <w:lang w:val="en-IE"/>
        </w:rPr>
        <w:t>Orthoparamyxovirinae</w:t>
      </w:r>
      <w:proofErr w:type="spellEnd"/>
      <w:r w:rsidRPr="00686E9D">
        <w:rPr>
          <w:lang w:val="en-IE"/>
        </w:rPr>
        <w:t xml:space="preserve">, genus </w:t>
      </w:r>
      <w:proofErr w:type="spellStart"/>
      <w:r w:rsidRPr="00686E9D">
        <w:rPr>
          <w:i/>
          <w:lang w:val="en-IE"/>
        </w:rPr>
        <w:t>Henipavirus</w:t>
      </w:r>
      <w:proofErr w:type="spellEnd"/>
      <w:r w:rsidRPr="00686E9D">
        <w:rPr>
          <w:lang w:val="en-IE"/>
        </w:rPr>
        <w:t xml:space="preserve">. They have morphological and physicochemical properties typical of paramyxoviruses. The viruses are pleomorphic in shape and enveloped, with herringboned nucleocapsids. Virions are 40–600 nm in diameter. Glycoprotein and fusion protein spikes project through a lipid envelope. </w:t>
      </w:r>
      <w:proofErr w:type="spellStart"/>
      <w:r w:rsidRPr="00686E9D">
        <w:rPr>
          <w:lang w:val="en-IE"/>
        </w:rPr>
        <w:t>HeV</w:t>
      </w:r>
      <w:proofErr w:type="spellEnd"/>
      <w:r w:rsidRPr="00686E9D">
        <w:rPr>
          <w:lang w:val="en-IE"/>
        </w:rPr>
        <w:t xml:space="preserve"> and </w:t>
      </w:r>
      <w:proofErr w:type="spellStart"/>
      <w:r w:rsidRPr="00686E9D">
        <w:rPr>
          <w:lang w:val="en-IE"/>
        </w:rPr>
        <w:t>NiV</w:t>
      </w:r>
      <w:proofErr w:type="spellEnd"/>
      <w:r w:rsidRPr="00686E9D">
        <w:rPr>
          <w:lang w:val="en-IE"/>
        </w:rPr>
        <w:t xml:space="preserve"> have a non-segmented, single-stranded, negative-sense RNA genome (18.2 kb) consisting of six genes which code for six major structural proteins, namely: N (nucleocapsid protein), P (phosphoprotein), M (matrix protein), F (fusion protein), G (glycoprotein) and L (large protein). </w:t>
      </w:r>
    </w:p>
    <w:p w14:paraId="4178A88A" w14:textId="58907E9D" w:rsidR="00682ECF" w:rsidRDefault="00964ED2" w:rsidP="00B43589">
      <w:pPr>
        <w:pStyle w:val="paraA"/>
        <w:rPr>
          <w:lang w:val="en-IE"/>
        </w:rPr>
      </w:pPr>
      <w:proofErr w:type="spellStart"/>
      <w:r w:rsidRPr="00686E9D">
        <w:rPr>
          <w:lang w:val="en-IE"/>
        </w:rPr>
        <w:t>HeV</w:t>
      </w:r>
      <w:proofErr w:type="spellEnd"/>
      <w:r w:rsidRPr="00686E9D">
        <w:rPr>
          <w:lang w:val="en-IE"/>
        </w:rPr>
        <w:t xml:space="preserve"> and </w:t>
      </w:r>
      <w:proofErr w:type="spellStart"/>
      <w:r w:rsidRPr="00686E9D">
        <w:rPr>
          <w:lang w:val="en-IE"/>
        </w:rPr>
        <w:t>NiV</w:t>
      </w:r>
      <w:proofErr w:type="spellEnd"/>
      <w:r w:rsidRPr="00686E9D">
        <w:rPr>
          <w:lang w:val="en-IE"/>
        </w:rPr>
        <w:t xml:space="preserve"> occur naturally as viruses of fruit bats</w:t>
      </w:r>
      <w:r w:rsidR="005A3E99" w:rsidRPr="00686E9D">
        <w:rPr>
          <w:u w:val="double"/>
          <w:lang w:val="en-IE"/>
        </w:rPr>
        <w:t>,</w:t>
      </w:r>
      <w:r w:rsidR="005A3E99" w:rsidRPr="00136F54">
        <w:rPr>
          <w:lang w:val="en-IE"/>
        </w:rPr>
        <w:t xml:space="preserve"> </w:t>
      </w:r>
      <w:r w:rsidRPr="00136F54">
        <w:rPr>
          <w:strike/>
          <w:lang w:val="en-IE"/>
        </w:rPr>
        <w:t xml:space="preserve">commonly </w:t>
      </w:r>
      <w:r w:rsidR="002A5D11" w:rsidRPr="00686E9D">
        <w:rPr>
          <w:u w:val="double"/>
          <w:lang w:val="en-IE"/>
        </w:rPr>
        <w:t>also</w:t>
      </w:r>
      <w:r w:rsidR="002A5D11" w:rsidRPr="00686E9D">
        <w:rPr>
          <w:lang w:val="en-IE"/>
        </w:rPr>
        <w:t xml:space="preserve"> known</w:t>
      </w:r>
      <w:r w:rsidRPr="00686E9D">
        <w:rPr>
          <w:lang w:val="en-IE"/>
        </w:rPr>
        <w:t xml:space="preserve"> as </w:t>
      </w:r>
      <w:r w:rsidRPr="00686E9D">
        <w:rPr>
          <w:strike/>
          <w:lang w:val="en-IE"/>
        </w:rPr>
        <w:t>‘</w:t>
      </w:r>
      <w:r w:rsidRPr="00686E9D">
        <w:rPr>
          <w:lang w:val="en-IE"/>
        </w:rPr>
        <w:t>flying</w:t>
      </w:r>
      <w:r w:rsidR="006773FA" w:rsidRPr="006773FA">
        <w:rPr>
          <w:highlight w:val="yellow"/>
          <w:u w:val="double"/>
          <w:lang w:val="en-IE"/>
        </w:rPr>
        <w:t>-</w:t>
      </w:r>
      <w:r w:rsidRPr="00686E9D">
        <w:rPr>
          <w:lang w:val="en-IE"/>
        </w:rPr>
        <w:t>foxes</w:t>
      </w:r>
      <w:r w:rsidRPr="00686E9D">
        <w:rPr>
          <w:strike/>
          <w:lang w:val="en-IE"/>
        </w:rPr>
        <w:t>’</w:t>
      </w:r>
      <w:r w:rsidRPr="00686E9D">
        <w:rPr>
          <w:lang w:val="en-IE"/>
        </w:rPr>
        <w:t xml:space="preserve">. These are members of the genus </w:t>
      </w:r>
      <w:proofErr w:type="spellStart"/>
      <w:r w:rsidRPr="00686E9D">
        <w:rPr>
          <w:i/>
          <w:lang w:val="en-IE"/>
        </w:rPr>
        <w:t>Pteropus</w:t>
      </w:r>
      <w:proofErr w:type="spellEnd"/>
      <w:r w:rsidRPr="00686E9D">
        <w:rPr>
          <w:i/>
          <w:lang w:val="en-IE"/>
        </w:rPr>
        <w:t xml:space="preserve">, </w:t>
      </w:r>
      <w:r w:rsidRPr="00686E9D">
        <w:rPr>
          <w:lang w:val="en-IE"/>
        </w:rPr>
        <w:t xml:space="preserve">family </w:t>
      </w:r>
      <w:proofErr w:type="spellStart"/>
      <w:r w:rsidRPr="00686E9D">
        <w:rPr>
          <w:i/>
          <w:lang w:val="en-IE"/>
        </w:rPr>
        <w:t>Pteropodidae</w:t>
      </w:r>
      <w:proofErr w:type="spellEnd"/>
      <w:r w:rsidRPr="00686E9D">
        <w:rPr>
          <w:lang w:val="en-IE"/>
        </w:rPr>
        <w:t xml:space="preserve">. Antibodies to </w:t>
      </w:r>
      <w:proofErr w:type="spellStart"/>
      <w:r w:rsidRPr="00686E9D">
        <w:rPr>
          <w:lang w:val="en-IE"/>
        </w:rPr>
        <w:t>HeV</w:t>
      </w:r>
      <w:proofErr w:type="spellEnd"/>
      <w:r w:rsidRPr="00686E9D">
        <w:rPr>
          <w:lang w:val="en-IE"/>
        </w:rPr>
        <w:t xml:space="preserve"> </w:t>
      </w:r>
      <w:r w:rsidRPr="00686E9D">
        <w:rPr>
          <w:strike/>
          <w:lang w:val="en-IE"/>
        </w:rPr>
        <w:t>are found</w:t>
      </w:r>
      <w:r w:rsidR="00306510" w:rsidRPr="00686E9D">
        <w:rPr>
          <w:strike/>
          <w:u w:val="double"/>
          <w:lang w:val="en-IE"/>
        </w:rPr>
        <w:t xml:space="preserve"> </w:t>
      </w:r>
      <w:r w:rsidR="00306510" w:rsidRPr="00686E9D">
        <w:rPr>
          <w:u w:val="double"/>
          <w:lang w:val="en-IE"/>
        </w:rPr>
        <w:t>have been detected</w:t>
      </w:r>
      <w:r w:rsidRPr="00686E9D">
        <w:rPr>
          <w:lang w:val="en-IE"/>
        </w:rPr>
        <w:t xml:space="preserve"> in all four Australian </w:t>
      </w:r>
      <w:proofErr w:type="spellStart"/>
      <w:r w:rsidRPr="00686E9D">
        <w:rPr>
          <w:lang w:val="en-IE"/>
        </w:rPr>
        <w:t>pteropus</w:t>
      </w:r>
      <w:proofErr w:type="spellEnd"/>
      <w:r w:rsidRPr="00686E9D">
        <w:rPr>
          <w:lang w:val="en-IE"/>
        </w:rPr>
        <w:t xml:space="preserve"> species with seroprevalence varying over time</w:t>
      </w:r>
      <w:r w:rsidRPr="009354E6">
        <w:rPr>
          <w:strike/>
          <w:lang w:val="en-IE"/>
        </w:rPr>
        <w:t xml:space="preserve"> </w:t>
      </w:r>
      <w:r w:rsidRPr="009354E6">
        <w:rPr>
          <w:strike/>
          <w:highlight w:val="yellow"/>
          <w:lang w:val="en-IE"/>
        </w:rPr>
        <w:t>and location</w:t>
      </w:r>
      <w:r w:rsidRPr="009354E6">
        <w:rPr>
          <w:highlight w:val="yellow"/>
          <w:lang w:val="en-IE"/>
        </w:rPr>
        <w:t xml:space="preserve">. </w:t>
      </w:r>
      <w:r w:rsidR="000145DE" w:rsidRPr="009354E6">
        <w:rPr>
          <w:highlight w:val="yellow"/>
          <w:u w:val="double"/>
          <w:lang w:val="en-IE"/>
        </w:rPr>
        <w:t xml:space="preserve">To date, all </w:t>
      </w:r>
      <w:proofErr w:type="spellStart"/>
      <w:r w:rsidR="000145DE" w:rsidRPr="009354E6">
        <w:rPr>
          <w:highlight w:val="yellow"/>
          <w:u w:val="double"/>
          <w:lang w:val="en-IE"/>
        </w:rPr>
        <w:t>HeV</w:t>
      </w:r>
      <w:proofErr w:type="spellEnd"/>
      <w:r w:rsidR="000145DE" w:rsidRPr="009354E6">
        <w:rPr>
          <w:highlight w:val="yellow"/>
          <w:u w:val="double"/>
          <w:lang w:val="en-IE"/>
        </w:rPr>
        <w:t xml:space="preserve"> cases in horses have occurred </w:t>
      </w:r>
      <w:bookmarkStart w:id="1" w:name="_Hlk95813607"/>
      <w:r w:rsidR="000145DE" w:rsidRPr="009354E6">
        <w:rPr>
          <w:highlight w:val="yellow"/>
          <w:u w:val="double"/>
          <w:lang w:val="en-IE"/>
        </w:rPr>
        <w:t xml:space="preserve">within the geographical range of the </w:t>
      </w:r>
      <w:proofErr w:type="spellStart"/>
      <w:r w:rsidR="000145DE" w:rsidRPr="009354E6">
        <w:rPr>
          <w:i/>
          <w:highlight w:val="yellow"/>
          <w:u w:val="double"/>
          <w:lang w:val="en-IE"/>
        </w:rPr>
        <w:t>Pteropus</w:t>
      </w:r>
      <w:proofErr w:type="spellEnd"/>
      <w:r w:rsidR="000145DE" w:rsidRPr="009354E6">
        <w:rPr>
          <w:i/>
          <w:highlight w:val="yellow"/>
          <w:u w:val="double"/>
          <w:lang w:val="en-IE"/>
        </w:rPr>
        <w:t xml:space="preserve"> </w:t>
      </w:r>
      <w:r w:rsidR="000145DE" w:rsidRPr="009354E6">
        <w:rPr>
          <w:highlight w:val="yellow"/>
          <w:u w:val="double"/>
          <w:lang w:val="en-IE"/>
        </w:rPr>
        <w:t>bats</w:t>
      </w:r>
      <w:bookmarkEnd w:id="1"/>
      <w:r w:rsidR="000145DE" w:rsidRPr="009354E6">
        <w:rPr>
          <w:highlight w:val="yellow"/>
          <w:u w:val="double"/>
          <w:lang w:val="en-IE"/>
        </w:rPr>
        <w:t>, which correlates to the east coast of Australia.</w:t>
      </w:r>
      <w:r w:rsidR="000145DE">
        <w:rPr>
          <w:lang w:val="en-IE"/>
        </w:rPr>
        <w:t xml:space="preserve"> </w:t>
      </w:r>
      <w:r w:rsidRPr="00686E9D">
        <w:rPr>
          <w:strike/>
          <w:lang w:val="en-IE"/>
        </w:rPr>
        <w:t xml:space="preserve">Serological surveys of antibodies to </w:t>
      </w:r>
      <w:proofErr w:type="spellStart"/>
      <w:r w:rsidRPr="00686E9D">
        <w:rPr>
          <w:strike/>
          <w:lang w:val="en-IE"/>
        </w:rPr>
        <w:t>NiV</w:t>
      </w:r>
      <w:proofErr w:type="spellEnd"/>
      <w:r w:rsidRPr="00686E9D">
        <w:rPr>
          <w:strike/>
          <w:lang w:val="en-IE"/>
        </w:rPr>
        <w:t xml:space="preserve"> show seropreval</w:t>
      </w:r>
      <w:r w:rsidR="00D45801" w:rsidRPr="00686E9D">
        <w:rPr>
          <w:strike/>
          <w:lang w:val="en-IE"/>
        </w:rPr>
        <w:t>e</w:t>
      </w:r>
      <w:r w:rsidRPr="00686E9D">
        <w:rPr>
          <w:strike/>
          <w:lang w:val="en-IE"/>
        </w:rPr>
        <w:t xml:space="preserve">nces up to </w:t>
      </w:r>
      <w:r w:rsidR="00087245" w:rsidRPr="00686E9D">
        <w:rPr>
          <w:strike/>
          <w:lang w:val="en-IE"/>
        </w:rPr>
        <w:t>75</w:t>
      </w:r>
      <w:r w:rsidRPr="00686E9D">
        <w:rPr>
          <w:strike/>
          <w:lang w:val="en-IE"/>
        </w:rPr>
        <w:t xml:space="preserve">% in Malaysian </w:t>
      </w:r>
      <w:proofErr w:type="spellStart"/>
      <w:r w:rsidRPr="00686E9D">
        <w:rPr>
          <w:strike/>
          <w:lang w:val="en-IE"/>
        </w:rPr>
        <w:t>pteropid</w:t>
      </w:r>
      <w:proofErr w:type="spellEnd"/>
      <w:r w:rsidRPr="00686E9D">
        <w:rPr>
          <w:strike/>
          <w:lang w:val="en-IE"/>
        </w:rPr>
        <w:t xml:space="preserve"> bats (</w:t>
      </w:r>
      <w:proofErr w:type="spellStart"/>
      <w:r w:rsidR="00737AD2" w:rsidRPr="00686E9D">
        <w:rPr>
          <w:strike/>
          <w:lang w:val="en-IE"/>
        </w:rPr>
        <w:t>Sohayati</w:t>
      </w:r>
      <w:proofErr w:type="spellEnd"/>
      <w:r w:rsidR="00737AD2" w:rsidRPr="00686E9D">
        <w:rPr>
          <w:strike/>
          <w:lang w:val="en-IE"/>
        </w:rPr>
        <w:t xml:space="preserve"> </w:t>
      </w:r>
      <w:r w:rsidR="00737AD2" w:rsidRPr="00686E9D">
        <w:rPr>
          <w:i/>
          <w:strike/>
          <w:lang w:val="en-IE"/>
        </w:rPr>
        <w:t>et al</w:t>
      </w:r>
      <w:r w:rsidR="00087245" w:rsidRPr="00686E9D">
        <w:rPr>
          <w:strike/>
          <w:lang w:val="en-IE"/>
        </w:rPr>
        <w:t>.</w:t>
      </w:r>
      <w:r w:rsidR="00737AD2" w:rsidRPr="00686E9D">
        <w:rPr>
          <w:strike/>
          <w:lang w:val="en-IE"/>
        </w:rPr>
        <w:t>, 2011</w:t>
      </w:r>
      <w:r w:rsidR="00087245" w:rsidRPr="00686E9D">
        <w:rPr>
          <w:strike/>
          <w:lang w:val="en-IE"/>
        </w:rPr>
        <w:t>; 2013</w:t>
      </w:r>
      <w:r w:rsidR="00D44A37" w:rsidRPr="00686E9D">
        <w:rPr>
          <w:strike/>
          <w:lang w:val="en-IE"/>
        </w:rPr>
        <w:t>)</w:t>
      </w:r>
      <w:r w:rsidR="00087245" w:rsidRPr="00686E9D">
        <w:rPr>
          <w:strike/>
          <w:lang w:val="en-IE"/>
        </w:rPr>
        <w:t>.</w:t>
      </w:r>
      <w:r w:rsidRPr="00686E9D">
        <w:rPr>
          <w:strike/>
          <w:lang w:val="en-IE"/>
        </w:rPr>
        <w:t xml:space="preserve"> </w:t>
      </w:r>
      <w:r w:rsidRPr="00686E9D">
        <w:rPr>
          <w:lang w:val="en-IE"/>
        </w:rPr>
        <w:t xml:space="preserve">Antibodies to </w:t>
      </w:r>
      <w:proofErr w:type="spellStart"/>
      <w:r w:rsidRPr="00686E9D">
        <w:rPr>
          <w:lang w:val="en-IE"/>
        </w:rPr>
        <w:t>NiV</w:t>
      </w:r>
      <w:proofErr w:type="spellEnd"/>
      <w:r w:rsidRPr="00686E9D">
        <w:rPr>
          <w:lang w:val="en-IE"/>
        </w:rPr>
        <w:t xml:space="preserve"> or </w:t>
      </w:r>
      <w:r w:rsidRPr="00686E9D">
        <w:rPr>
          <w:strike/>
          <w:lang w:val="en-IE"/>
        </w:rPr>
        <w:t xml:space="preserve">putative </w:t>
      </w:r>
      <w:r w:rsidRPr="00686E9D">
        <w:rPr>
          <w:lang w:val="en-IE"/>
        </w:rPr>
        <w:t xml:space="preserve">closely related viruses have </w:t>
      </w:r>
      <w:r w:rsidRPr="00686E9D">
        <w:rPr>
          <w:strike/>
          <w:lang w:val="en-IE"/>
        </w:rPr>
        <w:t xml:space="preserve">subsequently </w:t>
      </w:r>
      <w:r w:rsidRPr="00686E9D">
        <w:rPr>
          <w:lang w:val="en-IE"/>
        </w:rPr>
        <w:t xml:space="preserve">been detected in </w:t>
      </w:r>
      <w:proofErr w:type="spellStart"/>
      <w:r w:rsidRPr="00686E9D">
        <w:rPr>
          <w:lang w:val="en-IE"/>
        </w:rPr>
        <w:t>pteropid</w:t>
      </w:r>
      <w:proofErr w:type="spellEnd"/>
      <w:r w:rsidRPr="00686E9D">
        <w:rPr>
          <w:lang w:val="en-IE"/>
        </w:rPr>
        <w:t xml:space="preserve"> bats </w:t>
      </w:r>
      <w:r w:rsidR="004C5ED1" w:rsidRPr="00686E9D">
        <w:rPr>
          <w:lang w:val="en-IE"/>
        </w:rPr>
        <w:t>over much of their geographical range</w:t>
      </w:r>
      <w:r w:rsidR="004C5ED1" w:rsidRPr="00686E9D">
        <w:rPr>
          <w:strike/>
          <w:lang w:val="en-IE"/>
        </w:rPr>
        <w:t xml:space="preserve">: </w:t>
      </w:r>
      <w:r w:rsidRPr="00686E9D">
        <w:rPr>
          <w:strike/>
          <w:lang w:val="en-IE"/>
        </w:rPr>
        <w:t xml:space="preserve">in Bangladesh, Cambodia (Olson </w:t>
      </w:r>
      <w:r w:rsidRPr="00686E9D">
        <w:rPr>
          <w:i/>
          <w:strike/>
          <w:lang w:val="en-IE"/>
        </w:rPr>
        <w:t>et al</w:t>
      </w:r>
      <w:r w:rsidRPr="00686E9D">
        <w:rPr>
          <w:strike/>
          <w:lang w:val="en-IE"/>
        </w:rPr>
        <w:t xml:space="preserve">., 2002; </w:t>
      </w:r>
      <w:proofErr w:type="spellStart"/>
      <w:r w:rsidRPr="00686E9D">
        <w:rPr>
          <w:strike/>
          <w:lang w:val="en-IE"/>
        </w:rPr>
        <w:t>Reynes</w:t>
      </w:r>
      <w:proofErr w:type="spellEnd"/>
      <w:r w:rsidRPr="00686E9D">
        <w:rPr>
          <w:strike/>
          <w:lang w:val="en-IE"/>
        </w:rPr>
        <w:t xml:space="preserve"> </w:t>
      </w:r>
      <w:r w:rsidRPr="00686E9D">
        <w:rPr>
          <w:i/>
          <w:strike/>
          <w:lang w:val="en-IE"/>
        </w:rPr>
        <w:t>et al</w:t>
      </w:r>
      <w:r w:rsidRPr="00686E9D">
        <w:rPr>
          <w:strike/>
          <w:lang w:val="en-IE"/>
        </w:rPr>
        <w:t>., 2005), Indonesia (</w:t>
      </w:r>
      <w:proofErr w:type="spellStart"/>
      <w:r w:rsidRPr="00686E9D">
        <w:rPr>
          <w:strike/>
          <w:lang w:val="en-IE"/>
        </w:rPr>
        <w:t>Sendow</w:t>
      </w:r>
      <w:proofErr w:type="spellEnd"/>
      <w:r w:rsidRPr="00686E9D">
        <w:rPr>
          <w:strike/>
          <w:lang w:val="en-IE"/>
        </w:rPr>
        <w:t xml:space="preserve"> </w:t>
      </w:r>
      <w:r w:rsidRPr="00686E9D">
        <w:rPr>
          <w:i/>
          <w:strike/>
          <w:lang w:val="en-IE"/>
        </w:rPr>
        <w:t>et al</w:t>
      </w:r>
      <w:r w:rsidRPr="00686E9D">
        <w:rPr>
          <w:strike/>
          <w:lang w:val="en-IE"/>
        </w:rPr>
        <w:t>., 2006), Madagascar (</w:t>
      </w:r>
      <w:proofErr w:type="spellStart"/>
      <w:r w:rsidRPr="00686E9D">
        <w:rPr>
          <w:strike/>
          <w:lang w:val="en-IE"/>
        </w:rPr>
        <w:t>Iehle</w:t>
      </w:r>
      <w:proofErr w:type="spellEnd"/>
      <w:r w:rsidRPr="00686E9D">
        <w:rPr>
          <w:strike/>
          <w:lang w:val="en-IE"/>
        </w:rPr>
        <w:t xml:space="preserve"> </w:t>
      </w:r>
      <w:r w:rsidRPr="00686E9D">
        <w:rPr>
          <w:i/>
          <w:strike/>
          <w:lang w:val="en-IE"/>
        </w:rPr>
        <w:t>et al</w:t>
      </w:r>
      <w:r w:rsidRPr="00686E9D">
        <w:rPr>
          <w:strike/>
          <w:lang w:val="en-IE"/>
        </w:rPr>
        <w:t>., 2007) and Thailand (</w:t>
      </w:r>
      <w:proofErr w:type="spellStart"/>
      <w:r w:rsidRPr="00686E9D">
        <w:rPr>
          <w:strike/>
          <w:lang w:val="en-IE"/>
        </w:rPr>
        <w:t>Wacharapluesadee</w:t>
      </w:r>
      <w:proofErr w:type="spellEnd"/>
      <w:r w:rsidRPr="00686E9D">
        <w:rPr>
          <w:strike/>
          <w:lang w:val="en-IE"/>
        </w:rPr>
        <w:t xml:space="preserve"> </w:t>
      </w:r>
      <w:r w:rsidRPr="00686E9D">
        <w:rPr>
          <w:i/>
          <w:strike/>
          <w:lang w:val="en-IE"/>
        </w:rPr>
        <w:t>et al</w:t>
      </w:r>
      <w:r w:rsidRPr="00686E9D">
        <w:rPr>
          <w:strike/>
          <w:lang w:val="en-IE"/>
        </w:rPr>
        <w:t>., 2005)</w:t>
      </w:r>
      <w:r w:rsidR="00415DCC" w:rsidRPr="00686E9D">
        <w:rPr>
          <w:lang w:val="en-IE"/>
        </w:rPr>
        <w:t xml:space="preserve">. </w:t>
      </w:r>
      <w:r w:rsidRPr="00686E9D">
        <w:rPr>
          <w:lang w:val="en-IE"/>
        </w:rPr>
        <w:t>HeV</w:t>
      </w:r>
      <w:r w:rsidR="00132E2C" w:rsidRPr="00E02688">
        <w:rPr>
          <w:u w:val="double"/>
          <w:lang w:val="en-IE"/>
        </w:rPr>
        <w:t>-g1</w:t>
      </w:r>
      <w:r w:rsidRPr="00686E9D">
        <w:rPr>
          <w:lang w:val="en-IE"/>
        </w:rPr>
        <w:t xml:space="preserve"> has been isolated from Australian flying</w:t>
      </w:r>
      <w:r w:rsidR="00D12A45">
        <w:rPr>
          <w:lang w:val="en-IE"/>
        </w:rPr>
        <w:t>-</w:t>
      </w:r>
      <w:r w:rsidRPr="00686E9D">
        <w:rPr>
          <w:lang w:val="en-IE"/>
        </w:rPr>
        <w:t xml:space="preserve">foxes (Halpin </w:t>
      </w:r>
      <w:r w:rsidRPr="00686E9D">
        <w:rPr>
          <w:i/>
          <w:lang w:val="en-IE"/>
        </w:rPr>
        <w:t>et al</w:t>
      </w:r>
      <w:r w:rsidRPr="00686E9D">
        <w:rPr>
          <w:lang w:val="en-IE"/>
        </w:rPr>
        <w:t xml:space="preserve">., 2000), </w:t>
      </w:r>
      <w:r w:rsidR="00B43589" w:rsidRPr="00E02688">
        <w:rPr>
          <w:u w:val="double"/>
          <w:lang w:val="en-IE"/>
        </w:rPr>
        <w:t xml:space="preserve">with a novel </w:t>
      </w:r>
      <w:proofErr w:type="spellStart"/>
      <w:r w:rsidR="00B43589" w:rsidRPr="00E02688">
        <w:rPr>
          <w:u w:val="double"/>
          <w:lang w:val="en-IE"/>
        </w:rPr>
        <w:t>HeV</w:t>
      </w:r>
      <w:proofErr w:type="spellEnd"/>
      <w:r w:rsidR="00B43589" w:rsidRPr="00E02688">
        <w:rPr>
          <w:u w:val="double"/>
          <w:lang w:val="en-IE"/>
        </w:rPr>
        <w:t xml:space="preserve"> genotype (HeV-g2) detected in two flying</w:t>
      </w:r>
      <w:r w:rsidR="00D12A45">
        <w:rPr>
          <w:u w:val="double"/>
          <w:lang w:val="en-IE"/>
        </w:rPr>
        <w:t>-</w:t>
      </w:r>
      <w:r w:rsidR="00B43589" w:rsidRPr="00E02688">
        <w:rPr>
          <w:u w:val="double"/>
          <w:lang w:val="en-IE"/>
        </w:rPr>
        <w:t xml:space="preserve">fox species in Australia (Wang </w:t>
      </w:r>
      <w:r w:rsidR="00B43589" w:rsidRPr="00E02688">
        <w:rPr>
          <w:i/>
          <w:iCs/>
          <w:u w:val="double"/>
          <w:lang w:val="en-IE"/>
        </w:rPr>
        <w:t>et al.,</w:t>
      </w:r>
      <w:r w:rsidR="00B43589" w:rsidRPr="00E02688">
        <w:rPr>
          <w:u w:val="double"/>
          <w:lang w:val="en-IE"/>
        </w:rPr>
        <w:t xml:space="preserve"> 2021).</w:t>
      </w:r>
      <w:r w:rsidR="00B43589" w:rsidRPr="00E02688">
        <w:rPr>
          <w:lang w:val="en-IE"/>
        </w:rPr>
        <w:t xml:space="preserve"> </w:t>
      </w:r>
      <w:r w:rsidRPr="00E02688">
        <w:rPr>
          <w:strike/>
          <w:lang w:val="en-IE"/>
        </w:rPr>
        <w:t xml:space="preserve">and </w:t>
      </w:r>
      <w:proofErr w:type="spellStart"/>
      <w:r w:rsidRPr="00686E9D">
        <w:rPr>
          <w:lang w:val="en-IE"/>
        </w:rPr>
        <w:t>NiV</w:t>
      </w:r>
      <w:proofErr w:type="spellEnd"/>
      <w:r w:rsidRPr="00686E9D">
        <w:rPr>
          <w:lang w:val="en-IE"/>
        </w:rPr>
        <w:t xml:space="preserve"> </w:t>
      </w:r>
      <w:r w:rsidR="00B43589" w:rsidRPr="00E02688">
        <w:rPr>
          <w:u w:val="double"/>
          <w:lang w:val="en-IE"/>
        </w:rPr>
        <w:t>has been isolated</w:t>
      </w:r>
      <w:r w:rsidR="00B43589">
        <w:rPr>
          <w:lang w:val="en-IE"/>
        </w:rPr>
        <w:t xml:space="preserve"> </w:t>
      </w:r>
      <w:r w:rsidRPr="00686E9D">
        <w:rPr>
          <w:lang w:val="en-IE"/>
        </w:rPr>
        <w:t xml:space="preserve">from </w:t>
      </w:r>
      <w:proofErr w:type="gramStart"/>
      <w:r w:rsidRPr="00686E9D">
        <w:rPr>
          <w:lang w:val="en-IE"/>
        </w:rPr>
        <w:t>flying</w:t>
      </w:r>
      <w:r w:rsidR="00D12A45">
        <w:rPr>
          <w:lang w:val="en-IE"/>
        </w:rPr>
        <w:t>-</w:t>
      </w:r>
      <w:r w:rsidRPr="00686E9D">
        <w:rPr>
          <w:lang w:val="en-IE"/>
        </w:rPr>
        <w:t>foxes</w:t>
      </w:r>
      <w:proofErr w:type="gramEnd"/>
      <w:r w:rsidRPr="00686E9D">
        <w:rPr>
          <w:lang w:val="en-IE"/>
        </w:rPr>
        <w:t xml:space="preserve"> </w:t>
      </w:r>
      <w:r w:rsidRPr="00686E9D">
        <w:rPr>
          <w:strike/>
          <w:lang w:val="en-IE"/>
        </w:rPr>
        <w:t xml:space="preserve">from </w:t>
      </w:r>
      <w:r w:rsidR="00B8758B" w:rsidRPr="00686E9D">
        <w:rPr>
          <w:u w:val="double"/>
          <w:lang w:val="en-IE"/>
        </w:rPr>
        <w:t>in</w:t>
      </w:r>
      <w:r w:rsidR="00B8758B" w:rsidRPr="00686E9D">
        <w:rPr>
          <w:lang w:val="en-IE"/>
        </w:rPr>
        <w:t xml:space="preserve"> </w:t>
      </w:r>
      <w:r w:rsidRPr="00686E9D">
        <w:rPr>
          <w:lang w:val="en-IE"/>
        </w:rPr>
        <w:t xml:space="preserve">Malaysia and Cambodia (Chua </w:t>
      </w:r>
      <w:r w:rsidRPr="00686E9D">
        <w:rPr>
          <w:i/>
          <w:lang w:val="en-IE"/>
        </w:rPr>
        <w:t>et al</w:t>
      </w:r>
      <w:r w:rsidRPr="00686E9D">
        <w:rPr>
          <w:lang w:val="en-IE"/>
        </w:rPr>
        <w:t xml:space="preserve">., 2002; </w:t>
      </w:r>
      <w:proofErr w:type="spellStart"/>
      <w:r w:rsidRPr="00686E9D">
        <w:rPr>
          <w:lang w:val="en-IE"/>
        </w:rPr>
        <w:t>Reynes</w:t>
      </w:r>
      <w:proofErr w:type="spellEnd"/>
      <w:r w:rsidRPr="00686E9D">
        <w:rPr>
          <w:lang w:val="en-IE"/>
        </w:rPr>
        <w:t xml:space="preserve"> </w:t>
      </w:r>
      <w:r w:rsidRPr="00686E9D">
        <w:rPr>
          <w:i/>
          <w:lang w:val="en-IE"/>
        </w:rPr>
        <w:t>et al</w:t>
      </w:r>
      <w:r w:rsidRPr="00686E9D">
        <w:rPr>
          <w:lang w:val="en-IE"/>
        </w:rPr>
        <w:t>., 2005</w:t>
      </w:r>
      <w:r w:rsidR="004C5ED1" w:rsidRPr="00686E9D">
        <w:rPr>
          <w:strike/>
          <w:lang w:val="en-IE"/>
        </w:rPr>
        <w:t xml:space="preserve">; </w:t>
      </w:r>
      <w:proofErr w:type="spellStart"/>
      <w:r w:rsidR="004C5ED1" w:rsidRPr="00686E9D">
        <w:rPr>
          <w:strike/>
          <w:lang w:val="en-IE"/>
        </w:rPr>
        <w:t>Sohayati</w:t>
      </w:r>
      <w:proofErr w:type="spellEnd"/>
      <w:r w:rsidR="004C5ED1" w:rsidRPr="00686E9D">
        <w:rPr>
          <w:strike/>
          <w:lang w:val="en-IE"/>
        </w:rPr>
        <w:t xml:space="preserve"> </w:t>
      </w:r>
      <w:r w:rsidR="004C5ED1" w:rsidRPr="00686E9D">
        <w:rPr>
          <w:i/>
          <w:strike/>
          <w:lang w:val="en-IE"/>
        </w:rPr>
        <w:t>et al</w:t>
      </w:r>
      <w:r w:rsidR="004C5ED1" w:rsidRPr="00686E9D">
        <w:rPr>
          <w:strike/>
          <w:lang w:val="en-IE"/>
        </w:rPr>
        <w:t>., 2011</w:t>
      </w:r>
      <w:r w:rsidRPr="00686E9D">
        <w:rPr>
          <w:lang w:val="en-IE"/>
        </w:rPr>
        <w:t xml:space="preserve">). </w:t>
      </w:r>
      <w:proofErr w:type="spellStart"/>
      <w:r w:rsidRPr="00686E9D">
        <w:rPr>
          <w:strike/>
          <w:lang w:val="en-IE"/>
        </w:rPr>
        <w:t>NiV</w:t>
      </w:r>
      <w:proofErr w:type="spellEnd"/>
      <w:r w:rsidRPr="00686E9D">
        <w:rPr>
          <w:strike/>
          <w:lang w:val="en-IE"/>
        </w:rPr>
        <w:t xml:space="preserve"> RNA has been detected by reverse</w:t>
      </w:r>
      <w:r w:rsidR="00BD7554" w:rsidRPr="00686E9D">
        <w:rPr>
          <w:strike/>
          <w:lang w:val="en-IE"/>
        </w:rPr>
        <w:t>-</w:t>
      </w:r>
      <w:r w:rsidRPr="00686E9D">
        <w:rPr>
          <w:strike/>
          <w:lang w:val="en-IE"/>
        </w:rPr>
        <w:t>transcript</w:t>
      </w:r>
      <w:r w:rsidR="00BD7554" w:rsidRPr="00686E9D">
        <w:rPr>
          <w:strike/>
          <w:lang w:val="en-IE"/>
        </w:rPr>
        <w:t>ion</w:t>
      </w:r>
      <w:r w:rsidRPr="00686E9D">
        <w:rPr>
          <w:strike/>
          <w:lang w:val="en-IE"/>
        </w:rPr>
        <w:t xml:space="preserve"> polymerase chain reaction (RT-PCR) in </w:t>
      </w:r>
      <w:proofErr w:type="spellStart"/>
      <w:r w:rsidRPr="00686E9D">
        <w:rPr>
          <w:strike/>
          <w:lang w:val="en-IE"/>
        </w:rPr>
        <w:t>pteropid</w:t>
      </w:r>
      <w:proofErr w:type="spellEnd"/>
      <w:r w:rsidRPr="00686E9D">
        <w:rPr>
          <w:strike/>
          <w:lang w:val="en-IE"/>
        </w:rPr>
        <w:t xml:space="preserve"> bat urine, saliva and blood in Thailand (</w:t>
      </w:r>
      <w:proofErr w:type="spellStart"/>
      <w:r w:rsidRPr="00686E9D">
        <w:rPr>
          <w:strike/>
          <w:lang w:val="en-IE"/>
        </w:rPr>
        <w:t>Wacharapluesadee</w:t>
      </w:r>
      <w:proofErr w:type="spellEnd"/>
      <w:r w:rsidRPr="00686E9D">
        <w:rPr>
          <w:strike/>
          <w:lang w:val="en-IE"/>
        </w:rPr>
        <w:t xml:space="preserve"> &amp; </w:t>
      </w:r>
      <w:proofErr w:type="spellStart"/>
      <w:r w:rsidRPr="00686E9D">
        <w:rPr>
          <w:strike/>
          <w:lang w:val="en-IE"/>
        </w:rPr>
        <w:t>Hemachudha</w:t>
      </w:r>
      <w:proofErr w:type="spellEnd"/>
      <w:r w:rsidRPr="00686E9D">
        <w:rPr>
          <w:strike/>
          <w:lang w:val="en-IE"/>
        </w:rPr>
        <w:t xml:space="preserve">, 2007; </w:t>
      </w:r>
      <w:proofErr w:type="spellStart"/>
      <w:r w:rsidRPr="00686E9D">
        <w:rPr>
          <w:strike/>
          <w:lang w:val="en-IE"/>
        </w:rPr>
        <w:t>Wacharapluesadee</w:t>
      </w:r>
      <w:proofErr w:type="spellEnd"/>
      <w:r w:rsidRPr="00686E9D">
        <w:rPr>
          <w:strike/>
          <w:lang w:val="en-IE"/>
        </w:rPr>
        <w:t xml:space="preserve"> </w:t>
      </w:r>
      <w:r w:rsidRPr="00686E9D">
        <w:rPr>
          <w:i/>
          <w:strike/>
          <w:lang w:val="en-IE"/>
        </w:rPr>
        <w:t>et al</w:t>
      </w:r>
      <w:r w:rsidRPr="00686E9D">
        <w:rPr>
          <w:strike/>
          <w:lang w:val="en-IE"/>
        </w:rPr>
        <w:t xml:space="preserve">., 2005). </w:t>
      </w:r>
      <w:r w:rsidRPr="00686E9D">
        <w:rPr>
          <w:lang w:val="en-IE"/>
        </w:rPr>
        <w:t xml:space="preserve">In Ghana, </w:t>
      </w:r>
      <w:r w:rsidR="00176957" w:rsidRPr="00686E9D">
        <w:rPr>
          <w:u w:val="double"/>
          <w:lang w:val="en-IE"/>
        </w:rPr>
        <w:t>a small study showed</w:t>
      </w:r>
      <w:r w:rsidR="00176957" w:rsidRPr="00686E9D">
        <w:rPr>
          <w:lang w:val="en-IE"/>
        </w:rPr>
        <w:t xml:space="preserve"> </w:t>
      </w:r>
      <w:r w:rsidRPr="00686E9D">
        <w:rPr>
          <w:lang w:val="en-IE"/>
        </w:rPr>
        <w:t xml:space="preserve">39% of </w:t>
      </w:r>
      <w:r w:rsidRPr="00686E9D">
        <w:rPr>
          <w:i/>
          <w:lang w:val="en-IE"/>
        </w:rPr>
        <w:t xml:space="preserve">Eidolon </w:t>
      </w:r>
      <w:proofErr w:type="spellStart"/>
      <w:r w:rsidRPr="00686E9D">
        <w:rPr>
          <w:i/>
          <w:lang w:val="en-IE"/>
        </w:rPr>
        <w:t>helvum</w:t>
      </w:r>
      <w:proofErr w:type="spellEnd"/>
      <w:r w:rsidRPr="00686E9D">
        <w:rPr>
          <w:lang w:val="en-IE"/>
        </w:rPr>
        <w:t>, a non-</w:t>
      </w:r>
      <w:proofErr w:type="spellStart"/>
      <w:r w:rsidRPr="00686E9D">
        <w:rPr>
          <w:lang w:val="en-IE"/>
        </w:rPr>
        <w:t>pteropus</w:t>
      </w:r>
      <w:proofErr w:type="spellEnd"/>
      <w:r w:rsidRPr="00686E9D">
        <w:rPr>
          <w:lang w:val="en-IE"/>
        </w:rPr>
        <w:t xml:space="preserve"> fruit bat, had </w:t>
      </w:r>
      <w:proofErr w:type="spellStart"/>
      <w:r w:rsidRPr="00686E9D">
        <w:rPr>
          <w:lang w:val="en-IE"/>
        </w:rPr>
        <w:t>NiV</w:t>
      </w:r>
      <w:proofErr w:type="spellEnd"/>
      <w:r w:rsidRPr="00686E9D">
        <w:rPr>
          <w:lang w:val="en-IE"/>
        </w:rPr>
        <w:t xml:space="preserve"> reactive antibodies (Hayman </w:t>
      </w:r>
      <w:r w:rsidRPr="00686E9D">
        <w:rPr>
          <w:i/>
          <w:lang w:val="en-IE"/>
        </w:rPr>
        <w:t>et al</w:t>
      </w:r>
      <w:r w:rsidRPr="00686E9D">
        <w:rPr>
          <w:lang w:val="en-IE"/>
        </w:rPr>
        <w:t xml:space="preserve">., 2008). </w:t>
      </w:r>
      <w:proofErr w:type="spellStart"/>
      <w:r w:rsidRPr="00686E9D">
        <w:rPr>
          <w:lang w:val="en-IE"/>
        </w:rPr>
        <w:t>Henipavirus</w:t>
      </w:r>
      <w:proofErr w:type="spellEnd"/>
      <w:r w:rsidRPr="00686E9D">
        <w:rPr>
          <w:lang w:val="en-IE"/>
        </w:rPr>
        <w:t xml:space="preserve">-like sequences were also obtained from </w:t>
      </w:r>
      <w:r w:rsidRPr="00686E9D">
        <w:rPr>
          <w:i/>
          <w:lang w:val="en-IE"/>
        </w:rPr>
        <w:t xml:space="preserve">Eidolon </w:t>
      </w:r>
      <w:proofErr w:type="spellStart"/>
      <w:r w:rsidRPr="00686E9D">
        <w:rPr>
          <w:i/>
          <w:lang w:val="en-IE"/>
        </w:rPr>
        <w:t>helvum</w:t>
      </w:r>
      <w:proofErr w:type="spellEnd"/>
      <w:r w:rsidR="00BD7554" w:rsidRPr="00686E9D">
        <w:rPr>
          <w:lang w:val="en-IE"/>
        </w:rPr>
        <w:t xml:space="preserve"> in Ghana</w:t>
      </w:r>
      <w:r w:rsidRPr="00686E9D">
        <w:rPr>
          <w:lang w:val="en-IE"/>
        </w:rPr>
        <w:t xml:space="preserve"> (Hayman </w:t>
      </w:r>
      <w:r w:rsidRPr="00686E9D">
        <w:rPr>
          <w:i/>
          <w:lang w:val="en-IE"/>
        </w:rPr>
        <w:t>et al</w:t>
      </w:r>
      <w:r w:rsidRPr="00686E9D">
        <w:rPr>
          <w:lang w:val="en-IE"/>
        </w:rPr>
        <w:t xml:space="preserve">., 2008). The detection of antibodies to and sequences of </w:t>
      </w:r>
      <w:proofErr w:type="spellStart"/>
      <w:r w:rsidRPr="00686E9D">
        <w:rPr>
          <w:lang w:val="en-IE"/>
        </w:rPr>
        <w:t>henipaviruses</w:t>
      </w:r>
      <w:proofErr w:type="spellEnd"/>
      <w:r w:rsidRPr="00686E9D">
        <w:rPr>
          <w:lang w:val="en-IE"/>
        </w:rPr>
        <w:t xml:space="preserve"> in African bats suggests that the range of potential </w:t>
      </w:r>
      <w:proofErr w:type="spellStart"/>
      <w:r w:rsidRPr="00686E9D">
        <w:rPr>
          <w:lang w:val="en-IE"/>
        </w:rPr>
        <w:t>NiV</w:t>
      </w:r>
      <w:proofErr w:type="spellEnd"/>
      <w:r w:rsidRPr="00686E9D">
        <w:rPr>
          <w:lang w:val="en-IE"/>
        </w:rPr>
        <w:t xml:space="preserve"> infections may be wider than previously thought</w:t>
      </w:r>
      <w:r w:rsidRPr="00686E9D">
        <w:rPr>
          <w:strike/>
          <w:lang w:val="en-IE"/>
        </w:rPr>
        <w:t xml:space="preserve">, though no human cases of </w:t>
      </w:r>
      <w:proofErr w:type="spellStart"/>
      <w:r w:rsidRPr="00686E9D">
        <w:rPr>
          <w:strike/>
          <w:lang w:val="en-IE"/>
        </w:rPr>
        <w:t>NiV</w:t>
      </w:r>
      <w:proofErr w:type="spellEnd"/>
      <w:r w:rsidRPr="00686E9D">
        <w:rPr>
          <w:strike/>
          <w:lang w:val="en-IE"/>
        </w:rPr>
        <w:t xml:space="preserve"> have been reported from any region other than South-East Asia</w:t>
      </w:r>
      <w:r w:rsidR="00415DCC" w:rsidRPr="00686E9D">
        <w:rPr>
          <w:lang w:val="en-IE"/>
        </w:rPr>
        <w:t>.</w:t>
      </w:r>
    </w:p>
    <w:p w14:paraId="4CE69F8E" w14:textId="3EA675B6" w:rsidR="00682ECF" w:rsidRPr="00686E9D" w:rsidRDefault="00964ED2">
      <w:pPr>
        <w:pStyle w:val="paraA"/>
        <w:rPr>
          <w:lang w:val="en-IE"/>
        </w:rPr>
      </w:pPr>
      <w:proofErr w:type="spellStart"/>
      <w:r w:rsidRPr="00686E9D">
        <w:rPr>
          <w:lang w:val="en-IE"/>
        </w:rPr>
        <w:t>HeV</w:t>
      </w:r>
      <w:proofErr w:type="spellEnd"/>
      <w:r w:rsidRPr="00686E9D">
        <w:rPr>
          <w:lang w:val="en-IE"/>
        </w:rPr>
        <w:t xml:space="preserve"> disease emerged in Brisbane, Australia, in September 1994 in an outbreak of acute respiratory disease that killed 13 horses and a horse trainer (Murray </w:t>
      </w:r>
      <w:r w:rsidRPr="00686E9D">
        <w:rPr>
          <w:i/>
          <w:lang w:val="en-IE"/>
        </w:rPr>
        <w:t>et al</w:t>
      </w:r>
      <w:r w:rsidRPr="00686E9D">
        <w:rPr>
          <w:lang w:val="en-IE"/>
        </w:rPr>
        <w:t xml:space="preserve">., 1995). The virus was initially called equine morbillivirus, but subsequent genetic analyses indicated that it </w:t>
      </w:r>
      <w:r w:rsidR="005A3E99" w:rsidRPr="00686E9D">
        <w:rPr>
          <w:u w:val="double"/>
          <w:lang w:val="en-IE"/>
        </w:rPr>
        <w:t xml:space="preserve">was sufficiently different to </w:t>
      </w:r>
      <w:r w:rsidR="00307605" w:rsidRPr="00686E9D">
        <w:rPr>
          <w:u w:val="double"/>
          <w:lang w:val="en-IE"/>
        </w:rPr>
        <w:t>belong in its own</w:t>
      </w:r>
      <w:r w:rsidR="00307605" w:rsidRPr="00686E9D">
        <w:rPr>
          <w:lang w:val="en-IE"/>
        </w:rPr>
        <w:t xml:space="preserve"> </w:t>
      </w:r>
      <w:r w:rsidRPr="00686E9D">
        <w:rPr>
          <w:strike/>
          <w:lang w:val="en-IE"/>
        </w:rPr>
        <w:t xml:space="preserve">did not resemble morbilliviruses sufficiently closely for inclusion in that </w:t>
      </w:r>
      <w:r w:rsidRPr="00686E9D">
        <w:rPr>
          <w:lang w:val="en-IE"/>
        </w:rPr>
        <w:t xml:space="preserve">genus. There </w:t>
      </w:r>
      <w:r w:rsidR="00415DCC" w:rsidRPr="00686E9D">
        <w:rPr>
          <w:strike/>
          <w:lang w:val="en-IE"/>
        </w:rPr>
        <w:t xml:space="preserve">have </w:t>
      </w:r>
      <w:r w:rsidRPr="00686E9D">
        <w:rPr>
          <w:u w:val="double"/>
          <w:lang w:val="en-IE"/>
        </w:rPr>
        <w:t>ha</w:t>
      </w:r>
      <w:r w:rsidR="00415DCC" w:rsidRPr="00686E9D">
        <w:rPr>
          <w:u w:val="double"/>
          <w:lang w:val="en-IE"/>
        </w:rPr>
        <w:t xml:space="preserve">s </w:t>
      </w:r>
      <w:r w:rsidR="00632C1B" w:rsidRPr="00686E9D">
        <w:rPr>
          <w:u w:val="double"/>
          <w:lang w:val="en-IE"/>
        </w:rPr>
        <w:t>been at least one spill</w:t>
      </w:r>
      <w:r w:rsidR="002A5D11" w:rsidRPr="00686E9D">
        <w:rPr>
          <w:u w:val="double"/>
          <w:lang w:val="en-IE"/>
        </w:rPr>
        <w:t>-</w:t>
      </w:r>
      <w:r w:rsidR="00632C1B" w:rsidRPr="00686E9D">
        <w:rPr>
          <w:u w:val="double"/>
          <w:lang w:val="en-IE"/>
        </w:rPr>
        <w:t xml:space="preserve">over event each year since </w:t>
      </w:r>
      <w:r w:rsidR="005A3E99" w:rsidRPr="00686E9D">
        <w:rPr>
          <w:u w:val="double"/>
          <w:lang w:val="en-IE"/>
        </w:rPr>
        <w:t>200</w:t>
      </w:r>
      <w:r w:rsidR="00B94987" w:rsidRPr="00686E9D">
        <w:rPr>
          <w:u w:val="double"/>
          <w:lang w:val="en-IE"/>
        </w:rPr>
        <w:t>6</w:t>
      </w:r>
      <w:r w:rsidR="00632C1B" w:rsidRPr="00686E9D">
        <w:rPr>
          <w:u w:val="double"/>
          <w:lang w:val="en-IE"/>
        </w:rPr>
        <w:t xml:space="preserve">, with most events </w:t>
      </w:r>
      <w:r w:rsidR="00B94987" w:rsidRPr="00686E9D">
        <w:rPr>
          <w:u w:val="double"/>
          <w:lang w:val="en-IE"/>
        </w:rPr>
        <w:t>i</w:t>
      </w:r>
      <w:r w:rsidR="00632C1B" w:rsidRPr="00686E9D">
        <w:rPr>
          <w:u w:val="double"/>
          <w:lang w:val="en-IE"/>
        </w:rPr>
        <w:t>nvolving only a small number of horses</w:t>
      </w:r>
      <w:r w:rsidR="00D97DF7">
        <w:rPr>
          <w:u w:val="double"/>
          <w:lang w:val="en-IE"/>
        </w:rPr>
        <w:t>. A retrospective investigation</w:t>
      </w:r>
      <w:r w:rsidR="00132E2C">
        <w:rPr>
          <w:u w:val="double"/>
          <w:lang w:val="en-IE"/>
        </w:rPr>
        <w:t xml:space="preserve"> isolated HeV-g2</w:t>
      </w:r>
      <w:r w:rsidR="00D97DF7">
        <w:rPr>
          <w:u w:val="double"/>
          <w:lang w:val="en-IE"/>
        </w:rPr>
        <w:t xml:space="preserve"> f</w:t>
      </w:r>
      <w:r w:rsidR="00132E2C">
        <w:rPr>
          <w:u w:val="double"/>
          <w:lang w:val="en-IE"/>
        </w:rPr>
        <w:t>rom</w:t>
      </w:r>
      <w:r w:rsidR="00D97DF7">
        <w:rPr>
          <w:u w:val="double"/>
          <w:lang w:val="en-IE"/>
        </w:rPr>
        <w:t xml:space="preserve"> </w:t>
      </w:r>
      <w:r w:rsidR="00B43589">
        <w:rPr>
          <w:u w:val="double"/>
          <w:lang w:val="en-IE"/>
        </w:rPr>
        <w:t xml:space="preserve">a </w:t>
      </w:r>
      <w:r w:rsidR="00132E2C">
        <w:rPr>
          <w:u w:val="double"/>
          <w:lang w:val="en-IE"/>
        </w:rPr>
        <w:t xml:space="preserve">2015 </w:t>
      </w:r>
      <w:r w:rsidR="009C467C">
        <w:rPr>
          <w:u w:val="double"/>
          <w:lang w:val="en-IE"/>
        </w:rPr>
        <w:t xml:space="preserve">equine </w:t>
      </w:r>
      <w:r w:rsidR="00B43589">
        <w:rPr>
          <w:u w:val="double"/>
          <w:lang w:val="en-IE"/>
        </w:rPr>
        <w:t>case (A</w:t>
      </w:r>
      <w:r w:rsidR="00132E2C">
        <w:rPr>
          <w:u w:val="double"/>
          <w:lang w:val="en-IE"/>
        </w:rPr>
        <w:t>n</w:t>
      </w:r>
      <w:r w:rsidR="00B43589">
        <w:rPr>
          <w:u w:val="double"/>
          <w:lang w:val="en-IE"/>
        </w:rPr>
        <w:t xml:space="preserve">nand </w:t>
      </w:r>
      <w:r w:rsidR="00B43589" w:rsidRPr="00E02688">
        <w:rPr>
          <w:i/>
          <w:iCs/>
          <w:u w:val="double"/>
          <w:lang w:val="en-IE"/>
        </w:rPr>
        <w:t>et al.,</w:t>
      </w:r>
      <w:r w:rsidR="00B43589">
        <w:rPr>
          <w:u w:val="double"/>
          <w:lang w:val="en-IE"/>
        </w:rPr>
        <w:t xml:space="preserve"> 202</w:t>
      </w:r>
      <w:r w:rsidR="006773FA">
        <w:rPr>
          <w:u w:val="double"/>
          <w:lang w:val="en-IE"/>
        </w:rPr>
        <w:t>2</w:t>
      </w:r>
      <w:r w:rsidR="00B43589">
        <w:rPr>
          <w:u w:val="double"/>
          <w:lang w:val="en-IE"/>
        </w:rPr>
        <w:t>)</w:t>
      </w:r>
      <w:r w:rsidR="00B53055">
        <w:rPr>
          <w:u w:val="double"/>
          <w:lang w:val="en-IE"/>
        </w:rPr>
        <w:t>.</w:t>
      </w:r>
      <w:r w:rsidRPr="00686E9D">
        <w:rPr>
          <w:strike/>
          <w:lang w:val="en-IE"/>
        </w:rPr>
        <w:t xml:space="preserve"> been other instances of fatal </w:t>
      </w:r>
      <w:proofErr w:type="spellStart"/>
      <w:r w:rsidRPr="00686E9D">
        <w:rPr>
          <w:strike/>
          <w:lang w:val="en-IE"/>
        </w:rPr>
        <w:t>HeV</w:t>
      </w:r>
      <w:proofErr w:type="spellEnd"/>
      <w:r w:rsidRPr="00686E9D">
        <w:rPr>
          <w:strike/>
          <w:lang w:val="en-IE"/>
        </w:rPr>
        <w:t xml:space="preserve"> infection of horses in northern Queensland and further instances of infection of people</w:t>
      </w:r>
      <w:r w:rsidR="00415DCC" w:rsidRPr="00686E9D">
        <w:rPr>
          <w:lang w:val="en-IE"/>
        </w:rPr>
        <w:t xml:space="preserve">. </w:t>
      </w:r>
      <w:r w:rsidRPr="00686E9D">
        <w:rPr>
          <w:strike/>
          <w:lang w:val="en-IE"/>
        </w:rPr>
        <w:t xml:space="preserve">Two horses developed an acute disease and died almost 1 month before the Brisbane outbreak, but </w:t>
      </w:r>
      <w:proofErr w:type="spellStart"/>
      <w:r w:rsidRPr="00686E9D">
        <w:rPr>
          <w:strike/>
          <w:lang w:val="en-IE"/>
        </w:rPr>
        <w:t>HeV</w:t>
      </w:r>
      <w:proofErr w:type="spellEnd"/>
      <w:r w:rsidRPr="00686E9D">
        <w:rPr>
          <w:strike/>
          <w:lang w:val="en-IE"/>
        </w:rPr>
        <w:t xml:space="preserve"> was determined to be the cause of death only after the horse owner, who probably acquired </w:t>
      </w:r>
      <w:proofErr w:type="spellStart"/>
      <w:r w:rsidRPr="00686E9D">
        <w:rPr>
          <w:strike/>
          <w:lang w:val="en-IE"/>
        </w:rPr>
        <w:t>HeV</w:t>
      </w:r>
      <w:proofErr w:type="spellEnd"/>
      <w:r w:rsidRPr="00686E9D">
        <w:rPr>
          <w:strike/>
          <w:lang w:val="en-IE"/>
        </w:rPr>
        <w:t xml:space="preserve"> during necropsy of the horses, died 13 months later with </w:t>
      </w:r>
      <w:proofErr w:type="spellStart"/>
      <w:r w:rsidRPr="00686E9D">
        <w:rPr>
          <w:strike/>
          <w:lang w:val="en-IE"/>
        </w:rPr>
        <w:t>HeV</w:t>
      </w:r>
      <w:proofErr w:type="spellEnd"/>
      <w:r w:rsidRPr="00686E9D">
        <w:rPr>
          <w:strike/>
          <w:lang w:val="en-IE"/>
        </w:rPr>
        <w:t xml:space="preserve">-mediated encephalitis (Rogers </w:t>
      </w:r>
      <w:r w:rsidRPr="00686E9D">
        <w:rPr>
          <w:i/>
          <w:strike/>
          <w:lang w:val="en-IE"/>
        </w:rPr>
        <w:t>et al</w:t>
      </w:r>
      <w:r w:rsidRPr="00686E9D">
        <w:rPr>
          <w:strike/>
          <w:lang w:val="en-IE"/>
        </w:rPr>
        <w:t xml:space="preserve">., 1996). Since </w:t>
      </w:r>
      <w:proofErr w:type="gramStart"/>
      <w:r w:rsidRPr="00686E9D">
        <w:rPr>
          <w:strike/>
          <w:lang w:val="en-IE"/>
        </w:rPr>
        <w:t>then</w:t>
      </w:r>
      <w:proofErr w:type="gramEnd"/>
      <w:r w:rsidRPr="00686E9D">
        <w:rPr>
          <w:strike/>
          <w:lang w:val="en-IE"/>
        </w:rPr>
        <w:t xml:space="preserve"> there have been more than 40 outbreaks involving more than 75 horses but with only two outbreaks involving more than three horses. </w:t>
      </w:r>
      <w:r w:rsidRPr="00686E9D">
        <w:rPr>
          <w:u w:val="double"/>
          <w:lang w:val="en-IE"/>
        </w:rPr>
        <w:t>T</w:t>
      </w:r>
      <w:r w:rsidR="00632C1B" w:rsidRPr="00686E9D">
        <w:rPr>
          <w:u w:val="double"/>
          <w:lang w:val="en-IE"/>
        </w:rPr>
        <w:t>o date</w:t>
      </w:r>
      <w:r w:rsidR="00415DCC" w:rsidRPr="00686E9D">
        <w:rPr>
          <w:lang w:val="en-IE"/>
        </w:rPr>
        <w:t xml:space="preserve"> </w:t>
      </w:r>
      <w:proofErr w:type="gramStart"/>
      <w:r w:rsidR="00415DCC" w:rsidRPr="00686E9D">
        <w:rPr>
          <w:strike/>
          <w:lang w:val="en-IE"/>
        </w:rPr>
        <w:t>T</w:t>
      </w:r>
      <w:r w:rsidRPr="00686E9D">
        <w:rPr>
          <w:strike/>
          <w:lang w:val="en-IE"/>
        </w:rPr>
        <w:t>he</w:t>
      </w:r>
      <w:proofErr w:type="gramEnd"/>
      <w:r w:rsidRPr="00686E9D">
        <w:rPr>
          <w:strike/>
          <w:lang w:val="en-IE"/>
        </w:rPr>
        <w:t xml:space="preserve"> </w:t>
      </w:r>
      <w:r w:rsidRPr="00686E9D">
        <w:rPr>
          <w:lang w:val="en-IE"/>
        </w:rPr>
        <w:t>seven human cases have resulted in four deaths (</w:t>
      </w:r>
      <w:r w:rsidR="005E5EBF" w:rsidRPr="00686E9D">
        <w:rPr>
          <w:u w:val="double"/>
          <w:lang w:val="en-IE"/>
        </w:rPr>
        <w:t>case fatality rate</w:t>
      </w:r>
      <w:r w:rsidR="00176957" w:rsidRPr="00686E9D">
        <w:rPr>
          <w:lang w:val="en-IE"/>
        </w:rPr>
        <w:t xml:space="preserve"> </w:t>
      </w:r>
      <w:r w:rsidRPr="00686E9D">
        <w:rPr>
          <w:lang w:val="en-IE"/>
        </w:rPr>
        <w:t xml:space="preserve">57%). </w:t>
      </w:r>
      <w:r w:rsidR="00AD3521" w:rsidRPr="009354E6">
        <w:rPr>
          <w:highlight w:val="yellow"/>
          <w:u w:val="double"/>
          <w:lang w:val="en-IE"/>
        </w:rPr>
        <w:t>Clinical</w:t>
      </w:r>
      <w:r w:rsidR="00091B31" w:rsidRPr="009354E6">
        <w:rPr>
          <w:highlight w:val="yellow"/>
          <w:u w:val="double"/>
          <w:lang w:val="en-IE"/>
        </w:rPr>
        <w:t xml:space="preserve"> signs in humans range from an influenza-like infection to severe pneumonia</w:t>
      </w:r>
      <w:r w:rsidR="00D11380" w:rsidRPr="009354E6">
        <w:rPr>
          <w:highlight w:val="yellow"/>
          <w:u w:val="double"/>
          <w:lang w:val="en-IE"/>
        </w:rPr>
        <w:t xml:space="preserve"> or encephalitis leading to death</w:t>
      </w:r>
      <w:r w:rsidR="00320425">
        <w:rPr>
          <w:highlight w:val="yellow"/>
          <w:u w:val="double"/>
          <w:lang w:val="en-IE"/>
        </w:rPr>
        <w:t xml:space="preserve"> (Yuen </w:t>
      </w:r>
      <w:r w:rsidR="00320425" w:rsidRPr="00320425">
        <w:rPr>
          <w:i/>
          <w:iCs/>
          <w:highlight w:val="yellow"/>
          <w:u w:val="double"/>
          <w:lang w:val="en-IE"/>
        </w:rPr>
        <w:t>et al.,</w:t>
      </w:r>
      <w:r w:rsidR="00320425">
        <w:rPr>
          <w:highlight w:val="yellow"/>
          <w:u w:val="double"/>
          <w:lang w:val="en-IE"/>
        </w:rPr>
        <w:t xml:space="preserve"> 2021)</w:t>
      </w:r>
      <w:r w:rsidR="00D11380" w:rsidRPr="009354E6">
        <w:rPr>
          <w:highlight w:val="yellow"/>
          <w:u w:val="double"/>
          <w:lang w:val="en-IE"/>
        </w:rPr>
        <w:t>.</w:t>
      </w:r>
      <w:r w:rsidR="00D11380">
        <w:rPr>
          <w:lang w:val="en-IE"/>
        </w:rPr>
        <w:t xml:space="preserve"> </w:t>
      </w:r>
      <w:r w:rsidRPr="00686E9D">
        <w:rPr>
          <w:lang w:val="en-IE"/>
        </w:rPr>
        <w:t>All infected people have had very close contact with infected body fluids from infected horses through performing invasive procedures and/or have not worn fully protective</w:t>
      </w:r>
      <w:r w:rsidR="009D67CB" w:rsidRPr="00686E9D">
        <w:rPr>
          <w:lang w:val="en-IE"/>
        </w:rPr>
        <w:t xml:space="preserve"> personal equipment</w:t>
      </w:r>
      <w:r w:rsidRPr="00686E9D">
        <w:rPr>
          <w:lang w:val="en-IE"/>
        </w:rPr>
        <w:t xml:space="preserve">. </w:t>
      </w:r>
    </w:p>
    <w:p w14:paraId="4683FA3B" w14:textId="223BE536" w:rsidR="00682ECF" w:rsidRPr="00686E9D" w:rsidRDefault="00964ED2">
      <w:pPr>
        <w:pStyle w:val="paraA"/>
        <w:rPr>
          <w:lang w:val="en-IE"/>
        </w:rPr>
      </w:pPr>
      <w:r w:rsidRPr="00686E9D">
        <w:rPr>
          <w:lang w:val="en-IE"/>
        </w:rPr>
        <w:t xml:space="preserve">In Malaysia, retrospective studies of archival histological specimens indicate that </w:t>
      </w:r>
      <w:proofErr w:type="spellStart"/>
      <w:r w:rsidRPr="00686E9D">
        <w:rPr>
          <w:lang w:val="en-IE"/>
        </w:rPr>
        <w:t>NiV</w:t>
      </w:r>
      <w:proofErr w:type="spellEnd"/>
      <w:r w:rsidRPr="00686E9D">
        <w:rPr>
          <w:lang w:val="en-IE"/>
        </w:rPr>
        <w:t xml:space="preserve"> </w:t>
      </w:r>
      <w:r w:rsidRPr="00686E9D">
        <w:rPr>
          <w:strike/>
          <w:lang w:val="en-IE"/>
        </w:rPr>
        <w:t>ha</w:t>
      </w:r>
      <w:r w:rsidR="003A4685" w:rsidRPr="00686E9D">
        <w:rPr>
          <w:strike/>
          <w:lang w:val="en-IE"/>
        </w:rPr>
        <w:t xml:space="preserve">s </w:t>
      </w:r>
      <w:r w:rsidR="003A4685" w:rsidRPr="00686E9D">
        <w:rPr>
          <w:u w:val="double"/>
          <w:lang w:val="en-IE"/>
        </w:rPr>
        <w:t>had</w:t>
      </w:r>
      <w:r w:rsidRPr="00686E9D">
        <w:rPr>
          <w:lang w:val="en-IE"/>
        </w:rPr>
        <w:t xml:space="preserve"> caused low mortality in pigs since </w:t>
      </w:r>
      <w:r w:rsidR="009C467C" w:rsidRPr="00686E9D">
        <w:rPr>
          <w:lang w:val="en-IE"/>
        </w:rPr>
        <w:t>1996 but</w:t>
      </w:r>
      <w:r w:rsidRPr="00686E9D">
        <w:rPr>
          <w:lang w:val="en-IE"/>
        </w:rPr>
        <w:t xml:space="preserve"> remained unknown until 1999 when it emerged as the causative agent of an outbreak of encephalitis in humans that had commenced in 1998 (Chua </w:t>
      </w:r>
      <w:r w:rsidRPr="00686E9D">
        <w:rPr>
          <w:i/>
          <w:lang w:val="en-IE"/>
        </w:rPr>
        <w:t>et al</w:t>
      </w:r>
      <w:r w:rsidRPr="00686E9D">
        <w:rPr>
          <w:lang w:val="en-IE"/>
        </w:rPr>
        <w:t xml:space="preserve">., 2000; Nor </w:t>
      </w:r>
      <w:r w:rsidRPr="00686E9D">
        <w:rPr>
          <w:i/>
          <w:lang w:val="en-IE"/>
        </w:rPr>
        <w:t>et al</w:t>
      </w:r>
      <w:r w:rsidRPr="00686E9D">
        <w:rPr>
          <w:lang w:val="en-IE"/>
        </w:rPr>
        <w:t xml:space="preserve">., 2000). Unlike respiratory disease caused by </w:t>
      </w:r>
      <w:proofErr w:type="spellStart"/>
      <w:r w:rsidRPr="00686E9D">
        <w:rPr>
          <w:lang w:val="en-IE"/>
        </w:rPr>
        <w:t>HeV</w:t>
      </w:r>
      <w:proofErr w:type="spellEnd"/>
      <w:r w:rsidRPr="00686E9D">
        <w:rPr>
          <w:lang w:val="en-IE"/>
        </w:rPr>
        <w:t xml:space="preserve"> in horses, which was frequently fatal but characterised by poor transmissibility</w:t>
      </w:r>
      <w:r w:rsidR="00176957" w:rsidRPr="00686E9D">
        <w:rPr>
          <w:lang w:val="en-IE"/>
        </w:rPr>
        <w:t xml:space="preserve"> </w:t>
      </w:r>
      <w:r w:rsidR="00176957" w:rsidRPr="00686E9D">
        <w:rPr>
          <w:u w:val="double"/>
          <w:lang w:val="en-IE"/>
        </w:rPr>
        <w:t>in the field</w:t>
      </w:r>
      <w:r w:rsidRPr="00686E9D">
        <w:rPr>
          <w:strike/>
          <w:lang w:val="en-IE"/>
        </w:rPr>
        <w:t xml:space="preserve"> (Williamson </w:t>
      </w:r>
      <w:r w:rsidRPr="00686E9D">
        <w:rPr>
          <w:i/>
          <w:strike/>
          <w:lang w:val="en-IE"/>
        </w:rPr>
        <w:t>et al</w:t>
      </w:r>
      <w:r w:rsidRPr="00686E9D">
        <w:rPr>
          <w:strike/>
          <w:lang w:val="en-IE"/>
        </w:rPr>
        <w:t>., 1998)</w:t>
      </w:r>
      <w:r w:rsidRPr="00686E9D">
        <w:rPr>
          <w:lang w:val="en-IE"/>
        </w:rPr>
        <w:t xml:space="preserve">, respiratory disease caused by </w:t>
      </w:r>
      <w:proofErr w:type="spellStart"/>
      <w:r w:rsidRPr="00686E9D">
        <w:rPr>
          <w:lang w:val="en-IE"/>
        </w:rPr>
        <w:t>NiV</w:t>
      </w:r>
      <w:proofErr w:type="spellEnd"/>
      <w:r w:rsidRPr="00686E9D">
        <w:rPr>
          <w:lang w:val="en-IE"/>
        </w:rPr>
        <w:t xml:space="preserve"> in pigs was often subclinical but highly contagious</w:t>
      </w:r>
      <w:r w:rsidR="00176957" w:rsidRPr="00686E9D">
        <w:rPr>
          <w:lang w:val="en-IE"/>
        </w:rPr>
        <w:t xml:space="preserve"> </w:t>
      </w:r>
      <w:r w:rsidR="00176957" w:rsidRPr="00686E9D">
        <w:rPr>
          <w:u w:val="double"/>
          <w:lang w:val="en-IE"/>
        </w:rPr>
        <w:t>in these intensively housed animals</w:t>
      </w:r>
      <w:r w:rsidRPr="00686E9D">
        <w:rPr>
          <w:lang w:val="en-IE"/>
        </w:rPr>
        <w:t xml:space="preserve"> (Hooper </w:t>
      </w:r>
      <w:r w:rsidRPr="00686E9D">
        <w:rPr>
          <w:i/>
          <w:lang w:val="en-IE"/>
        </w:rPr>
        <w:t>et al.,</w:t>
      </w:r>
      <w:r w:rsidRPr="00686E9D">
        <w:rPr>
          <w:lang w:val="en-IE"/>
        </w:rPr>
        <w:t xml:space="preserve"> 2001)</w:t>
      </w:r>
      <w:r w:rsidR="00176957" w:rsidRPr="00686E9D">
        <w:rPr>
          <w:lang w:val="en-IE"/>
        </w:rPr>
        <w:t xml:space="preserve">. </w:t>
      </w:r>
      <w:r w:rsidR="00176957" w:rsidRPr="00686E9D">
        <w:rPr>
          <w:u w:val="double"/>
          <w:lang w:val="en-IE"/>
        </w:rPr>
        <w:t>This</w:t>
      </w:r>
      <w:r w:rsidRPr="00686E9D">
        <w:rPr>
          <w:strike/>
          <w:lang w:val="en-IE"/>
        </w:rPr>
        <w:t>, properties that</w:t>
      </w:r>
      <w:r w:rsidRPr="00686E9D">
        <w:rPr>
          <w:lang w:val="en-IE"/>
        </w:rPr>
        <w:t xml:space="preserve"> led to rapid virus dispersal through the Malaysian pig population </w:t>
      </w:r>
      <w:r w:rsidRPr="00686E9D">
        <w:rPr>
          <w:strike/>
          <w:lang w:val="en-IE"/>
        </w:rPr>
        <w:t xml:space="preserve">and forced </w:t>
      </w:r>
      <w:r w:rsidR="00176957" w:rsidRPr="00686E9D">
        <w:rPr>
          <w:u w:val="double"/>
          <w:lang w:val="en-IE"/>
        </w:rPr>
        <w:t>with</w:t>
      </w:r>
      <w:r w:rsidR="00176957" w:rsidRPr="00686E9D">
        <w:rPr>
          <w:lang w:val="en-IE"/>
        </w:rPr>
        <w:t xml:space="preserve"> </w:t>
      </w:r>
      <w:r w:rsidRPr="00686E9D">
        <w:rPr>
          <w:lang w:val="en-IE"/>
        </w:rPr>
        <w:t xml:space="preserve">authorities </w:t>
      </w:r>
      <w:r w:rsidRPr="00686E9D">
        <w:rPr>
          <w:strike/>
          <w:lang w:val="en-IE"/>
        </w:rPr>
        <w:t xml:space="preserve">to </w:t>
      </w:r>
      <w:proofErr w:type="gramStart"/>
      <w:r w:rsidRPr="00686E9D">
        <w:rPr>
          <w:lang w:val="en-IE"/>
        </w:rPr>
        <w:t>choos</w:t>
      </w:r>
      <w:r w:rsidR="00176957" w:rsidRPr="00686E9D">
        <w:rPr>
          <w:lang w:val="en-IE"/>
        </w:rPr>
        <w:t>ing</w:t>
      </w:r>
      <w:proofErr w:type="gramEnd"/>
      <w:r w:rsidRPr="00686E9D">
        <w:rPr>
          <w:lang w:val="en-IE"/>
        </w:rPr>
        <w:t xml:space="preserve"> culling as the primary means to control spread (Nor </w:t>
      </w:r>
      <w:r w:rsidRPr="00686E9D">
        <w:rPr>
          <w:i/>
          <w:lang w:val="en-IE"/>
        </w:rPr>
        <w:t>et al</w:t>
      </w:r>
      <w:r w:rsidRPr="00686E9D">
        <w:rPr>
          <w:lang w:val="en-IE"/>
        </w:rPr>
        <w:t xml:space="preserve">., 2000). Over one million pigs were destroyed; </w:t>
      </w:r>
      <w:r w:rsidR="00176957" w:rsidRPr="00686E9D">
        <w:rPr>
          <w:u w:val="double"/>
          <w:lang w:val="en-IE"/>
        </w:rPr>
        <w:t>approximately 40% of</w:t>
      </w:r>
      <w:r w:rsidR="00176957" w:rsidRPr="00686E9D">
        <w:rPr>
          <w:lang w:val="en-IE"/>
        </w:rPr>
        <w:t xml:space="preserve"> </w:t>
      </w:r>
      <w:r w:rsidRPr="00686E9D">
        <w:rPr>
          <w:strike/>
          <w:lang w:val="en-IE"/>
        </w:rPr>
        <w:t xml:space="preserve">106 of 267 (39%) </w:t>
      </w:r>
      <w:r w:rsidRPr="00686E9D">
        <w:rPr>
          <w:lang w:val="en-IE"/>
        </w:rPr>
        <w:t xml:space="preserve">infected humans, mostly pig farmers in Malaysia and abattoir workers in Singapore who had direct contact with live pigs, died of encephalitis (Chua </w:t>
      </w:r>
      <w:r w:rsidRPr="00686E9D">
        <w:rPr>
          <w:i/>
          <w:lang w:val="en-IE"/>
        </w:rPr>
        <w:t>et al</w:t>
      </w:r>
      <w:r w:rsidRPr="00686E9D">
        <w:rPr>
          <w:lang w:val="en-IE"/>
        </w:rPr>
        <w:t>., 2000</w:t>
      </w:r>
      <w:r w:rsidRPr="00686E9D">
        <w:rPr>
          <w:strike/>
          <w:lang w:val="en-IE"/>
        </w:rPr>
        <w:t xml:space="preserve">; Paton </w:t>
      </w:r>
      <w:r w:rsidRPr="00686E9D">
        <w:rPr>
          <w:i/>
          <w:strike/>
          <w:lang w:val="en-IE"/>
        </w:rPr>
        <w:t>et al</w:t>
      </w:r>
      <w:r w:rsidRPr="00686E9D">
        <w:rPr>
          <w:strike/>
          <w:lang w:val="en-IE"/>
        </w:rPr>
        <w:t>., 1999</w:t>
      </w:r>
      <w:r w:rsidRPr="00686E9D">
        <w:rPr>
          <w:lang w:val="en-IE"/>
        </w:rPr>
        <w:t xml:space="preserve">). </w:t>
      </w:r>
      <w:r w:rsidR="009C467C" w:rsidRPr="00E02688">
        <w:rPr>
          <w:u w:val="double"/>
          <w:lang w:val="en-IE"/>
        </w:rPr>
        <w:t>A small number of</w:t>
      </w:r>
      <w:r w:rsidR="009C467C">
        <w:rPr>
          <w:lang w:val="en-IE"/>
        </w:rPr>
        <w:t xml:space="preserve"> c</w:t>
      </w:r>
      <w:r w:rsidRPr="00686E9D">
        <w:rPr>
          <w:lang w:val="en-IE"/>
        </w:rPr>
        <w:t xml:space="preserve">ats, dogs and horses were also infected on infected pig farms during that outbreak (Hooper </w:t>
      </w:r>
      <w:r w:rsidRPr="00686E9D">
        <w:rPr>
          <w:i/>
          <w:lang w:val="en-IE"/>
        </w:rPr>
        <w:t>et al</w:t>
      </w:r>
      <w:r w:rsidRPr="00686E9D">
        <w:rPr>
          <w:lang w:val="en-IE"/>
        </w:rPr>
        <w:t xml:space="preserve">., 2001; Nor </w:t>
      </w:r>
      <w:r w:rsidRPr="00686E9D">
        <w:rPr>
          <w:i/>
          <w:lang w:val="en-IE"/>
        </w:rPr>
        <w:t>et al</w:t>
      </w:r>
      <w:r w:rsidRPr="00686E9D">
        <w:rPr>
          <w:lang w:val="en-IE"/>
        </w:rPr>
        <w:t>., 2000) but the infections were not epidemiologically significant.</w:t>
      </w:r>
    </w:p>
    <w:p w14:paraId="502375A3" w14:textId="29903D4A" w:rsidR="00682ECF" w:rsidRPr="00686E9D" w:rsidRDefault="00964ED2">
      <w:pPr>
        <w:pStyle w:val="paraA"/>
        <w:rPr>
          <w:lang w:val="en-IE"/>
        </w:rPr>
      </w:pPr>
      <w:r w:rsidRPr="00686E9D">
        <w:rPr>
          <w:strike/>
          <w:lang w:val="en-IE"/>
        </w:rPr>
        <w:t xml:space="preserve">New </w:t>
      </w:r>
      <w:r w:rsidR="005E788B" w:rsidRPr="00686E9D">
        <w:rPr>
          <w:lang w:val="en-IE"/>
        </w:rPr>
        <w:t>Outbreaks</w:t>
      </w:r>
      <w:r w:rsidR="008E3395" w:rsidRPr="00686E9D">
        <w:rPr>
          <w:lang w:val="en-IE"/>
        </w:rPr>
        <w:t xml:space="preserve"> </w:t>
      </w:r>
      <w:r w:rsidRPr="00686E9D">
        <w:rPr>
          <w:lang w:val="en-IE"/>
        </w:rPr>
        <w:t xml:space="preserve">of human </w:t>
      </w:r>
      <w:proofErr w:type="spellStart"/>
      <w:r w:rsidRPr="00686E9D">
        <w:rPr>
          <w:lang w:val="en-IE"/>
        </w:rPr>
        <w:t>NiV</w:t>
      </w:r>
      <w:proofErr w:type="spellEnd"/>
      <w:r w:rsidRPr="00686E9D">
        <w:rPr>
          <w:lang w:val="en-IE"/>
        </w:rPr>
        <w:t xml:space="preserve"> disease have </w:t>
      </w:r>
      <w:r w:rsidRPr="00686E9D">
        <w:rPr>
          <w:strike/>
          <w:lang w:val="en-IE"/>
        </w:rPr>
        <w:t xml:space="preserve">subsequently </w:t>
      </w:r>
      <w:r w:rsidR="008E3395" w:rsidRPr="00686E9D">
        <w:rPr>
          <w:lang w:val="en-IE"/>
        </w:rPr>
        <w:t xml:space="preserve">occurred </w:t>
      </w:r>
      <w:r w:rsidRPr="00686E9D">
        <w:rPr>
          <w:lang w:val="en-IE"/>
        </w:rPr>
        <w:t xml:space="preserve">on an </w:t>
      </w:r>
      <w:r w:rsidR="008E3395" w:rsidRPr="00686E9D">
        <w:rPr>
          <w:lang w:val="en-IE"/>
        </w:rPr>
        <w:t xml:space="preserve">almost </w:t>
      </w:r>
      <w:r w:rsidRPr="00686E9D">
        <w:rPr>
          <w:lang w:val="en-IE"/>
        </w:rPr>
        <w:t>annual basis in Bangladesh</w:t>
      </w:r>
      <w:r w:rsidR="0040163F" w:rsidRPr="00686E9D">
        <w:rPr>
          <w:lang w:val="en-IE"/>
        </w:rPr>
        <w:t xml:space="preserve"> </w:t>
      </w:r>
      <w:r w:rsidR="0040163F" w:rsidRPr="00686E9D">
        <w:rPr>
          <w:u w:val="double"/>
          <w:lang w:val="en-IE"/>
        </w:rPr>
        <w:t>since 200</w:t>
      </w:r>
      <w:r w:rsidR="007A570A" w:rsidRPr="00686E9D">
        <w:rPr>
          <w:u w:val="double"/>
          <w:lang w:val="en-IE"/>
        </w:rPr>
        <w:t>3</w:t>
      </w:r>
      <w:r w:rsidRPr="00686E9D">
        <w:rPr>
          <w:lang w:val="en-IE"/>
        </w:rPr>
        <w:t>, with a few outbreaks in West Bengal, in neighbouring India</w:t>
      </w:r>
      <w:r w:rsidR="0040163F" w:rsidRPr="00686E9D">
        <w:rPr>
          <w:u w:val="double"/>
          <w:lang w:val="en-IE"/>
        </w:rPr>
        <w:t>, and more recently in Kerala, on the western coast of India (</w:t>
      </w:r>
      <w:proofErr w:type="spellStart"/>
      <w:r w:rsidR="0040163F" w:rsidRPr="00686E9D">
        <w:rPr>
          <w:u w:val="double"/>
          <w:lang w:val="en-IE"/>
        </w:rPr>
        <w:t>Arunkumar</w:t>
      </w:r>
      <w:proofErr w:type="spellEnd"/>
      <w:r w:rsidR="0040163F" w:rsidRPr="00686E9D">
        <w:rPr>
          <w:u w:val="double"/>
          <w:lang w:val="en-IE"/>
        </w:rPr>
        <w:t xml:space="preserve"> </w:t>
      </w:r>
      <w:r w:rsidR="0040163F" w:rsidRPr="00686E9D">
        <w:rPr>
          <w:i/>
          <w:iCs/>
          <w:u w:val="double"/>
          <w:lang w:val="en-IE"/>
        </w:rPr>
        <w:t>et al</w:t>
      </w:r>
      <w:r w:rsidR="0040163F" w:rsidRPr="00686E9D">
        <w:rPr>
          <w:u w:val="double"/>
          <w:lang w:val="en-IE"/>
        </w:rPr>
        <w:t>., 2019)</w:t>
      </w:r>
      <w:r w:rsidRPr="00686E9D">
        <w:rPr>
          <w:lang w:val="en-IE"/>
        </w:rPr>
        <w:t xml:space="preserve">. </w:t>
      </w:r>
      <w:r w:rsidRPr="00686E9D">
        <w:rPr>
          <w:strike/>
          <w:lang w:val="en-IE"/>
        </w:rPr>
        <w:t>In outbreaks in 2001 and 2003, a</w:t>
      </w:r>
      <w:r w:rsidR="005A6185" w:rsidRPr="00686E9D">
        <w:rPr>
          <w:strike/>
          <w:lang w:val="en-IE"/>
        </w:rPr>
        <w:t xml:space="preserve"> domestic</w:t>
      </w:r>
      <w:r w:rsidRPr="00686E9D">
        <w:rPr>
          <w:strike/>
          <w:lang w:val="en-IE"/>
        </w:rPr>
        <w:t xml:space="preserve"> animal source of the human infections was not identified, but </w:t>
      </w:r>
      <w:proofErr w:type="spellStart"/>
      <w:r w:rsidRPr="00686E9D">
        <w:rPr>
          <w:strike/>
          <w:lang w:val="en-IE"/>
        </w:rPr>
        <w:t>pteropid</w:t>
      </w:r>
      <w:proofErr w:type="spellEnd"/>
      <w:r w:rsidRPr="00686E9D">
        <w:rPr>
          <w:strike/>
          <w:lang w:val="en-IE"/>
        </w:rPr>
        <w:t xml:space="preserve"> bats, </w:t>
      </w:r>
      <w:proofErr w:type="spellStart"/>
      <w:r w:rsidRPr="00686E9D">
        <w:rPr>
          <w:i/>
          <w:strike/>
          <w:lang w:val="en-IE"/>
        </w:rPr>
        <w:t>Pteropus</w:t>
      </w:r>
      <w:proofErr w:type="spellEnd"/>
      <w:r w:rsidRPr="00686E9D">
        <w:rPr>
          <w:i/>
          <w:strike/>
          <w:lang w:val="en-IE"/>
        </w:rPr>
        <w:t xml:space="preserve"> giganteus</w:t>
      </w:r>
      <w:r w:rsidRPr="00686E9D">
        <w:rPr>
          <w:strike/>
          <w:lang w:val="en-IE"/>
        </w:rPr>
        <w:t xml:space="preserve">, were present and had antibodies capable of neutralising </w:t>
      </w:r>
      <w:proofErr w:type="spellStart"/>
      <w:r w:rsidRPr="00686E9D">
        <w:rPr>
          <w:strike/>
          <w:lang w:val="en-IE"/>
        </w:rPr>
        <w:t>Nipah</w:t>
      </w:r>
      <w:proofErr w:type="spellEnd"/>
      <w:r w:rsidRPr="00686E9D">
        <w:rPr>
          <w:strike/>
          <w:lang w:val="en-IE"/>
        </w:rPr>
        <w:t xml:space="preserve"> virus. Clustering of cases and time–sequence studies indicated that there is a possibility of human-to-human transmission at low levels. In another outbreak in 2004 in which 27 of 36 (75%) infected humans died, epidemiological evidence indicated person-to- person transmission and serological studies identified seropositive fruit bats at the location. </w:t>
      </w:r>
      <w:bookmarkStart w:id="2" w:name="_Hlk95813702"/>
      <w:r w:rsidRPr="00686E9D">
        <w:rPr>
          <w:lang w:val="en-IE"/>
        </w:rPr>
        <w:t xml:space="preserve">Drinking fresh date palm sap contaminated by fruit bat saliva, urine or excreta has been identified as </w:t>
      </w:r>
      <w:r w:rsidR="00176957" w:rsidRPr="00686E9D">
        <w:rPr>
          <w:u w:val="double"/>
          <w:lang w:val="en-IE"/>
        </w:rPr>
        <w:t>the</w:t>
      </w:r>
      <w:r w:rsidR="00176957" w:rsidRPr="00686E9D">
        <w:rPr>
          <w:lang w:val="en-IE"/>
        </w:rPr>
        <w:t xml:space="preserve"> </w:t>
      </w:r>
      <w:r w:rsidRPr="00686E9D">
        <w:rPr>
          <w:lang w:val="en-IE"/>
        </w:rPr>
        <w:t>likely route of transmission from the wildlife reservoir to humans</w:t>
      </w:r>
      <w:r w:rsidR="000B7D70">
        <w:rPr>
          <w:lang w:val="en-IE"/>
        </w:rPr>
        <w:t xml:space="preserve"> </w:t>
      </w:r>
      <w:r w:rsidR="000B7D70" w:rsidRPr="000B7D70">
        <w:rPr>
          <w:highlight w:val="yellow"/>
          <w:u w:val="double"/>
          <w:lang w:val="en-IE"/>
        </w:rPr>
        <w:t>in the Bangladesh outbreaks</w:t>
      </w:r>
      <w:r w:rsidRPr="00686E9D">
        <w:rPr>
          <w:lang w:val="en-IE"/>
        </w:rPr>
        <w:t xml:space="preserve"> </w:t>
      </w:r>
      <w:bookmarkEnd w:id="2"/>
      <w:r w:rsidRPr="00686E9D">
        <w:rPr>
          <w:lang w:val="en-IE"/>
        </w:rPr>
        <w:t>(</w:t>
      </w:r>
      <w:proofErr w:type="spellStart"/>
      <w:r w:rsidRPr="00686E9D">
        <w:rPr>
          <w:lang w:val="en-IE"/>
        </w:rPr>
        <w:t>Luby</w:t>
      </w:r>
      <w:proofErr w:type="spellEnd"/>
      <w:r w:rsidRPr="00686E9D">
        <w:rPr>
          <w:lang w:val="en-IE"/>
        </w:rPr>
        <w:t xml:space="preserve"> </w:t>
      </w:r>
      <w:r w:rsidRPr="00686E9D">
        <w:rPr>
          <w:i/>
          <w:lang w:val="en-IE"/>
        </w:rPr>
        <w:t>et al</w:t>
      </w:r>
      <w:r w:rsidRPr="00686E9D">
        <w:rPr>
          <w:lang w:val="en-IE"/>
        </w:rPr>
        <w:t>., 2006).</w:t>
      </w:r>
      <w:r w:rsidR="0040163F" w:rsidRPr="00686E9D">
        <w:rPr>
          <w:lang w:val="en-IE"/>
        </w:rPr>
        <w:t xml:space="preserve"> </w:t>
      </w:r>
      <w:r w:rsidR="0040163F" w:rsidRPr="00686E9D">
        <w:rPr>
          <w:u w:val="double"/>
          <w:lang w:val="en-IE"/>
        </w:rPr>
        <w:t>In some outbreaks, there has been human</w:t>
      </w:r>
      <w:r w:rsidR="00F3230C" w:rsidRPr="00686E9D">
        <w:rPr>
          <w:u w:val="double"/>
          <w:lang w:val="en-IE"/>
        </w:rPr>
        <w:t>-</w:t>
      </w:r>
      <w:r w:rsidR="0040163F" w:rsidRPr="00686E9D">
        <w:rPr>
          <w:u w:val="double"/>
          <w:lang w:val="en-IE"/>
        </w:rPr>
        <w:t>to</w:t>
      </w:r>
      <w:r w:rsidR="00F3230C" w:rsidRPr="00686E9D">
        <w:rPr>
          <w:u w:val="double"/>
          <w:lang w:val="en-IE"/>
        </w:rPr>
        <w:t>-</w:t>
      </w:r>
      <w:r w:rsidR="0040163F" w:rsidRPr="00686E9D">
        <w:rPr>
          <w:u w:val="double"/>
          <w:lang w:val="en-IE"/>
        </w:rPr>
        <w:t>human transmission.</w:t>
      </w:r>
      <w:r w:rsidRPr="00686E9D">
        <w:rPr>
          <w:lang w:val="en-IE"/>
        </w:rPr>
        <w:t xml:space="preserve"> As a result of these ongoing </w:t>
      </w:r>
      <w:proofErr w:type="gramStart"/>
      <w:r w:rsidRPr="00686E9D">
        <w:rPr>
          <w:lang w:val="en-IE"/>
        </w:rPr>
        <w:lastRenderedPageBreak/>
        <w:t>outbreaks</w:t>
      </w:r>
      <w:proofErr w:type="gramEnd"/>
      <w:r w:rsidRPr="00686E9D">
        <w:rPr>
          <w:lang w:val="en-IE"/>
        </w:rPr>
        <w:t xml:space="preserve"> it is estimated that across Malaysia, Singapore, Bangladesh and India there have now been </w:t>
      </w:r>
      <w:r w:rsidRPr="00686E9D">
        <w:rPr>
          <w:strike/>
          <w:lang w:val="en-IE"/>
        </w:rPr>
        <w:t>up more than 585</w:t>
      </w:r>
      <w:r w:rsidR="00145E39" w:rsidRPr="00686E9D">
        <w:rPr>
          <w:strike/>
          <w:lang w:val="en-IE"/>
        </w:rPr>
        <w:t xml:space="preserve"> </w:t>
      </w:r>
      <w:r w:rsidR="007A570A" w:rsidRPr="00686E9D">
        <w:rPr>
          <w:u w:val="double"/>
          <w:lang w:val="en-IE"/>
        </w:rPr>
        <w:t>&gt;6</w:t>
      </w:r>
      <w:r w:rsidR="009D6FC0" w:rsidRPr="00686E9D">
        <w:rPr>
          <w:u w:val="double"/>
          <w:lang w:val="en-IE"/>
        </w:rPr>
        <w:t>00</w:t>
      </w:r>
      <w:r w:rsidRPr="00686E9D">
        <w:rPr>
          <w:lang w:val="en-IE"/>
        </w:rPr>
        <w:t xml:space="preserve"> cases of </w:t>
      </w:r>
      <w:proofErr w:type="spellStart"/>
      <w:r w:rsidRPr="00686E9D">
        <w:rPr>
          <w:lang w:val="en-IE"/>
        </w:rPr>
        <w:t>NiV</w:t>
      </w:r>
      <w:proofErr w:type="spellEnd"/>
      <w:r w:rsidRPr="00686E9D">
        <w:rPr>
          <w:lang w:val="en-IE"/>
        </w:rPr>
        <w:t xml:space="preserve"> in humans, with </w:t>
      </w:r>
      <w:r w:rsidRPr="00686E9D">
        <w:rPr>
          <w:strike/>
          <w:lang w:val="en-IE"/>
        </w:rPr>
        <w:t>approximately</w:t>
      </w:r>
      <w:r w:rsidR="003A4685" w:rsidRPr="00686E9D">
        <w:rPr>
          <w:strike/>
          <w:lang w:val="en-IE"/>
        </w:rPr>
        <w:t xml:space="preserve"> </w:t>
      </w:r>
      <w:r w:rsidRPr="00686E9D">
        <w:rPr>
          <w:strike/>
          <w:lang w:val="en-IE"/>
        </w:rPr>
        <w:t>334</w:t>
      </w:r>
      <w:r w:rsidR="00EC67C3" w:rsidRPr="00686E9D">
        <w:rPr>
          <w:strike/>
          <w:lang w:val="en-IE"/>
        </w:rPr>
        <w:t xml:space="preserve"> </w:t>
      </w:r>
      <w:r w:rsidR="00EC67C3" w:rsidRPr="00686E9D">
        <w:rPr>
          <w:u w:val="double"/>
          <w:lang w:val="en-IE"/>
        </w:rPr>
        <w:t>&gt;400</w:t>
      </w:r>
      <w:r w:rsidRPr="00686E9D">
        <w:rPr>
          <w:lang w:val="en-IE"/>
        </w:rPr>
        <w:t> deaths</w:t>
      </w:r>
      <w:r w:rsidRPr="00686E9D">
        <w:rPr>
          <w:strike/>
          <w:lang w:val="en-IE"/>
        </w:rPr>
        <w:t xml:space="preserve"> (%)</w:t>
      </w:r>
      <w:r w:rsidR="003A4685" w:rsidRPr="00686E9D">
        <w:rPr>
          <w:lang w:val="en-IE"/>
        </w:rPr>
        <w:t>.</w:t>
      </w:r>
    </w:p>
    <w:p w14:paraId="62CC04BB" w14:textId="69590E83" w:rsidR="00081824" w:rsidRPr="00686E9D" w:rsidRDefault="00081824">
      <w:pPr>
        <w:pStyle w:val="paraA"/>
        <w:rPr>
          <w:lang w:val="en-IE"/>
        </w:rPr>
      </w:pPr>
      <w:r w:rsidRPr="00686E9D">
        <w:rPr>
          <w:lang w:val="en-IE"/>
        </w:rPr>
        <w:t>In 2014 in the Philippines</w:t>
      </w:r>
      <w:r w:rsidR="00BD7554" w:rsidRPr="00686E9D">
        <w:rPr>
          <w:lang w:val="en-IE"/>
        </w:rPr>
        <w:t>,</w:t>
      </w:r>
      <w:r w:rsidRPr="00686E9D">
        <w:rPr>
          <w:lang w:val="en-IE"/>
        </w:rPr>
        <w:t xml:space="preserve"> an </w:t>
      </w:r>
      <w:r w:rsidRPr="00686E9D">
        <w:rPr>
          <w:strike/>
          <w:lang w:val="en-IE"/>
        </w:rPr>
        <w:t xml:space="preserve">epidemiologically different </w:t>
      </w:r>
      <w:r w:rsidRPr="00686E9D">
        <w:rPr>
          <w:lang w:val="en-IE"/>
        </w:rPr>
        <w:t xml:space="preserve">outbreak of human cases of </w:t>
      </w:r>
      <w:proofErr w:type="spellStart"/>
      <w:r w:rsidRPr="00686E9D">
        <w:rPr>
          <w:lang w:val="en-IE"/>
        </w:rPr>
        <w:t>NiV</w:t>
      </w:r>
      <w:proofErr w:type="spellEnd"/>
      <w:r w:rsidRPr="00686E9D">
        <w:rPr>
          <w:lang w:val="en-IE"/>
        </w:rPr>
        <w:t xml:space="preserve"> was reported, with 9</w:t>
      </w:r>
      <w:r w:rsidR="00BD7554" w:rsidRPr="00686E9D">
        <w:rPr>
          <w:lang w:val="en-IE"/>
        </w:rPr>
        <w:t> </w:t>
      </w:r>
      <w:r w:rsidRPr="00686E9D">
        <w:rPr>
          <w:lang w:val="en-IE"/>
        </w:rPr>
        <w:t xml:space="preserve">deaths from 17 cases (Ching </w:t>
      </w:r>
      <w:r w:rsidRPr="00686E9D">
        <w:rPr>
          <w:i/>
          <w:lang w:val="en-IE"/>
        </w:rPr>
        <w:t>et al</w:t>
      </w:r>
      <w:r w:rsidR="0026573D" w:rsidRPr="00686E9D">
        <w:rPr>
          <w:i/>
          <w:lang w:val="en-IE"/>
        </w:rPr>
        <w:t>.</w:t>
      </w:r>
      <w:r w:rsidRPr="00686E9D">
        <w:rPr>
          <w:i/>
          <w:lang w:val="en-IE"/>
        </w:rPr>
        <w:t>,</w:t>
      </w:r>
      <w:r w:rsidRPr="00686E9D">
        <w:rPr>
          <w:lang w:val="en-IE"/>
        </w:rPr>
        <w:t xml:space="preserve"> 2015). In this outbreak infected </w:t>
      </w:r>
      <w:r w:rsidRPr="00686E9D">
        <w:rPr>
          <w:strike/>
          <w:lang w:val="en-IE"/>
        </w:rPr>
        <w:t xml:space="preserve">people were initially exposed to </w:t>
      </w:r>
      <w:r w:rsidR="008021F1" w:rsidRPr="00686E9D">
        <w:rPr>
          <w:u w:val="double"/>
          <w:lang w:val="en-IE"/>
        </w:rPr>
        <w:t>sick</w:t>
      </w:r>
      <w:r w:rsidR="008021F1" w:rsidRPr="00686E9D">
        <w:rPr>
          <w:lang w:val="en-IE"/>
        </w:rPr>
        <w:t xml:space="preserve"> </w:t>
      </w:r>
      <w:r w:rsidRPr="00686E9D">
        <w:rPr>
          <w:lang w:val="en-IE"/>
        </w:rPr>
        <w:t>horses</w:t>
      </w:r>
      <w:r w:rsidRPr="00686E9D">
        <w:rPr>
          <w:strike/>
          <w:lang w:val="en-IE"/>
        </w:rPr>
        <w:t xml:space="preserve"> </w:t>
      </w:r>
      <w:r w:rsidR="00BD7554" w:rsidRPr="00686E9D">
        <w:rPr>
          <w:strike/>
          <w:lang w:val="en-IE"/>
        </w:rPr>
        <w:t>hav</w:t>
      </w:r>
      <w:r w:rsidRPr="00686E9D">
        <w:rPr>
          <w:strike/>
          <w:lang w:val="en-IE"/>
        </w:rPr>
        <w:t>ing an acute encepha</w:t>
      </w:r>
      <w:r w:rsidR="00BD7554" w:rsidRPr="00686E9D">
        <w:rPr>
          <w:strike/>
          <w:lang w:val="en-IE"/>
        </w:rPr>
        <w:t>litis</w:t>
      </w:r>
      <w:r w:rsidRPr="00686E9D">
        <w:rPr>
          <w:strike/>
          <w:lang w:val="en-IE"/>
        </w:rPr>
        <w:t xml:space="preserve"> that </w:t>
      </w:r>
      <w:r w:rsidRPr="00686E9D">
        <w:rPr>
          <w:lang w:val="en-IE"/>
        </w:rPr>
        <w:t>were butchered and consumed by the people</w:t>
      </w:r>
      <w:r w:rsidR="00BD7554" w:rsidRPr="00686E9D">
        <w:rPr>
          <w:lang w:val="en-IE"/>
        </w:rPr>
        <w:t xml:space="preserve"> who later became infected</w:t>
      </w:r>
      <w:r w:rsidRPr="00686E9D">
        <w:rPr>
          <w:lang w:val="en-IE"/>
        </w:rPr>
        <w:t xml:space="preserve">. Some subsequent </w:t>
      </w:r>
      <w:proofErr w:type="gramStart"/>
      <w:r w:rsidRPr="00686E9D">
        <w:rPr>
          <w:lang w:val="en-IE"/>
        </w:rPr>
        <w:t>person</w:t>
      </w:r>
      <w:proofErr w:type="gramEnd"/>
      <w:r w:rsidR="00BD7554" w:rsidRPr="00686E9D">
        <w:rPr>
          <w:lang w:val="en-IE"/>
        </w:rPr>
        <w:t>-</w:t>
      </w:r>
      <w:r w:rsidRPr="00686E9D">
        <w:rPr>
          <w:lang w:val="en-IE"/>
        </w:rPr>
        <w:t>to</w:t>
      </w:r>
      <w:r w:rsidR="00BD7554" w:rsidRPr="00686E9D">
        <w:rPr>
          <w:lang w:val="en-IE"/>
        </w:rPr>
        <w:t>-</w:t>
      </w:r>
      <w:r w:rsidRPr="00686E9D">
        <w:rPr>
          <w:lang w:val="en-IE"/>
        </w:rPr>
        <w:t xml:space="preserve">person spread was suspected. Cats and dogs were also </w:t>
      </w:r>
      <w:r w:rsidRPr="00686E9D">
        <w:rPr>
          <w:strike/>
          <w:lang w:val="en-IE"/>
        </w:rPr>
        <w:t>affected</w:t>
      </w:r>
      <w:r w:rsidR="00EC67C3" w:rsidRPr="00686E9D">
        <w:rPr>
          <w:strike/>
          <w:lang w:val="en-IE"/>
        </w:rPr>
        <w:t xml:space="preserve"> </w:t>
      </w:r>
      <w:r w:rsidR="009D6FC0" w:rsidRPr="00686E9D">
        <w:rPr>
          <w:u w:val="double"/>
          <w:lang w:val="en-IE"/>
        </w:rPr>
        <w:t>infected</w:t>
      </w:r>
      <w:r w:rsidRPr="00686E9D">
        <w:rPr>
          <w:lang w:val="en-IE"/>
        </w:rPr>
        <w:t>.</w:t>
      </w:r>
    </w:p>
    <w:p w14:paraId="47DE7723" w14:textId="551B6F06" w:rsidR="00682ECF" w:rsidRPr="00686E9D" w:rsidRDefault="00964ED2">
      <w:pPr>
        <w:pStyle w:val="paraA"/>
        <w:rPr>
          <w:lang w:val="en-IE"/>
        </w:rPr>
      </w:pPr>
      <w:r w:rsidRPr="00686E9D">
        <w:rPr>
          <w:lang w:val="en-IE"/>
        </w:rPr>
        <w:t xml:space="preserve">Diagnosis of disease caused by </w:t>
      </w:r>
      <w:proofErr w:type="spellStart"/>
      <w:r w:rsidRPr="00686E9D">
        <w:rPr>
          <w:lang w:val="en-IE"/>
        </w:rPr>
        <w:t>henipaviruses</w:t>
      </w:r>
      <w:proofErr w:type="spellEnd"/>
      <w:r w:rsidRPr="00686E9D">
        <w:rPr>
          <w:lang w:val="en-IE"/>
        </w:rPr>
        <w:t xml:space="preserve"> is </w:t>
      </w:r>
      <w:r w:rsidR="009D6FC0" w:rsidRPr="00686E9D">
        <w:rPr>
          <w:u w:val="double"/>
          <w:lang w:val="en-IE"/>
        </w:rPr>
        <w:t>primarily</w:t>
      </w:r>
      <w:r w:rsidR="009D6FC0" w:rsidRPr="00686E9D">
        <w:rPr>
          <w:lang w:val="en-IE"/>
        </w:rPr>
        <w:t xml:space="preserve"> by </w:t>
      </w:r>
      <w:r w:rsidRPr="00686E9D">
        <w:rPr>
          <w:strike/>
          <w:lang w:val="en-IE"/>
        </w:rPr>
        <w:t xml:space="preserve">virus isolation, </w:t>
      </w:r>
      <w:r w:rsidRPr="00686E9D">
        <w:rPr>
          <w:lang w:val="en-IE"/>
        </w:rPr>
        <w:t>detection of viral RNA in clinical or post-mortem specimens</w:t>
      </w:r>
      <w:r w:rsidR="009D6FC0" w:rsidRPr="00686E9D">
        <w:rPr>
          <w:u w:val="double"/>
          <w:lang w:val="en-IE"/>
        </w:rPr>
        <w:t>, and virus isolation</w:t>
      </w:r>
      <w:r w:rsidR="009D6FC0" w:rsidRPr="00686E9D">
        <w:rPr>
          <w:lang w:val="en-IE"/>
        </w:rPr>
        <w:t xml:space="preserve"> </w:t>
      </w:r>
      <w:r w:rsidRPr="00686E9D">
        <w:rPr>
          <w:lang w:val="en-IE"/>
        </w:rPr>
        <w:t xml:space="preserve">or demonstration of viral antigen in tissue samples </w:t>
      </w:r>
      <w:r w:rsidRPr="00686E9D">
        <w:rPr>
          <w:strike/>
          <w:lang w:val="en-IE"/>
        </w:rPr>
        <w:t xml:space="preserve">taken at necropsy </w:t>
      </w:r>
      <w:r w:rsidRPr="00686E9D">
        <w:rPr>
          <w:lang w:val="en-IE"/>
        </w:rPr>
        <w:t xml:space="preserve">(Daniels </w:t>
      </w:r>
      <w:r w:rsidRPr="00686E9D">
        <w:rPr>
          <w:i/>
          <w:lang w:val="en-IE"/>
        </w:rPr>
        <w:t>et al</w:t>
      </w:r>
      <w:r w:rsidRPr="00686E9D">
        <w:rPr>
          <w:lang w:val="en-IE"/>
        </w:rPr>
        <w:t xml:space="preserve">., 2001). Detection of specific antibody can also be useful particularly in pigs where </w:t>
      </w:r>
      <w:proofErr w:type="spellStart"/>
      <w:r w:rsidRPr="00686E9D">
        <w:rPr>
          <w:lang w:val="en-IE"/>
        </w:rPr>
        <w:t>NiV</w:t>
      </w:r>
      <w:proofErr w:type="spellEnd"/>
      <w:r w:rsidRPr="00686E9D">
        <w:rPr>
          <w:lang w:val="en-IE"/>
        </w:rPr>
        <w:t xml:space="preserve"> infection may go unnoticed. Identification of </w:t>
      </w:r>
      <w:proofErr w:type="spellStart"/>
      <w:r w:rsidRPr="00686E9D">
        <w:rPr>
          <w:lang w:val="en-IE"/>
        </w:rPr>
        <w:t>HeV</w:t>
      </w:r>
      <w:proofErr w:type="spellEnd"/>
      <w:r w:rsidRPr="00686E9D">
        <w:rPr>
          <w:lang w:val="en-IE"/>
        </w:rPr>
        <w:t xml:space="preserve"> antibody in horses is less useful because of the high case fatality rate of infection in that species. Human infections of both </w:t>
      </w:r>
      <w:proofErr w:type="spellStart"/>
      <w:r w:rsidRPr="00686E9D">
        <w:rPr>
          <w:lang w:val="en-IE"/>
        </w:rPr>
        <w:t>HeV</w:t>
      </w:r>
      <w:proofErr w:type="spellEnd"/>
      <w:r w:rsidRPr="00686E9D">
        <w:rPr>
          <w:lang w:val="en-IE"/>
        </w:rPr>
        <w:t xml:space="preserve"> and </w:t>
      </w:r>
      <w:proofErr w:type="spellStart"/>
      <w:r w:rsidRPr="00686E9D">
        <w:rPr>
          <w:lang w:val="en-IE"/>
        </w:rPr>
        <w:t>NiV</w:t>
      </w:r>
      <w:proofErr w:type="spellEnd"/>
      <w:r w:rsidRPr="00686E9D">
        <w:rPr>
          <w:lang w:val="en-IE"/>
        </w:rPr>
        <w:t xml:space="preserve"> have been diagnosed retrospectively by serology. Demonstration of specific antibody to </w:t>
      </w:r>
      <w:proofErr w:type="spellStart"/>
      <w:r w:rsidRPr="00686E9D">
        <w:rPr>
          <w:lang w:val="en-IE"/>
        </w:rPr>
        <w:t>HeV</w:t>
      </w:r>
      <w:proofErr w:type="spellEnd"/>
      <w:r w:rsidRPr="00686E9D">
        <w:rPr>
          <w:lang w:val="en-IE"/>
        </w:rPr>
        <w:t xml:space="preserve"> or </w:t>
      </w:r>
      <w:proofErr w:type="spellStart"/>
      <w:r w:rsidRPr="00686E9D">
        <w:rPr>
          <w:lang w:val="en-IE"/>
        </w:rPr>
        <w:t>NiV</w:t>
      </w:r>
      <w:proofErr w:type="spellEnd"/>
      <w:r w:rsidRPr="00686E9D">
        <w:rPr>
          <w:lang w:val="en-IE"/>
        </w:rPr>
        <w:t xml:space="preserve"> in either</w:t>
      </w:r>
      <w:r w:rsidR="005151AB" w:rsidRPr="00686E9D">
        <w:rPr>
          <w:lang w:val="en-IE"/>
        </w:rPr>
        <w:t xml:space="preserve"> </w:t>
      </w:r>
      <w:r w:rsidR="005151AB" w:rsidRPr="00686E9D">
        <w:rPr>
          <w:u w:val="double"/>
          <w:lang w:val="en-IE"/>
        </w:rPr>
        <w:t>domestic</w:t>
      </w:r>
      <w:r w:rsidRPr="00686E9D">
        <w:rPr>
          <w:lang w:val="en-IE"/>
        </w:rPr>
        <w:t xml:space="preserve"> animals or humans is of diagnostic significance because of the rarity of infection and the serious zoonotic implication of transmission of infection.</w:t>
      </w:r>
    </w:p>
    <w:p w14:paraId="023AC921" w14:textId="6C82B240" w:rsidR="0088223E" w:rsidRPr="00F50BA7" w:rsidRDefault="00964ED2" w:rsidP="007F0F6F">
      <w:pPr>
        <w:pStyle w:val="paraA"/>
        <w:spacing w:after="480"/>
        <w:rPr>
          <w:b/>
          <w:bCs/>
          <w:caps/>
          <w:lang w:val="en-IE"/>
        </w:rPr>
      </w:pPr>
      <w:r w:rsidRPr="00686E9D">
        <w:rPr>
          <w:lang w:val="en-IE"/>
        </w:rPr>
        <w:t xml:space="preserve">The </w:t>
      </w:r>
      <w:proofErr w:type="spellStart"/>
      <w:r w:rsidRPr="00686E9D">
        <w:rPr>
          <w:lang w:val="en-IE"/>
        </w:rPr>
        <w:t>henipavirus</w:t>
      </w:r>
      <w:proofErr w:type="spellEnd"/>
      <w:r w:rsidRPr="00686E9D">
        <w:rPr>
          <w:lang w:val="en-IE"/>
        </w:rPr>
        <w:t xml:space="preserve"> genus is expanding, with new viruses recently identified. Cedar virus was isolated from the urine of </w:t>
      </w:r>
      <w:proofErr w:type="spellStart"/>
      <w:r w:rsidR="00350017" w:rsidRPr="00686E9D">
        <w:rPr>
          <w:i/>
          <w:lang w:val="en-IE"/>
        </w:rPr>
        <w:t>Pteropus</w:t>
      </w:r>
      <w:proofErr w:type="spellEnd"/>
      <w:r w:rsidR="00767210" w:rsidRPr="00686E9D">
        <w:rPr>
          <w:lang w:val="en-IE"/>
        </w:rPr>
        <w:t xml:space="preserve"> </w:t>
      </w:r>
      <w:r w:rsidRPr="00686E9D">
        <w:rPr>
          <w:lang w:val="en-IE"/>
        </w:rPr>
        <w:t>bats in Australia</w:t>
      </w:r>
      <w:r w:rsidR="004C7E83">
        <w:rPr>
          <w:lang w:val="en-IE"/>
        </w:rPr>
        <w:t xml:space="preserve"> </w:t>
      </w:r>
      <w:r w:rsidR="004C7E83" w:rsidRPr="009354E6">
        <w:rPr>
          <w:highlight w:val="yellow"/>
          <w:u w:val="double"/>
          <w:lang w:val="en-IE"/>
        </w:rPr>
        <w:t>in 2009</w:t>
      </w:r>
      <w:r w:rsidR="00407543" w:rsidRPr="009354E6">
        <w:rPr>
          <w:highlight w:val="yellow"/>
          <w:u w:val="double"/>
          <w:lang w:val="en-IE"/>
        </w:rPr>
        <w:t>.</w:t>
      </w:r>
      <w:r w:rsidRPr="009354E6">
        <w:rPr>
          <w:strike/>
          <w:highlight w:val="yellow"/>
          <w:lang w:val="en-IE"/>
        </w:rPr>
        <w:t>, but</w:t>
      </w:r>
      <w:r w:rsidRPr="00686E9D">
        <w:rPr>
          <w:lang w:val="en-IE"/>
        </w:rPr>
        <w:t xml:space="preserve"> </w:t>
      </w:r>
      <w:proofErr w:type="gramStart"/>
      <w:r w:rsidR="00407543">
        <w:rPr>
          <w:lang w:val="en-IE"/>
        </w:rPr>
        <w:t>I</w:t>
      </w:r>
      <w:r w:rsidRPr="00686E9D">
        <w:rPr>
          <w:lang w:val="en-IE"/>
        </w:rPr>
        <w:t>t</w:t>
      </w:r>
      <w:proofErr w:type="gramEnd"/>
      <w:r w:rsidRPr="00686E9D">
        <w:rPr>
          <w:lang w:val="en-IE"/>
        </w:rPr>
        <w:t xml:space="preserve"> remains to be seen if it has the capacity to spill over to other species, and if so, cause disease (Marsh </w:t>
      </w:r>
      <w:r w:rsidRPr="00686E9D">
        <w:rPr>
          <w:i/>
          <w:lang w:val="en-IE"/>
        </w:rPr>
        <w:t>et al</w:t>
      </w:r>
      <w:r w:rsidRPr="00686E9D">
        <w:rPr>
          <w:lang w:val="en-IE"/>
        </w:rPr>
        <w:t xml:space="preserve">., 2012). </w:t>
      </w:r>
      <w:proofErr w:type="gramStart"/>
      <w:r w:rsidRPr="00686E9D">
        <w:rPr>
          <w:lang w:val="en-IE"/>
        </w:rPr>
        <w:t>A number of</w:t>
      </w:r>
      <w:proofErr w:type="gramEnd"/>
      <w:r w:rsidRPr="00686E9D">
        <w:rPr>
          <w:lang w:val="en-IE"/>
        </w:rPr>
        <w:t xml:space="preserve"> other </w:t>
      </w:r>
      <w:proofErr w:type="spellStart"/>
      <w:r w:rsidRPr="00686E9D">
        <w:rPr>
          <w:lang w:val="en-IE"/>
        </w:rPr>
        <w:t>henipa</w:t>
      </w:r>
      <w:proofErr w:type="spellEnd"/>
      <w:r w:rsidRPr="00686E9D">
        <w:rPr>
          <w:lang w:val="en-IE"/>
        </w:rPr>
        <w:t xml:space="preserve">-like viruses have been detected </w:t>
      </w:r>
      <w:r w:rsidR="00D329C8" w:rsidRPr="00686E9D">
        <w:rPr>
          <w:lang w:val="en-IE"/>
        </w:rPr>
        <w:t xml:space="preserve">in wildlife </w:t>
      </w:r>
      <w:r w:rsidRPr="00686E9D">
        <w:rPr>
          <w:lang w:val="en-IE"/>
        </w:rPr>
        <w:t xml:space="preserve">by PCR and sequencing but have not yet been isolated by traditional virus isolation techniques (Wu </w:t>
      </w:r>
      <w:r w:rsidRPr="00686E9D">
        <w:rPr>
          <w:i/>
          <w:lang w:val="en-IE"/>
        </w:rPr>
        <w:t>et al</w:t>
      </w:r>
      <w:r w:rsidRPr="00686E9D">
        <w:rPr>
          <w:lang w:val="en-IE"/>
        </w:rPr>
        <w:t>., 2014).</w:t>
      </w:r>
      <w:r w:rsidR="00835C52">
        <w:rPr>
          <w:lang w:val="en-IE"/>
        </w:rPr>
        <w:t xml:space="preserve"> </w:t>
      </w:r>
      <w:bookmarkStart w:id="3" w:name="_Hlk95813840"/>
      <w:r w:rsidR="00835C52" w:rsidRPr="009354E6">
        <w:rPr>
          <w:highlight w:val="yellow"/>
          <w:u w:val="double"/>
          <w:lang w:val="en-IE"/>
        </w:rPr>
        <w:t xml:space="preserve">Two </w:t>
      </w:r>
      <w:proofErr w:type="spellStart"/>
      <w:r w:rsidR="00835C52" w:rsidRPr="009354E6">
        <w:rPr>
          <w:highlight w:val="yellow"/>
          <w:u w:val="double"/>
          <w:lang w:val="en-IE"/>
        </w:rPr>
        <w:t>henipa</w:t>
      </w:r>
      <w:proofErr w:type="spellEnd"/>
      <w:r w:rsidR="00835C52" w:rsidRPr="009354E6">
        <w:rPr>
          <w:highlight w:val="yellow"/>
          <w:u w:val="double"/>
          <w:lang w:val="en-IE"/>
        </w:rPr>
        <w:t xml:space="preserve">-like viruses have been isolated from shrews in the </w:t>
      </w:r>
      <w:r w:rsidR="00DD7AA9" w:rsidRPr="009354E6">
        <w:rPr>
          <w:highlight w:val="yellow"/>
          <w:u w:val="double"/>
          <w:lang w:val="en-IE"/>
        </w:rPr>
        <w:t xml:space="preserve">Korea </w:t>
      </w:r>
      <w:r w:rsidR="00DD7AA9">
        <w:rPr>
          <w:highlight w:val="yellow"/>
          <w:u w:val="double"/>
          <w:lang w:val="en-IE"/>
        </w:rPr>
        <w:t>(</w:t>
      </w:r>
      <w:r w:rsidR="00835C52" w:rsidRPr="009354E6">
        <w:rPr>
          <w:highlight w:val="yellow"/>
          <w:u w:val="double"/>
          <w:lang w:val="en-IE"/>
        </w:rPr>
        <w:t>Rep</w:t>
      </w:r>
      <w:r w:rsidR="00DD7AA9">
        <w:rPr>
          <w:highlight w:val="yellow"/>
          <w:u w:val="double"/>
          <w:lang w:val="en-IE"/>
        </w:rPr>
        <w:t>.</w:t>
      </w:r>
      <w:r w:rsidR="00835C52" w:rsidRPr="009354E6">
        <w:rPr>
          <w:highlight w:val="yellow"/>
          <w:u w:val="double"/>
          <w:lang w:val="en-IE"/>
        </w:rPr>
        <w:t xml:space="preserve"> of</w:t>
      </w:r>
      <w:r w:rsidR="00B452BF">
        <w:rPr>
          <w:highlight w:val="yellow"/>
          <w:u w:val="double"/>
          <w:lang w:val="en-IE"/>
        </w:rPr>
        <w:t>)</w:t>
      </w:r>
      <w:r w:rsidR="00835C52" w:rsidRPr="009354E6">
        <w:rPr>
          <w:highlight w:val="yellow"/>
          <w:u w:val="double"/>
          <w:lang w:val="en-IE"/>
        </w:rPr>
        <w:t xml:space="preserve"> </w:t>
      </w:r>
      <w:bookmarkEnd w:id="3"/>
      <w:r w:rsidR="00835C52" w:rsidRPr="009354E6">
        <w:rPr>
          <w:highlight w:val="yellow"/>
          <w:u w:val="double"/>
          <w:lang w:val="en-IE"/>
        </w:rPr>
        <w:t xml:space="preserve">(Lee </w:t>
      </w:r>
      <w:r w:rsidR="00835C52" w:rsidRPr="009354E6">
        <w:rPr>
          <w:i/>
          <w:iCs/>
          <w:highlight w:val="yellow"/>
          <w:u w:val="double"/>
          <w:lang w:val="en-IE"/>
        </w:rPr>
        <w:t>et al.,</w:t>
      </w:r>
      <w:r w:rsidR="00835C52" w:rsidRPr="009354E6">
        <w:rPr>
          <w:highlight w:val="yellow"/>
          <w:u w:val="double"/>
          <w:lang w:val="en-IE"/>
        </w:rPr>
        <w:t xml:space="preserve"> 2021).</w:t>
      </w:r>
    </w:p>
    <w:p w14:paraId="17CABDBB" w14:textId="09A46170" w:rsidR="00682ECF" w:rsidRPr="00686E9D" w:rsidRDefault="00964ED2">
      <w:pPr>
        <w:pStyle w:val="A"/>
        <w:rPr>
          <w:lang w:val="en-IE"/>
        </w:rPr>
      </w:pPr>
      <w:bookmarkStart w:id="4" w:name="_Hlk83898358"/>
      <w:r w:rsidRPr="00686E9D">
        <w:rPr>
          <w:lang w:val="en-IE"/>
        </w:rPr>
        <w:t>b.  diagnostic techniques</w:t>
      </w:r>
    </w:p>
    <w:p w14:paraId="57DD6E2C" w14:textId="76AA1F5F" w:rsidR="00682ECF" w:rsidRPr="00686E9D" w:rsidRDefault="00964ED2">
      <w:pPr>
        <w:pStyle w:val="A"/>
        <w:spacing w:after="120"/>
        <w:rPr>
          <w:rFonts w:cs="Arial"/>
          <w:b w:val="0"/>
          <w:i/>
          <w:sz w:val="18"/>
          <w:szCs w:val="18"/>
          <w:lang w:val="en-IE"/>
        </w:rPr>
      </w:pPr>
      <w:r w:rsidRPr="00686E9D">
        <w:rPr>
          <w:rFonts w:cs="Arial"/>
          <w:i/>
          <w:caps w:val="0"/>
          <w:sz w:val="18"/>
          <w:szCs w:val="18"/>
          <w:lang w:val="en-IE"/>
        </w:rPr>
        <w:t xml:space="preserve">Table </w:t>
      </w:r>
      <w:r w:rsidRPr="00686E9D">
        <w:rPr>
          <w:rFonts w:cs="Arial"/>
          <w:i/>
          <w:sz w:val="18"/>
          <w:szCs w:val="18"/>
          <w:lang w:val="en-IE"/>
        </w:rPr>
        <w:t>1.</w:t>
      </w:r>
      <w:r w:rsidRPr="00686E9D">
        <w:rPr>
          <w:rFonts w:cs="Arial"/>
          <w:b w:val="0"/>
          <w:i/>
          <w:sz w:val="18"/>
          <w:szCs w:val="18"/>
          <w:lang w:val="en-IE"/>
        </w:rPr>
        <w:t xml:space="preserve"> </w:t>
      </w:r>
      <w:r w:rsidRPr="00686E9D">
        <w:rPr>
          <w:rFonts w:cs="Arial"/>
          <w:b w:val="0"/>
          <w:i/>
          <w:caps w:val="0"/>
          <w:sz w:val="18"/>
          <w:szCs w:val="18"/>
          <w:lang w:val="en-IE"/>
        </w:rPr>
        <w:t xml:space="preserve">Test methods available for diagnosis of </w:t>
      </w:r>
      <w:proofErr w:type="spellStart"/>
      <w:r w:rsidRPr="00686E9D">
        <w:rPr>
          <w:b w:val="0"/>
          <w:i/>
          <w:caps w:val="0"/>
          <w:sz w:val="18"/>
          <w:szCs w:val="18"/>
          <w:lang w:val="en-IE"/>
        </w:rPr>
        <w:t>henipaviruses</w:t>
      </w:r>
      <w:proofErr w:type="spellEnd"/>
      <w:r w:rsidRPr="00686E9D">
        <w:rPr>
          <w:b w:val="0"/>
          <w:i/>
          <w:caps w:val="0"/>
          <w:sz w:val="18"/>
          <w:szCs w:val="18"/>
          <w:lang w:val="en-IE"/>
        </w:rPr>
        <w:t xml:space="preserve"> </w:t>
      </w:r>
      <w:r w:rsidRPr="00686E9D">
        <w:rPr>
          <w:rFonts w:cs="Arial"/>
          <w:b w:val="0"/>
          <w:i/>
          <w:caps w:val="0"/>
          <w:sz w:val="18"/>
          <w:szCs w:val="18"/>
          <w:lang w:val="en-IE"/>
        </w:rPr>
        <w:t>and their purpose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6" w:type="dxa"/>
          <w:right w:w="96" w:type="dxa"/>
        </w:tblCellMar>
        <w:tblLook w:val="0000" w:firstRow="0" w:lastRow="0" w:firstColumn="0" w:lastColumn="0" w:noHBand="0" w:noVBand="0"/>
      </w:tblPr>
      <w:tblGrid>
        <w:gridCol w:w="1326"/>
        <w:gridCol w:w="1150"/>
        <w:gridCol w:w="1460"/>
        <w:gridCol w:w="1155"/>
        <w:gridCol w:w="1134"/>
        <w:gridCol w:w="1276"/>
        <w:gridCol w:w="1701"/>
      </w:tblGrid>
      <w:tr w:rsidR="00682ECF" w:rsidRPr="00686E9D" w14:paraId="10BA5F7D" w14:textId="77777777" w:rsidTr="726B06DF">
        <w:trPr>
          <w:trHeight w:val="402"/>
          <w:tblHeader/>
          <w:jc w:val="center"/>
        </w:trPr>
        <w:tc>
          <w:tcPr>
            <w:tcW w:w="1326" w:type="dxa"/>
            <w:vMerge w:val="restart"/>
            <w:vAlign w:val="center"/>
          </w:tcPr>
          <w:p w14:paraId="64D87383" w14:textId="77777777" w:rsidR="00682ECF" w:rsidRPr="00686E9D" w:rsidRDefault="00964ED2" w:rsidP="0088223E">
            <w:pPr>
              <w:pStyle w:val="TableHead"/>
              <w:spacing w:before="100" w:after="100"/>
              <w:rPr>
                <w:rFonts w:ascii="Arial" w:hAnsi="Arial" w:cs="Arial"/>
                <w:sz w:val="16"/>
                <w:szCs w:val="16"/>
                <w:lang w:val="en-IE"/>
              </w:rPr>
            </w:pPr>
            <w:r w:rsidRPr="00686E9D">
              <w:rPr>
                <w:rFonts w:ascii="Arial" w:hAnsi="Arial" w:cs="Arial"/>
                <w:sz w:val="16"/>
                <w:szCs w:val="16"/>
                <w:lang w:val="en-IE"/>
              </w:rPr>
              <w:t>Method</w:t>
            </w:r>
          </w:p>
        </w:tc>
        <w:tc>
          <w:tcPr>
            <w:tcW w:w="7876" w:type="dxa"/>
            <w:gridSpan w:val="6"/>
            <w:vAlign w:val="center"/>
          </w:tcPr>
          <w:p w14:paraId="5ED44726" w14:textId="77777777" w:rsidR="00682ECF" w:rsidRPr="00686E9D" w:rsidRDefault="00964ED2" w:rsidP="0088223E">
            <w:pPr>
              <w:pStyle w:val="Tabletext"/>
              <w:spacing w:before="100" w:after="100"/>
              <w:rPr>
                <w:b/>
                <w:sz w:val="16"/>
                <w:szCs w:val="16"/>
                <w:lang w:val="en-IE"/>
              </w:rPr>
            </w:pPr>
            <w:r w:rsidRPr="00686E9D">
              <w:rPr>
                <w:b/>
                <w:sz w:val="16"/>
                <w:szCs w:val="16"/>
                <w:lang w:val="en-IE"/>
              </w:rPr>
              <w:t>Purpose</w:t>
            </w:r>
          </w:p>
        </w:tc>
      </w:tr>
      <w:tr w:rsidR="00682ECF" w:rsidRPr="00686E9D" w14:paraId="0185667E" w14:textId="77777777" w:rsidTr="726B06DF">
        <w:trPr>
          <w:trHeight w:val="402"/>
          <w:tblHeader/>
          <w:jc w:val="center"/>
        </w:trPr>
        <w:tc>
          <w:tcPr>
            <w:tcW w:w="1326" w:type="dxa"/>
            <w:vMerge/>
            <w:vAlign w:val="center"/>
          </w:tcPr>
          <w:p w14:paraId="58EDFA5A" w14:textId="77777777" w:rsidR="00682ECF" w:rsidRPr="00686E9D" w:rsidRDefault="00682ECF" w:rsidP="0088223E">
            <w:pPr>
              <w:pStyle w:val="TableHead"/>
              <w:spacing w:before="100" w:after="100"/>
              <w:rPr>
                <w:rFonts w:ascii="Arial" w:hAnsi="Arial" w:cs="Arial"/>
                <w:sz w:val="16"/>
                <w:szCs w:val="16"/>
                <w:lang w:val="en-IE"/>
              </w:rPr>
            </w:pPr>
          </w:p>
        </w:tc>
        <w:tc>
          <w:tcPr>
            <w:tcW w:w="1150" w:type="dxa"/>
            <w:vAlign w:val="center"/>
          </w:tcPr>
          <w:p w14:paraId="3CAA3486" w14:textId="77777777" w:rsidR="00682ECF" w:rsidRPr="00686E9D" w:rsidRDefault="00964ED2" w:rsidP="0088223E">
            <w:pPr>
              <w:pStyle w:val="Tabletext"/>
              <w:spacing w:before="100" w:after="100"/>
              <w:rPr>
                <w:sz w:val="16"/>
                <w:szCs w:val="16"/>
                <w:lang w:val="en-IE"/>
              </w:rPr>
            </w:pPr>
            <w:r w:rsidRPr="00686E9D">
              <w:rPr>
                <w:sz w:val="16"/>
                <w:szCs w:val="16"/>
                <w:lang w:val="en-IE"/>
              </w:rPr>
              <w:t>Population freedom from infection</w:t>
            </w:r>
          </w:p>
        </w:tc>
        <w:tc>
          <w:tcPr>
            <w:tcW w:w="1460" w:type="dxa"/>
            <w:vAlign w:val="center"/>
          </w:tcPr>
          <w:p w14:paraId="68ADCCBF" w14:textId="77777777" w:rsidR="00682ECF" w:rsidRPr="00686E9D" w:rsidRDefault="00964ED2" w:rsidP="0088223E">
            <w:pPr>
              <w:pStyle w:val="Tabletext"/>
              <w:spacing w:before="100" w:after="100"/>
              <w:rPr>
                <w:sz w:val="16"/>
                <w:szCs w:val="16"/>
                <w:lang w:val="en-IE"/>
              </w:rPr>
            </w:pPr>
            <w:r w:rsidRPr="00686E9D">
              <w:rPr>
                <w:sz w:val="16"/>
                <w:szCs w:val="16"/>
                <w:lang w:val="en-IE"/>
              </w:rPr>
              <w:t>Individual animal freedom from infection prior to movement</w:t>
            </w:r>
          </w:p>
        </w:tc>
        <w:tc>
          <w:tcPr>
            <w:tcW w:w="1155" w:type="dxa"/>
            <w:vAlign w:val="center"/>
          </w:tcPr>
          <w:p w14:paraId="6E94B3F2" w14:textId="77777777" w:rsidR="00682ECF" w:rsidRPr="00686E9D" w:rsidRDefault="00964ED2" w:rsidP="0088223E">
            <w:pPr>
              <w:pStyle w:val="Tabletext"/>
              <w:spacing w:before="100" w:after="100"/>
              <w:rPr>
                <w:sz w:val="16"/>
                <w:szCs w:val="16"/>
                <w:lang w:val="en-IE"/>
              </w:rPr>
            </w:pPr>
            <w:r w:rsidRPr="00686E9D">
              <w:rPr>
                <w:sz w:val="16"/>
                <w:szCs w:val="16"/>
                <w:lang w:val="en-IE"/>
              </w:rPr>
              <w:t>Contribution to eradication policies</w:t>
            </w:r>
          </w:p>
        </w:tc>
        <w:tc>
          <w:tcPr>
            <w:tcW w:w="1134" w:type="dxa"/>
            <w:vAlign w:val="center"/>
          </w:tcPr>
          <w:p w14:paraId="59C82EB8" w14:textId="77777777" w:rsidR="00682ECF" w:rsidRPr="00686E9D" w:rsidRDefault="00964ED2" w:rsidP="0088223E">
            <w:pPr>
              <w:pStyle w:val="Tabletext"/>
              <w:spacing w:before="100" w:after="100"/>
              <w:rPr>
                <w:sz w:val="16"/>
                <w:szCs w:val="16"/>
                <w:lang w:val="en-IE"/>
              </w:rPr>
            </w:pPr>
            <w:r w:rsidRPr="00686E9D">
              <w:rPr>
                <w:sz w:val="16"/>
                <w:szCs w:val="16"/>
                <w:lang w:val="en-IE"/>
              </w:rPr>
              <w:t>Confirmation of clinical cases</w:t>
            </w:r>
          </w:p>
        </w:tc>
        <w:tc>
          <w:tcPr>
            <w:tcW w:w="1276" w:type="dxa"/>
            <w:vAlign w:val="center"/>
          </w:tcPr>
          <w:p w14:paraId="6FB52095" w14:textId="52717DFD" w:rsidR="00682ECF" w:rsidRPr="00686E9D" w:rsidRDefault="00964ED2" w:rsidP="0088223E">
            <w:pPr>
              <w:pStyle w:val="Tabletext"/>
              <w:spacing w:before="100" w:after="100"/>
              <w:rPr>
                <w:sz w:val="16"/>
                <w:szCs w:val="16"/>
                <w:lang w:val="en-IE"/>
              </w:rPr>
            </w:pPr>
            <w:r w:rsidRPr="00686E9D">
              <w:rPr>
                <w:sz w:val="16"/>
                <w:szCs w:val="16"/>
                <w:lang w:val="en-IE"/>
              </w:rPr>
              <w:t>Prevalence of infection – surveillance</w:t>
            </w:r>
          </w:p>
        </w:tc>
        <w:tc>
          <w:tcPr>
            <w:tcW w:w="1701" w:type="dxa"/>
            <w:vAlign w:val="center"/>
          </w:tcPr>
          <w:p w14:paraId="12AFE8DF" w14:textId="77777777" w:rsidR="00682ECF" w:rsidRPr="00686E9D" w:rsidRDefault="00964ED2" w:rsidP="0088223E">
            <w:pPr>
              <w:pStyle w:val="Tabletext"/>
              <w:spacing w:before="100" w:after="100"/>
              <w:rPr>
                <w:sz w:val="16"/>
                <w:szCs w:val="16"/>
                <w:lang w:val="en-IE"/>
              </w:rPr>
            </w:pPr>
            <w:r w:rsidRPr="00686E9D">
              <w:rPr>
                <w:sz w:val="16"/>
                <w:szCs w:val="16"/>
                <w:lang w:val="en-IE"/>
              </w:rPr>
              <w:t>Immune status in individual animals or populations post-vaccination</w:t>
            </w:r>
          </w:p>
        </w:tc>
      </w:tr>
      <w:tr w:rsidR="00682ECF" w:rsidRPr="00686E9D" w14:paraId="6C7F4E04" w14:textId="77777777" w:rsidTr="726B06DF">
        <w:trPr>
          <w:trHeight w:val="402"/>
          <w:jc w:val="center"/>
        </w:trPr>
        <w:tc>
          <w:tcPr>
            <w:tcW w:w="9202" w:type="dxa"/>
            <w:gridSpan w:val="7"/>
            <w:shd w:val="clear" w:color="auto" w:fill="auto"/>
          </w:tcPr>
          <w:p w14:paraId="75B99B14" w14:textId="4B561209" w:rsidR="00682ECF" w:rsidRPr="00686E9D" w:rsidRDefault="00EC67C3" w:rsidP="0088223E">
            <w:pPr>
              <w:pStyle w:val="Tabletext"/>
              <w:spacing w:before="100" w:after="100"/>
              <w:rPr>
                <w:sz w:val="16"/>
                <w:szCs w:val="16"/>
                <w:lang w:val="en-IE"/>
              </w:rPr>
            </w:pPr>
            <w:r w:rsidRPr="726B06DF">
              <w:rPr>
                <w:b/>
                <w:sz w:val="16"/>
                <w:szCs w:val="16"/>
                <w:lang w:val="en-IE"/>
              </w:rPr>
              <w:t>Detection of the a</w:t>
            </w:r>
            <w:r w:rsidR="00964ED2" w:rsidRPr="726B06DF">
              <w:rPr>
                <w:b/>
                <w:sz w:val="16"/>
                <w:szCs w:val="16"/>
                <w:lang w:val="en-IE"/>
              </w:rPr>
              <w:t>gent</w:t>
            </w:r>
            <w:r w:rsidR="00B55682" w:rsidRPr="00B55682">
              <w:rPr>
                <w:b/>
                <w:sz w:val="16"/>
                <w:szCs w:val="16"/>
                <w:vertAlign w:val="superscript"/>
                <w:lang w:val="en-IE"/>
              </w:rPr>
              <w:t>(a)</w:t>
            </w:r>
          </w:p>
        </w:tc>
      </w:tr>
      <w:tr w:rsidR="00682ECF" w:rsidRPr="00686E9D" w14:paraId="761A1B23" w14:textId="77777777" w:rsidTr="726B06DF">
        <w:trPr>
          <w:trHeight w:val="402"/>
          <w:jc w:val="center"/>
        </w:trPr>
        <w:tc>
          <w:tcPr>
            <w:tcW w:w="1326" w:type="dxa"/>
          </w:tcPr>
          <w:p w14:paraId="6AE0EFA7" w14:textId="77777777" w:rsidR="00682ECF" w:rsidRPr="00686E9D" w:rsidRDefault="00964ED2" w:rsidP="0088223E">
            <w:pPr>
              <w:spacing w:before="100" w:after="100" w:line="240" w:lineRule="auto"/>
              <w:jc w:val="center"/>
              <w:rPr>
                <w:rFonts w:ascii="Arial" w:hAnsi="Arial" w:cs="Arial"/>
                <w:b/>
                <w:sz w:val="16"/>
                <w:szCs w:val="16"/>
                <w:lang w:val="en-IE"/>
              </w:rPr>
            </w:pPr>
            <w:r w:rsidRPr="00686E9D">
              <w:rPr>
                <w:rFonts w:ascii="Arial" w:hAnsi="Arial" w:cs="Arial"/>
                <w:b/>
                <w:sz w:val="16"/>
                <w:szCs w:val="16"/>
                <w:lang w:val="en-IE"/>
              </w:rPr>
              <w:t>Virus isolation</w:t>
            </w:r>
          </w:p>
        </w:tc>
        <w:tc>
          <w:tcPr>
            <w:tcW w:w="1150" w:type="dxa"/>
            <w:vAlign w:val="center"/>
          </w:tcPr>
          <w:p w14:paraId="5256D1C7" w14:textId="3BB67633" w:rsidR="00682ECF" w:rsidRPr="00686E9D" w:rsidRDefault="00964ED2" w:rsidP="0088223E">
            <w:pPr>
              <w:pStyle w:val="Tabletext"/>
              <w:spacing w:before="100" w:after="100"/>
              <w:rPr>
                <w:sz w:val="16"/>
                <w:szCs w:val="16"/>
                <w:lang w:val="en-IE"/>
              </w:rPr>
            </w:pPr>
            <w:r w:rsidRPr="00FD1A4B">
              <w:rPr>
                <w:strike/>
                <w:sz w:val="16"/>
                <w:szCs w:val="16"/>
                <w:lang w:val="en-IE"/>
              </w:rPr>
              <w:t>+</w:t>
            </w:r>
            <w:r w:rsidR="00FD1A4B" w:rsidRPr="00FD1A4B">
              <w:rPr>
                <w:strike/>
                <w:sz w:val="16"/>
                <w:szCs w:val="16"/>
                <w:lang w:val="en-IE"/>
              </w:rPr>
              <w:t xml:space="preserve"> </w:t>
            </w:r>
            <w:r w:rsidR="00FD1A4B" w:rsidRPr="00FD1A4B">
              <w:rPr>
                <w:sz w:val="16"/>
                <w:szCs w:val="16"/>
                <w:u w:val="double"/>
                <w:lang w:val="en-IE"/>
              </w:rPr>
              <w:t>–</w:t>
            </w:r>
          </w:p>
        </w:tc>
        <w:tc>
          <w:tcPr>
            <w:tcW w:w="1460" w:type="dxa"/>
            <w:vAlign w:val="center"/>
          </w:tcPr>
          <w:p w14:paraId="67BA9FB9" w14:textId="409CC891" w:rsidR="00682ECF" w:rsidRPr="00686E9D" w:rsidRDefault="00FD1A4B" w:rsidP="0088223E">
            <w:pPr>
              <w:pStyle w:val="Tabletext"/>
              <w:spacing w:before="100" w:after="100"/>
              <w:rPr>
                <w:sz w:val="16"/>
                <w:szCs w:val="16"/>
                <w:lang w:val="en-IE"/>
              </w:rPr>
            </w:pPr>
            <w:r w:rsidRPr="00FD1A4B">
              <w:rPr>
                <w:strike/>
                <w:sz w:val="16"/>
                <w:szCs w:val="16"/>
                <w:lang w:val="en-IE"/>
              </w:rPr>
              <w:t xml:space="preserve">+ </w:t>
            </w:r>
            <w:r w:rsidRPr="00FD1A4B">
              <w:rPr>
                <w:sz w:val="16"/>
                <w:szCs w:val="16"/>
                <w:u w:val="double"/>
                <w:lang w:val="en-IE"/>
              </w:rPr>
              <w:t>–</w:t>
            </w:r>
          </w:p>
        </w:tc>
        <w:tc>
          <w:tcPr>
            <w:tcW w:w="1155" w:type="dxa"/>
            <w:vAlign w:val="center"/>
          </w:tcPr>
          <w:p w14:paraId="7D8E73A4"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c>
          <w:tcPr>
            <w:tcW w:w="1134" w:type="dxa"/>
            <w:vAlign w:val="center"/>
          </w:tcPr>
          <w:p w14:paraId="5CF748F2" w14:textId="5EBD92F4" w:rsidR="00682ECF" w:rsidRPr="00686E9D" w:rsidRDefault="00964ED2" w:rsidP="0088223E">
            <w:pPr>
              <w:pStyle w:val="Tabletext"/>
              <w:spacing w:before="100" w:after="100"/>
              <w:rPr>
                <w:sz w:val="16"/>
                <w:szCs w:val="16"/>
                <w:lang w:val="en-IE"/>
              </w:rPr>
            </w:pPr>
            <w:r w:rsidRPr="00686E9D">
              <w:rPr>
                <w:sz w:val="16"/>
                <w:szCs w:val="16"/>
                <w:lang w:val="en-IE"/>
              </w:rPr>
              <w:t>++</w:t>
            </w:r>
            <w:r w:rsidR="00FD1A4B" w:rsidRPr="00FD1A4B">
              <w:rPr>
                <w:strike/>
                <w:sz w:val="16"/>
                <w:szCs w:val="16"/>
                <w:lang w:val="en-IE"/>
              </w:rPr>
              <w:t xml:space="preserve"> </w:t>
            </w:r>
            <w:r w:rsidRPr="00686E9D">
              <w:rPr>
                <w:sz w:val="16"/>
                <w:szCs w:val="16"/>
                <w:lang w:val="en-IE"/>
              </w:rPr>
              <w:t>+</w:t>
            </w:r>
          </w:p>
        </w:tc>
        <w:tc>
          <w:tcPr>
            <w:tcW w:w="1276" w:type="dxa"/>
            <w:vAlign w:val="center"/>
          </w:tcPr>
          <w:p w14:paraId="15B65B2F" w14:textId="59035E90" w:rsidR="00682ECF" w:rsidRPr="00686E9D" w:rsidRDefault="00FD1A4B" w:rsidP="0088223E">
            <w:pPr>
              <w:pStyle w:val="Tabletext"/>
              <w:spacing w:before="100" w:after="100"/>
              <w:rPr>
                <w:sz w:val="16"/>
                <w:szCs w:val="16"/>
                <w:u w:val="double"/>
                <w:lang w:val="en-IE"/>
              </w:rPr>
            </w:pPr>
            <w:r w:rsidRPr="00FD1A4B">
              <w:rPr>
                <w:sz w:val="16"/>
                <w:szCs w:val="16"/>
                <w:u w:val="double"/>
                <w:lang w:val="en-IE"/>
              </w:rPr>
              <w:t>–</w:t>
            </w:r>
          </w:p>
        </w:tc>
        <w:tc>
          <w:tcPr>
            <w:tcW w:w="1701" w:type="dxa"/>
            <w:vAlign w:val="center"/>
          </w:tcPr>
          <w:p w14:paraId="0FD4E9CD"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r>
      <w:tr w:rsidR="00682ECF" w:rsidRPr="00686E9D" w14:paraId="6BBB0A0F" w14:textId="77777777" w:rsidTr="726B06DF">
        <w:trPr>
          <w:trHeight w:val="402"/>
          <w:jc w:val="center"/>
        </w:trPr>
        <w:tc>
          <w:tcPr>
            <w:tcW w:w="1326" w:type="dxa"/>
          </w:tcPr>
          <w:p w14:paraId="628FFA5C" w14:textId="1555565A" w:rsidR="00682ECF" w:rsidRPr="00686E9D" w:rsidRDefault="00BD7554" w:rsidP="0088223E">
            <w:pPr>
              <w:spacing w:before="100" w:after="100" w:line="240" w:lineRule="auto"/>
              <w:jc w:val="center"/>
              <w:rPr>
                <w:rFonts w:ascii="Arial" w:hAnsi="Arial" w:cs="Arial"/>
                <w:b/>
                <w:sz w:val="16"/>
                <w:szCs w:val="16"/>
                <w:lang w:val="en-IE"/>
              </w:rPr>
            </w:pPr>
            <w:r w:rsidRPr="00686E9D">
              <w:rPr>
                <w:rFonts w:ascii="Arial" w:hAnsi="Arial" w:cs="Arial"/>
                <w:b/>
                <w:sz w:val="16"/>
                <w:szCs w:val="16"/>
                <w:lang w:val="en-IE"/>
              </w:rPr>
              <w:t>RT-PCR &amp;</w:t>
            </w:r>
            <w:r w:rsidRPr="00686E9D">
              <w:rPr>
                <w:rFonts w:ascii="Arial" w:hAnsi="Arial" w:cs="Arial"/>
                <w:b/>
                <w:sz w:val="16"/>
                <w:szCs w:val="16"/>
                <w:lang w:val="en-IE"/>
              </w:rPr>
              <w:br/>
            </w:r>
            <w:r w:rsidR="0026372E" w:rsidRPr="00686E9D">
              <w:rPr>
                <w:rFonts w:ascii="Arial" w:hAnsi="Arial" w:cs="Arial"/>
                <w:b/>
                <w:sz w:val="16"/>
                <w:szCs w:val="16"/>
                <w:lang w:val="en-IE"/>
              </w:rPr>
              <w:t xml:space="preserve">real-time </w:t>
            </w:r>
            <w:r w:rsidR="00964ED2" w:rsidRPr="00686E9D">
              <w:rPr>
                <w:rFonts w:ascii="Arial" w:hAnsi="Arial" w:cs="Arial"/>
                <w:b/>
                <w:sz w:val="16"/>
                <w:szCs w:val="16"/>
                <w:lang w:val="en-IE"/>
              </w:rPr>
              <w:t>RT-PCR</w:t>
            </w:r>
          </w:p>
        </w:tc>
        <w:tc>
          <w:tcPr>
            <w:tcW w:w="1150" w:type="dxa"/>
            <w:vAlign w:val="center"/>
          </w:tcPr>
          <w:p w14:paraId="488483F2"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c>
          <w:tcPr>
            <w:tcW w:w="1460" w:type="dxa"/>
            <w:vAlign w:val="center"/>
          </w:tcPr>
          <w:p w14:paraId="1EC6C3AB"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c>
          <w:tcPr>
            <w:tcW w:w="1155" w:type="dxa"/>
            <w:vAlign w:val="center"/>
          </w:tcPr>
          <w:p w14:paraId="4A4D280D"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c>
          <w:tcPr>
            <w:tcW w:w="1134" w:type="dxa"/>
            <w:vAlign w:val="center"/>
          </w:tcPr>
          <w:p w14:paraId="0D0645A8"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c>
          <w:tcPr>
            <w:tcW w:w="1276" w:type="dxa"/>
            <w:vAlign w:val="center"/>
          </w:tcPr>
          <w:p w14:paraId="44AAE3B8" w14:textId="3BE4E809" w:rsidR="00682ECF" w:rsidRPr="00686E9D" w:rsidRDefault="00964ED2" w:rsidP="0088223E">
            <w:pPr>
              <w:pStyle w:val="Tabletext"/>
              <w:spacing w:before="100" w:after="100"/>
              <w:rPr>
                <w:sz w:val="16"/>
                <w:szCs w:val="16"/>
                <w:lang w:val="en-IE"/>
              </w:rPr>
            </w:pPr>
            <w:r w:rsidRPr="00686E9D">
              <w:rPr>
                <w:sz w:val="16"/>
                <w:szCs w:val="16"/>
                <w:lang w:val="en-IE"/>
              </w:rPr>
              <w:t>+</w:t>
            </w:r>
            <w:r w:rsidR="00FD1A4B" w:rsidRPr="00FD1A4B">
              <w:rPr>
                <w:strike/>
                <w:sz w:val="16"/>
                <w:szCs w:val="16"/>
                <w:lang w:val="en-IE"/>
              </w:rPr>
              <w:t xml:space="preserve"> </w:t>
            </w:r>
            <w:r w:rsidRPr="00FD1A4B">
              <w:rPr>
                <w:strike/>
                <w:sz w:val="16"/>
                <w:szCs w:val="16"/>
                <w:lang w:val="en-IE"/>
              </w:rPr>
              <w:t>+</w:t>
            </w:r>
          </w:p>
        </w:tc>
        <w:tc>
          <w:tcPr>
            <w:tcW w:w="1701" w:type="dxa"/>
            <w:vAlign w:val="center"/>
          </w:tcPr>
          <w:p w14:paraId="6AEEF1B1"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r>
      <w:tr w:rsidR="00682ECF" w:rsidRPr="00686E9D" w14:paraId="2C8BEA90" w14:textId="77777777" w:rsidTr="726B06DF">
        <w:trPr>
          <w:trHeight w:val="402"/>
          <w:jc w:val="center"/>
        </w:trPr>
        <w:tc>
          <w:tcPr>
            <w:tcW w:w="1326" w:type="dxa"/>
          </w:tcPr>
          <w:p w14:paraId="017DDDE9" w14:textId="77777777" w:rsidR="00682ECF" w:rsidRPr="00686E9D" w:rsidRDefault="00964ED2" w:rsidP="0088223E">
            <w:pPr>
              <w:spacing w:before="100" w:after="100" w:line="240" w:lineRule="auto"/>
              <w:jc w:val="center"/>
              <w:rPr>
                <w:rFonts w:ascii="Arial" w:hAnsi="Arial" w:cs="Arial"/>
                <w:b/>
                <w:sz w:val="16"/>
                <w:szCs w:val="16"/>
                <w:lang w:val="en-IE"/>
              </w:rPr>
            </w:pPr>
            <w:r w:rsidRPr="00686E9D">
              <w:rPr>
                <w:rFonts w:ascii="Arial" w:hAnsi="Arial" w:cs="Arial"/>
                <w:b/>
                <w:sz w:val="16"/>
                <w:szCs w:val="16"/>
                <w:lang w:val="en-IE"/>
              </w:rPr>
              <w:t>IHC</w:t>
            </w:r>
          </w:p>
        </w:tc>
        <w:tc>
          <w:tcPr>
            <w:tcW w:w="1150" w:type="dxa"/>
            <w:vAlign w:val="center"/>
          </w:tcPr>
          <w:p w14:paraId="54B6DBE1"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c>
          <w:tcPr>
            <w:tcW w:w="1460" w:type="dxa"/>
            <w:vAlign w:val="center"/>
          </w:tcPr>
          <w:p w14:paraId="061E3556"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c>
          <w:tcPr>
            <w:tcW w:w="1155" w:type="dxa"/>
            <w:vAlign w:val="center"/>
          </w:tcPr>
          <w:p w14:paraId="4FF0E714"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c>
          <w:tcPr>
            <w:tcW w:w="1134" w:type="dxa"/>
            <w:vAlign w:val="center"/>
          </w:tcPr>
          <w:p w14:paraId="67DDC500"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c>
          <w:tcPr>
            <w:tcW w:w="1276" w:type="dxa"/>
            <w:vAlign w:val="center"/>
          </w:tcPr>
          <w:p w14:paraId="41DB8FEE"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c>
          <w:tcPr>
            <w:tcW w:w="1701" w:type="dxa"/>
            <w:vAlign w:val="center"/>
          </w:tcPr>
          <w:p w14:paraId="1F2D6BC3"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r>
      <w:tr w:rsidR="00682ECF" w:rsidRPr="00686E9D" w14:paraId="19A1034D" w14:textId="77777777" w:rsidTr="726B06DF">
        <w:trPr>
          <w:trHeight w:val="402"/>
          <w:jc w:val="center"/>
        </w:trPr>
        <w:tc>
          <w:tcPr>
            <w:tcW w:w="1326" w:type="dxa"/>
          </w:tcPr>
          <w:p w14:paraId="0EB25E2C" w14:textId="77777777" w:rsidR="00682ECF" w:rsidRPr="00686E9D" w:rsidRDefault="00964ED2" w:rsidP="0088223E">
            <w:pPr>
              <w:spacing w:before="100" w:after="100" w:line="240" w:lineRule="auto"/>
              <w:jc w:val="center"/>
              <w:rPr>
                <w:rFonts w:ascii="Arial" w:hAnsi="Arial" w:cs="Arial"/>
                <w:b/>
                <w:sz w:val="16"/>
                <w:szCs w:val="16"/>
                <w:lang w:val="en-IE"/>
              </w:rPr>
            </w:pPr>
            <w:r w:rsidRPr="00686E9D">
              <w:rPr>
                <w:rFonts w:ascii="Arial" w:hAnsi="Arial" w:cs="Arial"/>
                <w:b/>
                <w:sz w:val="16"/>
                <w:szCs w:val="16"/>
                <w:lang w:val="en-IE"/>
              </w:rPr>
              <w:t>IFA</w:t>
            </w:r>
          </w:p>
        </w:tc>
        <w:tc>
          <w:tcPr>
            <w:tcW w:w="1150" w:type="dxa"/>
            <w:vAlign w:val="center"/>
          </w:tcPr>
          <w:p w14:paraId="6BD378E0"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c>
          <w:tcPr>
            <w:tcW w:w="1460" w:type="dxa"/>
            <w:vAlign w:val="center"/>
          </w:tcPr>
          <w:p w14:paraId="2AD120BD"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c>
          <w:tcPr>
            <w:tcW w:w="1155" w:type="dxa"/>
            <w:vAlign w:val="center"/>
          </w:tcPr>
          <w:p w14:paraId="33E1B3C6"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c>
          <w:tcPr>
            <w:tcW w:w="1134" w:type="dxa"/>
            <w:vAlign w:val="center"/>
          </w:tcPr>
          <w:p w14:paraId="74BA86D9"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c>
          <w:tcPr>
            <w:tcW w:w="1276" w:type="dxa"/>
            <w:vAlign w:val="center"/>
          </w:tcPr>
          <w:p w14:paraId="32D41D75"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c>
          <w:tcPr>
            <w:tcW w:w="1701" w:type="dxa"/>
            <w:vAlign w:val="center"/>
          </w:tcPr>
          <w:p w14:paraId="0E7AD744"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r>
      <w:tr w:rsidR="00682ECF" w:rsidRPr="00686E9D" w14:paraId="4C149DFA" w14:textId="77777777" w:rsidTr="726B06DF">
        <w:trPr>
          <w:trHeight w:val="402"/>
          <w:jc w:val="center"/>
        </w:trPr>
        <w:tc>
          <w:tcPr>
            <w:tcW w:w="9202" w:type="dxa"/>
            <w:gridSpan w:val="7"/>
            <w:shd w:val="clear" w:color="auto" w:fill="auto"/>
          </w:tcPr>
          <w:p w14:paraId="51087245" w14:textId="26EB0D52" w:rsidR="00682ECF" w:rsidRPr="00686E9D" w:rsidRDefault="00964ED2" w:rsidP="0088223E">
            <w:pPr>
              <w:pStyle w:val="Tabletext"/>
              <w:spacing w:before="100" w:after="100"/>
              <w:rPr>
                <w:sz w:val="16"/>
                <w:szCs w:val="16"/>
                <w:lang w:val="en-IE"/>
              </w:rPr>
            </w:pPr>
            <w:r w:rsidRPr="00686E9D">
              <w:rPr>
                <w:b/>
                <w:sz w:val="16"/>
                <w:szCs w:val="16"/>
                <w:lang w:val="en-IE"/>
              </w:rPr>
              <w:t>Detection of immune response</w:t>
            </w:r>
            <w:r w:rsidR="00B55682" w:rsidRPr="00B55682">
              <w:rPr>
                <w:b/>
                <w:sz w:val="16"/>
                <w:szCs w:val="16"/>
                <w:vertAlign w:val="superscript"/>
                <w:lang w:val="en-IE"/>
              </w:rPr>
              <w:t>(b)</w:t>
            </w:r>
          </w:p>
        </w:tc>
      </w:tr>
      <w:tr w:rsidR="00682ECF" w:rsidRPr="00686E9D" w14:paraId="694C0624" w14:textId="77777777" w:rsidTr="726B06DF">
        <w:trPr>
          <w:trHeight w:val="402"/>
          <w:jc w:val="center"/>
        </w:trPr>
        <w:tc>
          <w:tcPr>
            <w:tcW w:w="1326" w:type="dxa"/>
          </w:tcPr>
          <w:p w14:paraId="4DFD62A6" w14:textId="00148543" w:rsidR="00682ECF" w:rsidRPr="00686E9D" w:rsidRDefault="00964ED2" w:rsidP="0088223E">
            <w:pPr>
              <w:spacing w:before="100" w:after="100" w:line="240" w:lineRule="auto"/>
              <w:jc w:val="center"/>
              <w:rPr>
                <w:rFonts w:ascii="Arial" w:hAnsi="Arial" w:cs="Arial"/>
                <w:b/>
                <w:sz w:val="16"/>
                <w:szCs w:val="16"/>
                <w:lang w:val="en-IE"/>
              </w:rPr>
            </w:pPr>
            <w:r w:rsidRPr="00686E9D">
              <w:rPr>
                <w:rFonts w:ascii="Arial" w:hAnsi="Arial" w:cs="Arial"/>
                <w:b/>
                <w:sz w:val="16"/>
                <w:szCs w:val="16"/>
                <w:lang w:val="en-IE"/>
              </w:rPr>
              <w:t>ELISA</w:t>
            </w:r>
          </w:p>
        </w:tc>
        <w:tc>
          <w:tcPr>
            <w:tcW w:w="1150" w:type="dxa"/>
            <w:vAlign w:val="center"/>
          </w:tcPr>
          <w:p w14:paraId="0CBE6A8D"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c>
          <w:tcPr>
            <w:tcW w:w="1460" w:type="dxa"/>
            <w:vAlign w:val="center"/>
          </w:tcPr>
          <w:p w14:paraId="000A5A73"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c>
          <w:tcPr>
            <w:tcW w:w="1155" w:type="dxa"/>
            <w:vAlign w:val="center"/>
          </w:tcPr>
          <w:p w14:paraId="283C9C3C"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c>
          <w:tcPr>
            <w:tcW w:w="1134" w:type="dxa"/>
            <w:vAlign w:val="center"/>
          </w:tcPr>
          <w:p w14:paraId="384274F4" w14:textId="209ABECB" w:rsidR="00682ECF" w:rsidRPr="00686E9D" w:rsidRDefault="00964ED2" w:rsidP="0088223E">
            <w:pPr>
              <w:pStyle w:val="Tabletext"/>
              <w:spacing w:before="100" w:after="100"/>
              <w:rPr>
                <w:sz w:val="16"/>
                <w:szCs w:val="16"/>
                <w:lang w:val="en-IE"/>
              </w:rPr>
            </w:pPr>
            <w:r w:rsidRPr="00686E9D">
              <w:rPr>
                <w:sz w:val="16"/>
                <w:szCs w:val="16"/>
                <w:lang w:val="en-IE"/>
              </w:rPr>
              <w:t>+</w:t>
            </w:r>
          </w:p>
        </w:tc>
        <w:tc>
          <w:tcPr>
            <w:tcW w:w="1276" w:type="dxa"/>
            <w:vAlign w:val="center"/>
          </w:tcPr>
          <w:p w14:paraId="688D7CDF"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c>
          <w:tcPr>
            <w:tcW w:w="1701" w:type="dxa"/>
            <w:vAlign w:val="center"/>
          </w:tcPr>
          <w:p w14:paraId="16FC54C0"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r>
      <w:tr w:rsidR="00682ECF" w:rsidRPr="00686E9D" w14:paraId="0A0472FF" w14:textId="77777777" w:rsidTr="726B06DF">
        <w:trPr>
          <w:trHeight w:val="402"/>
          <w:jc w:val="center"/>
        </w:trPr>
        <w:tc>
          <w:tcPr>
            <w:tcW w:w="1326" w:type="dxa"/>
          </w:tcPr>
          <w:p w14:paraId="24947C5B" w14:textId="0AD81150" w:rsidR="00682ECF" w:rsidRPr="00686E9D" w:rsidRDefault="00964ED2" w:rsidP="0088223E">
            <w:pPr>
              <w:spacing w:before="100" w:after="100" w:line="240" w:lineRule="auto"/>
              <w:jc w:val="center"/>
              <w:rPr>
                <w:rFonts w:ascii="Arial" w:hAnsi="Arial" w:cs="Arial"/>
                <w:b/>
                <w:sz w:val="16"/>
                <w:szCs w:val="16"/>
                <w:lang w:val="en-IE"/>
              </w:rPr>
            </w:pPr>
            <w:r w:rsidRPr="00686E9D">
              <w:rPr>
                <w:rFonts w:ascii="Arial" w:hAnsi="Arial" w:cs="Arial"/>
                <w:b/>
                <w:sz w:val="16"/>
                <w:szCs w:val="16"/>
                <w:lang w:val="en-IE"/>
              </w:rPr>
              <w:t>VN</w:t>
            </w:r>
            <w:r w:rsidR="0096677B" w:rsidRPr="00686E9D">
              <w:rPr>
                <w:rFonts w:ascii="Arial" w:hAnsi="Arial" w:cs="Arial"/>
                <w:b/>
                <w:sz w:val="16"/>
                <w:szCs w:val="16"/>
                <w:lang w:val="en-IE"/>
              </w:rPr>
              <w:t>T</w:t>
            </w:r>
          </w:p>
        </w:tc>
        <w:tc>
          <w:tcPr>
            <w:tcW w:w="1150" w:type="dxa"/>
            <w:vAlign w:val="center"/>
          </w:tcPr>
          <w:p w14:paraId="6F736A66"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c>
          <w:tcPr>
            <w:tcW w:w="1460" w:type="dxa"/>
            <w:vAlign w:val="center"/>
          </w:tcPr>
          <w:p w14:paraId="39C5C5DD"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c>
          <w:tcPr>
            <w:tcW w:w="1155" w:type="dxa"/>
            <w:vAlign w:val="center"/>
          </w:tcPr>
          <w:p w14:paraId="73447E08"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c>
          <w:tcPr>
            <w:tcW w:w="1134" w:type="dxa"/>
            <w:vAlign w:val="center"/>
          </w:tcPr>
          <w:p w14:paraId="25A3F570" w14:textId="6B963B19" w:rsidR="00682ECF" w:rsidRPr="00686E9D" w:rsidRDefault="0026573D" w:rsidP="0088223E">
            <w:pPr>
              <w:pStyle w:val="Tabletext"/>
              <w:spacing w:before="100" w:after="100"/>
              <w:rPr>
                <w:sz w:val="16"/>
                <w:szCs w:val="16"/>
                <w:lang w:val="en-IE"/>
              </w:rPr>
            </w:pPr>
            <w:r w:rsidRPr="00686E9D">
              <w:rPr>
                <w:sz w:val="16"/>
                <w:szCs w:val="16"/>
                <w:lang w:val="en-IE"/>
              </w:rPr>
              <w:t>+</w:t>
            </w:r>
          </w:p>
        </w:tc>
        <w:tc>
          <w:tcPr>
            <w:tcW w:w="1276" w:type="dxa"/>
            <w:vAlign w:val="center"/>
          </w:tcPr>
          <w:p w14:paraId="1E0B9F55"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c>
          <w:tcPr>
            <w:tcW w:w="1701" w:type="dxa"/>
            <w:vAlign w:val="center"/>
          </w:tcPr>
          <w:p w14:paraId="3EEC4AF5"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r>
      <w:tr w:rsidR="00682ECF" w:rsidRPr="00686E9D" w14:paraId="418F09DD" w14:textId="77777777" w:rsidTr="726B06DF">
        <w:trPr>
          <w:trHeight w:val="402"/>
          <w:jc w:val="center"/>
        </w:trPr>
        <w:tc>
          <w:tcPr>
            <w:tcW w:w="1326" w:type="dxa"/>
          </w:tcPr>
          <w:p w14:paraId="67BC59E1" w14:textId="7D66279D" w:rsidR="00682ECF" w:rsidRPr="00686E9D" w:rsidRDefault="00A67B14" w:rsidP="0088223E">
            <w:pPr>
              <w:spacing w:before="100" w:after="100" w:line="240" w:lineRule="auto"/>
              <w:jc w:val="center"/>
              <w:rPr>
                <w:rFonts w:ascii="Arial" w:hAnsi="Arial" w:cs="Arial"/>
                <w:b/>
                <w:sz w:val="16"/>
                <w:szCs w:val="16"/>
                <w:lang w:val="en-IE"/>
              </w:rPr>
            </w:pPr>
            <w:r w:rsidRPr="00686E9D">
              <w:rPr>
                <w:rFonts w:ascii="Arial" w:hAnsi="Arial" w:cs="Arial"/>
                <w:b/>
                <w:sz w:val="16"/>
                <w:szCs w:val="16"/>
                <w:lang w:val="en-IE"/>
              </w:rPr>
              <w:t>Bead assays</w:t>
            </w:r>
          </w:p>
        </w:tc>
        <w:tc>
          <w:tcPr>
            <w:tcW w:w="1150" w:type="dxa"/>
            <w:vAlign w:val="center"/>
          </w:tcPr>
          <w:p w14:paraId="3FD10440"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c>
          <w:tcPr>
            <w:tcW w:w="1460" w:type="dxa"/>
            <w:vAlign w:val="center"/>
          </w:tcPr>
          <w:p w14:paraId="509CDA39"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c>
          <w:tcPr>
            <w:tcW w:w="1155" w:type="dxa"/>
            <w:vAlign w:val="center"/>
          </w:tcPr>
          <w:p w14:paraId="2C6CA7C8"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c>
          <w:tcPr>
            <w:tcW w:w="1134" w:type="dxa"/>
            <w:vAlign w:val="center"/>
          </w:tcPr>
          <w:p w14:paraId="5F6D6CC9" w14:textId="530AA3B3" w:rsidR="00682ECF" w:rsidRPr="00686E9D" w:rsidRDefault="0026573D" w:rsidP="0088223E">
            <w:pPr>
              <w:pStyle w:val="Tabletext"/>
              <w:spacing w:before="100" w:after="100"/>
              <w:rPr>
                <w:sz w:val="16"/>
                <w:szCs w:val="16"/>
                <w:lang w:val="en-IE"/>
              </w:rPr>
            </w:pPr>
            <w:r w:rsidRPr="00686E9D">
              <w:rPr>
                <w:sz w:val="16"/>
                <w:szCs w:val="16"/>
                <w:lang w:val="en-IE"/>
              </w:rPr>
              <w:t>+</w:t>
            </w:r>
          </w:p>
        </w:tc>
        <w:tc>
          <w:tcPr>
            <w:tcW w:w="1276" w:type="dxa"/>
            <w:vAlign w:val="center"/>
          </w:tcPr>
          <w:p w14:paraId="03F33FA7"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c>
          <w:tcPr>
            <w:tcW w:w="1701" w:type="dxa"/>
            <w:vAlign w:val="center"/>
          </w:tcPr>
          <w:p w14:paraId="25DD9AF9" w14:textId="77777777" w:rsidR="00682ECF" w:rsidRPr="00686E9D" w:rsidRDefault="00964ED2" w:rsidP="0088223E">
            <w:pPr>
              <w:pStyle w:val="Tabletext"/>
              <w:spacing w:before="100" w:after="100"/>
              <w:rPr>
                <w:sz w:val="16"/>
                <w:szCs w:val="16"/>
                <w:lang w:val="en-IE"/>
              </w:rPr>
            </w:pPr>
            <w:r w:rsidRPr="00686E9D">
              <w:rPr>
                <w:sz w:val="16"/>
                <w:szCs w:val="16"/>
                <w:lang w:val="en-IE"/>
              </w:rPr>
              <w:t>+++</w:t>
            </w:r>
          </w:p>
        </w:tc>
      </w:tr>
    </w:tbl>
    <w:p w14:paraId="097E7BF5" w14:textId="77777777" w:rsidR="0026372E" w:rsidRPr="00686E9D" w:rsidRDefault="0026372E" w:rsidP="0026372E">
      <w:pPr>
        <w:pStyle w:val="PlainText"/>
        <w:spacing w:before="120" w:after="0"/>
        <w:jc w:val="center"/>
        <w:rPr>
          <w:rFonts w:ascii="Arial" w:hAnsi="Arial" w:cs="Arial"/>
          <w:color w:val="000000"/>
          <w:sz w:val="16"/>
          <w:szCs w:val="16"/>
          <w:lang w:val="en-IE"/>
        </w:rPr>
      </w:pPr>
      <w:r w:rsidRPr="00686E9D">
        <w:rPr>
          <w:rFonts w:ascii="Arial" w:hAnsi="Arial" w:cs="Arial"/>
          <w:color w:val="000000"/>
          <w:sz w:val="16"/>
          <w:szCs w:val="16"/>
          <w:lang w:val="en-IE"/>
        </w:rPr>
        <w:t xml:space="preserve">Key: +++ = recommended for this purpose; ++ recommended but has limitations; </w:t>
      </w:r>
      <w:r w:rsidRPr="00686E9D">
        <w:rPr>
          <w:rFonts w:ascii="Arial" w:hAnsi="Arial" w:cs="Arial"/>
          <w:color w:val="000000"/>
          <w:sz w:val="16"/>
          <w:szCs w:val="16"/>
          <w:lang w:val="en-IE"/>
        </w:rPr>
        <w:br/>
        <w:t>+ = suitable in very limited circumstances</w:t>
      </w:r>
      <w:r w:rsidRPr="00686E9D">
        <w:rPr>
          <w:rFonts w:ascii="Arial" w:hAnsi="Arial" w:cs="Arial"/>
          <w:sz w:val="16"/>
          <w:szCs w:val="16"/>
          <w:lang w:val="en-IE"/>
        </w:rPr>
        <w:t xml:space="preserve">; </w:t>
      </w:r>
      <w:r w:rsidRPr="00686E9D">
        <w:rPr>
          <w:rFonts w:ascii="Arial" w:hAnsi="Arial" w:cs="Arial"/>
          <w:color w:val="000000"/>
          <w:sz w:val="16"/>
          <w:szCs w:val="16"/>
          <w:lang w:val="en-IE"/>
        </w:rPr>
        <w:t>– = not appropriate for this purpose.</w:t>
      </w:r>
    </w:p>
    <w:p w14:paraId="4E03F604" w14:textId="540DBA37" w:rsidR="009354E6" w:rsidRPr="00686E9D" w:rsidRDefault="00964ED2" w:rsidP="00BD7554">
      <w:pPr>
        <w:pStyle w:val="paraA"/>
        <w:jc w:val="center"/>
        <w:rPr>
          <w:sz w:val="16"/>
          <w:szCs w:val="16"/>
          <w:lang w:val="en-IE"/>
        </w:rPr>
      </w:pPr>
      <w:r w:rsidRPr="00686E9D">
        <w:rPr>
          <w:bCs/>
          <w:sz w:val="16"/>
          <w:szCs w:val="16"/>
          <w:lang w:val="en-IE"/>
        </w:rPr>
        <w:t xml:space="preserve">RT-PCR = reverse-transcription </w:t>
      </w:r>
      <w:r w:rsidRPr="00686E9D">
        <w:rPr>
          <w:sz w:val="16"/>
          <w:szCs w:val="16"/>
          <w:lang w:val="en-IE"/>
        </w:rPr>
        <w:t>polymerase chain reaction;</w:t>
      </w:r>
      <w:r w:rsidRPr="00686E9D">
        <w:rPr>
          <w:bCs/>
          <w:sz w:val="16"/>
          <w:szCs w:val="16"/>
          <w:lang w:val="en-IE"/>
        </w:rPr>
        <w:t xml:space="preserve"> IHC = </w:t>
      </w:r>
      <w:r w:rsidRPr="00686E9D">
        <w:rPr>
          <w:sz w:val="16"/>
          <w:szCs w:val="16"/>
          <w:lang w:val="en-IE"/>
        </w:rPr>
        <w:t>Immunohistochemistry</w:t>
      </w:r>
      <w:r w:rsidRPr="00686E9D">
        <w:rPr>
          <w:bCs/>
          <w:sz w:val="16"/>
          <w:szCs w:val="16"/>
          <w:lang w:val="en-IE"/>
        </w:rPr>
        <w:t xml:space="preserve">; </w:t>
      </w:r>
      <w:r w:rsidR="00FE063E" w:rsidRPr="00686E9D">
        <w:rPr>
          <w:bCs/>
          <w:sz w:val="16"/>
          <w:szCs w:val="16"/>
          <w:lang w:val="en-IE"/>
        </w:rPr>
        <w:br/>
      </w:r>
      <w:r w:rsidRPr="00686E9D">
        <w:rPr>
          <w:bCs/>
          <w:sz w:val="16"/>
          <w:szCs w:val="16"/>
          <w:lang w:val="en-IE"/>
        </w:rPr>
        <w:t xml:space="preserve">IFA = </w:t>
      </w:r>
      <w:r w:rsidR="0088223E" w:rsidRPr="00686E9D">
        <w:rPr>
          <w:sz w:val="16"/>
          <w:lang w:val="en-IE"/>
        </w:rPr>
        <w:t>Indirect fluorescent antibody</w:t>
      </w:r>
      <w:r w:rsidRPr="00686E9D">
        <w:rPr>
          <w:bCs/>
          <w:sz w:val="16"/>
          <w:szCs w:val="16"/>
          <w:lang w:val="en-IE"/>
        </w:rPr>
        <w:t>;</w:t>
      </w:r>
      <w:r w:rsidR="0088223E" w:rsidRPr="00686E9D">
        <w:rPr>
          <w:bCs/>
          <w:sz w:val="16"/>
          <w:szCs w:val="16"/>
          <w:lang w:val="en-IE"/>
        </w:rPr>
        <w:t xml:space="preserve"> </w:t>
      </w:r>
      <w:r w:rsidRPr="00686E9D">
        <w:rPr>
          <w:sz w:val="16"/>
          <w:szCs w:val="16"/>
          <w:lang w:val="en-IE"/>
        </w:rPr>
        <w:t>ELISA = enzyme-linked immunosorbent assay; VN</w:t>
      </w:r>
      <w:r w:rsidR="0096677B" w:rsidRPr="00686E9D">
        <w:rPr>
          <w:sz w:val="16"/>
          <w:szCs w:val="16"/>
          <w:lang w:val="en-IE"/>
        </w:rPr>
        <w:t>T</w:t>
      </w:r>
      <w:r w:rsidRPr="00686E9D">
        <w:rPr>
          <w:sz w:val="16"/>
          <w:szCs w:val="16"/>
          <w:lang w:val="en-IE"/>
        </w:rPr>
        <w:t xml:space="preserve"> = virus neutralisation test.</w:t>
      </w:r>
      <w:r w:rsidR="009354E6">
        <w:rPr>
          <w:sz w:val="16"/>
          <w:szCs w:val="16"/>
          <w:lang w:val="en-IE"/>
        </w:rPr>
        <w:br/>
      </w:r>
      <w:r w:rsidR="00B55682">
        <w:rPr>
          <w:sz w:val="16"/>
          <w:szCs w:val="16"/>
          <w:vertAlign w:val="superscript"/>
          <w:lang w:val="en-IE"/>
        </w:rPr>
        <w:t>(a)</w:t>
      </w:r>
      <w:r w:rsidR="009354E6" w:rsidRPr="0088223E">
        <w:rPr>
          <w:sz w:val="16"/>
          <w:szCs w:val="16"/>
        </w:rPr>
        <w:t>A combination of agent identification methods applied on the same clinical specimen is recommended.</w:t>
      </w:r>
      <w:r w:rsidR="009354E6">
        <w:rPr>
          <w:sz w:val="16"/>
          <w:szCs w:val="16"/>
        </w:rPr>
        <w:br/>
      </w:r>
      <w:r w:rsidR="00B55682">
        <w:rPr>
          <w:sz w:val="16"/>
          <w:szCs w:val="16"/>
          <w:vertAlign w:val="superscript"/>
        </w:rPr>
        <w:t>(b)</w:t>
      </w:r>
      <w:r w:rsidR="009354E6" w:rsidRPr="00EC67C3">
        <w:rPr>
          <w:sz w:val="16"/>
          <w:szCs w:val="16"/>
          <w:u w:val="double"/>
        </w:rPr>
        <w:t>Positive ELISA and bead-based assay results should be confirmed by the VNT unless</w:t>
      </w:r>
      <w:r w:rsidR="009354E6">
        <w:rPr>
          <w:sz w:val="16"/>
          <w:szCs w:val="16"/>
          <w:u w:val="double"/>
        </w:rPr>
        <w:t xml:space="preserve"> the</w:t>
      </w:r>
      <w:r w:rsidR="009354E6" w:rsidRPr="00EC67C3">
        <w:rPr>
          <w:sz w:val="16"/>
          <w:szCs w:val="16"/>
          <w:u w:val="double"/>
        </w:rPr>
        <w:t xml:space="preserve"> assay is validated for</w:t>
      </w:r>
      <w:r w:rsidR="009354E6">
        <w:rPr>
          <w:sz w:val="16"/>
          <w:szCs w:val="16"/>
          <w:u w:val="double"/>
        </w:rPr>
        <w:t xml:space="preserve"> the</w:t>
      </w:r>
      <w:r w:rsidR="009354E6" w:rsidRPr="00EC67C3">
        <w:rPr>
          <w:sz w:val="16"/>
          <w:szCs w:val="16"/>
          <w:u w:val="double"/>
        </w:rPr>
        <w:t xml:space="preserve"> purpose.</w:t>
      </w:r>
      <w:r w:rsidR="009354E6" w:rsidRPr="00EC67C3">
        <w:rPr>
          <w:strike/>
          <w:sz w:val="16"/>
          <w:szCs w:val="16"/>
        </w:rPr>
        <w:t xml:space="preserve"> One of the listed serological tests is sufficient.</w:t>
      </w:r>
    </w:p>
    <w:bookmarkEnd w:id="4"/>
    <w:p w14:paraId="23631735" w14:textId="77777777" w:rsidR="00682ECF" w:rsidRPr="00686E9D" w:rsidRDefault="00964ED2">
      <w:pPr>
        <w:pStyle w:val="1"/>
        <w:rPr>
          <w:lang w:val="en-IE"/>
        </w:rPr>
      </w:pPr>
      <w:r w:rsidRPr="00686E9D">
        <w:rPr>
          <w:lang w:val="en-IE"/>
        </w:rPr>
        <w:t>1.</w:t>
      </w:r>
      <w:r w:rsidRPr="00686E9D">
        <w:rPr>
          <w:lang w:val="en-IE"/>
        </w:rPr>
        <w:tab/>
        <w:t>Laboratory biosafety</w:t>
      </w:r>
    </w:p>
    <w:p w14:paraId="2B7E07F9" w14:textId="2BE56EFD" w:rsidR="00682ECF" w:rsidRDefault="00964ED2">
      <w:pPr>
        <w:pStyle w:val="1Para"/>
        <w:rPr>
          <w:lang w:val="en-IE"/>
        </w:rPr>
      </w:pPr>
      <w:proofErr w:type="spellStart"/>
      <w:r w:rsidRPr="00686E9D">
        <w:rPr>
          <w:lang w:val="en-IE"/>
        </w:rPr>
        <w:t>HeV</w:t>
      </w:r>
      <w:proofErr w:type="spellEnd"/>
      <w:r w:rsidRPr="00686E9D">
        <w:rPr>
          <w:lang w:val="en-IE"/>
        </w:rPr>
        <w:t xml:space="preserve"> and </w:t>
      </w:r>
      <w:proofErr w:type="spellStart"/>
      <w:r w:rsidRPr="00686E9D">
        <w:rPr>
          <w:lang w:val="en-IE"/>
        </w:rPr>
        <w:t>NiV</w:t>
      </w:r>
      <w:proofErr w:type="spellEnd"/>
      <w:r w:rsidRPr="00686E9D">
        <w:rPr>
          <w:lang w:val="en-IE"/>
        </w:rPr>
        <w:t xml:space="preserve"> are dangerous human pathogens with </w:t>
      </w:r>
      <w:r w:rsidR="00767210" w:rsidRPr="00686E9D">
        <w:rPr>
          <w:lang w:val="en-IE"/>
        </w:rPr>
        <w:t>a</w:t>
      </w:r>
      <w:r w:rsidRPr="00686E9D">
        <w:rPr>
          <w:lang w:val="en-IE"/>
        </w:rPr>
        <w:t xml:space="preserve"> high case fatality rate and for which there is no human vaccination or effective antiviral treatment</w:t>
      </w:r>
      <w:r w:rsidRPr="00686E9D">
        <w:rPr>
          <w:strike/>
          <w:lang w:val="en-IE"/>
        </w:rPr>
        <w:t xml:space="preserve"> (WHO, 2004)</w:t>
      </w:r>
      <w:r w:rsidR="00EC67C3" w:rsidRPr="00686E9D">
        <w:rPr>
          <w:lang w:val="en-IE"/>
        </w:rPr>
        <w:t xml:space="preserve">. </w:t>
      </w:r>
      <w:r w:rsidR="00DE79E2" w:rsidRPr="00686E9D">
        <w:rPr>
          <w:u w:val="double"/>
          <w:lang w:val="en-IE"/>
        </w:rPr>
        <w:t xml:space="preserve">Transport of suspected specimens to </w:t>
      </w:r>
      <w:r w:rsidR="00A55744" w:rsidRPr="00686E9D">
        <w:rPr>
          <w:u w:val="double"/>
          <w:lang w:val="en-IE"/>
        </w:rPr>
        <w:t>laboratories, and</w:t>
      </w:r>
      <w:r w:rsidR="00DE79E2" w:rsidRPr="00686E9D">
        <w:rPr>
          <w:lang w:val="en-IE"/>
        </w:rPr>
        <w:t xml:space="preserve"> </w:t>
      </w:r>
      <w:r w:rsidR="00A55744" w:rsidRPr="00686E9D">
        <w:rPr>
          <w:lang w:val="en-IE"/>
        </w:rPr>
        <w:t>a</w:t>
      </w:r>
      <w:r w:rsidRPr="00686E9D">
        <w:rPr>
          <w:lang w:val="en-IE"/>
        </w:rPr>
        <w:t>ll laboratory manipulations with live viral cultures (including serological tests</w:t>
      </w:r>
      <w:r w:rsidR="00767210" w:rsidRPr="00686E9D">
        <w:rPr>
          <w:lang w:val="en-IE"/>
        </w:rPr>
        <w:t xml:space="preserve"> such as</w:t>
      </w:r>
      <w:r w:rsidR="00177CEE" w:rsidRPr="00686E9D">
        <w:rPr>
          <w:lang w:val="en-IE"/>
        </w:rPr>
        <w:t xml:space="preserve"> </w:t>
      </w:r>
      <w:r w:rsidR="00406C61" w:rsidRPr="00686E9D">
        <w:rPr>
          <w:lang w:val="en-IE"/>
        </w:rPr>
        <w:t xml:space="preserve">virus neutralisation (VN) </w:t>
      </w:r>
      <w:r w:rsidRPr="00686E9D">
        <w:rPr>
          <w:lang w:val="en-IE"/>
        </w:rPr>
        <w:t xml:space="preserve">using </w:t>
      </w:r>
      <w:r w:rsidRPr="00686E9D">
        <w:rPr>
          <w:lang w:val="en-IE"/>
        </w:rPr>
        <w:lastRenderedPageBreak/>
        <w:t xml:space="preserve">live virus) or potentially infected/contaminated material such </w:t>
      </w:r>
      <w:r w:rsidR="00391E1A" w:rsidRPr="00686E9D">
        <w:rPr>
          <w:lang w:val="en-IE"/>
        </w:rPr>
        <w:t xml:space="preserve">as </w:t>
      </w:r>
      <w:r w:rsidRPr="00686E9D">
        <w:rPr>
          <w:lang w:val="en-IE"/>
        </w:rPr>
        <w:t xml:space="preserve">tissue and blood samples must be performed at an appropriate biosafety and containment level determined by </w:t>
      </w:r>
      <w:proofErr w:type="spellStart"/>
      <w:r w:rsidRPr="00686E9D">
        <w:rPr>
          <w:lang w:val="en-IE"/>
        </w:rPr>
        <w:t>biorisk</w:t>
      </w:r>
      <w:proofErr w:type="spellEnd"/>
      <w:r w:rsidRPr="00686E9D">
        <w:rPr>
          <w:lang w:val="en-IE"/>
        </w:rPr>
        <w:t xml:space="preserve"> analysis (see Chapter</w:t>
      </w:r>
      <w:r w:rsidRPr="00686E9D">
        <w:rPr>
          <w:i/>
          <w:iCs/>
          <w:lang w:val="en-IE"/>
        </w:rPr>
        <w:t xml:space="preserve"> </w:t>
      </w:r>
      <w:r w:rsidRPr="00686E9D">
        <w:rPr>
          <w:iCs/>
          <w:lang w:val="en-IE"/>
        </w:rPr>
        <w:t>1.1.</w:t>
      </w:r>
      <w:r w:rsidR="00A77EE2" w:rsidRPr="00686E9D">
        <w:rPr>
          <w:iCs/>
          <w:lang w:val="en-IE"/>
        </w:rPr>
        <w:t>4</w:t>
      </w:r>
      <w:r w:rsidRPr="00686E9D">
        <w:rPr>
          <w:iCs/>
          <w:lang w:val="en-IE"/>
        </w:rPr>
        <w:t xml:space="preserve"> </w:t>
      </w:r>
      <w:r w:rsidR="00A77EE2" w:rsidRPr="00686E9D">
        <w:rPr>
          <w:i/>
          <w:lang w:val="en-IE"/>
        </w:rPr>
        <w:t xml:space="preserve">Biosafety and biosecurity: </w:t>
      </w:r>
      <w:r w:rsidR="00A77EE2" w:rsidRPr="00686E9D">
        <w:rPr>
          <w:i/>
          <w:iCs/>
          <w:lang w:val="en-IE"/>
        </w:rPr>
        <w:t>Standard for managing biological risk in the veterinary laboratory and animal facilities</w:t>
      </w:r>
      <w:r w:rsidRPr="00686E9D">
        <w:rPr>
          <w:iCs/>
          <w:lang w:val="en-IE"/>
        </w:rPr>
        <w:t>)</w:t>
      </w:r>
      <w:r w:rsidRPr="00686E9D">
        <w:rPr>
          <w:lang w:val="en-IE"/>
        </w:rPr>
        <w:t xml:space="preserve">. </w:t>
      </w:r>
      <w:r w:rsidR="00391E1A" w:rsidRPr="00686E9D">
        <w:rPr>
          <w:lang w:val="en-IE"/>
        </w:rPr>
        <w:t xml:space="preserve">The safety of the laboratory workers must be </w:t>
      </w:r>
      <w:r w:rsidR="00406C61" w:rsidRPr="00686E9D">
        <w:rPr>
          <w:lang w:val="en-IE"/>
        </w:rPr>
        <w:t xml:space="preserve">assured </w:t>
      </w:r>
      <w:r w:rsidR="00391E1A" w:rsidRPr="00686E9D">
        <w:rPr>
          <w:lang w:val="en-IE"/>
        </w:rPr>
        <w:t>by the biological risk management strategy adopted</w:t>
      </w:r>
      <w:r w:rsidRPr="00686E9D">
        <w:rPr>
          <w:lang w:val="en-IE"/>
        </w:rPr>
        <w:t xml:space="preserve">. </w:t>
      </w:r>
      <w:r w:rsidR="00AD7AD3" w:rsidRPr="00686E9D">
        <w:rPr>
          <w:lang w:val="en-IE"/>
        </w:rPr>
        <w:t>L</w:t>
      </w:r>
      <w:r w:rsidR="00391E1A" w:rsidRPr="00686E9D">
        <w:rPr>
          <w:lang w:val="en-IE"/>
        </w:rPr>
        <w:t>aboratories may a</w:t>
      </w:r>
      <w:r w:rsidR="00AD7AD3" w:rsidRPr="00686E9D">
        <w:rPr>
          <w:lang w:val="en-IE"/>
        </w:rPr>
        <w:t>d</w:t>
      </w:r>
      <w:r w:rsidR="00391E1A" w:rsidRPr="00686E9D">
        <w:rPr>
          <w:lang w:val="en-IE"/>
        </w:rPr>
        <w:t xml:space="preserve">opt different biological risk management strategies depending on whether they are testing samples by PCR or attempting to </w:t>
      </w:r>
      <w:r w:rsidR="00177CEE" w:rsidRPr="00686E9D">
        <w:rPr>
          <w:lang w:val="en-IE"/>
        </w:rPr>
        <w:t>propagate</w:t>
      </w:r>
      <w:r w:rsidR="00391E1A" w:rsidRPr="00686E9D">
        <w:rPr>
          <w:lang w:val="en-IE"/>
        </w:rPr>
        <w:t xml:space="preserve"> the agent</w:t>
      </w:r>
      <w:r w:rsidR="00AD7AD3" w:rsidRPr="00686E9D">
        <w:rPr>
          <w:lang w:val="en-IE"/>
        </w:rPr>
        <w:t>s.</w:t>
      </w:r>
      <w:r w:rsidR="00686E9D">
        <w:rPr>
          <w:lang w:val="en-IE"/>
        </w:rPr>
        <w:t xml:space="preserve"> </w:t>
      </w:r>
      <w:r w:rsidR="00C9629C" w:rsidRPr="00686E9D">
        <w:rPr>
          <w:u w:val="double"/>
          <w:lang w:val="en-IE"/>
        </w:rPr>
        <w:t>Molecular methods for agent detection are preferable as front</w:t>
      </w:r>
      <w:r w:rsidR="00686E9D">
        <w:rPr>
          <w:u w:val="double"/>
          <w:lang w:val="en-IE"/>
        </w:rPr>
        <w:t>-</w:t>
      </w:r>
      <w:r w:rsidR="00C9629C" w:rsidRPr="00686E9D">
        <w:rPr>
          <w:u w:val="double"/>
          <w:lang w:val="en-IE"/>
        </w:rPr>
        <w:t>line tests as they carry less risk to the laboratory worker than virus isolation.</w:t>
      </w:r>
      <w:r w:rsidR="00C9629C" w:rsidRPr="00686E9D">
        <w:rPr>
          <w:lang w:val="en-IE"/>
        </w:rPr>
        <w:t xml:space="preserve"> </w:t>
      </w:r>
      <w:r w:rsidR="00C956D8" w:rsidRPr="00686E9D">
        <w:rPr>
          <w:lang w:val="en-IE"/>
        </w:rPr>
        <w:t xml:space="preserve">Laboratories </w:t>
      </w:r>
      <w:r w:rsidR="00686E9D" w:rsidRPr="00686E9D">
        <w:rPr>
          <w:strike/>
          <w:lang w:val="en-IE"/>
        </w:rPr>
        <w:t xml:space="preserve">may adopt different biological risk management strategies depending on whether they are testing samples by PCR or attempting to propagate the agents </w:t>
      </w:r>
      <w:r w:rsidR="00C956D8" w:rsidRPr="00686E9D">
        <w:rPr>
          <w:u w:val="double"/>
          <w:lang w:val="en-IE"/>
        </w:rPr>
        <w:t xml:space="preserve">that do not have appropriate containment facilities for the handling of samples from suspect cases or for working with infectious virus should avail of the services of an OIE </w:t>
      </w:r>
      <w:r w:rsidR="00686E9D" w:rsidRPr="00686E9D">
        <w:rPr>
          <w:u w:val="double"/>
          <w:lang w:val="en-IE"/>
        </w:rPr>
        <w:t xml:space="preserve">reference </w:t>
      </w:r>
      <w:r w:rsidR="00C956D8" w:rsidRPr="00686E9D">
        <w:rPr>
          <w:u w:val="double"/>
          <w:lang w:val="en-IE"/>
        </w:rPr>
        <w:t xml:space="preserve">or </w:t>
      </w:r>
      <w:proofErr w:type="gramStart"/>
      <w:r w:rsidR="00C956D8" w:rsidRPr="00686E9D">
        <w:rPr>
          <w:u w:val="double"/>
          <w:lang w:val="en-IE"/>
        </w:rPr>
        <w:t>other</w:t>
      </w:r>
      <w:proofErr w:type="gramEnd"/>
      <w:r w:rsidR="00C956D8" w:rsidRPr="00686E9D">
        <w:rPr>
          <w:u w:val="double"/>
          <w:lang w:val="en-IE"/>
        </w:rPr>
        <w:t xml:space="preserve"> specialist laboratory</w:t>
      </w:r>
      <w:r w:rsidR="00C956D8" w:rsidRPr="00686E9D">
        <w:rPr>
          <w:lang w:val="en-IE"/>
        </w:rPr>
        <w:t>.</w:t>
      </w:r>
    </w:p>
    <w:p w14:paraId="1D04AC62" w14:textId="6E5722BF" w:rsidR="00C17222" w:rsidRPr="00686E9D" w:rsidRDefault="00C17222" w:rsidP="00C17222">
      <w:pPr>
        <w:pStyle w:val="111Para"/>
        <w:ind w:left="0"/>
        <w:rPr>
          <w:lang w:val="en-IE"/>
        </w:rPr>
      </w:pPr>
      <w:r w:rsidRPr="00686E9D">
        <w:rPr>
          <w:lang w:val="en-IE"/>
        </w:rPr>
        <w:t xml:space="preserve">Virus propagation </w:t>
      </w:r>
      <w:proofErr w:type="gramStart"/>
      <w:r w:rsidRPr="00686E9D">
        <w:rPr>
          <w:lang w:val="en-IE"/>
        </w:rPr>
        <w:t>in particular must</w:t>
      </w:r>
      <w:proofErr w:type="gramEnd"/>
      <w:r w:rsidRPr="00686E9D">
        <w:rPr>
          <w:lang w:val="en-IE"/>
        </w:rPr>
        <w:t xml:space="preserve"> be conducted </w:t>
      </w:r>
      <w:r w:rsidR="00C9629C" w:rsidRPr="003B55EC">
        <w:rPr>
          <w:u w:val="double"/>
          <w:lang w:val="en-IE"/>
        </w:rPr>
        <w:t>in high containment facilities</w:t>
      </w:r>
      <w:r w:rsidR="003B55EC">
        <w:rPr>
          <w:lang w:val="en-IE"/>
        </w:rPr>
        <w:t xml:space="preserve"> </w:t>
      </w:r>
      <w:r w:rsidRPr="00686E9D">
        <w:rPr>
          <w:lang w:val="en-IE"/>
        </w:rPr>
        <w:t xml:space="preserve">under stringent </w:t>
      </w:r>
      <w:r w:rsidRPr="003B55EC">
        <w:rPr>
          <w:strike/>
          <w:lang w:val="en-IE"/>
        </w:rPr>
        <w:t>and</w:t>
      </w:r>
      <w:r w:rsidR="002D7533" w:rsidRPr="003B55EC">
        <w:rPr>
          <w:strike/>
          <w:lang w:val="en-IE"/>
        </w:rPr>
        <w:t xml:space="preserve"> </w:t>
      </w:r>
      <w:r w:rsidRPr="003B55EC">
        <w:rPr>
          <w:strike/>
          <w:lang w:val="en-IE"/>
        </w:rPr>
        <w:t>appropriate</w:t>
      </w:r>
      <w:r w:rsidRPr="00686E9D">
        <w:rPr>
          <w:lang w:val="en-IE"/>
        </w:rPr>
        <w:t xml:space="preserve"> conditions that will prevent accidental infection of personnel in the laboratory. During primary virus isolation from specimens </w:t>
      </w:r>
      <w:r w:rsidR="00D436DB" w:rsidRPr="00686E9D">
        <w:rPr>
          <w:u w:val="double"/>
          <w:lang w:val="en-IE"/>
        </w:rPr>
        <w:t>collected</w:t>
      </w:r>
      <w:r w:rsidR="00D436DB" w:rsidRPr="00686E9D">
        <w:rPr>
          <w:lang w:val="en-IE"/>
        </w:rPr>
        <w:t xml:space="preserve"> </w:t>
      </w:r>
      <w:r w:rsidRPr="00686E9D">
        <w:rPr>
          <w:lang w:val="en-IE"/>
        </w:rPr>
        <w:t xml:space="preserve">from suspect cases, it must be appreciated and reflected in procedures that if a </w:t>
      </w:r>
      <w:r w:rsidRPr="00686E9D">
        <w:rPr>
          <w:strike/>
          <w:lang w:val="en-IE"/>
        </w:rPr>
        <w:t>‘</w:t>
      </w:r>
      <w:r w:rsidRPr="00686E9D">
        <w:rPr>
          <w:lang w:val="en-IE"/>
        </w:rPr>
        <w:t>paramyxovirus-like</w:t>
      </w:r>
      <w:r w:rsidRPr="00686E9D">
        <w:rPr>
          <w:strike/>
          <w:lang w:val="en-IE"/>
        </w:rPr>
        <w:t>’</w:t>
      </w:r>
      <w:r w:rsidRPr="00686E9D">
        <w:rPr>
          <w:lang w:val="en-IE"/>
        </w:rPr>
        <w:t xml:space="preserve"> cytopathic effect (CPE) develops in infected cultures</w:t>
      </w:r>
      <w:r w:rsidR="003B55EC">
        <w:rPr>
          <w:lang w:val="en-IE"/>
        </w:rPr>
        <w:t>,</w:t>
      </w:r>
      <w:r w:rsidRPr="00686E9D">
        <w:rPr>
          <w:lang w:val="en-IE"/>
        </w:rPr>
        <w:t xml:space="preserve"> the level of risk has increased. Appropriate biosafety guidelines will emphasise good laboratory practice, the </w:t>
      </w:r>
      <w:r w:rsidRPr="003B55EC">
        <w:rPr>
          <w:strike/>
          <w:lang w:val="en-IE"/>
        </w:rPr>
        <w:t>use of</w:t>
      </w:r>
      <w:r w:rsidR="00E83878" w:rsidRPr="003B55EC">
        <w:rPr>
          <w:strike/>
          <w:lang w:val="en-IE"/>
        </w:rPr>
        <w:t xml:space="preserve"> </w:t>
      </w:r>
      <w:r w:rsidR="009713D0" w:rsidRPr="003B55EC">
        <w:rPr>
          <w:u w:val="double"/>
          <w:lang w:val="en-IE"/>
        </w:rPr>
        <w:t>level of containment, the class of biosafety cabinet and the</w:t>
      </w:r>
      <w:r w:rsidR="009713D0" w:rsidRPr="003B55EC">
        <w:rPr>
          <w:lang w:val="en-IE"/>
        </w:rPr>
        <w:t xml:space="preserve"> </w:t>
      </w:r>
      <w:r w:rsidR="003E6CBB" w:rsidRPr="003B55EC">
        <w:rPr>
          <w:strike/>
          <w:lang w:val="en-IE"/>
        </w:rPr>
        <w:t xml:space="preserve">Class </w:t>
      </w:r>
      <w:r w:rsidRPr="003B55EC">
        <w:rPr>
          <w:strike/>
          <w:lang w:val="en-IE"/>
        </w:rPr>
        <w:t xml:space="preserve">II safety cabinet with </w:t>
      </w:r>
      <w:r w:rsidRPr="003B55EC">
        <w:rPr>
          <w:lang w:val="en-IE"/>
        </w:rPr>
        <w:t>appropriate personal protective equipment</w:t>
      </w:r>
      <w:r w:rsidR="003B55EC">
        <w:rPr>
          <w:lang w:val="en-IE"/>
        </w:rPr>
        <w:t xml:space="preserve"> </w:t>
      </w:r>
      <w:r w:rsidRPr="003B55EC">
        <w:rPr>
          <w:strike/>
          <w:lang w:val="en-IE"/>
        </w:rPr>
        <w:t xml:space="preserve">or a </w:t>
      </w:r>
      <w:r w:rsidR="003E6CBB" w:rsidRPr="003B55EC">
        <w:rPr>
          <w:strike/>
          <w:lang w:val="en-IE"/>
        </w:rPr>
        <w:t xml:space="preserve">Class </w:t>
      </w:r>
      <w:r w:rsidRPr="003B55EC">
        <w:rPr>
          <w:strike/>
          <w:lang w:val="en-IE"/>
        </w:rPr>
        <w:t>III cabinet</w:t>
      </w:r>
      <w:r w:rsidR="003B55EC" w:rsidRPr="003B55EC">
        <w:rPr>
          <w:strike/>
          <w:lang w:val="en-IE"/>
        </w:rPr>
        <w:t xml:space="preserve"> </w:t>
      </w:r>
      <w:r w:rsidR="003B55EC" w:rsidRPr="003B55EC">
        <w:rPr>
          <w:u w:val="double"/>
          <w:lang w:val="en-IE"/>
        </w:rPr>
        <w:t>required</w:t>
      </w:r>
      <w:r w:rsidRPr="003B55EC">
        <w:rPr>
          <w:lang w:val="en-IE"/>
        </w:rPr>
        <w:t xml:space="preserve">. </w:t>
      </w:r>
      <w:r w:rsidR="00B4134B" w:rsidRPr="003B55EC">
        <w:rPr>
          <w:lang w:val="en-IE"/>
        </w:rPr>
        <w:t>Reverse-transcription polymerase chain reaction (RT-PCR)</w:t>
      </w:r>
      <w:r w:rsidRPr="003B55EC">
        <w:rPr>
          <w:lang w:val="en-IE"/>
        </w:rPr>
        <w:t xml:space="preserve"> or immunofluorescent detection of </w:t>
      </w:r>
      <w:proofErr w:type="spellStart"/>
      <w:r w:rsidRPr="003B55EC">
        <w:rPr>
          <w:lang w:val="en-IE"/>
        </w:rPr>
        <w:t>henipavirus</w:t>
      </w:r>
      <w:proofErr w:type="spellEnd"/>
      <w:r w:rsidRPr="003B55EC">
        <w:rPr>
          <w:lang w:val="en-IE"/>
        </w:rPr>
        <w:t xml:space="preserve"> antigen</w:t>
      </w:r>
      <w:r w:rsidRPr="00686E9D">
        <w:rPr>
          <w:lang w:val="en-IE"/>
        </w:rPr>
        <w:t xml:space="preserve"> in cells fixed with acetone may be used to identify the isolate as a </w:t>
      </w:r>
      <w:proofErr w:type="spellStart"/>
      <w:r w:rsidRPr="00686E9D">
        <w:rPr>
          <w:lang w:val="en-IE"/>
        </w:rPr>
        <w:t>henipavirus</w:t>
      </w:r>
      <w:proofErr w:type="spellEnd"/>
      <w:r w:rsidRPr="00686E9D">
        <w:rPr>
          <w:lang w:val="en-IE"/>
        </w:rPr>
        <w:t>. Transfer of cultures to specialist laboratories should follow transportation standards as specified in Chapter 1.1</w:t>
      </w:r>
      <w:r w:rsidR="003E6CBB" w:rsidRPr="00686E9D">
        <w:rPr>
          <w:lang w:val="en-IE"/>
        </w:rPr>
        <w:t>.</w:t>
      </w:r>
      <w:r w:rsidR="00A77EE2" w:rsidRPr="00686E9D">
        <w:rPr>
          <w:lang w:val="en-IE"/>
        </w:rPr>
        <w:t>3</w:t>
      </w:r>
      <w:r w:rsidR="002D7533" w:rsidRPr="00686E9D">
        <w:rPr>
          <w:i/>
          <w:lang w:val="en-IE"/>
        </w:rPr>
        <w:t xml:space="preserve"> Transport of </w:t>
      </w:r>
      <w:r w:rsidR="00146ED7" w:rsidRPr="00686E9D">
        <w:rPr>
          <w:i/>
          <w:lang w:val="en-IE"/>
        </w:rPr>
        <w:t>biological specimens</w:t>
      </w:r>
      <w:r w:rsidR="002D7533" w:rsidRPr="00686E9D">
        <w:rPr>
          <w:i/>
          <w:lang w:val="en-IE"/>
        </w:rPr>
        <w:t>.</w:t>
      </w:r>
    </w:p>
    <w:p w14:paraId="0A12DDF5" w14:textId="455406FE" w:rsidR="00682ECF" w:rsidRPr="00686E9D" w:rsidRDefault="00964ED2" w:rsidP="004A0FE2">
      <w:pPr>
        <w:pStyle w:val="1"/>
        <w:spacing w:after="120"/>
        <w:rPr>
          <w:lang w:val="en-IE"/>
        </w:rPr>
      </w:pPr>
      <w:r w:rsidRPr="00686E9D">
        <w:rPr>
          <w:lang w:val="en-IE"/>
        </w:rPr>
        <w:t>2.</w:t>
      </w:r>
      <w:r w:rsidRPr="00686E9D">
        <w:rPr>
          <w:lang w:val="en-IE"/>
        </w:rPr>
        <w:tab/>
      </w:r>
      <w:r w:rsidR="0096677B" w:rsidRPr="00686E9D">
        <w:rPr>
          <w:lang w:val="en-IE"/>
        </w:rPr>
        <w:t xml:space="preserve">Detection </w:t>
      </w:r>
      <w:r w:rsidRPr="00686E9D">
        <w:rPr>
          <w:lang w:val="en-IE"/>
        </w:rPr>
        <w:t>of the agent</w:t>
      </w:r>
    </w:p>
    <w:p w14:paraId="10D9C8D6" w14:textId="19ECDE63" w:rsidR="00682ECF" w:rsidRPr="00686E9D" w:rsidRDefault="00964ED2" w:rsidP="004A0FE2">
      <w:pPr>
        <w:pStyle w:val="11"/>
        <w:spacing w:after="120"/>
        <w:rPr>
          <w:lang w:val="en-IE"/>
        </w:rPr>
      </w:pPr>
      <w:r w:rsidRPr="00686E9D">
        <w:rPr>
          <w:lang w:val="en-IE"/>
        </w:rPr>
        <w:t>2.1.</w:t>
      </w:r>
      <w:r w:rsidRPr="00686E9D">
        <w:rPr>
          <w:lang w:val="en-IE"/>
        </w:rPr>
        <w:tab/>
        <w:t>Virus isolation and characterisation</w:t>
      </w:r>
    </w:p>
    <w:p w14:paraId="0DFA8280" w14:textId="54FF355E" w:rsidR="00682ECF" w:rsidRPr="00686E9D" w:rsidRDefault="00964ED2" w:rsidP="00EC67C3">
      <w:pPr>
        <w:pStyle w:val="11Para"/>
        <w:rPr>
          <w:lang w:val="en-IE"/>
        </w:rPr>
      </w:pPr>
      <w:r w:rsidRPr="00686E9D">
        <w:rPr>
          <w:lang w:val="en-IE"/>
        </w:rPr>
        <w:t>Virus isolation greatly facilitates identification procedures</w:t>
      </w:r>
      <w:r w:rsidR="003B55EC">
        <w:rPr>
          <w:lang w:val="en-IE"/>
        </w:rPr>
        <w:t xml:space="preserve"> </w:t>
      </w:r>
      <w:r w:rsidRPr="003B55EC">
        <w:rPr>
          <w:strike/>
          <w:lang w:val="en-IE"/>
        </w:rPr>
        <w:t xml:space="preserve">and definitive diagnosis </w:t>
      </w:r>
      <w:r w:rsidR="003B55EC" w:rsidRPr="003B55EC">
        <w:rPr>
          <w:u w:val="double"/>
          <w:lang w:val="en-IE"/>
        </w:rPr>
        <w:t>but</w:t>
      </w:r>
      <w:r w:rsidR="003B55EC" w:rsidRPr="00686E9D">
        <w:rPr>
          <w:lang w:val="en-IE"/>
        </w:rPr>
        <w:t xml:space="preserve"> </w:t>
      </w:r>
      <w:r w:rsidRPr="00686E9D">
        <w:rPr>
          <w:lang w:val="en-IE"/>
        </w:rPr>
        <w:t xml:space="preserve">should </w:t>
      </w:r>
      <w:r w:rsidR="008B77B2" w:rsidRPr="003B55EC">
        <w:rPr>
          <w:u w:val="double"/>
          <w:lang w:val="en-IE"/>
        </w:rPr>
        <w:t>only</w:t>
      </w:r>
      <w:r w:rsidR="008B77B2" w:rsidRPr="003B55EC">
        <w:rPr>
          <w:lang w:val="en-IE"/>
        </w:rPr>
        <w:t xml:space="preserve"> be</w:t>
      </w:r>
      <w:r w:rsidR="008B77B2" w:rsidRPr="00686E9D">
        <w:rPr>
          <w:lang w:val="en-IE"/>
        </w:rPr>
        <w:t xml:space="preserve"> </w:t>
      </w:r>
      <w:r w:rsidRPr="00686E9D">
        <w:rPr>
          <w:lang w:val="en-IE"/>
        </w:rPr>
        <w:t xml:space="preserve">undertaken where operator safety can be guaranteed. Isolation is especially relevant in any new case or outbreak, particularly in countries or geographical areas where infection by </w:t>
      </w:r>
      <w:proofErr w:type="spellStart"/>
      <w:r w:rsidRPr="00686E9D">
        <w:rPr>
          <w:lang w:val="en-IE"/>
        </w:rPr>
        <w:t>HeV</w:t>
      </w:r>
      <w:proofErr w:type="spellEnd"/>
      <w:r w:rsidRPr="00686E9D">
        <w:rPr>
          <w:lang w:val="en-IE"/>
        </w:rPr>
        <w:t xml:space="preserve"> or </w:t>
      </w:r>
      <w:proofErr w:type="spellStart"/>
      <w:r w:rsidRPr="00686E9D">
        <w:rPr>
          <w:lang w:val="en-IE"/>
        </w:rPr>
        <w:t>NiV</w:t>
      </w:r>
      <w:proofErr w:type="spellEnd"/>
      <w:r w:rsidRPr="00686E9D">
        <w:rPr>
          <w:lang w:val="en-IE"/>
        </w:rPr>
        <w:t xml:space="preserve"> has not been previously documented. Molecular detection techniques which do not require </w:t>
      </w:r>
      <w:r w:rsidR="003B55EC" w:rsidRPr="003B55EC">
        <w:rPr>
          <w:strike/>
          <w:lang w:val="en-IE"/>
        </w:rPr>
        <w:t xml:space="preserve">handling </w:t>
      </w:r>
      <w:r w:rsidR="002C58C5" w:rsidRPr="003B55EC">
        <w:rPr>
          <w:u w:val="double"/>
          <w:lang w:val="en-IE"/>
        </w:rPr>
        <w:t>propagation</w:t>
      </w:r>
      <w:r w:rsidR="002C58C5" w:rsidRPr="00686E9D">
        <w:rPr>
          <w:lang w:val="en-IE"/>
        </w:rPr>
        <w:t xml:space="preserve"> </w:t>
      </w:r>
      <w:r w:rsidRPr="00686E9D">
        <w:rPr>
          <w:lang w:val="en-IE"/>
        </w:rPr>
        <w:t>of live virus, can be used to identify the presence of viral genome in samples</w:t>
      </w:r>
      <w:r w:rsidR="00406C61" w:rsidRPr="00686E9D">
        <w:rPr>
          <w:lang w:val="en-IE"/>
        </w:rPr>
        <w:t>.</w:t>
      </w:r>
      <w:r w:rsidRPr="00686E9D">
        <w:rPr>
          <w:lang w:val="en-IE"/>
        </w:rPr>
        <w:t xml:space="preserve"> Implication of wildlife species as natural hosts of the viruses requires positive serology, PCR or virus isolation from wild-caught animals</w:t>
      </w:r>
      <w:r w:rsidRPr="00686E9D">
        <w:rPr>
          <w:strike/>
          <w:lang w:val="en-IE"/>
        </w:rPr>
        <w:t xml:space="preserve"> (Daniels </w:t>
      </w:r>
      <w:r w:rsidRPr="00686E9D">
        <w:rPr>
          <w:i/>
          <w:strike/>
          <w:lang w:val="en-IE"/>
        </w:rPr>
        <w:t>et al</w:t>
      </w:r>
      <w:r w:rsidRPr="00686E9D">
        <w:rPr>
          <w:strike/>
          <w:lang w:val="en-IE"/>
        </w:rPr>
        <w:t>., 2007)</w:t>
      </w:r>
      <w:r w:rsidRPr="00686E9D">
        <w:rPr>
          <w:lang w:val="en-IE"/>
        </w:rPr>
        <w:t xml:space="preserve">. </w:t>
      </w:r>
    </w:p>
    <w:p w14:paraId="5E6D2A49" w14:textId="1A110724" w:rsidR="00682ECF" w:rsidRPr="00686E9D" w:rsidRDefault="00964ED2">
      <w:pPr>
        <w:pStyle w:val="111"/>
        <w:rPr>
          <w:lang w:val="en-IE"/>
        </w:rPr>
      </w:pPr>
      <w:r w:rsidRPr="00686E9D">
        <w:rPr>
          <w:lang w:val="en-IE"/>
        </w:rPr>
        <w:t>2.1.1.</w:t>
      </w:r>
      <w:r w:rsidRPr="00686E9D">
        <w:rPr>
          <w:lang w:val="en-IE"/>
        </w:rPr>
        <w:tab/>
      </w:r>
      <w:bookmarkStart w:id="5" w:name="_Hlk95814143"/>
      <w:r w:rsidRPr="00686E9D">
        <w:rPr>
          <w:lang w:val="en-IE"/>
        </w:rPr>
        <w:t>Sampling and submission of specimens</w:t>
      </w:r>
      <w:bookmarkEnd w:id="5"/>
    </w:p>
    <w:p w14:paraId="1CFC1ECB" w14:textId="4E23C5EC" w:rsidR="00AD7AD3" w:rsidRPr="00686E9D" w:rsidRDefault="00964ED2">
      <w:pPr>
        <w:pStyle w:val="111Para"/>
        <w:rPr>
          <w:lang w:val="en-IE"/>
        </w:rPr>
      </w:pPr>
      <w:r w:rsidRPr="00686E9D">
        <w:rPr>
          <w:lang w:val="en-IE"/>
        </w:rPr>
        <w:t xml:space="preserve">The range of tissues yielding virus in natural and experimental cases has been summarised (Daniels </w:t>
      </w:r>
      <w:r w:rsidRPr="00686E9D">
        <w:rPr>
          <w:i/>
          <w:lang w:val="en-IE"/>
        </w:rPr>
        <w:t>et al</w:t>
      </w:r>
      <w:r w:rsidRPr="00686E9D">
        <w:rPr>
          <w:lang w:val="en-IE"/>
        </w:rPr>
        <w:t xml:space="preserve">., </w:t>
      </w:r>
      <w:r w:rsidRPr="00686E9D">
        <w:rPr>
          <w:strike/>
          <w:lang w:val="en-IE"/>
        </w:rPr>
        <w:t>2000</w:t>
      </w:r>
      <w:r w:rsidR="00CC324B" w:rsidRPr="00686E9D">
        <w:rPr>
          <w:strike/>
          <w:lang w:val="en-IE"/>
        </w:rPr>
        <w:t xml:space="preserve"> </w:t>
      </w:r>
      <w:r w:rsidR="00CC324B" w:rsidRPr="00686E9D">
        <w:rPr>
          <w:u w:val="double"/>
          <w:lang w:val="en-IE"/>
        </w:rPr>
        <w:t>2001</w:t>
      </w:r>
      <w:r w:rsidRPr="00686E9D">
        <w:rPr>
          <w:lang w:val="en-IE"/>
        </w:rPr>
        <w:t>). In live animal</w:t>
      </w:r>
      <w:r w:rsidR="00C649D0" w:rsidRPr="00686E9D">
        <w:rPr>
          <w:lang w:val="en-IE"/>
        </w:rPr>
        <w:t>s</w:t>
      </w:r>
      <w:r w:rsidRPr="00686E9D">
        <w:rPr>
          <w:lang w:val="en-IE"/>
        </w:rPr>
        <w:t xml:space="preserve">, swabs (nasal or </w:t>
      </w:r>
      <w:proofErr w:type="spellStart"/>
      <w:r w:rsidRPr="00686E9D">
        <w:rPr>
          <w:lang w:val="en-IE"/>
        </w:rPr>
        <w:t>oro</w:t>
      </w:r>
      <w:proofErr w:type="spellEnd"/>
      <w:r w:rsidRPr="00686E9D">
        <w:rPr>
          <w:lang w:val="en-IE"/>
        </w:rPr>
        <w:t>-</w:t>
      </w:r>
      <w:proofErr w:type="spellStart"/>
      <w:r w:rsidRPr="00686E9D">
        <w:rPr>
          <w:lang w:val="en-IE"/>
        </w:rPr>
        <w:t>naso</w:t>
      </w:r>
      <w:proofErr w:type="spellEnd"/>
      <w:r w:rsidRPr="00686E9D">
        <w:rPr>
          <w:lang w:val="en-IE"/>
        </w:rPr>
        <w:t>-pharyngeal</w:t>
      </w:r>
      <w:r w:rsidRPr="00686E9D">
        <w:rPr>
          <w:u w:val="double"/>
          <w:lang w:val="en-IE"/>
        </w:rPr>
        <w:t>)</w:t>
      </w:r>
      <w:r w:rsidR="00306510" w:rsidRPr="00686E9D">
        <w:rPr>
          <w:u w:val="double"/>
          <w:lang w:val="en-IE"/>
        </w:rPr>
        <w:t xml:space="preserve">, </w:t>
      </w:r>
      <w:r w:rsidR="00B4134B" w:rsidRPr="00686E9D">
        <w:rPr>
          <w:u w:val="double"/>
          <w:lang w:val="en-IE"/>
        </w:rPr>
        <w:t>EDTA (</w:t>
      </w:r>
      <w:r w:rsidR="00F3230C" w:rsidRPr="00686E9D">
        <w:rPr>
          <w:u w:val="double"/>
          <w:lang w:val="en-IE"/>
        </w:rPr>
        <w:t>ethylene diamine tetra-acetic acid</w:t>
      </w:r>
      <w:r w:rsidR="00B4134B" w:rsidRPr="00686E9D">
        <w:rPr>
          <w:u w:val="double"/>
          <w:lang w:val="en-IE"/>
        </w:rPr>
        <w:t>)</w:t>
      </w:r>
      <w:r w:rsidR="00306510" w:rsidRPr="00686E9D">
        <w:rPr>
          <w:u w:val="double"/>
          <w:lang w:val="en-IE"/>
        </w:rPr>
        <w:t xml:space="preserve"> blood</w:t>
      </w:r>
      <w:r w:rsidRPr="00686E9D">
        <w:rPr>
          <w:lang w:val="en-IE"/>
        </w:rPr>
        <w:t xml:space="preserve"> and serum should always be submitted. Urine, brain, lung, kidney and spleen are also useful, </w:t>
      </w:r>
      <w:r w:rsidR="00AD7AD3" w:rsidRPr="00686E9D">
        <w:rPr>
          <w:lang w:val="en-IE"/>
        </w:rPr>
        <w:t>and</w:t>
      </w:r>
      <w:r w:rsidRPr="00686E9D">
        <w:rPr>
          <w:lang w:val="en-IE"/>
        </w:rPr>
        <w:t xml:space="preserve"> can be collected if appropriate biosafety precautions can be taken during sampling. </w:t>
      </w:r>
      <w:bookmarkStart w:id="6" w:name="_Hlk95814127"/>
      <w:r w:rsidR="00AE401D" w:rsidRPr="009354E6">
        <w:rPr>
          <w:highlight w:val="yellow"/>
          <w:u w:val="double"/>
        </w:rPr>
        <w:t>In pregnant animals or in cases of abortion, uterus, placenta and fetal tissues should be included as appropriate</w:t>
      </w:r>
      <w:bookmarkEnd w:id="6"/>
      <w:r w:rsidR="00AE401D" w:rsidRPr="009354E6">
        <w:rPr>
          <w:highlight w:val="yellow"/>
          <w:u w:val="double"/>
        </w:rPr>
        <w:t>.</w:t>
      </w:r>
      <w:r w:rsidR="00AE401D" w:rsidRPr="00D71BC3">
        <w:rPr>
          <w:rFonts w:cs="Calibri"/>
          <w:sz w:val="22"/>
          <w:szCs w:val="22"/>
          <w:lang w:val="en-IE"/>
        </w:rPr>
        <w:t xml:space="preserve"> </w:t>
      </w:r>
      <w:r w:rsidRPr="00686E9D">
        <w:rPr>
          <w:lang w:val="en-IE"/>
        </w:rPr>
        <w:t xml:space="preserve">Specimens should be transported at 4°C if they can arrive at the laboratory within 48 hours; if </w:t>
      </w:r>
      <w:r w:rsidR="00AD7AD3" w:rsidRPr="00686E9D">
        <w:rPr>
          <w:lang w:val="en-IE"/>
        </w:rPr>
        <w:t xml:space="preserve">the transport </w:t>
      </w:r>
      <w:r w:rsidRPr="00686E9D">
        <w:rPr>
          <w:lang w:val="en-IE"/>
        </w:rPr>
        <w:t xml:space="preserve">time will be over 48 hours, the samples should be sent frozen on dry ice or nitrogen vapours (≈ </w:t>
      </w:r>
      <w:r w:rsidR="00177CEE" w:rsidRPr="00686E9D">
        <w:rPr>
          <w:rStyle w:val="ndesc"/>
          <w:lang w:val="en-IE"/>
        </w:rPr>
        <w:t>–</w:t>
      </w:r>
      <w:r w:rsidRPr="00686E9D">
        <w:rPr>
          <w:rStyle w:val="ndesc"/>
          <w:lang w:val="en-IE"/>
        </w:rPr>
        <w:t>78.5°C)</w:t>
      </w:r>
      <w:r w:rsidRPr="00686E9D">
        <w:rPr>
          <w:lang w:val="en-IE"/>
        </w:rPr>
        <w:t xml:space="preserve">. Specimens should not be held at –20°C. </w:t>
      </w:r>
    </w:p>
    <w:p w14:paraId="0F361748" w14:textId="6E103035" w:rsidR="00682ECF" w:rsidRPr="00686E9D" w:rsidRDefault="00964ED2">
      <w:pPr>
        <w:pStyle w:val="111Para"/>
        <w:rPr>
          <w:lang w:val="en-IE"/>
        </w:rPr>
      </w:pPr>
      <w:r w:rsidRPr="00686E9D">
        <w:rPr>
          <w:lang w:val="en-IE"/>
        </w:rPr>
        <w:t>Diagnostic specimens should be submitted to designated laboratories in specially designed containers</w:t>
      </w:r>
      <w:r w:rsidR="001D103D" w:rsidRPr="00686E9D">
        <w:rPr>
          <w:lang w:val="en-IE"/>
        </w:rPr>
        <w:t>,</w:t>
      </w:r>
      <w:r w:rsidRPr="00686E9D">
        <w:rPr>
          <w:lang w:val="en-IE"/>
        </w:rPr>
        <w:t xml:space="preserve"> in </w:t>
      </w:r>
      <w:r w:rsidR="00C649D0" w:rsidRPr="00686E9D">
        <w:rPr>
          <w:lang w:val="en-IE"/>
        </w:rPr>
        <w:t xml:space="preserve">accordance with </w:t>
      </w:r>
      <w:r w:rsidRPr="00686E9D">
        <w:rPr>
          <w:lang w:val="en-IE"/>
        </w:rPr>
        <w:t>Chapter 1.1.</w:t>
      </w:r>
      <w:r w:rsidR="00A77EE2" w:rsidRPr="00686E9D">
        <w:rPr>
          <w:lang w:val="en-IE"/>
        </w:rPr>
        <w:t>3</w:t>
      </w:r>
      <w:r w:rsidRPr="00686E9D">
        <w:rPr>
          <w:lang w:val="en-IE"/>
        </w:rPr>
        <w:t xml:space="preserve">. </w:t>
      </w:r>
    </w:p>
    <w:p w14:paraId="2927EE37" w14:textId="4833287F" w:rsidR="00682ECF" w:rsidRPr="00686E9D" w:rsidRDefault="00964ED2">
      <w:pPr>
        <w:pStyle w:val="111"/>
        <w:rPr>
          <w:lang w:val="en-IE"/>
        </w:rPr>
      </w:pPr>
      <w:r w:rsidRPr="00686E9D">
        <w:rPr>
          <w:lang w:val="en-IE"/>
        </w:rPr>
        <w:t>2.1.2.</w:t>
      </w:r>
      <w:r w:rsidRPr="00686E9D">
        <w:rPr>
          <w:lang w:val="en-IE"/>
        </w:rPr>
        <w:tab/>
        <w:t>Isolation in cultured cells</w:t>
      </w:r>
    </w:p>
    <w:p w14:paraId="12EE425D" w14:textId="07518CD7" w:rsidR="00966957" w:rsidRPr="00686E9D" w:rsidRDefault="00AC2D06">
      <w:pPr>
        <w:pStyle w:val="111Para"/>
        <w:rPr>
          <w:lang w:val="en-IE"/>
        </w:rPr>
      </w:pPr>
      <w:r w:rsidRPr="00686E9D">
        <w:rPr>
          <w:lang w:val="en-IE"/>
        </w:rPr>
        <w:t xml:space="preserve">Biosafety considerations are of absolute importance during </w:t>
      </w:r>
      <w:proofErr w:type="spellStart"/>
      <w:r w:rsidRPr="00686E9D">
        <w:rPr>
          <w:lang w:val="en-IE"/>
        </w:rPr>
        <w:t>henipavirus</w:t>
      </w:r>
      <w:proofErr w:type="spellEnd"/>
      <w:r w:rsidRPr="00686E9D">
        <w:rPr>
          <w:lang w:val="en-IE"/>
        </w:rPr>
        <w:t xml:space="preserve"> isolation</w:t>
      </w:r>
      <w:r w:rsidR="00C17222" w:rsidRPr="00686E9D">
        <w:rPr>
          <w:lang w:val="en-IE"/>
        </w:rPr>
        <w:t>, as noted in Section 1 above</w:t>
      </w:r>
      <w:r w:rsidRPr="00686E9D">
        <w:rPr>
          <w:lang w:val="en-IE"/>
        </w:rPr>
        <w:t xml:space="preserve">. </w:t>
      </w:r>
    </w:p>
    <w:p w14:paraId="6B225E94" w14:textId="30984804" w:rsidR="00AE0EA6" w:rsidRPr="00686E9D" w:rsidRDefault="00AE0EA6">
      <w:pPr>
        <w:pStyle w:val="111Para"/>
        <w:rPr>
          <w:lang w:val="en-IE"/>
        </w:rPr>
      </w:pPr>
      <w:r w:rsidRPr="00686E9D">
        <w:rPr>
          <w:lang w:val="en-IE"/>
        </w:rPr>
        <w:t xml:space="preserve">Virus isolation is aided by the fact that </w:t>
      </w:r>
      <w:proofErr w:type="spellStart"/>
      <w:r w:rsidRPr="00686E9D">
        <w:rPr>
          <w:lang w:val="en-IE"/>
        </w:rPr>
        <w:t>HeV</w:t>
      </w:r>
      <w:proofErr w:type="spellEnd"/>
      <w:r w:rsidRPr="00686E9D">
        <w:rPr>
          <w:lang w:val="en-IE"/>
        </w:rPr>
        <w:t xml:space="preserve"> and </w:t>
      </w:r>
      <w:proofErr w:type="spellStart"/>
      <w:r w:rsidRPr="00686E9D">
        <w:rPr>
          <w:lang w:val="en-IE"/>
        </w:rPr>
        <w:t>NiV</w:t>
      </w:r>
      <w:proofErr w:type="spellEnd"/>
      <w:r w:rsidRPr="00686E9D">
        <w:rPr>
          <w:lang w:val="en-IE"/>
        </w:rPr>
        <w:t xml:space="preserve"> grow rapidly to high titre in many cultured cells. African green monkey kidney (Vero</w:t>
      </w:r>
      <w:r w:rsidR="00AA4CD6">
        <w:rPr>
          <w:lang w:val="en-IE"/>
        </w:rPr>
        <w:t xml:space="preserve"> </w:t>
      </w:r>
      <w:r w:rsidR="00AA4CD6" w:rsidRPr="009354E6">
        <w:rPr>
          <w:highlight w:val="yellow"/>
          <w:u w:val="double"/>
          <w:lang w:val="en-IE"/>
        </w:rPr>
        <w:t>CC</w:t>
      </w:r>
      <w:r w:rsidR="006773FA">
        <w:rPr>
          <w:highlight w:val="yellow"/>
          <w:u w:val="double"/>
          <w:lang w:val="en-IE"/>
        </w:rPr>
        <w:t>L</w:t>
      </w:r>
      <w:r w:rsidR="00AA4CD6" w:rsidRPr="009354E6">
        <w:rPr>
          <w:highlight w:val="yellow"/>
          <w:u w:val="double"/>
          <w:lang w:val="en-IE"/>
        </w:rPr>
        <w:t>181</w:t>
      </w:r>
      <w:r w:rsidRPr="00686E9D">
        <w:rPr>
          <w:lang w:val="en-IE"/>
        </w:rPr>
        <w:t xml:space="preserve">) and rabbit kidney (RK-13) cells have been found to be particularly susceptible. </w:t>
      </w:r>
      <w:proofErr w:type="spellStart"/>
      <w:r w:rsidRPr="00686E9D">
        <w:rPr>
          <w:lang w:val="en-IE"/>
        </w:rPr>
        <w:t>HeV</w:t>
      </w:r>
      <w:proofErr w:type="spellEnd"/>
      <w:r w:rsidRPr="00686E9D">
        <w:rPr>
          <w:lang w:val="en-IE"/>
        </w:rPr>
        <w:t xml:space="preserve"> also replicates in suckling mouse brain and in embryonated </w:t>
      </w:r>
      <w:r w:rsidR="002A5D11" w:rsidRPr="00686E9D">
        <w:rPr>
          <w:lang w:val="en-IE"/>
        </w:rPr>
        <w:t>hens’</w:t>
      </w:r>
      <w:r w:rsidRPr="00686E9D">
        <w:rPr>
          <w:lang w:val="en-IE"/>
        </w:rPr>
        <w:t xml:space="preserve"> eggs, and </w:t>
      </w:r>
      <w:r w:rsidR="00BA2BBC" w:rsidRPr="00686E9D">
        <w:rPr>
          <w:lang w:val="en-IE"/>
        </w:rPr>
        <w:t xml:space="preserve">laboratories using these isolation systems in the investigation of undiagnosed infections should be aware of this possibility. </w:t>
      </w:r>
    </w:p>
    <w:p w14:paraId="2093413D" w14:textId="7AA75CE1" w:rsidR="006F209A" w:rsidRPr="00686E9D" w:rsidRDefault="006F209A">
      <w:pPr>
        <w:pStyle w:val="111Para"/>
        <w:rPr>
          <w:lang w:val="en-IE"/>
        </w:rPr>
      </w:pPr>
      <w:r w:rsidRPr="00686E9D">
        <w:rPr>
          <w:lang w:val="en-IE"/>
        </w:rPr>
        <w:t xml:space="preserve">In </w:t>
      </w:r>
      <w:r w:rsidR="00964ED2" w:rsidRPr="00686E9D">
        <w:rPr>
          <w:lang w:val="en-IE"/>
        </w:rPr>
        <w:t xml:space="preserve">the laboratory </w:t>
      </w:r>
      <w:r w:rsidRPr="00686E9D">
        <w:rPr>
          <w:lang w:val="en-IE"/>
        </w:rPr>
        <w:t>conducting virus isolation</w:t>
      </w:r>
      <w:r w:rsidR="00B00859" w:rsidRPr="00686E9D">
        <w:rPr>
          <w:lang w:val="en-IE"/>
        </w:rPr>
        <w:t>,</w:t>
      </w:r>
      <w:r w:rsidRPr="00686E9D">
        <w:rPr>
          <w:lang w:val="en-IE"/>
        </w:rPr>
        <w:t xml:space="preserve"> </w:t>
      </w:r>
      <w:r w:rsidR="00964ED2" w:rsidRPr="00686E9D">
        <w:rPr>
          <w:lang w:val="en-IE"/>
        </w:rPr>
        <w:t xml:space="preserve">tissues are handled under sterile conditions, and 10% (w/v) suspensions are generated by grinding the tissues in a closed homogenisation system. All processes should be carried out </w:t>
      </w:r>
      <w:r w:rsidR="00964ED2" w:rsidRPr="003B55EC">
        <w:rPr>
          <w:strike/>
          <w:lang w:val="en-IE"/>
        </w:rPr>
        <w:t>in a Class III cabinet or a Class II cabinet with appropriate personal protective equipment for the operator</w:t>
      </w:r>
      <w:r w:rsidR="003B55EC" w:rsidRPr="003B55EC">
        <w:rPr>
          <w:strike/>
          <w:lang w:val="en-IE"/>
        </w:rPr>
        <w:t xml:space="preserve"> </w:t>
      </w:r>
      <w:r w:rsidR="003B55EC" w:rsidRPr="003B55EC">
        <w:rPr>
          <w:u w:val="double"/>
          <w:lang w:val="en-IE"/>
        </w:rPr>
        <w:t>under appropriate conditions as determined by a thorough biosafety risk assessment</w:t>
      </w:r>
      <w:r w:rsidR="003B55EC" w:rsidRPr="003B55EC">
        <w:rPr>
          <w:lang w:val="en-IE"/>
        </w:rPr>
        <w:t xml:space="preserve">. </w:t>
      </w:r>
      <w:r w:rsidR="00964ED2" w:rsidRPr="00686E9D">
        <w:rPr>
          <w:lang w:val="en-IE"/>
        </w:rPr>
        <w:t>Tubes used should have O-rings, and an external thread. Following clarification of the homogenate by centrifugation in a rotor with safety cap at 300 </w:t>
      </w:r>
      <w:r w:rsidR="00964ED2" w:rsidRPr="00686E9D">
        <w:rPr>
          <w:b/>
          <w:i/>
          <w:lang w:val="en-IE"/>
        </w:rPr>
        <w:t>g</w:t>
      </w:r>
      <w:r w:rsidR="00964ED2" w:rsidRPr="00686E9D">
        <w:rPr>
          <w:lang w:val="en-IE"/>
        </w:rPr>
        <w:t xml:space="preserve"> </w:t>
      </w:r>
      <w:r w:rsidR="000A75A7" w:rsidRPr="009354E6">
        <w:rPr>
          <w:highlight w:val="yellow"/>
          <w:u w:val="double"/>
          <w:lang w:val="en-IE"/>
        </w:rPr>
        <w:t>for 3</w:t>
      </w:r>
      <w:r w:rsidR="009354E6" w:rsidRPr="009354E6">
        <w:rPr>
          <w:highlight w:val="yellow"/>
          <w:u w:val="double"/>
          <w:lang w:val="en-IE"/>
        </w:rPr>
        <w:t>–</w:t>
      </w:r>
      <w:r w:rsidR="000A75A7" w:rsidRPr="009354E6">
        <w:rPr>
          <w:highlight w:val="yellow"/>
          <w:u w:val="double"/>
          <w:lang w:val="en-IE"/>
        </w:rPr>
        <w:t>5 min</w:t>
      </w:r>
      <w:r w:rsidR="009354E6" w:rsidRPr="009354E6">
        <w:rPr>
          <w:highlight w:val="yellow"/>
          <w:u w:val="double"/>
          <w:lang w:val="en-IE"/>
        </w:rPr>
        <w:t>utes</w:t>
      </w:r>
      <w:r w:rsidR="00083AB1">
        <w:rPr>
          <w:lang w:val="en-IE"/>
        </w:rPr>
        <w:t xml:space="preserve"> </w:t>
      </w:r>
      <w:r w:rsidR="00964ED2" w:rsidRPr="00686E9D">
        <w:rPr>
          <w:lang w:val="en-IE"/>
        </w:rPr>
        <w:t xml:space="preserve">and 4°C, </w:t>
      </w:r>
      <w:r w:rsidR="00964ED2" w:rsidRPr="00686E9D">
        <w:rPr>
          <w:strike/>
          <w:lang w:val="en-IE"/>
        </w:rPr>
        <w:t xml:space="preserve">before </w:t>
      </w:r>
      <w:r w:rsidR="00964ED2" w:rsidRPr="00686E9D">
        <w:rPr>
          <w:lang w:val="en-IE"/>
        </w:rPr>
        <w:t>the supernatant is added to confluen</w:t>
      </w:r>
      <w:r w:rsidR="00216247" w:rsidRPr="00686E9D">
        <w:rPr>
          <w:lang w:val="en-IE"/>
        </w:rPr>
        <w:t>t</w:t>
      </w:r>
      <w:r w:rsidR="00964ED2" w:rsidRPr="00686E9D">
        <w:rPr>
          <w:lang w:val="en-IE"/>
        </w:rPr>
        <w:t xml:space="preserve"> </w:t>
      </w:r>
      <w:r w:rsidR="00216247" w:rsidRPr="00686E9D">
        <w:rPr>
          <w:lang w:val="en-IE"/>
        </w:rPr>
        <w:t xml:space="preserve">cell </w:t>
      </w:r>
      <w:r w:rsidR="00964ED2" w:rsidRPr="00686E9D">
        <w:rPr>
          <w:lang w:val="en-IE"/>
        </w:rPr>
        <w:t xml:space="preserve">monolayers. </w:t>
      </w:r>
    </w:p>
    <w:p w14:paraId="4C3A832C" w14:textId="03652AB5" w:rsidR="00682ECF" w:rsidRPr="00686E9D" w:rsidRDefault="00964ED2">
      <w:pPr>
        <w:pStyle w:val="111Para"/>
        <w:rPr>
          <w:lang w:val="en-IE"/>
        </w:rPr>
      </w:pPr>
      <w:r w:rsidRPr="00686E9D">
        <w:rPr>
          <w:lang w:val="en-IE"/>
        </w:rPr>
        <w:lastRenderedPageBreak/>
        <w:t xml:space="preserve">A CPE usually develops within 3 days, but two 5-day passages are recommended before judging the attempt unsuccessful. After low multiplicity of infection, the CPE is characterised by formation of syncytia that may, after 24–48 hours, contain over 60 or more nuclei. Syncytia formed by </w:t>
      </w:r>
      <w:proofErr w:type="spellStart"/>
      <w:r w:rsidRPr="00686E9D">
        <w:rPr>
          <w:lang w:val="en-IE"/>
        </w:rPr>
        <w:t>NiV</w:t>
      </w:r>
      <w:proofErr w:type="spellEnd"/>
      <w:r w:rsidRPr="00686E9D">
        <w:rPr>
          <w:lang w:val="en-IE"/>
        </w:rPr>
        <w:t xml:space="preserve"> in Vero cell monolayers are significantly larger than those created by </w:t>
      </w:r>
      <w:proofErr w:type="spellStart"/>
      <w:r w:rsidRPr="00686E9D">
        <w:rPr>
          <w:lang w:val="en-IE"/>
        </w:rPr>
        <w:t>HeV</w:t>
      </w:r>
      <w:proofErr w:type="spellEnd"/>
      <w:r w:rsidRPr="00686E9D">
        <w:rPr>
          <w:lang w:val="en-IE"/>
        </w:rPr>
        <w:t xml:space="preserve"> in the same time period. Although the distribution of nuclei in </w:t>
      </w:r>
      <w:proofErr w:type="spellStart"/>
      <w:r w:rsidRPr="00686E9D">
        <w:rPr>
          <w:lang w:val="en-IE"/>
        </w:rPr>
        <w:t>NiV</w:t>
      </w:r>
      <w:proofErr w:type="spellEnd"/>
      <w:r w:rsidRPr="00686E9D">
        <w:rPr>
          <w:lang w:val="en-IE"/>
        </w:rPr>
        <w:t xml:space="preserve">-induced syncytia early in infection resembles that induced by </w:t>
      </w:r>
      <w:proofErr w:type="spellStart"/>
      <w:r w:rsidRPr="00686E9D">
        <w:rPr>
          <w:lang w:val="en-IE"/>
        </w:rPr>
        <w:t>HeV</w:t>
      </w:r>
      <w:proofErr w:type="spellEnd"/>
      <w:r w:rsidRPr="00686E9D">
        <w:rPr>
          <w:lang w:val="en-IE"/>
        </w:rPr>
        <w:t xml:space="preserve">, with nuclei aggregated in the middle of the syncytia, nuclei in mature </w:t>
      </w:r>
      <w:proofErr w:type="spellStart"/>
      <w:r w:rsidRPr="00686E9D">
        <w:rPr>
          <w:lang w:val="en-IE"/>
        </w:rPr>
        <w:t>NiV</w:t>
      </w:r>
      <w:proofErr w:type="spellEnd"/>
      <w:r w:rsidRPr="00686E9D">
        <w:rPr>
          <w:lang w:val="en-IE"/>
        </w:rPr>
        <w:t>-induced syncytia are distributed around the outside of the giant cell.</w:t>
      </w:r>
    </w:p>
    <w:p w14:paraId="7BC709CB" w14:textId="236BB7C5" w:rsidR="00682ECF" w:rsidRPr="00686E9D" w:rsidRDefault="00964ED2">
      <w:pPr>
        <w:pStyle w:val="111"/>
        <w:rPr>
          <w:lang w:val="en-IE"/>
        </w:rPr>
      </w:pPr>
      <w:r w:rsidRPr="00686E9D">
        <w:rPr>
          <w:lang w:val="en-IE"/>
        </w:rPr>
        <w:t>2.1.3.</w:t>
      </w:r>
      <w:r w:rsidRPr="00686E9D">
        <w:rPr>
          <w:lang w:val="en-IE"/>
        </w:rPr>
        <w:tab/>
        <w:t>Methods of identification</w:t>
      </w:r>
    </w:p>
    <w:p w14:paraId="1DCFB6A5" w14:textId="77777777" w:rsidR="00682ECF" w:rsidRPr="00686E9D" w:rsidRDefault="00964ED2">
      <w:pPr>
        <w:pStyle w:val="i"/>
        <w:rPr>
          <w:lang w:val="en-IE"/>
        </w:rPr>
      </w:pPr>
      <w:r w:rsidRPr="00686E9D">
        <w:rPr>
          <w:lang w:val="en-IE"/>
        </w:rPr>
        <w:t>i)</w:t>
      </w:r>
      <w:r w:rsidRPr="00686E9D">
        <w:rPr>
          <w:lang w:val="en-IE"/>
        </w:rPr>
        <w:tab/>
        <w:t>Immunostaining of fixed cells</w:t>
      </w:r>
    </w:p>
    <w:p w14:paraId="449EA232" w14:textId="129726E0" w:rsidR="00682ECF" w:rsidRPr="00686E9D" w:rsidRDefault="00964ED2">
      <w:pPr>
        <w:pStyle w:val="afourthpara"/>
        <w:rPr>
          <w:lang w:val="en-IE"/>
        </w:rPr>
      </w:pPr>
      <w:r w:rsidRPr="00686E9D">
        <w:rPr>
          <w:lang w:val="en-IE"/>
        </w:rPr>
        <w:t xml:space="preserve">The speed with which </w:t>
      </w:r>
      <w:proofErr w:type="spellStart"/>
      <w:r w:rsidRPr="00686E9D">
        <w:rPr>
          <w:lang w:val="en-IE"/>
        </w:rPr>
        <w:t>HeV</w:t>
      </w:r>
      <w:proofErr w:type="spellEnd"/>
      <w:r w:rsidRPr="00686E9D">
        <w:rPr>
          <w:lang w:val="en-IE"/>
        </w:rPr>
        <w:t xml:space="preserve"> and </w:t>
      </w:r>
      <w:proofErr w:type="spellStart"/>
      <w:r w:rsidRPr="00686E9D">
        <w:rPr>
          <w:lang w:val="en-IE"/>
        </w:rPr>
        <w:t>NiV</w:t>
      </w:r>
      <w:proofErr w:type="spellEnd"/>
      <w:r w:rsidRPr="00686E9D">
        <w:rPr>
          <w:lang w:val="en-IE"/>
        </w:rPr>
        <w:t xml:space="preserve"> </w:t>
      </w:r>
      <w:proofErr w:type="gramStart"/>
      <w:r w:rsidRPr="00686E9D">
        <w:rPr>
          <w:lang w:val="en-IE"/>
        </w:rPr>
        <w:t>replicate</w:t>
      </w:r>
      <w:proofErr w:type="gramEnd"/>
      <w:r w:rsidRPr="00686E9D">
        <w:rPr>
          <w:lang w:val="en-IE"/>
        </w:rPr>
        <w:t xml:space="preserve"> and the high levels of viral antigen generated in infected cells make immunofluorescence a useful method to rapidly identify the presence of </w:t>
      </w:r>
      <w:proofErr w:type="spellStart"/>
      <w:r w:rsidRPr="00686E9D">
        <w:rPr>
          <w:lang w:val="en-IE"/>
        </w:rPr>
        <w:t>henipaviruses</w:t>
      </w:r>
      <w:proofErr w:type="spellEnd"/>
      <w:r w:rsidRPr="00686E9D">
        <w:rPr>
          <w:lang w:val="en-IE"/>
        </w:rPr>
        <w:t xml:space="preserve"> using either anti-</w:t>
      </w:r>
      <w:proofErr w:type="spellStart"/>
      <w:r w:rsidRPr="00686E9D">
        <w:rPr>
          <w:lang w:val="en-IE"/>
        </w:rPr>
        <w:t>NiV</w:t>
      </w:r>
      <w:proofErr w:type="spellEnd"/>
      <w:r w:rsidRPr="00686E9D">
        <w:rPr>
          <w:lang w:val="en-IE"/>
        </w:rPr>
        <w:t xml:space="preserve"> or anti-</w:t>
      </w:r>
      <w:proofErr w:type="spellStart"/>
      <w:r w:rsidRPr="00686E9D">
        <w:rPr>
          <w:lang w:val="en-IE"/>
        </w:rPr>
        <w:t>HeV</w:t>
      </w:r>
      <w:proofErr w:type="spellEnd"/>
      <w:r w:rsidRPr="00686E9D">
        <w:rPr>
          <w:lang w:val="en-IE"/>
        </w:rPr>
        <w:t xml:space="preserve"> antiserum. The serological cross reactivity between </w:t>
      </w:r>
      <w:proofErr w:type="spellStart"/>
      <w:r w:rsidRPr="00686E9D">
        <w:rPr>
          <w:lang w:val="en-IE"/>
        </w:rPr>
        <w:t>HeV</w:t>
      </w:r>
      <w:proofErr w:type="spellEnd"/>
      <w:r w:rsidRPr="00686E9D">
        <w:rPr>
          <w:lang w:val="en-IE"/>
        </w:rPr>
        <w:t xml:space="preserve"> and </w:t>
      </w:r>
      <w:proofErr w:type="spellStart"/>
      <w:r w:rsidRPr="00686E9D">
        <w:rPr>
          <w:lang w:val="en-IE"/>
        </w:rPr>
        <w:t>NiV</w:t>
      </w:r>
      <w:proofErr w:type="spellEnd"/>
      <w:r w:rsidRPr="00686E9D">
        <w:rPr>
          <w:lang w:val="en-IE"/>
        </w:rPr>
        <w:t xml:space="preserve"> means that polyclonal antiserum to either virus or mono-specific antisera to individual proteins of either virus, will fail to differentiate between </w:t>
      </w:r>
      <w:proofErr w:type="spellStart"/>
      <w:r w:rsidRPr="00686E9D">
        <w:rPr>
          <w:lang w:val="en-IE"/>
        </w:rPr>
        <w:t>HeV</w:t>
      </w:r>
      <w:proofErr w:type="spellEnd"/>
      <w:r w:rsidRPr="00686E9D">
        <w:rPr>
          <w:lang w:val="en-IE"/>
        </w:rPr>
        <w:t xml:space="preserve"> and </w:t>
      </w:r>
      <w:proofErr w:type="spellStart"/>
      <w:r w:rsidRPr="00686E9D">
        <w:rPr>
          <w:lang w:val="en-IE"/>
        </w:rPr>
        <w:t>NiV</w:t>
      </w:r>
      <w:proofErr w:type="spellEnd"/>
      <w:r w:rsidRPr="00686E9D">
        <w:rPr>
          <w:lang w:val="en-IE"/>
        </w:rPr>
        <w:t xml:space="preserve">. </w:t>
      </w:r>
    </w:p>
    <w:p w14:paraId="14C1323B" w14:textId="77777777" w:rsidR="00682ECF" w:rsidRPr="00686E9D" w:rsidRDefault="00964ED2">
      <w:pPr>
        <w:pStyle w:val="ififthlevel"/>
        <w:rPr>
          <w:lang w:val="en-IE"/>
        </w:rPr>
      </w:pPr>
      <w:r w:rsidRPr="00686E9D">
        <w:rPr>
          <w:lang w:val="en-IE"/>
        </w:rPr>
        <w:t>a)</w:t>
      </w:r>
      <w:r w:rsidRPr="00686E9D">
        <w:rPr>
          <w:lang w:val="en-IE"/>
        </w:rPr>
        <w:tab/>
        <w:t>Test procedure</w:t>
      </w:r>
    </w:p>
    <w:p w14:paraId="52B0C1A5" w14:textId="1D703182" w:rsidR="00682ECF" w:rsidRPr="00686E9D" w:rsidRDefault="00964ED2">
      <w:pPr>
        <w:pStyle w:val="ififthpara"/>
        <w:rPr>
          <w:lang w:val="en-IE"/>
        </w:rPr>
      </w:pPr>
      <w:r w:rsidRPr="00686E9D">
        <w:rPr>
          <w:lang w:val="en-IE"/>
        </w:rPr>
        <w:t xml:space="preserve">Under </w:t>
      </w:r>
      <w:r w:rsidR="000E6D11" w:rsidRPr="00686E9D">
        <w:rPr>
          <w:lang w:val="en-IE"/>
        </w:rPr>
        <w:t xml:space="preserve">appropriate </w:t>
      </w:r>
      <w:r w:rsidRPr="00686E9D">
        <w:rPr>
          <w:lang w:val="en-IE"/>
        </w:rPr>
        <w:t>laboratory conditions</w:t>
      </w:r>
      <w:r w:rsidR="000E6D11" w:rsidRPr="00686E9D">
        <w:rPr>
          <w:lang w:val="en-IE"/>
        </w:rPr>
        <w:t xml:space="preserve"> to manage biological risks</w:t>
      </w:r>
      <w:r w:rsidRPr="00686E9D">
        <w:rPr>
          <w:lang w:val="en-IE"/>
        </w:rPr>
        <w:t xml:space="preserve">, monolayers of Vero or RK-13 cells grown on glass </w:t>
      </w:r>
      <w:proofErr w:type="gramStart"/>
      <w:r w:rsidRPr="00686E9D">
        <w:rPr>
          <w:lang w:val="en-IE"/>
        </w:rPr>
        <w:t>cover-slips</w:t>
      </w:r>
      <w:proofErr w:type="gramEnd"/>
      <w:r w:rsidRPr="00686E9D">
        <w:rPr>
          <w:lang w:val="en-IE"/>
        </w:rPr>
        <w:t xml:space="preserve"> or in chamber slides are infected with the isolated virus, and the monolayers are examined for the presence of syncytia after incubation for 24–48 hours at 37°C. It is recommended that a range of virus dilutions (undiluted, 1/10, 1/100) be tested because syncytia are more readily observed after infection at low multiplicity. Once visible syncytia are detected, infected cells are fixed by immersion completely in a vessel filled with acetone</w:t>
      </w:r>
      <w:r w:rsidR="00FE3999" w:rsidRPr="009354E6">
        <w:rPr>
          <w:highlight w:val="yellow"/>
          <w:u w:val="double"/>
          <w:lang w:val="en-IE"/>
        </w:rPr>
        <w:t>, or paraformaldehyde</w:t>
      </w:r>
      <w:r w:rsidRPr="00686E9D">
        <w:rPr>
          <w:lang w:val="en-IE"/>
        </w:rPr>
        <w:t xml:space="preserve">. The vessel is </w:t>
      </w:r>
      <w:r w:rsidR="002A5D11" w:rsidRPr="00686E9D">
        <w:rPr>
          <w:lang w:val="en-IE"/>
        </w:rPr>
        <w:t>sealed,</w:t>
      </w:r>
      <w:r w:rsidRPr="00686E9D">
        <w:rPr>
          <w:lang w:val="en-IE"/>
        </w:rPr>
        <w:t xml:space="preserve"> and surface sterilised prior to removal to</w:t>
      </w:r>
      <w:r w:rsidR="00A037AE" w:rsidRPr="00686E9D">
        <w:rPr>
          <w:lang w:val="en-IE"/>
        </w:rPr>
        <w:t xml:space="preserve"> </w:t>
      </w:r>
      <w:r w:rsidR="00A037AE" w:rsidRPr="00686E9D">
        <w:rPr>
          <w:u w:val="double"/>
          <w:lang w:val="en-IE"/>
        </w:rPr>
        <w:t>a</w:t>
      </w:r>
      <w:r w:rsidRPr="00686E9D">
        <w:rPr>
          <w:lang w:val="en-IE"/>
        </w:rPr>
        <w:t xml:space="preserve"> laboratory environment where the slides </w:t>
      </w:r>
      <w:r w:rsidR="000E6D11" w:rsidRPr="00686E9D">
        <w:rPr>
          <w:lang w:val="en-IE"/>
        </w:rPr>
        <w:t>on which the virus in now inactivated may be</w:t>
      </w:r>
      <w:r w:rsidRPr="00686E9D">
        <w:rPr>
          <w:lang w:val="en-IE"/>
        </w:rPr>
        <w:t xml:space="preserve"> air-dried. Viral antigen is detected using anti-</w:t>
      </w:r>
      <w:proofErr w:type="spellStart"/>
      <w:r w:rsidRPr="00686E9D">
        <w:rPr>
          <w:lang w:val="en-IE"/>
        </w:rPr>
        <w:t>HeV</w:t>
      </w:r>
      <w:proofErr w:type="spellEnd"/>
      <w:r w:rsidRPr="00686E9D">
        <w:rPr>
          <w:lang w:val="en-IE"/>
        </w:rPr>
        <w:t xml:space="preserve"> or anti-</w:t>
      </w:r>
      <w:proofErr w:type="spellStart"/>
      <w:r w:rsidRPr="00686E9D">
        <w:rPr>
          <w:lang w:val="en-IE"/>
        </w:rPr>
        <w:t>NiV</w:t>
      </w:r>
      <w:proofErr w:type="spellEnd"/>
      <w:r w:rsidRPr="00686E9D">
        <w:rPr>
          <w:lang w:val="en-IE"/>
        </w:rPr>
        <w:t xml:space="preserve"> antiserum and standard immunofluorescent procedures. A characteristic feature of </w:t>
      </w:r>
      <w:proofErr w:type="spellStart"/>
      <w:r w:rsidRPr="00686E9D">
        <w:rPr>
          <w:lang w:val="en-IE"/>
        </w:rPr>
        <w:t>henipavirus</w:t>
      </w:r>
      <w:proofErr w:type="spellEnd"/>
      <w:r w:rsidRPr="00686E9D">
        <w:rPr>
          <w:lang w:val="en-IE"/>
        </w:rPr>
        <w:t>-induced syncytia is the presence of large polygonal structures containing viral antigen</w:t>
      </w:r>
      <w:r w:rsidR="000E6D11" w:rsidRPr="00686E9D">
        <w:rPr>
          <w:lang w:val="en-IE"/>
        </w:rPr>
        <w:t xml:space="preserve"> </w:t>
      </w:r>
      <w:r w:rsidR="00177CEE" w:rsidRPr="00686E9D">
        <w:rPr>
          <w:lang w:val="en-IE"/>
        </w:rPr>
        <w:t>that</w:t>
      </w:r>
      <w:r w:rsidR="000E6D11" w:rsidRPr="00686E9D">
        <w:rPr>
          <w:lang w:val="en-IE"/>
        </w:rPr>
        <w:t xml:space="preserve"> fluoresce</w:t>
      </w:r>
      <w:r w:rsidRPr="00686E9D">
        <w:rPr>
          <w:lang w:val="en-IE"/>
        </w:rPr>
        <w:t xml:space="preserve">. </w:t>
      </w:r>
    </w:p>
    <w:p w14:paraId="6201CA54" w14:textId="77777777" w:rsidR="00682ECF" w:rsidRPr="00686E9D" w:rsidRDefault="00964ED2">
      <w:pPr>
        <w:pStyle w:val="i"/>
        <w:rPr>
          <w:lang w:val="en-IE"/>
        </w:rPr>
      </w:pPr>
      <w:r w:rsidRPr="00686E9D">
        <w:rPr>
          <w:lang w:val="en-IE"/>
        </w:rPr>
        <w:t>ii)</w:t>
      </w:r>
      <w:r w:rsidRPr="00686E9D">
        <w:rPr>
          <w:lang w:val="en-IE"/>
        </w:rPr>
        <w:tab/>
        <w:t>Immuno-electron microscopy</w:t>
      </w:r>
    </w:p>
    <w:p w14:paraId="79BBEE3A" w14:textId="77777777" w:rsidR="00682ECF" w:rsidRPr="00686E9D" w:rsidRDefault="00177CEE">
      <w:pPr>
        <w:pStyle w:val="afourthpara"/>
        <w:rPr>
          <w:lang w:val="en-IE"/>
        </w:rPr>
      </w:pPr>
      <w:r w:rsidRPr="00686E9D">
        <w:rPr>
          <w:lang w:val="en-IE"/>
        </w:rPr>
        <w:t xml:space="preserve">The high titres of </w:t>
      </w:r>
      <w:proofErr w:type="spellStart"/>
      <w:r w:rsidR="00964ED2" w:rsidRPr="00686E9D">
        <w:rPr>
          <w:lang w:val="en-IE"/>
        </w:rPr>
        <w:t>HeV</w:t>
      </w:r>
      <w:proofErr w:type="spellEnd"/>
      <w:r w:rsidR="00964ED2" w:rsidRPr="00686E9D">
        <w:rPr>
          <w:lang w:val="en-IE"/>
        </w:rPr>
        <w:t xml:space="preserve"> and </w:t>
      </w:r>
      <w:proofErr w:type="spellStart"/>
      <w:r w:rsidR="00964ED2" w:rsidRPr="00686E9D">
        <w:rPr>
          <w:lang w:val="en-IE"/>
        </w:rPr>
        <w:t>NiV</w:t>
      </w:r>
      <w:proofErr w:type="spellEnd"/>
      <w:r w:rsidR="00964ED2" w:rsidRPr="00686E9D">
        <w:rPr>
          <w:lang w:val="en-IE"/>
        </w:rPr>
        <w:t xml:space="preserve"> in cells </w:t>
      </w:r>
      <w:r w:rsidR="00964ED2" w:rsidRPr="00686E9D">
        <w:rPr>
          <w:i/>
          <w:lang w:val="en-IE"/>
        </w:rPr>
        <w:t>in vitro</w:t>
      </w:r>
      <w:r w:rsidR="00964ED2" w:rsidRPr="00686E9D">
        <w:rPr>
          <w:lang w:val="en-IE"/>
        </w:rPr>
        <w:t xml:space="preserve"> permit their visualisation in the culture medium by negative-contrast electron microscopy without a centrifugal concentration step. Detection of virus–antibody interactions by immunoelectron microscopy provides valuable information on virus structure and antigenic reactivity, even during primary isolation of the virus. Other ultrastructural techniques, such as grid cell culture (Hanna </w:t>
      </w:r>
      <w:r w:rsidR="00964ED2" w:rsidRPr="00686E9D">
        <w:rPr>
          <w:i/>
          <w:lang w:val="en-IE"/>
        </w:rPr>
        <w:t>et al</w:t>
      </w:r>
      <w:r w:rsidR="00964ED2" w:rsidRPr="00686E9D">
        <w:rPr>
          <w:lang w:val="en-IE"/>
        </w:rPr>
        <w:t xml:space="preserve">., 2006), in which cells are grown, infected and visualised on electron microscope grids, and identification of replicating viruses and inclusion bodies in thin sections of fixed, embedded cell cultures and infected tissues complement the diagnostic effort. The details of these techniques and their application to the detection and analysis of </w:t>
      </w:r>
      <w:proofErr w:type="spellStart"/>
      <w:r w:rsidR="00964ED2" w:rsidRPr="00686E9D">
        <w:rPr>
          <w:lang w:val="en-IE"/>
        </w:rPr>
        <w:t>HeV</w:t>
      </w:r>
      <w:proofErr w:type="spellEnd"/>
      <w:r w:rsidR="00964ED2" w:rsidRPr="00686E9D">
        <w:rPr>
          <w:lang w:val="en-IE"/>
        </w:rPr>
        <w:t xml:space="preserve"> and </w:t>
      </w:r>
      <w:proofErr w:type="spellStart"/>
      <w:r w:rsidR="00964ED2" w:rsidRPr="00686E9D">
        <w:rPr>
          <w:lang w:val="en-IE"/>
        </w:rPr>
        <w:t>NiV</w:t>
      </w:r>
      <w:proofErr w:type="spellEnd"/>
      <w:r w:rsidR="00964ED2" w:rsidRPr="00686E9D">
        <w:rPr>
          <w:lang w:val="en-IE"/>
        </w:rPr>
        <w:t xml:space="preserve"> have been described (Hyatt </w:t>
      </w:r>
      <w:r w:rsidR="00964ED2" w:rsidRPr="00686E9D">
        <w:rPr>
          <w:i/>
          <w:lang w:val="en-IE"/>
        </w:rPr>
        <w:t>et al</w:t>
      </w:r>
      <w:r w:rsidR="00964ED2" w:rsidRPr="00686E9D">
        <w:rPr>
          <w:lang w:val="en-IE"/>
        </w:rPr>
        <w:t>., 2001).</w:t>
      </w:r>
    </w:p>
    <w:p w14:paraId="631ABA8C" w14:textId="1050FE8C" w:rsidR="00682ECF" w:rsidRPr="00686E9D" w:rsidRDefault="00964ED2">
      <w:pPr>
        <w:pStyle w:val="11"/>
        <w:rPr>
          <w:lang w:val="en-IE"/>
        </w:rPr>
      </w:pPr>
      <w:r w:rsidRPr="00686E9D">
        <w:rPr>
          <w:lang w:val="en-IE"/>
        </w:rPr>
        <w:t>2.</w:t>
      </w:r>
      <w:r w:rsidR="00E24587" w:rsidRPr="00686E9D">
        <w:rPr>
          <w:lang w:val="en-IE"/>
        </w:rPr>
        <w:t>2</w:t>
      </w:r>
      <w:r w:rsidRPr="00686E9D">
        <w:rPr>
          <w:lang w:val="en-IE"/>
        </w:rPr>
        <w:t>.</w:t>
      </w:r>
      <w:r w:rsidRPr="00686E9D">
        <w:rPr>
          <w:lang w:val="en-IE"/>
        </w:rPr>
        <w:tab/>
        <w:t xml:space="preserve">Viral </w:t>
      </w:r>
      <w:r w:rsidR="00350017" w:rsidRPr="00686E9D">
        <w:rPr>
          <w:lang w:val="en-IE"/>
        </w:rPr>
        <w:t>i</w:t>
      </w:r>
      <w:r w:rsidRPr="00686E9D">
        <w:rPr>
          <w:lang w:val="en-IE"/>
        </w:rPr>
        <w:t xml:space="preserve">dentification: differentiation of </w:t>
      </w:r>
      <w:proofErr w:type="spellStart"/>
      <w:r w:rsidRPr="00686E9D">
        <w:rPr>
          <w:lang w:val="en-IE"/>
        </w:rPr>
        <w:t>HeV</w:t>
      </w:r>
      <w:proofErr w:type="spellEnd"/>
      <w:r w:rsidRPr="00686E9D">
        <w:rPr>
          <w:lang w:val="en-IE"/>
        </w:rPr>
        <w:t xml:space="preserve"> and </w:t>
      </w:r>
      <w:proofErr w:type="spellStart"/>
      <w:r w:rsidRPr="00686E9D">
        <w:rPr>
          <w:lang w:val="en-IE"/>
        </w:rPr>
        <w:t>NiV</w:t>
      </w:r>
      <w:proofErr w:type="spellEnd"/>
    </w:p>
    <w:p w14:paraId="1373710B" w14:textId="27C7CECF" w:rsidR="00DF402C" w:rsidRPr="00686E9D" w:rsidRDefault="00DF402C" w:rsidP="00DF402C">
      <w:pPr>
        <w:pStyle w:val="111"/>
        <w:rPr>
          <w:lang w:val="en-IE"/>
        </w:rPr>
      </w:pPr>
      <w:r w:rsidRPr="00686E9D">
        <w:rPr>
          <w:lang w:val="en-IE"/>
        </w:rPr>
        <w:t>2.</w:t>
      </w:r>
      <w:r w:rsidR="00E24587" w:rsidRPr="00686E9D">
        <w:rPr>
          <w:lang w:val="en-IE"/>
        </w:rPr>
        <w:t>2</w:t>
      </w:r>
      <w:r w:rsidRPr="00686E9D">
        <w:rPr>
          <w:lang w:val="en-IE"/>
        </w:rPr>
        <w:t>.1.</w:t>
      </w:r>
      <w:r w:rsidRPr="00686E9D">
        <w:rPr>
          <w:lang w:val="en-IE"/>
        </w:rPr>
        <w:tab/>
        <w:t>Comparative immunostaining</w:t>
      </w:r>
    </w:p>
    <w:p w14:paraId="4EC460DA" w14:textId="0781C15F" w:rsidR="00682ECF" w:rsidRPr="00686E9D" w:rsidRDefault="00D52FEC" w:rsidP="00DF402C">
      <w:pPr>
        <w:pStyle w:val="111Para"/>
        <w:rPr>
          <w:lang w:val="en-IE"/>
        </w:rPr>
      </w:pPr>
      <w:r w:rsidRPr="00686E9D">
        <w:rPr>
          <w:lang w:val="en-IE"/>
        </w:rPr>
        <w:t xml:space="preserve">Further identification of a </w:t>
      </w:r>
      <w:proofErr w:type="spellStart"/>
      <w:r w:rsidRPr="00686E9D">
        <w:rPr>
          <w:lang w:val="en-IE"/>
        </w:rPr>
        <w:t>henipavirus</w:t>
      </w:r>
      <w:proofErr w:type="spellEnd"/>
      <w:r w:rsidRPr="00686E9D">
        <w:rPr>
          <w:lang w:val="en-IE"/>
        </w:rPr>
        <w:t xml:space="preserve"> isolate as either </w:t>
      </w:r>
      <w:proofErr w:type="spellStart"/>
      <w:r w:rsidRPr="00686E9D">
        <w:rPr>
          <w:lang w:val="en-IE"/>
        </w:rPr>
        <w:t>HeV</w:t>
      </w:r>
      <w:proofErr w:type="spellEnd"/>
      <w:r w:rsidRPr="00686E9D">
        <w:rPr>
          <w:lang w:val="en-IE"/>
        </w:rPr>
        <w:t xml:space="preserve"> or </w:t>
      </w:r>
      <w:proofErr w:type="spellStart"/>
      <w:r w:rsidRPr="00686E9D">
        <w:rPr>
          <w:lang w:val="en-IE"/>
        </w:rPr>
        <w:t>NiV</w:t>
      </w:r>
      <w:proofErr w:type="spellEnd"/>
      <w:r w:rsidRPr="00686E9D">
        <w:rPr>
          <w:lang w:val="en-IE"/>
        </w:rPr>
        <w:t xml:space="preserve"> is based on comparative immunostaining as described in this section. It is necessary to compare the isolate with standard cultures of both </w:t>
      </w:r>
      <w:proofErr w:type="spellStart"/>
      <w:r w:rsidRPr="00686E9D">
        <w:rPr>
          <w:lang w:val="en-IE"/>
        </w:rPr>
        <w:t>HeV</w:t>
      </w:r>
      <w:proofErr w:type="spellEnd"/>
      <w:r w:rsidRPr="00686E9D">
        <w:rPr>
          <w:lang w:val="en-IE"/>
        </w:rPr>
        <w:t xml:space="preserve"> and </w:t>
      </w:r>
      <w:proofErr w:type="spellStart"/>
      <w:r w:rsidRPr="00686E9D">
        <w:rPr>
          <w:lang w:val="en-IE"/>
        </w:rPr>
        <w:t>NiV</w:t>
      </w:r>
      <w:proofErr w:type="spellEnd"/>
      <w:r w:rsidRPr="00686E9D">
        <w:rPr>
          <w:lang w:val="en-IE"/>
        </w:rPr>
        <w:t xml:space="preserve">, and so all work must be conducted using procedures to manage the biological risks. </w:t>
      </w:r>
      <w:r w:rsidR="00964ED2" w:rsidRPr="00686E9D">
        <w:rPr>
          <w:lang w:val="en-IE"/>
        </w:rPr>
        <w:t xml:space="preserve">The </w:t>
      </w:r>
      <w:r w:rsidRPr="00686E9D">
        <w:rPr>
          <w:lang w:val="en-IE"/>
        </w:rPr>
        <w:t xml:space="preserve">control and test </w:t>
      </w:r>
      <w:r w:rsidR="00964ED2" w:rsidRPr="00686E9D">
        <w:rPr>
          <w:lang w:val="en-IE"/>
        </w:rPr>
        <w:t xml:space="preserve">viruses are titrated on Vero cell monolayers in 96-well plates and after 18–24 hours, foci of infection are detected immunologically in acetone-fixed cells using anti-viral antiserum. The virus </w:t>
      </w:r>
      <w:r w:rsidR="00DF402C" w:rsidRPr="00686E9D">
        <w:rPr>
          <w:lang w:val="en-IE"/>
        </w:rPr>
        <w:t>titres are</w:t>
      </w:r>
      <w:r w:rsidR="00964ED2" w:rsidRPr="00686E9D">
        <w:rPr>
          <w:lang w:val="en-IE"/>
        </w:rPr>
        <w:t xml:space="preserve"> expressed as focus-forming units (FFU)/ml.</w:t>
      </w:r>
    </w:p>
    <w:p w14:paraId="5EC46B54" w14:textId="72278B53" w:rsidR="00DF402C" w:rsidRPr="00686E9D" w:rsidRDefault="00964ED2" w:rsidP="00DF402C">
      <w:pPr>
        <w:pStyle w:val="111"/>
        <w:rPr>
          <w:lang w:val="en-IE"/>
        </w:rPr>
      </w:pPr>
      <w:r w:rsidRPr="00686E9D">
        <w:rPr>
          <w:lang w:val="en-IE"/>
        </w:rPr>
        <w:t>2.</w:t>
      </w:r>
      <w:r w:rsidR="006D233C" w:rsidRPr="00686E9D">
        <w:rPr>
          <w:lang w:val="en-IE"/>
        </w:rPr>
        <w:t>2</w:t>
      </w:r>
      <w:r w:rsidRPr="00686E9D">
        <w:rPr>
          <w:lang w:val="en-IE"/>
        </w:rPr>
        <w:t>.2.</w:t>
      </w:r>
      <w:r w:rsidR="00DF402C" w:rsidRPr="00686E9D">
        <w:rPr>
          <w:lang w:val="en-IE"/>
        </w:rPr>
        <w:tab/>
        <w:t>Immunofluorescence assay</w:t>
      </w:r>
    </w:p>
    <w:p w14:paraId="30565114" w14:textId="1E4B4686" w:rsidR="009031D3" w:rsidRPr="00686E9D" w:rsidRDefault="00964ED2" w:rsidP="00101DD4">
      <w:pPr>
        <w:pStyle w:val="111Para"/>
        <w:rPr>
          <w:lang w:val="en-IE"/>
        </w:rPr>
      </w:pPr>
      <w:r w:rsidRPr="00686E9D">
        <w:rPr>
          <w:lang w:val="en-IE"/>
        </w:rPr>
        <w:t>A virus isolate that reacts with anti-</w:t>
      </w:r>
      <w:proofErr w:type="spellStart"/>
      <w:r w:rsidRPr="00686E9D">
        <w:rPr>
          <w:lang w:val="en-IE"/>
        </w:rPr>
        <w:t>HeV</w:t>
      </w:r>
      <w:proofErr w:type="spellEnd"/>
      <w:r w:rsidRPr="00686E9D">
        <w:rPr>
          <w:lang w:val="en-IE"/>
        </w:rPr>
        <w:t xml:space="preserve"> and/or anti-</w:t>
      </w:r>
      <w:proofErr w:type="spellStart"/>
      <w:r w:rsidRPr="00686E9D">
        <w:rPr>
          <w:lang w:val="en-IE"/>
        </w:rPr>
        <w:t>NiV</w:t>
      </w:r>
      <w:proofErr w:type="spellEnd"/>
      <w:r w:rsidRPr="00686E9D">
        <w:rPr>
          <w:lang w:val="en-IE"/>
        </w:rPr>
        <w:t xml:space="preserve"> antisera in an immunofluorescence assay </w:t>
      </w:r>
      <w:proofErr w:type="gramStart"/>
      <w:r w:rsidRPr="00686E9D">
        <w:rPr>
          <w:lang w:val="en-IE"/>
        </w:rPr>
        <w:t>is considered to be</w:t>
      </w:r>
      <w:proofErr w:type="gramEnd"/>
      <w:r w:rsidRPr="00686E9D">
        <w:rPr>
          <w:lang w:val="en-IE"/>
        </w:rPr>
        <w:t xml:space="preserve"> serologically identical to either </w:t>
      </w:r>
      <w:proofErr w:type="spellStart"/>
      <w:r w:rsidRPr="00686E9D">
        <w:rPr>
          <w:lang w:val="en-IE"/>
        </w:rPr>
        <w:t>HeV</w:t>
      </w:r>
      <w:proofErr w:type="spellEnd"/>
      <w:r w:rsidRPr="00686E9D">
        <w:rPr>
          <w:lang w:val="en-IE"/>
        </w:rPr>
        <w:t xml:space="preserve"> or </w:t>
      </w:r>
      <w:proofErr w:type="spellStart"/>
      <w:r w:rsidRPr="00686E9D">
        <w:rPr>
          <w:lang w:val="en-IE"/>
        </w:rPr>
        <w:t>NiV</w:t>
      </w:r>
      <w:proofErr w:type="spellEnd"/>
      <w:r w:rsidRPr="00686E9D">
        <w:rPr>
          <w:lang w:val="en-IE"/>
        </w:rPr>
        <w:t xml:space="preserve"> if it displays the same sensitivity to neutralisation by anti-</w:t>
      </w:r>
      <w:proofErr w:type="spellStart"/>
      <w:r w:rsidRPr="00686E9D">
        <w:rPr>
          <w:lang w:val="en-IE"/>
        </w:rPr>
        <w:t>HeV</w:t>
      </w:r>
      <w:proofErr w:type="spellEnd"/>
      <w:r w:rsidRPr="00686E9D">
        <w:rPr>
          <w:lang w:val="en-IE"/>
        </w:rPr>
        <w:t xml:space="preserve"> and anti-</w:t>
      </w:r>
      <w:proofErr w:type="spellStart"/>
      <w:r w:rsidRPr="00686E9D">
        <w:rPr>
          <w:lang w:val="en-IE"/>
        </w:rPr>
        <w:t>NiV</w:t>
      </w:r>
      <w:proofErr w:type="spellEnd"/>
      <w:r w:rsidRPr="00686E9D">
        <w:rPr>
          <w:lang w:val="en-IE"/>
        </w:rPr>
        <w:t xml:space="preserve"> antisera as </w:t>
      </w:r>
      <w:r w:rsidR="00101DD4" w:rsidRPr="00686E9D">
        <w:rPr>
          <w:lang w:val="en-IE"/>
        </w:rPr>
        <w:t xml:space="preserve">do the </w:t>
      </w:r>
      <w:proofErr w:type="spellStart"/>
      <w:r w:rsidRPr="00686E9D">
        <w:rPr>
          <w:lang w:val="en-IE"/>
        </w:rPr>
        <w:t>HeV</w:t>
      </w:r>
      <w:proofErr w:type="spellEnd"/>
      <w:r w:rsidRPr="00686E9D">
        <w:rPr>
          <w:lang w:val="en-IE"/>
        </w:rPr>
        <w:t xml:space="preserve"> or </w:t>
      </w:r>
      <w:proofErr w:type="spellStart"/>
      <w:r w:rsidRPr="00686E9D">
        <w:rPr>
          <w:lang w:val="en-IE"/>
        </w:rPr>
        <w:t>NiV</w:t>
      </w:r>
      <w:proofErr w:type="spellEnd"/>
      <w:r w:rsidR="00101DD4" w:rsidRPr="00686E9D">
        <w:rPr>
          <w:lang w:val="en-IE"/>
        </w:rPr>
        <w:t xml:space="preserve"> positive controls</w:t>
      </w:r>
      <w:r w:rsidRPr="00686E9D">
        <w:rPr>
          <w:lang w:val="en-IE"/>
        </w:rPr>
        <w:t>. Anti-</w:t>
      </w:r>
      <w:proofErr w:type="spellStart"/>
      <w:r w:rsidRPr="00686E9D">
        <w:rPr>
          <w:lang w:val="en-IE"/>
        </w:rPr>
        <w:t>HeV</w:t>
      </w:r>
      <w:proofErr w:type="spellEnd"/>
      <w:r w:rsidRPr="00686E9D">
        <w:rPr>
          <w:lang w:val="en-IE"/>
        </w:rPr>
        <w:t xml:space="preserve"> antiserum neutralises </w:t>
      </w:r>
      <w:proofErr w:type="spellStart"/>
      <w:r w:rsidRPr="00686E9D">
        <w:rPr>
          <w:lang w:val="en-IE"/>
        </w:rPr>
        <w:t>HeV</w:t>
      </w:r>
      <w:proofErr w:type="spellEnd"/>
      <w:r w:rsidRPr="00686E9D">
        <w:rPr>
          <w:lang w:val="en-IE"/>
        </w:rPr>
        <w:t xml:space="preserve"> at an approximately four-fold greater dilution than that which neutralises </w:t>
      </w:r>
      <w:proofErr w:type="spellStart"/>
      <w:r w:rsidRPr="00686E9D">
        <w:rPr>
          <w:lang w:val="en-IE"/>
        </w:rPr>
        <w:t>NiV</w:t>
      </w:r>
      <w:proofErr w:type="spellEnd"/>
      <w:r w:rsidRPr="00686E9D">
        <w:rPr>
          <w:lang w:val="en-IE"/>
        </w:rPr>
        <w:t xml:space="preserve"> to the same extent. Conversely, anti-</w:t>
      </w:r>
      <w:proofErr w:type="spellStart"/>
      <w:r w:rsidRPr="00686E9D">
        <w:rPr>
          <w:lang w:val="en-IE"/>
        </w:rPr>
        <w:t>NiV</w:t>
      </w:r>
      <w:proofErr w:type="spellEnd"/>
      <w:r w:rsidRPr="00686E9D">
        <w:rPr>
          <w:lang w:val="en-IE"/>
        </w:rPr>
        <w:t xml:space="preserve"> antiserum neutralises </w:t>
      </w:r>
      <w:proofErr w:type="spellStart"/>
      <w:r w:rsidRPr="00686E9D">
        <w:rPr>
          <w:lang w:val="en-IE"/>
        </w:rPr>
        <w:t>NiV</w:t>
      </w:r>
      <w:proofErr w:type="spellEnd"/>
      <w:r w:rsidRPr="00686E9D">
        <w:rPr>
          <w:lang w:val="en-IE"/>
        </w:rPr>
        <w:t xml:space="preserve"> approximately four times more efficiently than </w:t>
      </w:r>
      <w:proofErr w:type="spellStart"/>
      <w:r w:rsidRPr="00686E9D">
        <w:rPr>
          <w:lang w:val="en-IE"/>
        </w:rPr>
        <w:t>HeV</w:t>
      </w:r>
      <w:proofErr w:type="spellEnd"/>
      <w:r w:rsidRPr="00686E9D">
        <w:rPr>
          <w:lang w:val="en-IE"/>
        </w:rPr>
        <w:t xml:space="preserve"> (Chua </w:t>
      </w:r>
      <w:r w:rsidRPr="00686E9D">
        <w:rPr>
          <w:i/>
          <w:lang w:val="en-IE"/>
        </w:rPr>
        <w:t>et al</w:t>
      </w:r>
      <w:r w:rsidRPr="00686E9D">
        <w:rPr>
          <w:lang w:val="en-IE"/>
        </w:rPr>
        <w:t>., 2000).</w:t>
      </w:r>
      <w:r w:rsidR="00342F90" w:rsidRPr="00686E9D">
        <w:rPr>
          <w:lang w:val="en-IE"/>
        </w:rPr>
        <w:t xml:space="preserve"> </w:t>
      </w:r>
    </w:p>
    <w:p w14:paraId="7A7144C1" w14:textId="3272FFB7" w:rsidR="00682ECF" w:rsidRPr="00686E9D" w:rsidRDefault="00964ED2" w:rsidP="00BC1B47">
      <w:pPr>
        <w:pStyle w:val="111Para"/>
        <w:rPr>
          <w:strike/>
          <w:lang w:val="en-IE"/>
        </w:rPr>
      </w:pPr>
      <w:r w:rsidRPr="00686E9D">
        <w:rPr>
          <w:strike/>
          <w:lang w:val="en-IE"/>
        </w:rPr>
        <w:t xml:space="preserve">A new version of the differential neutralisation test has been recently described, which avoids the use of infectious virus </w:t>
      </w:r>
      <w:proofErr w:type="gramStart"/>
      <w:r w:rsidRPr="00686E9D">
        <w:rPr>
          <w:strike/>
          <w:lang w:val="en-IE"/>
        </w:rPr>
        <w:t>by the use of</w:t>
      </w:r>
      <w:proofErr w:type="gramEnd"/>
      <w:r w:rsidRPr="00686E9D">
        <w:rPr>
          <w:strike/>
          <w:lang w:val="en-IE"/>
        </w:rPr>
        <w:t xml:space="preserve"> ephrin-B2-bound biospheres (</w:t>
      </w:r>
      <w:proofErr w:type="spellStart"/>
      <w:r w:rsidRPr="00686E9D">
        <w:rPr>
          <w:strike/>
          <w:lang w:val="en-IE"/>
        </w:rPr>
        <w:t>Bossart</w:t>
      </w:r>
      <w:proofErr w:type="spellEnd"/>
      <w:r w:rsidRPr="00686E9D">
        <w:rPr>
          <w:strike/>
          <w:lang w:val="en-IE"/>
        </w:rPr>
        <w:t xml:space="preserve"> </w:t>
      </w:r>
      <w:r w:rsidRPr="00686E9D">
        <w:rPr>
          <w:i/>
          <w:strike/>
          <w:lang w:val="en-IE"/>
        </w:rPr>
        <w:t>et al</w:t>
      </w:r>
      <w:r w:rsidRPr="00686E9D">
        <w:rPr>
          <w:strike/>
          <w:lang w:val="en-IE"/>
        </w:rPr>
        <w:t xml:space="preserve">., 2007). Although </w:t>
      </w:r>
      <w:r w:rsidRPr="00686E9D">
        <w:rPr>
          <w:strike/>
          <w:lang w:val="en-IE"/>
        </w:rPr>
        <w:lastRenderedPageBreak/>
        <w:t xml:space="preserve">the test has yet to be formally validated, it appears to have the potential to be a screening tool for use in </w:t>
      </w:r>
      <w:r w:rsidR="00101DD4" w:rsidRPr="00686E9D">
        <w:rPr>
          <w:strike/>
          <w:lang w:val="en-IE"/>
        </w:rPr>
        <w:t xml:space="preserve">laboratories </w:t>
      </w:r>
      <w:r w:rsidR="009031D3" w:rsidRPr="00686E9D">
        <w:rPr>
          <w:strike/>
          <w:lang w:val="en-IE"/>
        </w:rPr>
        <w:t xml:space="preserve">without adequate </w:t>
      </w:r>
      <w:r w:rsidRPr="00686E9D">
        <w:rPr>
          <w:strike/>
          <w:lang w:val="en-IE"/>
        </w:rPr>
        <w:t>facilities</w:t>
      </w:r>
      <w:r w:rsidR="009031D3" w:rsidRPr="00686E9D">
        <w:rPr>
          <w:strike/>
          <w:lang w:val="en-IE"/>
        </w:rPr>
        <w:t xml:space="preserve"> to fully manage the biological risks of culturing </w:t>
      </w:r>
      <w:proofErr w:type="spellStart"/>
      <w:r w:rsidR="009031D3" w:rsidRPr="00686E9D">
        <w:rPr>
          <w:strike/>
          <w:lang w:val="en-IE"/>
        </w:rPr>
        <w:t>HeV</w:t>
      </w:r>
      <w:proofErr w:type="spellEnd"/>
      <w:r w:rsidR="009031D3" w:rsidRPr="00686E9D">
        <w:rPr>
          <w:strike/>
          <w:lang w:val="en-IE"/>
        </w:rPr>
        <w:t xml:space="preserve"> and </w:t>
      </w:r>
      <w:proofErr w:type="spellStart"/>
      <w:r w:rsidR="009031D3" w:rsidRPr="00686E9D">
        <w:rPr>
          <w:strike/>
          <w:lang w:val="en-IE"/>
        </w:rPr>
        <w:t>NiV</w:t>
      </w:r>
      <w:proofErr w:type="spellEnd"/>
      <w:r w:rsidRPr="00686E9D">
        <w:rPr>
          <w:strike/>
          <w:lang w:val="en-IE"/>
        </w:rPr>
        <w:t>.</w:t>
      </w:r>
    </w:p>
    <w:p w14:paraId="66678DCE" w14:textId="62C89C02" w:rsidR="00682ECF" w:rsidRPr="00686E9D" w:rsidRDefault="00964ED2">
      <w:pPr>
        <w:pStyle w:val="111"/>
        <w:rPr>
          <w:lang w:val="en-IE"/>
        </w:rPr>
      </w:pPr>
      <w:r w:rsidRPr="00686E9D">
        <w:rPr>
          <w:lang w:val="en-IE"/>
        </w:rPr>
        <w:t>2.</w:t>
      </w:r>
      <w:r w:rsidR="00825B92" w:rsidRPr="00686E9D">
        <w:rPr>
          <w:lang w:val="en-IE"/>
        </w:rPr>
        <w:t>2</w:t>
      </w:r>
      <w:r w:rsidRPr="00686E9D">
        <w:rPr>
          <w:lang w:val="en-IE"/>
        </w:rPr>
        <w:t>.3.</w:t>
      </w:r>
      <w:r w:rsidRPr="00686E9D">
        <w:rPr>
          <w:lang w:val="en-IE"/>
        </w:rPr>
        <w:tab/>
      </w:r>
      <w:proofErr w:type="spellStart"/>
      <w:r w:rsidRPr="00686E9D">
        <w:rPr>
          <w:lang w:val="en-IE"/>
        </w:rPr>
        <w:t>Microtitre</w:t>
      </w:r>
      <w:proofErr w:type="spellEnd"/>
      <w:r w:rsidRPr="00686E9D">
        <w:rPr>
          <w:lang w:val="en-IE"/>
        </w:rPr>
        <w:t xml:space="preserve"> neutralisation </w:t>
      </w:r>
    </w:p>
    <w:p w14:paraId="0B94431A" w14:textId="079F1F4B" w:rsidR="00682ECF" w:rsidRPr="00686E9D" w:rsidRDefault="00964ED2">
      <w:pPr>
        <w:pStyle w:val="111Para"/>
        <w:rPr>
          <w:lang w:val="en-IE"/>
        </w:rPr>
      </w:pPr>
      <w:r w:rsidRPr="00686E9D">
        <w:rPr>
          <w:lang w:val="en-IE"/>
        </w:rPr>
        <w:t xml:space="preserve">This procedure is dependent on the availability of anti-serum, specific for </w:t>
      </w:r>
      <w:proofErr w:type="spellStart"/>
      <w:r w:rsidRPr="00686E9D">
        <w:rPr>
          <w:lang w:val="en-IE"/>
        </w:rPr>
        <w:t>HeV</w:t>
      </w:r>
      <w:proofErr w:type="spellEnd"/>
      <w:r w:rsidRPr="00686E9D">
        <w:rPr>
          <w:lang w:val="en-IE"/>
        </w:rPr>
        <w:t xml:space="preserve"> and </w:t>
      </w:r>
      <w:proofErr w:type="spellStart"/>
      <w:r w:rsidRPr="00686E9D">
        <w:rPr>
          <w:lang w:val="en-IE"/>
        </w:rPr>
        <w:t>NiV</w:t>
      </w:r>
      <w:proofErr w:type="spellEnd"/>
      <w:r w:rsidRPr="00686E9D">
        <w:rPr>
          <w:lang w:val="en-IE"/>
        </w:rPr>
        <w:t xml:space="preserve">, as well as </w:t>
      </w:r>
      <w:r w:rsidRPr="009354E6">
        <w:rPr>
          <w:strike/>
          <w:highlight w:val="yellow"/>
          <w:lang w:val="en-IE"/>
        </w:rPr>
        <w:t xml:space="preserve">stock </w:t>
      </w:r>
      <w:r w:rsidR="00611A62" w:rsidRPr="009354E6">
        <w:rPr>
          <w:highlight w:val="yellow"/>
          <w:u w:val="double"/>
          <w:lang w:val="en-IE"/>
        </w:rPr>
        <w:t>cell</w:t>
      </w:r>
      <w:r w:rsidR="009354E6">
        <w:rPr>
          <w:highlight w:val="yellow"/>
          <w:u w:val="double"/>
          <w:lang w:val="en-IE"/>
        </w:rPr>
        <w:t>-</w:t>
      </w:r>
      <w:r w:rsidR="00611A62" w:rsidRPr="009354E6">
        <w:rPr>
          <w:highlight w:val="yellow"/>
          <w:u w:val="double"/>
          <w:lang w:val="en-IE"/>
        </w:rPr>
        <w:t>culture adapted</w:t>
      </w:r>
      <w:r w:rsidR="00611A62" w:rsidRPr="00686E9D">
        <w:rPr>
          <w:lang w:val="en-IE"/>
        </w:rPr>
        <w:t xml:space="preserve"> </w:t>
      </w:r>
      <w:r w:rsidRPr="00686E9D">
        <w:rPr>
          <w:lang w:val="en-IE"/>
        </w:rPr>
        <w:t xml:space="preserve">viruses. Stock </w:t>
      </w:r>
      <w:proofErr w:type="spellStart"/>
      <w:r w:rsidRPr="00686E9D">
        <w:rPr>
          <w:lang w:val="en-IE"/>
        </w:rPr>
        <w:t>HeV</w:t>
      </w:r>
      <w:proofErr w:type="spellEnd"/>
      <w:r w:rsidRPr="00686E9D">
        <w:rPr>
          <w:lang w:val="en-IE"/>
        </w:rPr>
        <w:t xml:space="preserve"> and </w:t>
      </w:r>
      <w:proofErr w:type="spellStart"/>
      <w:r w:rsidRPr="00686E9D">
        <w:rPr>
          <w:lang w:val="en-IE"/>
        </w:rPr>
        <w:t>NiV</w:t>
      </w:r>
      <w:proofErr w:type="spellEnd"/>
      <w:r w:rsidRPr="00686E9D">
        <w:rPr>
          <w:lang w:val="en-IE"/>
        </w:rPr>
        <w:t xml:space="preserve"> and the unidentified </w:t>
      </w:r>
      <w:proofErr w:type="spellStart"/>
      <w:r w:rsidRPr="00686E9D">
        <w:rPr>
          <w:lang w:val="en-IE"/>
        </w:rPr>
        <w:t>henipavirus</w:t>
      </w:r>
      <w:proofErr w:type="spellEnd"/>
      <w:r w:rsidRPr="00686E9D">
        <w:rPr>
          <w:lang w:val="en-IE"/>
        </w:rPr>
        <w:t xml:space="preserve"> are diluted</w:t>
      </w:r>
      <w:r w:rsidR="001D103D" w:rsidRPr="00686E9D">
        <w:rPr>
          <w:lang w:val="en-IE"/>
        </w:rPr>
        <w:t xml:space="preserve"> </w:t>
      </w:r>
      <w:r w:rsidR="00101DD4" w:rsidRPr="00686E9D">
        <w:rPr>
          <w:lang w:val="en-IE"/>
        </w:rPr>
        <w:t>and replicates of each virus containing approximately 100</w:t>
      </w:r>
      <w:r w:rsidR="00177CEE" w:rsidRPr="00686E9D">
        <w:rPr>
          <w:lang w:val="en-IE"/>
        </w:rPr>
        <w:t> </w:t>
      </w:r>
      <w:r w:rsidR="00101DD4" w:rsidRPr="00686E9D">
        <w:rPr>
          <w:lang w:val="en-IE"/>
        </w:rPr>
        <w:t>TCID</w:t>
      </w:r>
      <w:r w:rsidR="00101DD4" w:rsidRPr="00686E9D">
        <w:rPr>
          <w:szCs w:val="14"/>
          <w:vertAlign w:val="subscript"/>
          <w:lang w:val="en-IE"/>
        </w:rPr>
        <w:t>50</w:t>
      </w:r>
      <w:r w:rsidR="00101DD4" w:rsidRPr="00686E9D">
        <w:rPr>
          <w:lang w:val="en-IE"/>
        </w:rPr>
        <w:t xml:space="preserve"> in 50 µl are added to the test wells of a flat bottom 96-well </w:t>
      </w:r>
      <w:proofErr w:type="spellStart"/>
      <w:r w:rsidR="00101DD4" w:rsidRPr="00686E9D">
        <w:rPr>
          <w:lang w:val="en-IE"/>
        </w:rPr>
        <w:t>microtitre</w:t>
      </w:r>
      <w:proofErr w:type="spellEnd"/>
      <w:r w:rsidR="00101DD4" w:rsidRPr="00686E9D">
        <w:rPr>
          <w:lang w:val="en-IE"/>
        </w:rPr>
        <w:t xml:space="preserve"> plate. The viruses are mixed with an equal volume of either </w:t>
      </w:r>
      <w:r w:rsidR="001F6218" w:rsidRPr="00686E9D">
        <w:rPr>
          <w:lang w:val="en-IE"/>
        </w:rPr>
        <w:t>Eagle’s minimal essential media (EMEM)</w:t>
      </w:r>
      <w:r w:rsidR="00101DD4" w:rsidRPr="00686E9D">
        <w:rPr>
          <w:lang w:val="en-IE"/>
        </w:rPr>
        <w:t xml:space="preserve"> or a range of dilutions of anti-</w:t>
      </w:r>
      <w:proofErr w:type="spellStart"/>
      <w:r w:rsidR="00101DD4" w:rsidRPr="00686E9D">
        <w:rPr>
          <w:lang w:val="en-IE"/>
        </w:rPr>
        <w:t>HeV</w:t>
      </w:r>
      <w:proofErr w:type="spellEnd"/>
      <w:r w:rsidR="00101DD4" w:rsidRPr="00686E9D">
        <w:rPr>
          <w:lang w:val="en-IE"/>
        </w:rPr>
        <w:t xml:space="preserve"> or anti-</w:t>
      </w:r>
      <w:proofErr w:type="spellStart"/>
      <w:r w:rsidR="00101DD4" w:rsidRPr="00686E9D">
        <w:rPr>
          <w:lang w:val="en-IE"/>
        </w:rPr>
        <w:t>NiV</w:t>
      </w:r>
      <w:proofErr w:type="spellEnd"/>
      <w:r w:rsidR="00101DD4" w:rsidRPr="00686E9D">
        <w:rPr>
          <w:lang w:val="en-IE"/>
        </w:rPr>
        <w:t xml:space="preserve"> antiserum in EMEM. </w:t>
      </w:r>
      <w:r w:rsidRPr="00686E9D">
        <w:rPr>
          <w:lang w:val="en-IE"/>
        </w:rPr>
        <w:t>The mixtures are incubated at 37°C for 45 minutes and approximately 2.4 × 10</w:t>
      </w:r>
      <w:r w:rsidRPr="00686E9D">
        <w:rPr>
          <w:szCs w:val="14"/>
          <w:vertAlign w:val="superscript"/>
          <w:lang w:val="en-IE"/>
        </w:rPr>
        <w:t>4</w:t>
      </w:r>
      <w:r w:rsidRPr="00686E9D">
        <w:rPr>
          <w:lang w:val="en-IE"/>
        </w:rPr>
        <w:t xml:space="preserve"> cells are added to each well to a final volume of approximately 200 µl. After 3 days at 37°C, the test is read using an inverted microscope and wells are scored for the degree of CPE observed. Those that contain cells only or cells and antiserum should show no CPE. In contrast, wells containing cells and virus should show syncytia and cell destruction. A positive well is one where all or a proportion of cells in the monolayer form large syncytia typical of </w:t>
      </w:r>
      <w:proofErr w:type="spellStart"/>
      <w:r w:rsidRPr="00686E9D">
        <w:rPr>
          <w:lang w:val="en-IE"/>
        </w:rPr>
        <w:t>henipavirus</w:t>
      </w:r>
      <w:proofErr w:type="spellEnd"/>
      <w:r w:rsidRPr="00686E9D">
        <w:rPr>
          <w:lang w:val="en-IE"/>
        </w:rPr>
        <w:t xml:space="preserve"> infection.</w:t>
      </w:r>
    </w:p>
    <w:p w14:paraId="51DEFBAF" w14:textId="213EFB29" w:rsidR="00682ECF" w:rsidRPr="00686E9D" w:rsidRDefault="00964ED2" w:rsidP="00911FE1">
      <w:pPr>
        <w:pStyle w:val="1"/>
        <w:rPr>
          <w:lang w:val="en-IE"/>
        </w:rPr>
      </w:pPr>
      <w:r w:rsidRPr="00686E9D">
        <w:rPr>
          <w:lang w:val="en-IE"/>
        </w:rPr>
        <w:t>3.</w:t>
      </w:r>
      <w:r w:rsidRPr="00686E9D">
        <w:rPr>
          <w:lang w:val="en-IE"/>
        </w:rPr>
        <w:tab/>
        <w:t xml:space="preserve">Molecular methods – detection of nucleic acid </w:t>
      </w:r>
    </w:p>
    <w:p w14:paraId="4E07F71E" w14:textId="6D68F170" w:rsidR="00682ECF" w:rsidRPr="00B35637" w:rsidRDefault="726B06DF" w:rsidP="00911FE1">
      <w:pPr>
        <w:pStyle w:val="1Para"/>
        <w:rPr>
          <w:u w:val="double"/>
          <w:lang w:val="en-IE"/>
        </w:rPr>
      </w:pPr>
      <w:r w:rsidRPr="726B06DF">
        <w:rPr>
          <w:lang w:val="en-IE"/>
        </w:rPr>
        <w:t xml:space="preserve">The complete genomes of both </w:t>
      </w:r>
      <w:proofErr w:type="spellStart"/>
      <w:r w:rsidRPr="726B06DF">
        <w:rPr>
          <w:lang w:val="en-IE"/>
        </w:rPr>
        <w:t>HeV</w:t>
      </w:r>
      <w:proofErr w:type="spellEnd"/>
      <w:r w:rsidRPr="726B06DF">
        <w:rPr>
          <w:lang w:val="en-IE"/>
        </w:rPr>
        <w:t xml:space="preserve"> and </w:t>
      </w:r>
      <w:proofErr w:type="spellStart"/>
      <w:r w:rsidRPr="726B06DF">
        <w:rPr>
          <w:lang w:val="en-IE"/>
        </w:rPr>
        <w:t>NiV</w:t>
      </w:r>
      <w:proofErr w:type="spellEnd"/>
      <w:r w:rsidRPr="726B06DF">
        <w:rPr>
          <w:lang w:val="en-IE"/>
        </w:rPr>
        <w:t xml:space="preserve"> have been sequenced, and as more isolates come to hand their sequences have been deposited on GenBank. PCR-based methods are commonly used to detect virus. They have the biosafety advantage of not propagating live infectious virus and they have been validated in </w:t>
      </w:r>
      <w:proofErr w:type="gramStart"/>
      <w:r w:rsidRPr="726B06DF">
        <w:rPr>
          <w:lang w:val="en-IE"/>
        </w:rPr>
        <w:t>a number of</w:t>
      </w:r>
      <w:proofErr w:type="gramEnd"/>
      <w:r w:rsidRPr="726B06DF">
        <w:rPr>
          <w:lang w:val="en-IE"/>
        </w:rPr>
        <w:t xml:space="preserve"> laboratories. They are also highly sensitive and specific.</w:t>
      </w:r>
      <w:r w:rsidR="00B35637">
        <w:rPr>
          <w:lang w:val="en-IE"/>
        </w:rPr>
        <w:t xml:space="preserve"> </w:t>
      </w:r>
      <w:r w:rsidR="00B35637" w:rsidRPr="00B35637">
        <w:rPr>
          <w:highlight w:val="yellow"/>
          <w:u w:val="double"/>
          <w:lang w:val="en-IE"/>
        </w:rPr>
        <w:t>Specimens sampled for PCR should be inactivated as part of the RNA extraction procedure before any further manipulations (PCR or sequencing). Advice on procedures is available from the OIE Reference Laboratory</w:t>
      </w:r>
      <w:r w:rsidR="00B35637" w:rsidRPr="00B35637">
        <w:rPr>
          <w:rStyle w:val="FootnoteReference"/>
          <w:highlight w:val="yellow"/>
          <w:u w:val="double"/>
          <w:lang w:val="en-IE"/>
        </w:rPr>
        <w:footnoteReference w:id="1"/>
      </w:r>
      <w:r w:rsidR="00B35637" w:rsidRPr="00B35637">
        <w:rPr>
          <w:highlight w:val="yellow"/>
          <w:u w:val="double"/>
          <w:lang w:val="en-IE"/>
        </w:rPr>
        <w:t>.</w:t>
      </w:r>
    </w:p>
    <w:p w14:paraId="22A01E87" w14:textId="1E967193" w:rsidR="00682ECF" w:rsidRPr="00686E9D" w:rsidRDefault="00964ED2">
      <w:pPr>
        <w:pStyle w:val="111"/>
        <w:rPr>
          <w:lang w:val="en-IE"/>
        </w:rPr>
      </w:pPr>
      <w:r w:rsidRPr="00686E9D">
        <w:rPr>
          <w:lang w:val="en-IE"/>
        </w:rPr>
        <w:t>3.1.</w:t>
      </w:r>
      <w:r w:rsidRPr="00686E9D">
        <w:rPr>
          <w:lang w:val="en-IE"/>
        </w:rPr>
        <w:tab/>
        <w:t>Real-time reverse</w:t>
      </w:r>
      <w:r w:rsidR="001F6218" w:rsidRPr="00686E9D">
        <w:rPr>
          <w:lang w:val="en-IE"/>
        </w:rPr>
        <w:t>-</w:t>
      </w:r>
      <w:r w:rsidRPr="00686E9D">
        <w:rPr>
          <w:lang w:val="en-IE"/>
        </w:rPr>
        <w:t>transcription polymerase chain reaction</w:t>
      </w:r>
    </w:p>
    <w:p w14:paraId="792EF9BB" w14:textId="2344D5C3" w:rsidR="00260370" w:rsidRPr="00686E9D" w:rsidRDefault="00261C2B" w:rsidP="00260370">
      <w:pPr>
        <w:pStyle w:val="111Para"/>
        <w:rPr>
          <w:lang w:val="en-IE"/>
        </w:rPr>
      </w:pPr>
      <w:r w:rsidRPr="00686E9D">
        <w:rPr>
          <w:u w:val="double"/>
          <w:lang w:val="en-IE"/>
        </w:rPr>
        <w:t xml:space="preserve">For the primary detection of </w:t>
      </w:r>
      <w:proofErr w:type="spellStart"/>
      <w:r w:rsidRPr="00686E9D">
        <w:rPr>
          <w:u w:val="double"/>
          <w:lang w:val="en-IE"/>
        </w:rPr>
        <w:t>henipaviruses</w:t>
      </w:r>
      <w:proofErr w:type="spellEnd"/>
      <w:r w:rsidRPr="00686E9D">
        <w:rPr>
          <w:u w:val="double"/>
          <w:lang w:val="en-IE"/>
        </w:rPr>
        <w:t>,</w:t>
      </w:r>
      <w:r w:rsidRPr="00686E9D">
        <w:rPr>
          <w:lang w:val="en-IE"/>
        </w:rPr>
        <w:t xml:space="preserve"> </w:t>
      </w:r>
      <w:r w:rsidR="00964ED2" w:rsidRPr="00686E9D">
        <w:rPr>
          <w:strike/>
          <w:lang w:val="en-IE"/>
        </w:rPr>
        <w:t xml:space="preserve">A particularly sensitive and useful approach to the detection of </w:t>
      </w:r>
      <w:proofErr w:type="spellStart"/>
      <w:r w:rsidR="00964ED2" w:rsidRPr="00686E9D">
        <w:rPr>
          <w:strike/>
          <w:lang w:val="en-IE"/>
        </w:rPr>
        <w:t>henipavirus</w:t>
      </w:r>
      <w:proofErr w:type="spellEnd"/>
      <w:r w:rsidR="00964ED2" w:rsidRPr="00686E9D">
        <w:rPr>
          <w:strike/>
          <w:lang w:val="en-IE"/>
        </w:rPr>
        <w:t xml:space="preserve"> genome in specimens is </w:t>
      </w:r>
      <w:r w:rsidR="00964ED2" w:rsidRPr="00686E9D">
        <w:rPr>
          <w:lang w:val="en-IE"/>
        </w:rPr>
        <w:t>real-time RT-PCR</w:t>
      </w:r>
      <w:r w:rsidRPr="00686E9D">
        <w:rPr>
          <w:lang w:val="en-IE"/>
        </w:rPr>
        <w:t xml:space="preserve"> </w:t>
      </w:r>
      <w:r w:rsidRPr="00686E9D">
        <w:rPr>
          <w:u w:val="double"/>
          <w:lang w:val="en-IE"/>
        </w:rPr>
        <w:t>is used</w:t>
      </w:r>
      <w:r w:rsidR="00964ED2" w:rsidRPr="00686E9D">
        <w:rPr>
          <w:lang w:val="en-IE"/>
        </w:rPr>
        <w:t xml:space="preserve"> (see Table 2). </w:t>
      </w:r>
      <w:r w:rsidR="00964ED2" w:rsidRPr="00686E9D">
        <w:rPr>
          <w:u w:val="double"/>
          <w:lang w:val="en-IE"/>
        </w:rPr>
        <w:t>T</w:t>
      </w:r>
      <w:r w:rsidR="00D84EB5" w:rsidRPr="00686E9D">
        <w:rPr>
          <w:u w:val="double"/>
          <w:lang w:val="en-IE"/>
        </w:rPr>
        <w:t>here is a range of</w:t>
      </w:r>
      <w:r w:rsidR="00D84EB5" w:rsidRPr="00686E9D">
        <w:rPr>
          <w:lang w:val="en-IE"/>
        </w:rPr>
        <w:t xml:space="preserve"> t</w:t>
      </w:r>
      <w:r w:rsidR="00964ED2" w:rsidRPr="00686E9D">
        <w:rPr>
          <w:lang w:val="en-IE"/>
        </w:rPr>
        <w:t>est methods and primers</w:t>
      </w:r>
      <w:r w:rsidR="00D84EB5" w:rsidRPr="00686E9D">
        <w:rPr>
          <w:lang w:val="en-IE"/>
        </w:rPr>
        <w:t xml:space="preserve"> </w:t>
      </w:r>
      <w:r w:rsidR="00FA712C">
        <w:rPr>
          <w:u w:val="double"/>
          <w:lang w:val="en-IE"/>
        </w:rPr>
        <w:t>published</w:t>
      </w:r>
      <w:r w:rsidR="00271086" w:rsidRPr="00686E9D">
        <w:rPr>
          <w:u w:val="double"/>
          <w:lang w:val="en-IE"/>
        </w:rPr>
        <w:t>,</w:t>
      </w:r>
      <w:r w:rsidR="00964ED2" w:rsidRPr="00686E9D">
        <w:rPr>
          <w:strike/>
          <w:lang w:val="en-IE"/>
        </w:rPr>
        <w:t xml:space="preserve"> used depend on the technology platform and associated chemistry being used in individual laboratories (</w:t>
      </w:r>
      <w:proofErr w:type="spellStart"/>
      <w:r w:rsidR="00964ED2" w:rsidRPr="00686E9D">
        <w:rPr>
          <w:strike/>
          <w:lang w:val="en-IE"/>
        </w:rPr>
        <w:t>Mungall</w:t>
      </w:r>
      <w:proofErr w:type="spellEnd"/>
      <w:r w:rsidR="00964ED2" w:rsidRPr="00686E9D">
        <w:rPr>
          <w:strike/>
          <w:lang w:val="en-IE"/>
        </w:rPr>
        <w:t xml:space="preserve"> </w:t>
      </w:r>
      <w:r w:rsidR="00964ED2" w:rsidRPr="00686E9D">
        <w:rPr>
          <w:i/>
          <w:strike/>
          <w:lang w:val="en-IE"/>
        </w:rPr>
        <w:t>et al</w:t>
      </w:r>
      <w:r w:rsidR="00964ED2" w:rsidRPr="00686E9D">
        <w:rPr>
          <w:strike/>
          <w:lang w:val="en-IE"/>
        </w:rPr>
        <w:t xml:space="preserve">., 2006; </w:t>
      </w:r>
      <w:proofErr w:type="spellStart"/>
      <w:r w:rsidR="00964ED2" w:rsidRPr="00686E9D">
        <w:rPr>
          <w:strike/>
          <w:lang w:val="en-IE"/>
        </w:rPr>
        <w:t>Wacharapluesadee</w:t>
      </w:r>
      <w:proofErr w:type="spellEnd"/>
      <w:r w:rsidR="00964ED2" w:rsidRPr="00686E9D">
        <w:rPr>
          <w:strike/>
          <w:lang w:val="en-IE"/>
        </w:rPr>
        <w:t xml:space="preserve"> &amp; </w:t>
      </w:r>
      <w:proofErr w:type="spellStart"/>
      <w:r w:rsidR="00964ED2" w:rsidRPr="00686E9D">
        <w:rPr>
          <w:strike/>
          <w:lang w:val="en-IE"/>
        </w:rPr>
        <w:t>Hemachudha</w:t>
      </w:r>
      <w:proofErr w:type="spellEnd"/>
      <w:r w:rsidR="00964ED2" w:rsidRPr="00686E9D">
        <w:rPr>
          <w:strike/>
          <w:lang w:val="en-IE"/>
        </w:rPr>
        <w:t>, 2007)</w:t>
      </w:r>
      <w:r w:rsidR="007F0F6F" w:rsidRPr="00686E9D">
        <w:rPr>
          <w:strike/>
          <w:lang w:val="en-IE"/>
        </w:rPr>
        <w:t xml:space="preserve"> </w:t>
      </w:r>
      <w:r w:rsidR="002A4CD7" w:rsidRPr="00686E9D">
        <w:rPr>
          <w:u w:val="double"/>
          <w:lang w:val="en-IE"/>
        </w:rPr>
        <w:t xml:space="preserve">such as </w:t>
      </w:r>
      <w:r w:rsidR="00A96D2D">
        <w:rPr>
          <w:u w:val="double"/>
          <w:lang w:val="en-IE"/>
        </w:rPr>
        <w:t xml:space="preserve">the </w:t>
      </w:r>
      <w:r w:rsidR="00A96D2D" w:rsidRPr="00A96D2D">
        <w:rPr>
          <w:u w:val="double"/>
          <w:lang w:val="en-IE"/>
        </w:rPr>
        <w:t xml:space="preserve">HeV-g2 M gene assay </w:t>
      </w:r>
      <w:r w:rsidR="00A96D2D">
        <w:rPr>
          <w:u w:val="double"/>
          <w:lang w:val="en-IE"/>
        </w:rPr>
        <w:t xml:space="preserve">which </w:t>
      </w:r>
      <w:r w:rsidR="00A96D2D" w:rsidRPr="00A96D2D">
        <w:rPr>
          <w:u w:val="double"/>
          <w:lang w:val="en-IE"/>
        </w:rPr>
        <w:t>is broadly reactive and detects HeV-g1 and HeV-g2</w:t>
      </w:r>
      <w:r w:rsidR="009C467C">
        <w:rPr>
          <w:u w:val="double"/>
          <w:lang w:val="en-IE"/>
        </w:rPr>
        <w:t xml:space="preserve"> (Wang </w:t>
      </w:r>
      <w:r w:rsidR="009C467C" w:rsidRPr="00620E18">
        <w:rPr>
          <w:i/>
          <w:iCs/>
          <w:u w:val="double"/>
          <w:lang w:val="en-IE"/>
        </w:rPr>
        <w:t>et al.,</w:t>
      </w:r>
      <w:r w:rsidR="009C467C">
        <w:rPr>
          <w:u w:val="double"/>
          <w:lang w:val="en-IE"/>
        </w:rPr>
        <w:t xml:space="preserve"> 2021)</w:t>
      </w:r>
      <w:r w:rsidR="00A96D2D">
        <w:rPr>
          <w:u w:val="double"/>
          <w:lang w:val="en-IE"/>
        </w:rPr>
        <w:t>, whereas the</w:t>
      </w:r>
      <w:r w:rsidR="002A4CD7" w:rsidRPr="00686E9D">
        <w:rPr>
          <w:u w:val="double"/>
          <w:lang w:val="en-IE"/>
        </w:rPr>
        <w:t xml:space="preserve"> </w:t>
      </w:r>
      <w:r w:rsidR="00260370" w:rsidRPr="00686E9D">
        <w:rPr>
          <w:u w:val="double"/>
          <w:lang w:val="en-IE"/>
        </w:rPr>
        <w:t>HeV</w:t>
      </w:r>
      <w:r w:rsidR="00132E2C">
        <w:rPr>
          <w:u w:val="double"/>
          <w:lang w:val="en-IE"/>
        </w:rPr>
        <w:t>-g1</w:t>
      </w:r>
      <w:r w:rsidR="00260370" w:rsidRPr="00686E9D">
        <w:rPr>
          <w:u w:val="double"/>
          <w:lang w:val="en-IE"/>
        </w:rPr>
        <w:t xml:space="preserve"> M gene assay is Hendra</w:t>
      </w:r>
      <w:r w:rsidR="009C5CCF">
        <w:rPr>
          <w:u w:val="double"/>
          <w:lang w:val="en-IE"/>
        </w:rPr>
        <w:t>-g1</w:t>
      </w:r>
      <w:r w:rsidR="00260370" w:rsidRPr="00686E9D">
        <w:rPr>
          <w:u w:val="double"/>
          <w:lang w:val="en-IE"/>
        </w:rPr>
        <w:t xml:space="preserve"> specific (Smith </w:t>
      </w:r>
      <w:r w:rsidR="00260370" w:rsidRPr="00686E9D">
        <w:rPr>
          <w:i/>
          <w:u w:val="double"/>
          <w:lang w:val="en-IE"/>
        </w:rPr>
        <w:t>et al</w:t>
      </w:r>
      <w:r w:rsidR="00260370" w:rsidRPr="00686E9D">
        <w:rPr>
          <w:u w:val="double"/>
          <w:lang w:val="en-IE"/>
        </w:rPr>
        <w:t>., 2001)</w:t>
      </w:r>
      <w:r w:rsidR="003E0BE7">
        <w:rPr>
          <w:u w:val="double"/>
          <w:lang w:val="en-IE"/>
        </w:rPr>
        <w:t>. The</w:t>
      </w:r>
      <w:r w:rsidR="00260370" w:rsidRPr="00686E9D">
        <w:rPr>
          <w:u w:val="double"/>
          <w:lang w:val="en-IE"/>
        </w:rPr>
        <w:t xml:space="preserve"> </w:t>
      </w:r>
      <w:proofErr w:type="spellStart"/>
      <w:r w:rsidR="00260370" w:rsidRPr="00686E9D">
        <w:rPr>
          <w:u w:val="double"/>
          <w:lang w:val="en-IE"/>
        </w:rPr>
        <w:t>HeV</w:t>
      </w:r>
      <w:proofErr w:type="spellEnd"/>
      <w:r w:rsidR="00260370" w:rsidRPr="00686E9D">
        <w:rPr>
          <w:u w:val="double"/>
          <w:lang w:val="en-IE"/>
        </w:rPr>
        <w:t xml:space="preserve"> P gene assay detects both Hendra and </w:t>
      </w:r>
      <w:proofErr w:type="spellStart"/>
      <w:r w:rsidR="00260370" w:rsidRPr="00686E9D">
        <w:rPr>
          <w:u w:val="double"/>
          <w:lang w:val="en-IE"/>
        </w:rPr>
        <w:t>Nipah</w:t>
      </w:r>
      <w:proofErr w:type="spellEnd"/>
      <w:r w:rsidR="00260370" w:rsidRPr="00686E9D">
        <w:rPr>
          <w:u w:val="double"/>
          <w:lang w:val="en-IE"/>
        </w:rPr>
        <w:t xml:space="preserve"> (Feldman </w:t>
      </w:r>
      <w:r w:rsidR="00260370" w:rsidRPr="00686E9D">
        <w:rPr>
          <w:i/>
          <w:u w:val="double"/>
          <w:lang w:val="en-IE"/>
        </w:rPr>
        <w:t>et al</w:t>
      </w:r>
      <w:r w:rsidR="00260370" w:rsidRPr="00686E9D">
        <w:rPr>
          <w:u w:val="double"/>
          <w:lang w:val="en-IE"/>
        </w:rPr>
        <w:t>., 2009)</w:t>
      </w:r>
      <w:r w:rsidR="00260370" w:rsidRPr="00686E9D">
        <w:rPr>
          <w:lang w:val="en-IE"/>
        </w:rPr>
        <w:t xml:space="preserve">. </w:t>
      </w:r>
    </w:p>
    <w:p w14:paraId="73BFF8B5" w14:textId="50F500D4" w:rsidR="00682ECF" w:rsidRPr="00686E9D" w:rsidRDefault="00964ED2">
      <w:pPr>
        <w:pStyle w:val="111Para"/>
        <w:rPr>
          <w:strike/>
          <w:lang w:val="en-IE"/>
        </w:rPr>
      </w:pPr>
      <w:r w:rsidRPr="00686E9D">
        <w:rPr>
          <w:strike/>
          <w:lang w:val="en-IE"/>
        </w:rPr>
        <w:t xml:space="preserve">The </w:t>
      </w:r>
      <w:proofErr w:type="spellStart"/>
      <w:r w:rsidRPr="00686E9D">
        <w:rPr>
          <w:strike/>
          <w:lang w:val="en-IE"/>
        </w:rPr>
        <w:t>HeV</w:t>
      </w:r>
      <w:proofErr w:type="spellEnd"/>
      <w:r w:rsidRPr="00686E9D">
        <w:rPr>
          <w:strike/>
          <w:lang w:val="en-IE"/>
        </w:rPr>
        <w:t xml:space="preserve"> M gene (Smith </w:t>
      </w:r>
      <w:r w:rsidRPr="00686E9D">
        <w:rPr>
          <w:i/>
          <w:strike/>
          <w:lang w:val="en-IE"/>
        </w:rPr>
        <w:t>et al</w:t>
      </w:r>
      <w:r w:rsidRPr="00686E9D">
        <w:rPr>
          <w:strike/>
          <w:lang w:val="en-IE"/>
        </w:rPr>
        <w:t xml:space="preserve">., 2001) and N gene (Feldman </w:t>
      </w:r>
      <w:r w:rsidRPr="00686E9D">
        <w:rPr>
          <w:i/>
          <w:strike/>
          <w:lang w:val="en-IE"/>
        </w:rPr>
        <w:t>et al</w:t>
      </w:r>
      <w:r w:rsidRPr="00686E9D">
        <w:rPr>
          <w:strike/>
          <w:lang w:val="en-IE"/>
        </w:rPr>
        <w:t xml:space="preserve">., 2009) TaqMan assays are the primary tests for </w:t>
      </w:r>
      <w:proofErr w:type="spellStart"/>
      <w:r w:rsidRPr="00686E9D">
        <w:rPr>
          <w:strike/>
          <w:lang w:val="en-IE"/>
        </w:rPr>
        <w:t>HeV</w:t>
      </w:r>
      <w:proofErr w:type="spellEnd"/>
      <w:r w:rsidRPr="00686E9D">
        <w:rPr>
          <w:strike/>
          <w:lang w:val="en-IE"/>
        </w:rPr>
        <w:t xml:space="preserve"> disease diagnosis as well as N gene for </w:t>
      </w:r>
      <w:proofErr w:type="spellStart"/>
      <w:r w:rsidRPr="00686E9D">
        <w:rPr>
          <w:strike/>
          <w:lang w:val="en-IE"/>
        </w:rPr>
        <w:t>NiV</w:t>
      </w:r>
      <w:proofErr w:type="spellEnd"/>
      <w:r w:rsidRPr="00686E9D">
        <w:rPr>
          <w:strike/>
          <w:lang w:val="en-IE"/>
        </w:rPr>
        <w:t>.</w:t>
      </w:r>
    </w:p>
    <w:p w14:paraId="26B52587" w14:textId="5578D9A3" w:rsidR="00682ECF" w:rsidRPr="00686E9D" w:rsidRDefault="00964ED2">
      <w:pPr>
        <w:pStyle w:val="A"/>
        <w:spacing w:after="120"/>
        <w:rPr>
          <w:rFonts w:cs="Arial"/>
          <w:b w:val="0"/>
          <w:i/>
          <w:sz w:val="18"/>
          <w:szCs w:val="18"/>
          <w:lang w:val="en-IE"/>
        </w:rPr>
      </w:pPr>
      <w:bookmarkStart w:id="7" w:name="_Hlk83894066"/>
      <w:r w:rsidRPr="00686E9D">
        <w:rPr>
          <w:rFonts w:cs="Arial"/>
          <w:i/>
          <w:caps w:val="0"/>
          <w:sz w:val="18"/>
          <w:szCs w:val="18"/>
          <w:lang w:val="en-IE"/>
        </w:rPr>
        <w:t xml:space="preserve">Table </w:t>
      </w:r>
      <w:r w:rsidRPr="00686E9D">
        <w:rPr>
          <w:rFonts w:cs="Arial"/>
          <w:i/>
          <w:sz w:val="18"/>
          <w:szCs w:val="18"/>
          <w:lang w:val="en-IE"/>
        </w:rPr>
        <w:t>2.</w:t>
      </w:r>
      <w:r w:rsidRPr="00686E9D">
        <w:rPr>
          <w:rFonts w:cs="Arial"/>
          <w:b w:val="0"/>
          <w:i/>
          <w:sz w:val="18"/>
          <w:szCs w:val="18"/>
          <w:lang w:val="en-IE"/>
        </w:rPr>
        <w:t xml:space="preserve"> </w:t>
      </w:r>
      <w:r w:rsidRPr="00686E9D">
        <w:rPr>
          <w:b w:val="0"/>
          <w:i/>
          <w:iCs/>
          <w:caps w:val="0"/>
          <w:sz w:val="18"/>
          <w:szCs w:val="18"/>
          <w:lang w:val="en-IE"/>
        </w:rPr>
        <w:t>Real</w:t>
      </w:r>
      <w:r w:rsidRPr="00686E9D">
        <w:rPr>
          <w:b w:val="0"/>
          <w:i/>
          <w:iCs/>
          <w:sz w:val="18"/>
          <w:szCs w:val="18"/>
          <w:lang w:val="en-IE"/>
        </w:rPr>
        <w:t>-</w:t>
      </w:r>
      <w:r w:rsidRPr="00686E9D">
        <w:rPr>
          <w:b w:val="0"/>
          <w:i/>
          <w:iCs/>
          <w:caps w:val="0"/>
          <w:sz w:val="18"/>
          <w:szCs w:val="18"/>
          <w:lang w:val="en-IE"/>
        </w:rPr>
        <w:t xml:space="preserve">time RT </w:t>
      </w:r>
      <w:r w:rsidRPr="00686E9D">
        <w:rPr>
          <w:b w:val="0"/>
          <w:i/>
          <w:iCs/>
          <w:sz w:val="18"/>
          <w:szCs w:val="18"/>
          <w:lang w:val="en-IE"/>
        </w:rPr>
        <w:t>PCR</w:t>
      </w:r>
      <w:r w:rsidRPr="00686E9D">
        <w:rPr>
          <w:b w:val="0"/>
          <w:sz w:val="18"/>
          <w:szCs w:val="18"/>
          <w:lang w:val="en-IE"/>
        </w:rPr>
        <w:t xml:space="preserve"> </w:t>
      </w:r>
      <w:r w:rsidRPr="00686E9D">
        <w:rPr>
          <w:b w:val="0"/>
          <w:strike/>
          <w:sz w:val="18"/>
          <w:szCs w:val="18"/>
          <w:lang w:val="en-IE"/>
        </w:rPr>
        <w:t>(</w:t>
      </w:r>
      <w:r w:rsidR="002A5D11" w:rsidRPr="00686E9D">
        <w:rPr>
          <w:b w:val="0"/>
          <w:i/>
          <w:iCs/>
          <w:caps w:val="0"/>
          <w:strike/>
          <w:sz w:val="18"/>
          <w:szCs w:val="18"/>
          <w:lang w:val="en-IE"/>
        </w:rPr>
        <w:t>TaqMan</w:t>
      </w:r>
      <w:r w:rsidRPr="00686E9D">
        <w:rPr>
          <w:b w:val="0"/>
          <w:strike/>
          <w:sz w:val="18"/>
          <w:szCs w:val="18"/>
          <w:lang w:val="en-IE"/>
        </w:rPr>
        <w:t xml:space="preserve">) </w:t>
      </w:r>
      <w:r w:rsidRPr="00686E9D">
        <w:rPr>
          <w:b w:val="0"/>
          <w:i/>
          <w:iCs/>
          <w:caps w:val="0"/>
          <w:sz w:val="18"/>
          <w:szCs w:val="18"/>
          <w:lang w:val="en-IE"/>
        </w:rPr>
        <w:t xml:space="preserve">assays for the detection of </w:t>
      </w:r>
      <w:proofErr w:type="spellStart"/>
      <w:r w:rsidRPr="00686E9D">
        <w:rPr>
          <w:b w:val="0"/>
          <w:i/>
          <w:iCs/>
          <w:sz w:val="18"/>
          <w:szCs w:val="18"/>
          <w:lang w:val="en-IE"/>
        </w:rPr>
        <w:t>H</w:t>
      </w:r>
      <w:r w:rsidRPr="00686E9D">
        <w:rPr>
          <w:b w:val="0"/>
          <w:i/>
          <w:iCs/>
          <w:caps w:val="0"/>
          <w:sz w:val="18"/>
          <w:szCs w:val="18"/>
          <w:lang w:val="en-IE"/>
        </w:rPr>
        <w:t>e</w:t>
      </w:r>
      <w:r w:rsidRPr="00686E9D">
        <w:rPr>
          <w:b w:val="0"/>
          <w:i/>
          <w:iCs/>
          <w:sz w:val="18"/>
          <w:szCs w:val="18"/>
          <w:lang w:val="en-IE"/>
        </w:rPr>
        <w:t>V</w:t>
      </w:r>
      <w:proofErr w:type="spellEnd"/>
      <w:r w:rsidRPr="00686E9D">
        <w:rPr>
          <w:b w:val="0"/>
          <w:i/>
          <w:iCs/>
          <w:sz w:val="18"/>
          <w:szCs w:val="18"/>
          <w:lang w:val="en-IE"/>
        </w:rPr>
        <w:t xml:space="preserve"> </w:t>
      </w:r>
      <w:r w:rsidRPr="00686E9D">
        <w:rPr>
          <w:b w:val="0"/>
          <w:i/>
          <w:iCs/>
          <w:caps w:val="0"/>
          <w:sz w:val="18"/>
          <w:szCs w:val="18"/>
          <w:lang w:val="en-IE"/>
        </w:rPr>
        <w:t xml:space="preserve">and </w:t>
      </w:r>
      <w:proofErr w:type="spellStart"/>
      <w:r w:rsidRPr="00686E9D">
        <w:rPr>
          <w:b w:val="0"/>
          <w:i/>
          <w:iCs/>
          <w:sz w:val="18"/>
          <w:szCs w:val="18"/>
          <w:lang w:val="en-IE"/>
        </w:rPr>
        <w:t>N</w:t>
      </w:r>
      <w:r w:rsidRPr="00686E9D">
        <w:rPr>
          <w:b w:val="0"/>
          <w:i/>
          <w:iCs/>
          <w:caps w:val="0"/>
          <w:sz w:val="18"/>
          <w:szCs w:val="18"/>
          <w:lang w:val="en-IE"/>
        </w:rPr>
        <w:t>i</w:t>
      </w:r>
      <w:r w:rsidRPr="00686E9D">
        <w:rPr>
          <w:b w:val="0"/>
          <w:i/>
          <w:iCs/>
          <w:sz w:val="18"/>
          <w:szCs w:val="18"/>
          <w:lang w:val="en-IE"/>
        </w:rPr>
        <w:t>V</w:t>
      </w:r>
      <w:proofErr w:type="spellEnd"/>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851"/>
        <w:gridCol w:w="1417"/>
        <w:gridCol w:w="3686"/>
        <w:gridCol w:w="1530"/>
      </w:tblGrid>
      <w:tr w:rsidR="00682ECF" w:rsidRPr="00686E9D" w14:paraId="01BB2C16" w14:textId="77777777" w:rsidTr="009B1295">
        <w:trPr>
          <w:trHeight w:val="340"/>
          <w:tblHeader/>
        </w:trPr>
        <w:tc>
          <w:tcPr>
            <w:tcW w:w="1588" w:type="dxa"/>
            <w:vAlign w:val="center"/>
          </w:tcPr>
          <w:p w14:paraId="0E6D6391" w14:textId="77777777" w:rsidR="00682ECF" w:rsidRPr="00686E9D" w:rsidRDefault="00964ED2" w:rsidP="0088223E">
            <w:pPr>
              <w:pStyle w:val="ListParagraph1"/>
              <w:spacing w:before="120" w:after="120" w:line="240" w:lineRule="auto"/>
              <w:ind w:left="0"/>
              <w:contextualSpacing w:val="0"/>
              <w:jc w:val="center"/>
              <w:rPr>
                <w:rFonts w:ascii="Arial" w:hAnsi="Arial" w:cs="Arial"/>
                <w:b/>
                <w:sz w:val="18"/>
                <w:szCs w:val="18"/>
                <w:lang w:val="en-IE"/>
              </w:rPr>
            </w:pPr>
            <w:r w:rsidRPr="00686E9D">
              <w:rPr>
                <w:rFonts w:ascii="Arial" w:hAnsi="Arial" w:cs="Arial"/>
                <w:b/>
                <w:sz w:val="18"/>
                <w:szCs w:val="18"/>
                <w:lang w:val="en-IE"/>
              </w:rPr>
              <w:t>Assay</w:t>
            </w:r>
          </w:p>
        </w:tc>
        <w:tc>
          <w:tcPr>
            <w:tcW w:w="851" w:type="dxa"/>
            <w:vAlign w:val="center"/>
          </w:tcPr>
          <w:p w14:paraId="15917C02" w14:textId="77777777" w:rsidR="00682ECF" w:rsidRPr="00686E9D" w:rsidRDefault="00964ED2" w:rsidP="0088223E">
            <w:pPr>
              <w:pStyle w:val="ListParagraph1"/>
              <w:spacing w:before="120" w:after="120" w:line="240" w:lineRule="auto"/>
              <w:ind w:left="0"/>
              <w:contextualSpacing w:val="0"/>
              <w:jc w:val="center"/>
              <w:rPr>
                <w:rFonts w:ascii="Arial" w:hAnsi="Arial" w:cs="Arial"/>
                <w:b/>
                <w:sz w:val="18"/>
                <w:szCs w:val="18"/>
                <w:lang w:val="en-IE"/>
              </w:rPr>
            </w:pPr>
            <w:r w:rsidRPr="00686E9D">
              <w:rPr>
                <w:rFonts w:ascii="Arial" w:hAnsi="Arial" w:cs="Arial"/>
                <w:b/>
                <w:sz w:val="18"/>
                <w:szCs w:val="18"/>
                <w:lang w:val="en-IE"/>
              </w:rPr>
              <w:t>Oligo</w:t>
            </w:r>
          </w:p>
        </w:tc>
        <w:tc>
          <w:tcPr>
            <w:tcW w:w="1417" w:type="dxa"/>
            <w:vAlign w:val="center"/>
          </w:tcPr>
          <w:p w14:paraId="094F1366" w14:textId="77777777" w:rsidR="00682ECF" w:rsidRPr="00686E9D" w:rsidRDefault="00964ED2" w:rsidP="0088223E">
            <w:pPr>
              <w:pStyle w:val="ListParagraph1"/>
              <w:spacing w:before="120" w:after="120" w:line="240" w:lineRule="auto"/>
              <w:ind w:left="0"/>
              <w:contextualSpacing w:val="0"/>
              <w:jc w:val="center"/>
              <w:rPr>
                <w:rFonts w:ascii="Arial" w:hAnsi="Arial" w:cs="Arial"/>
                <w:b/>
                <w:sz w:val="18"/>
                <w:szCs w:val="18"/>
                <w:lang w:val="en-IE"/>
              </w:rPr>
            </w:pPr>
            <w:r w:rsidRPr="00686E9D">
              <w:rPr>
                <w:rFonts w:ascii="Arial" w:hAnsi="Arial" w:cs="Arial"/>
                <w:b/>
                <w:sz w:val="18"/>
                <w:szCs w:val="18"/>
                <w:lang w:val="en-IE"/>
              </w:rPr>
              <w:t>Name</w:t>
            </w:r>
          </w:p>
        </w:tc>
        <w:tc>
          <w:tcPr>
            <w:tcW w:w="3686" w:type="dxa"/>
            <w:vAlign w:val="center"/>
          </w:tcPr>
          <w:p w14:paraId="39A7EC26" w14:textId="77777777" w:rsidR="00682ECF" w:rsidRPr="00686E9D" w:rsidRDefault="00964ED2" w:rsidP="0088223E">
            <w:pPr>
              <w:pStyle w:val="ListParagraph1"/>
              <w:spacing w:before="120" w:after="120" w:line="240" w:lineRule="auto"/>
              <w:ind w:left="0"/>
              <w:contextualSpacing w:val="0"/>
              <w:jc w:val="center"/>
              <w:rPr>
                <w:rFonts w:ascii="Arial" w:hAnsi="Arial" w:cs="Arial"/>
                <w:b/>
                <w:sz w:val="18"/>
                <w:szCs w:val="18"/>
                <w:lang w:val="en-IE"/>
              </w:rPr>
            </w:pPr>
            <w:r w:rsidRPr="00686E9D">
              <w:rPr>
                <w:rFonts w:ascii="Arial" w:hAnsi="Arial" w:cs="Arial"/>
                <w:b/>
                <w:sz w:val="18"/>
                <w:szCs w:val="18"/>
                <w:lang w:val="en-IE"/>
              </w:rPr>
              <w:t>Primer sequence (5’–3’)</w:t>
            </w:r>
          </w:p>
        </w:tc>
        <w:tc>
          <w:tcPr>
            <w:tcW w:w="1530" w:type="dxa"/>
            <w:vAlign w:val="center"/>
          </w:tcPr>
          <w:p w14:paraId="7A1B3B34" w14:textId="77777777" w:rsidR="00682ECF" w:rsidRPr="00686E9D" w:rsidRDefault="00964ED2" w:rsidP="0088223E">
            <w:pPr>
              <w:pStyle w:val="ListParagraph1"/>
              <w:spacing w:before="120" w:after="120" w:line="240" w:lineRule="auto"/>
              <w:ind w:left="0"/>
              <w:contextualSpacing w:val="0"/>
              <w:jc w:val="center"/>
              <w:rPr>
                <w:rFonts w:ascii="Arial" w:hAnsi="Arial" w:cs="Arial"/>
                <w:b/>
                <w:sz w:val="18"/>
                <w:szCs w:val="18"/>
                <w:lang w:val="en-IE"/>
              </w:rPr>
            </w:pPr>
            <w:r w:rsidRPr="00686E9D">
              <w:rPr>
                <w:rFonts w:ascii="Arial" w:hAnsi="Arial" w:cs="Arial"/>
                <w:b/>
                <w:sz w:val="18"/>
                <w:szCs w:val="18"/>
                <w:lang w:val="en-IE"/>
              </w:rPr>
              <w:t>Probe label (5’–3’)</w:t>
            </w:r>
          </w:p>
        </w:tc>
      </w:tr>
      <w:tr w:rsidR="00682ECF" w:rsidRPr="00485FD9" w14:paraId="0E80D93C" w14:textId="77777777" w:rsidTr="009B1295">
        <w:tc>
          <w:tcPr>
            <w:tcW w:w="1588" w:type="dxa"/>
            <w:vMerge w:val="restart"/>
            <w:vAlign w:val="center"/>
          </w:tcPr>
          <w:p w14:paraId="0496F494" w14:textId="07E60874" w:rsidR="00E20DDD" w:rsidRPr="00686E9D" w:rsidRDefault="00964ED2" w:rsidP="006A1BAA">
            <w:pPr>
              <w:pStyle w:val="111Para"/>
              <w:spacing w:before="100" w:after="100"/>
              <w:ind w:left="0"/>
              <w:jc w:val="center"/>
              <w:rPr>
                <w:sz w:val="16"/>
                <w:szCs w:val="16"/>
                <w:lang w:val="en-IE"/>
              </w:rPr>
            </w:pPr>
            <w:r w:rsidRPr="00686E9D">
              <w:rPr>
                <w:sz w:val="16"/>
                <w:szCs w:val="16"/>
                <w:lang w:val="en-IE"/>
              </w:rPr>
              <w:t>HeV</w:t>
            </w:r>
            <w:r w:rsidR="00132E2C" w:rsidRPr="00DF5340">
              <w:rPr>
                <w:sz w:val="16"/>
                <w:szCs w:val="16"/>
                <w:u w:val="double"/>
                <w:lang w:val="en-IE"/>
              </w:rPr>
              <w:t>-g1</w:t>
            </w:r>
            <w:r w:rsidRPr="00686E9D">
              <w:rPr>
                <w:sz w:val="16"/>
                <w:szCs w:val="16"/>
                <w:lang w:val="en-IE"/>
              </w:rPr>
              <w:t>_</w:t>
            </w:r>
            <w:r w:rsidRPr="00686E9D">
              <w:rPr>
                <w:strike/>
                <w:sz w:val="16"/>
                <w:szCs w:val="16"/>
                <w:lang w:val="en-IE"/>
              </w:rPr>
              <w:t>TQM_</w:t>
            </w:r>
            <w:r w:rsidRPr="00686E9D">
              <w:rPr>
                <w:sz w:val="16"/>
                <w:szCs w:val="16"/>
                <w:lang w:val="en-IE"/>
              </w:rPr>
              <w:t>M</w:t>
            </w:r>
            <w:r w:rsidR="00E717F6" w:rsidRPr="00686E9D">
              <w:rPr>
                <w:sz w:val="16"/>
                <w:szCs w:val="16"/>
                <w:lang w:val="en-IE"/>
              </w:rPr>
              <w:t xml:space="preserve"> </w:t>
            </w:r>
            <w:r w:rsidR="00E717F6" w:rsidRPr="00686E9D">
              <w:rPr>
                <w:sz w:val="16"/>
                <w:szCs w:val="16"/>
                <w:u w:val="double"/>
                <w:lang w:val="en-IE"/>
              </w:rPr>
              <w:t>gene</w:t>
            </w:r>
            <w:r w:rsidR="006A1BAA" w:rsidRPr="00686E9D">
              <w:rPr>
                <w:sz w:val="16"/>
                <w:szCs w:val="16"/>
                <w:lang w:val="en-IE"/>
              </w:rPr>
              <w:br/>
            </w:r>
            <w:r w:rsidR="00E20DDD" w:rsidRPr="00686E9D">
              <w:rPr>
                <w:sz w:val="16"/>
                <w:szCs w:val="16"/>
                <w:u w:val="double"/>
                <w:lang w:val="en-IE"/>
              </w:rPr>
              <w:t xml:space="preserve">(Smith </w:t>
            </w:r>
            <w:r w:rsidR="00E20DDD" w:rsidRPr="00686E9D">
              <w:rPr>
                <w:i/>
                <w:iCs/>
                <w:sz w:val="16"/>
                <w:szCs w:val="16"/>
                <w:u w:val="double"/>
                <w:lang w:val="en-IE"/>
              </w:rPr>
              <w:t xml:space="preserve">et al., </w:t>
            </w:r>
            <w:r w:rsidR="00E20DDD" w:rsidRPr="00686E9D">
              <w:rPr>
                <w:sz w:val="16"/>
                <w:szCs w:val="16"/>
                <w:u w:val="double"/>
                <w:lang w:val="en-IE"/>
              </w:rPr>
              <w:t>2001)</w:t>
            </w:r>
          </w:p>
        </w:tc>
        <w:tc>
          <w:tcPr>
            <w:tcW w:w="851" w:type="dxa"/>
            <w:vAlign w:val="center"/>
          </w:tcPr>
          <w:p w14:paraId="2E31882B" w14:textId="77777777" w:rsidR="00682ECF" w:rsidRPr="00686E9D" w:rsidRDefault="00964ED2" w:rsidP="00843236">
            <w:pPr>
              <w:pStyle w:val="111Para"/>
              <w:spacing w:before="100" w:after="100"/>
              <w:ind w:left="0"/>
              <w:jc w:val="center"/>
              <w:rPr>
                <w:sz w:val="16"/>
                <w:szCs w:val="16"/>
                <w:lang w:val="en-IE"/>
              </w:rPr>
            </w:pPr>
            <w:r w:rsidRPr="00686E9D">
              <w:rPr>
                <w:sz w:val="16"/>
                <w:szCs w:val="16"/>
                <w:lang w:val="en-IE"/>
              </w:rPr>
              <w:t>Forward</w:t>
            </w:r>
          </w:p>
        </w:tc>
        <w:tc>
          <w:tcPr>
            <w:tcW w:w="1417" w:type="dxa"/>
            <w:vAlign w:val="center"/>
          </w:tcPr>
          <w:p w14:paraId="3D419F25" w14:textId="0A386163" w:rsidR="00682ECF" w:rsidRPr="00686E9D" w:rsidRDefault="00964ED2" w:rsidP="00843236">
            <w:pPr>
              <w:pStyle w:val="ListParagraph1"/>
              <w:spacing w:before="100" w:after="100" w:line="240" w:lineRule="auto"/>
              <w:ind w:left="0"/>
              <w:contextualSpacing w:val="0"/>
              <w:jc w:val="center"/>
              <w:rPr>
                <w:rFonts w:ascii="Arial" w:hAnsi="Arial" w:cs="Arial"/>
                <w:sz w:val="16"/>
                <w:szCs w:val="16"/>
                <w:lang w:val="en-IE"/>
              </w:rPr>
            </w:pPr>
            <w:proofErr w:type="spellStart"/>
            <w:r w:rsidRPr="00686E9D">
              <w:rPr>
                <w:rFonts w:ascii="Arial" w:hAnsi="Arial" w:cs="Arial"/>
                <w:sz w:val="16"/>
                <w:szCs w:val="16"/>
                <w:lang w:val="en-IE"/>
              </w:rPr>
              <w:t>HeV</w:t>
            </w:r>
            <w:proofErr w:type="spellEnd"/>
            <w:r w:rsidRPr="00686E9D">
              <w:rPr>
                <w:rFonts w:ascii="Arial" w:hAnsi="Arial" w:cs="Arial"/>
                <w:sz w:val="16"/>
                <w:szCs w:val="16"/>
                <w:lang w:val="en-IE"/>
              </w:rPr>
              <w:t xml:space="preserve"> M 5755F</w:t>
            </w:r>
          </w:p>
        </w:tc>
        <w:tc>
          <w:tcPr>
            <w:tcW w:w="3686" w:type="dxa"/>
            <w:vAlign w:val="center"/>
          </w:tcPr>
          <w:p w14:paraId="19832E9D" w14:textId="77777777" w:rsidR="00682ECF" w:rsidRPr="0094469E" w:rsidRDefault="00964ED2" w:rsidP="00843236">
            <w:pPr>
              <w:pStyle w:val="ListParagraph1"/>
              <w:spacing w:before="100" w:after="100" w:line="240" w:lineRule="auto"/>
              <w:ind w:left="0"/>
              <w:contextualSpacing w:val="0"/>
              <w:jc w:val="center"/>
              <w:rPr>
                <w:rFonts w:ascii="Arial" w:hAnsi="Arial" w:cs="Arial"/>
                <w:sz w:val="16"/>
                <w:szCs w:val="16"/>
                <w:lang w:val="en-IE"/>
              </w:rPr>
            </w:pPr>
            <w:r w:rsidRPr="0094469E">
              <w:rPr>
                <w:rFonts w:ascii="Arial" w:hAnsi="Arial" w:cs="Arial"/>
                <w:sz w:val="16"/>
                <w:szCs w:val="16"/>
                <w:lang w:val="en-IE"/>
              </w:rPr>
              <w:t>CTT-CGA-CAA-AGA-CGG-AAC-CAA</w:t>
            </w:r>
          </w:p>
        </w:tc>
        <w:tc>
          <w:tcPr>
            <w:tcW w:w="1530" w:type="dxa"/>
            <w:vAlign w:val="center"/>
          </w:tcPr>
          <w:p w14:paraId="58A008DD" w14:textId="77777777" w:rsidR="00682ECF" w:rsidRPr="0094469E" w:rsidRDefault="00682ECF" w:rsidP="00843236">
            <w:pPr>
              <w:pStyle w:val="111Para"/>
              <w:spacing w:before="100" w:after="100"/>
              <w:ind w:left="0"/>
              <w:jc w:val="center"/>
              <w:rPr>
                <w:sz w:val="16"/>
                <w:szCs w:val="16"/>
                <w:lang w:val="en-IE"/>
              </w:rPr>
            </w:pPr>
          </w:p>
        </w:tc>
      </w:tr>
      <w:tr w:rsidR="00682ECF" w:rsidRPr="00686E9D" w14:paraId="1AEC65AA" w14:textId="77777777" w:rsidTr="009B1295">
        <w:tc>
          <w:tcPr>
            <w:tcW w:w="1588" w:type="dxa"/>
            <w:vMerge/>
            <w:vAlign w:val="center"/>
          </w:tcPr>
          <w:p w14:paraId="001A8933" w14:textId="77777777" w:rsidR="00682ECF" w:rsidRPr="002509E1" w:rsidRDefault="00682ECF" w:rsidP="00843236">
            <w:pPr>
              <w:pStyle w:val="111Para"/>
              <w:spacing w:before="100" w:after="100"/>
              <w:ind w:left="0"/>
              <w:jc w:val="center"/>
              <w:rPr>
                <w:sz w:val="16"/>
                <w:szCs w:val="16"/>
                <w:lang w:val="en-IE"/>
                <w:rPrChange w:id="8" w:author="Sara Linnane" w:date="2022-01-12T19:47:00Z">
                  <w:rPr>
                    <w:sz w:val="16"/>
                    <w:szCs w:val="16"/>
                    <w:lang w:val="es-SV"/>
                  </w:rPr>
                </w:rPrChange>
              </w:rPr>
            </w:pPr>
          </w:p>
        </w:tc>
        <w:tc>
          <w:tcPr>
            <w:tcW w:w="851" w:type="dxa"/>
            <w:vAlign w:val="center"/>
          </w:tcPr>
          <w:p w14:paraId="150E1810" w14:textId="77777777" w:rsidR="00682ECF" w:rsidRPr="00686E9D" w:rsidRDefault="00964ED2" w:rsidP="00843236">
            <w:pPr>
              <w:pStyle w:val="111Para"/>
              <w:spacing w:before="100" w:after="100"/>
              <w:ind w:left="0"/>
              <w:jc w:val="center"/>
              <w:rPr>
                <w:sz w:val="16"/>
                <w:szCs w:val="16"/>
                <w:lang w:val="en-IE"/>
              </w:rPr>
            </w:pPr>
            <w:r w:rsidRPr="00686E9D">
              <w:rPr>
                <w:sz w:val="16"/>
                <w:szCs w:val="16"/>
                <w:lang w:val="en-IE"/>
              </w:rPr>
              <w:t>Reverse</w:t>
            </w:r>
          </w:p>
        </w:tc>
        <w:tc>
          <w:tcPr>
            <w:tcW w:w="1417" w:type="dxa"/>
            <w:vAlign w:val="center"/>
          </w:tcPr>
          <w:p w14:paraId="58BDC992" w14:textId="77777777" w:rsidR="00682ECF" w:rsidRPr="00686E9D" w:rsidRDefault="00964ED2" w:rsidP="00843236">
            <w:pPr>
              <w:pStyle w:val="ListParagraph1"/>
              <w:spacing w:before="100" w:after="100" w:line="240" w:lineRule="auto"/>
              <w:ind w:left="0"/>
              <w:contextualSpacing w:val="0"/>
              <w:jc w:val="center"/>
              <w:rPr>
                <w:rFonts w:ascii="Arial" w:hAnsi="Arial" w:cs="Arial"/>
                <w:sz w:val="16"/>
                <w:szCs w:val="16"/>
                <w:lang w:val="en-IE"/>
              </w:rPr>
            </w:pPr>
            <w:proofErr w:type="spellStart"/>
            <w:r w:rsidRPr="00686E9D">
              <w:rPr>
                <w:rFonts w:ascii="Arial" w:hAnsi="Arial" w:cs="Arial"/>
                <w:sz w:val="16"/>
                <w:szCs w:val="16"/>
                <w:lang w:val="en-IE"/>
              </w:rPr>
              <w:t>HeV</w:t>
            </w:r>
            <w:proofErr w:type="spellEnd"/>
            <w:r w:rsidRPr="00686E9D">
              <w:rPr>
                <w:rFonts w:ascii="Arial" w:hAnsi="Arial" w:cs="Arial"/>
                <w:sz w:val="16"/>
                <w:szCs w:val="16"/>
                <w:lang w:val="en-IE"/>
              </w:rPr>
              <w:t xml:space="preserve"> M 5823R</w:t>
            </w:r>
          </w:p>
        </w:tc>
        <w:tc>
          <w:tcPr>
            <w:tcW w:w="3686" w:type="dxa"/>
            <w:vAlign w:val="center"/>
          </w:tcPr>
          <w:p w14:paraId="03EAD13F" w14:textId="77777777" w:rsidR="00682ECF" w:rsidRPr="00686E9D" w:rsidRDefault="00964ED2" w:rsidP="00843236">
            <w:pPr>
              <w:pStyle w:val="ListParagraph1"/>
              <w:spacing w:before="100" w:after="100" w:line="240" w:lineRule="auto"/>
              <w:ind w:left="0"/>
              <w:contextualSpacing w:val="0"/>
              <w:jc w:val="center"/>
              <w:rPr>
                <w:rFonts w:ascii="Arial" w:hAnsi="Arial" w:cs="Arial"/>
                <w:sz w:val="16"/>
                <w:szCs w:val="16"/>
                <w:lang w:val="en-IE"/>
              </w:rPr>
            </w:pPr>
            <w:r w:rsidRPr="00686E9D">
              <w:rPr>
                <w:rFonts w:ascii="Arial" w:hAnsi="Arial" w:cs="Arial"/>
                <w:sz w:val="16"/>
                <w:szCs w:val="16"/>
                <w:lang w:val="en-IE"/>
              </w:rPr>
              <w:t>CCA-GCT-CGT-CGG-ACA-AAA-TT</w:t>
            </w:r>
          </w:p>
        </w:tc>
        <w:tc>
          <w:tcPr>
            <w:tcW w:w="1530" w:type="dxa"/>
            <w:vAlign w:val="center"/>
          </w:tcPr>
          <w:p w14:paraId="626A1675" w14:textId="77777777" w:rsidR="00682ECF" w:rsidRPr="00686E9D" w:rsidRDefault="00682ECF" w:rsidP="00843236">
            <w:pPr>
              <w:pStyle w:val="111Para"/>
              <w:spacing w:before="100" w:after="100"/>
              <w:ind w:left="0"/>
              <w:jc w:val="center"/>
              <w:rPr>
                <w:sz w:val="16"/>
                <w:szCs w:val="16"/>
                <w:lang w:val="en-IE"/>
              </w:rPr>
            </w:pPr>
          </w:p>
        </w:tc>
      </w:tr>
      <w:tr w:rsidR="00682ECF" w:rsidRPr="00686E9D" w14:paraId="2BAEFB8C" w14:textId="77777777" w:rsidTr="009B1295">
        <w:tc>
          <w:tcPr>
            <w:tcW w:w="1588" w:type="dxa"/>
            <w:vMerge/>
            <w:vAlign w:val="center"/>
          </w:tcPr>
          <w:p w14:paraId="7A04F875" w14:textId="77777777" w:rsidR="00682ECF" w:rsidRPr="00686E9D" w:rsidRDefault="00682ECF" w:rsidP="00843236">
            <w:pPr>
              <w:pStyle w:val="111Para"/>
              <w:spacing w:before="100" w:after="100"/>
              <w:ind w:left="0"/>
              <w:jc w:val="center"/>
              <w:rPr>
                <w:sz w:val="16"/>
                <w:szCs w:val="16"/>
                <w:lang w:val="en-IE"/>
              </w:rPr>
            </w:pPr>
          </w:p>
        </w:tc>
        <w:tc>
          <w:tcPr>
            <w:tcW w:w="851" w:type="dxa"/>
            <w:vAlign w:val="center"/>
          </w:tcPr>
          <w:p w14:paraId="2BBC8835" w14:textId="43BC5603" w:rsidR="00682ECF" w:rsidRPr="00686E9D" w:rsidRDefault="00964ED2" w:rsidP="00843236">
            <w:pPr>
              <w:pStyle w:val="111Para"/>
              <w:spacing w:before="100" w:after="100"/>
              <w:ind w:left="0"/>
              <w:jc w:val="center"/>
              <w:rPr>
                <w:sz w:val="16"/>
                <w:szCs w:val="16"/>
                <w:lang w:val="en-IE"/>
              </w:rPr>
            </w:pPr>
            <w:r w:rsidRPr="00686E9D">
              <w:rPr>
                <w:sz w:val="16"/>
                <w:szCs w:val="16"/>
                <w:lang w:val="en-IE"/>
              </w:rPr>
              <w:t>Probe</w:t>
            </w:r>
          </w:p>
        </w:tc>
        <w:tc>
          <w:tcPr>
            <w:tcW w:w="1417" w:type="dxa"/>
            <w:vAlign w:val="bottom"/>
          </w:tcPr>
          <w:p w14:paraId="7AC21BB6" w14:textId="77777777" w:rsidR="00682ECF" w:rsidRPr="00686E9D" w:rsidRDefault="00964ED2" w:rsidP="00843236">
            <w:pPr>
              <w:pStyle w:val="ListParagraph1"/>
              <w:spacing w:before="100" w:after="100" w:line="240" w:lineRule="auto"/>
              <w:ind w:left="0"/>
              <w:contextualSpacing w:val="0"/>
              <w:jc w:val="center"/>
              <w:rPr>
                <w:rFonts w:ascii="Arial" w:hAnsi="Arial" w:cs="Arial"/>
                <w:sz w:val="16"/>
                <w:szCs w:val="16"/>
                <w:lang w:val="en-IE"/>
              </w:rPr>
            </w:pPr>
            <w:proofErr w:type="spellStart"/>
            <w:r w:rsidRPr="00686E9D">
              <w:rPr>
                <w:rFonts w:ascii="Arial" w:hAnsi="Arial" w:cs="Arial"/>
                <w:sz w:val="16"/>
                <w:szCs w:val="16"/>
                <w:lang w:val="en-IE"/>
              </w:rPr>
              <w:t>HeV</w:t>
            </w:r>
            <w:proofErr w:type="spellEnd"/>
            <w:r w:rsidRPr="00686E9D">
              <w:rPr>
                <w:rFonts w:ascii="Arial" w:hAnsi="Arial" w:cs="Arial"/>
                <w:sz w:val="16"/>
                <w:szCs w:val="16"/>
                <w:lang w:val="en-IE"/>
              </w:rPr>
              <w:t xml:space="preserve"> M 5778P</w:t>
            </w:r>
          </w:p>
        </w:tc>
        <w:tc>
          <w:tcPr>
            <w:tcW w:w="3686" w:type="dxa"/>
            <w:vAlign w:val="bottom"/>
          </w:tcPr>
          <w:p w14:paraId="03AE19BF" w14:textId="2B3C78DF" w:rsidR="00682ECF" w:rsidRPr="00686E9D" w:rsidRDefault="00964ED2" w:rsidP="00843236">
            <w:pPr>
              <w:pStyle w:val="ListParagraph1"/>
              <w:spacing w:before="100" w:after="100" w:line="240" w:lineRule="auto"/>
              <w:ind w:left="0"/>
              <w:contextualSpacing w:val="0"/>
              <w:jc w:val="center"/>
              <w:rPr>
                <w:rFonts w:ascii="Arial" w:hAnsi="Arial" w:cs="Arial"/>
                <w:sz w:val="16"/>
                <w:szCs w:val="16"/>
                <w:lang w:val="en-IE"/>
              </w:rPr>
            </w:pPr>
            <w:r w:rsidRPr="00686E9D">
              <w:rPr>
                <w:rFonts w:ascii="Arial" w:hAnsi="Arial" w:cs="Arial"/>
                <w:sz w:val="16"/>
                <w:szCs w:val="16"/>
                <w:lang w:val="en-IE"/>
              </w:rPr>
              <w:t>TGG-CAT-CTT-TCA-TGC-TCC-ATC-TCG-G</w:t>
            </w:r>
          </w:p>
        </w:tc>
        <w:tc>
          <w:tcPr>
            <w:tcW w:w="1530" w:type="dxa"/>
            <w:vAlign w:val="center"/>
          </w:tcPr>
          <w:p w14:paraId="491E54FB" w14:textId="77777777" w:rsidR="00682ECF" w:rsidRPr="00686E9D" w:rsidRDefault="00964ED2" w:rsidP="00843236">
            <w:pPr>
              <w:pStyle w:val="111Para"/>
              <w:spacing w:before="100" w:after="100"/>
              <w:ind w:left="0"/>
              <w:jc w:val="center"/>
              <w:rPr>
                <w:sz w:val="16"/>
                <w:szCs w:val="16"/>
                <w:lang w:val="en-IE"/>
              </w:rPr>
            </w:pPr>
            <w:r w:rsidRPr="00686E9D">
              <w:rPr>
                <w:sz w:val="16"/>
                <w:szCs w:val="16"/>
                <w:lang w:val="en-IE"/>
              </w:rPr>
              <w:t>FAM-TAMRA</w:t>
            </w:r>
          </w:p>
        </w:tc>
      </w:tr>
      <w:tr w:rsidR="00132E2C" w:rsidRPr="00DF5340" w14:paraId="6CDEA2A8" w14:textId="77777777" w:rsidTr="00DF5340">
        <w:tc>
          <w:tcPr>
            <w:tcW w:w="1588" w:type="dxa"/>
            <w:vMerge w:val="restart"/>
            <w:vAlign w:val="center"/>
          </w:tcPr>
          <w:p w14:paraId="2FEEC3EE" w14:textId="15EA86E8" w:rsidR="00132E2C" w:rsidRPr="00DF5340" w:rsidRDefault="00132E2C" w:rsidP="00132E2C">
            <w:pPr>
              <w:pStyle w:val="111Para"/>
              <w:spacing w:before="100" w:after="100"/>
              <w:ind w:left="0"/>
              <w:jc w:val="center"/>
              <w:rPr>
                <w:sz w:val="16"/>
                <w:szCs w:val="16"/>
                <w:u w:val="double"/>
                <w:lang w:val="nl-NL"/>
              </w:rPr>
            </w:pPr>
            <w:r w:rsidRPr="00DF5340">
              <w:rPr>
                <w:sz w:val="16"/>
                <w:szCs w:val="16"/>
                <w:u w:val="double"/>
                <w:lang w:val="nl-NL"/>
              </w:rPr>
              <w:t>HeV-g2 M</w:t>
            </w:r>
            <w:r w:rsidR="00A96D2D" w:rsidRPr="00DF5340">
              <w:rPr>
                <w:sz w:val="16"/>
                <w:szCs w:val="16"/>
                <w:u w:val="double"/>
                <w:lang w:val="nl-NL"/>
              </w:rPr>
              <w:t>*</w:t>
            </w:r>
            <w:r w:rsidRPr="00DF5340">
              <w:rPr>
                <w:sz w:val="16"/>
                <w:szCs w:val="16"/>
                <w:u w:val="double"/>
                <w:lang w:val="nl-NL"/>
              </w:rPr>
              <w:t xml:space="preserve"> gene (Wang </w:t>
            </w:r>
            <w:r w:rsidRPr="00DF5340">
              <w:rPr>
                <w:i/>
                <w:iCs/>
                <w:sz w:val="16"/>
                <w:szCs w:val="16"/>
                <w:u w:val="double"/>
                <w:lang w:val="nl-NL"/>
              </w:rPr>
              <w:t>et al.,</w:t>
            </w:r>
            <w:r w:rsidRPr="00DF5340">
              <w:rPr>
                <w:sz w:val="16"/>
                <w:szCs w:val="16"/>
                <w:u w:val="double"/>
                <w:lang w:val="nl-NL"/>
              </w:rPr>
              <w:t xml:space="preserve"> 2021)</w:t>
            </w:r>
          </w:p>
        </w:tc>
        <w:tc>
          <w:tcPr>
            <w:tcW w:w="851" w:type="dxa"/>
            <w:vAlign w:val="center"/>
          </w:tcPr>
          <w:p w14:paraId="75DF5407" w14:textId="1E17FC80" w:rsidR="00132E2C" w:rsidRPr="00DF5340" w:rsidRDefault="00132E2C" w:rsidP="00132E2C">
            <w:pPr>
              <w:pStyle w:val="111Para"/>
              <w:spacing w:before="100" w:after="100"/>
              <w:ind w:left="0"/>
              <w:jc w:val="center"/>
              <w:rPr>
                <w:sz w:val="16"/>
                <w:szCs w:val="16"/>
                <w:u w:val="double"/>
                <w:lang w:val="en-IE"/>
              </w:rPr>
            </w:pPr>
            <w:r w:rsidRPr="00DF5340">
              <w:rPr>
                <w:sz w:val="16"/>
                <w:szCs w:val="16"/>
                <w:u w:val="double"/>
                <w:lang w:val="en-IE"/>
              </w:rPr>
              <w:t>Forward</w:t>
            </w:r>
          </w:p>
        </w:tc>
        <w:tc>
          <w:tcPr>
            <w:tcW w:w="1417" w:type="dxa"/>
            <w:vAlign w:val="center"/>
          </w:tcPr>
          <w:p w14:paraId="13A79731" w14:textId="022FFA3F" w:rsidR="00132E2C" w:rsidRPr="00DF5340" w:rsidRDefault="00132E2C" w:rsidP="00132E2C">
            <w:pPr>
              <w:pStyle w:val="ListParagraph1"/>
              <w:spacing w:before="100" w:after="100" w:line="240" w:lineRule="auto"/>
              <w:ind w:left="0"/>
              <w:contextualSpacing w:val="0"/>
              <w:jc w:val="center"/>
              <w:rPr>
                <w:rFonts w:ascii="Arial" w:hAnsi="Arial" w:cs="Arial"/>
                <w:sz w:val="16"/>
                <w:szCs w:val="16"/>
                <w:u w:val="double"/>
                <w:lang w:val="en-IE"/>
              </w:rPr>
            </w:pPr>
            <w:r w:rsidRPr="00DF5340">
              <w:rPr>
                <w:rFonts w:ascii="Arial" w:hAnsi="Arial" w:cs="Arial"/>
                <w:sz w:val="16"/>
                <w:szCs w:val="16"/>
                <w:u w:val="double"/>
                <w:lang w:val="en-IE"/>
              </w:rPr>
              <w:t>HeV-g2-M-F</w:t>
            </w:r>
          </w:p>
        </w:tc>
        <w:tc>
          <w:tcPr>
            <w:tcW w:w="3686" w:type="dxa"/>
            <w:vAlign w:val="center"/>
          </w:tcPr>
          <w:p w14:paraId="1F5FF604" w14:textId="059FF791" w:rsidR="00132E2C" w:rsidRPr="00DF5340" w:rsidRDefault="00132E2C" w:rsidP="00132E2C">
            <w:pPr>
              <w:pStyle w:val="ListParagraph1"/>
              <w:spacing w:before="100" w:after="100" w:line="240" w:lineRule="auto"/>
              <w:ind w:left="0"/>
              <w:contextualSpacing w:val="0"/>
              <w:jc w:val="center"/>
              <w:rPr>
                <w:rFonts w:ascii="Arial" w:hAnsi="Arial" w:cs="Arial"/>
                <w:sz w:val="16"/>
                <w:szCs w:val="16"/>
                <w:u w:val="double"/>
                <w:lang w:val="en-IE"/>
              </w:rPr>
            </w:pPr>
            <w:r w:rsidRPr="00DF5340">
              <w:rPr>
                <w:rFonts w:ascii="Arial" w:hAnsi="Arial" w:cs="Arial"/>
                <w:sz w:val="16"/>
                <w:szCs w:val="16"/>
                <w:u w:val="double"/>
                <w:lang w:eastAsia="en-AU"/>
              </w:rPr>
              <w:t>CTG-ATC-TAC-GTT-ACG-GCA-AAC-CTT</w:t>
            </w:r>
          </w:p>
        </w:tc>
        <w:tc>
          <w:tcPr>
            <w:tcW w:w="1530" w:type="dxa"/>
            <w:vAlign w:val="center"/>
          </w:tcPr>
          <w:p w14:paraId="3F6DA84F" w14:textId="77777777" w:rsidR="00132E2C" w:rsidRPr="00DF5340" w:rsidRDefault="00132E2C" w:rsidP="00132E2C">
            <w:pPr>
              <w:pStyle w:val="111Para"/>
              <w:spacing w:before="100" w:after="100"/>
              <w:ind w:left="0"/>
              <w:jc w:val="center"/>
              <w:rPr>
                <w:sz w:val="16"/>
                <w:szCs w:val="16"/>
                <w:u w:val="double"/>
                <w:lang w:val="en-IE"/>
              </w:rPr>
            </w:pPr>
          </w:p>
        </w:tc>
      </w:tr>
      <w:tr w:rsidR="00132E2C" w:rsidRPr="00DF5340" w14:paraId="0B99CFFF" w14:textId="77777777" w:rsidTr="00DF5340">
        <w:tc>
          <w:tcPr>
            <w:tcW w:w="1588" w:type="dxa"/>
            <w:vMerge/>
            <w:vAlign w:val="center"/>
          </w:tcPr>
          <w:p w14:paraId="171A8B41" w14:textId="77777777" w:rsidR="00132E2C" w:rsidRPr="00DF5340" w:rsidRDefault="00132E2C" w:rsidP="00132E2C">
            <w:pPr>
              <w:pStyle w:val="111Para"/>
              <w:spacing w:before="100" w:after="100"/>
              <w:ind w:left="0"/>
              <w:jc w:val="center"/>
              <w:rPr>
                <w:sz w:val="16"/>
                <w:szCs w:val="16"/>
                <w:u w:val="double"/>
                <w:lang w:val="en-IE"/>
              </w:rPr>
            </w:pPr>
          </w:p>
        </w:tc>
        <w:tc>
          <w:tcPr>
            <w:tcW w:w="851" w:type="dxa"/>
            <w:vAlign w:val="center"/>
          </w:tcPr>
          <w:p w14:paraId="705CF64E" w14:textId="0387A0EC" w:rsidR="00132E2C" w:rsidRPr="00DF5340" w:rsidRDefault="00132E2C" w:rsidP="00132E2C">
            <w:pPr>
              <w:pStyle w:val="111Para"/>
              <w:spacing w:before="100" w:after="100"/>
              <w:ind w:left="0"/>
              <w:jc w:val="center"/>
              <w:rPr>
                <w:sz w:val="16"/>
                <w:szCs w:val="16"/>
                <w:u w:val="double"/>
                <w:lang w:val="en-IE"/>
              </w:rPr>
            </w:pPr>
            <w:r w:rsidRPr="00DF5340">
              <w:rPr>
                <w:sz w:val="16"/>
                <w:szCs w:val="16"/>
                <w:u w:val="double"/>
                <w:lang w:val="en-IE"/>
              </w:rPr>
              <w:t xml:space="preserve">Reverse </w:t>
            </w:r>
          </w:p>
        </w:tc>
        <w:tc>
          <w:tcPr>
            <w:tcW w:w="1417" w:type="dxa"/>
            <w:vAlign w:val="center"/>
          </w:tcPr>
          <w:p w14:paraId="3962094B" w14:textId="64E91D63" w:rsidR="00132E2C" w:rsidRPr="00DF5340" w:rsidRDefault="00132E2C" w:rsidP="00132E2C">
            <w:pPr>
              <w:pStyle w:val="ListParagraph1"/>
              <w:spacing w:before="100" w:after="100" w:line="240" w:lineRule="auto"/>
              <w:ind w:left="0"/>
              <w:contextualSpacing w:val="0"/>
              <w:jc w:val="center"/>
              <w:rPr>
                <w:rFonts w:ascii="Arial" w:hAnsi="Arial" w:cs="Arial"/>
                <w:sz w:val="16"/>
                <w:szCs w:val="16"/>
                <w:u w:val="double"/>
                <w:lang w:val="en-IE"/>
              </w:rPr>
            </w:pPr>
            <w:r w:rsidRPr="00DF5340">
              <w:rPr>
                <w:rFonts w:ascii="Arial" w:hAnsi="Arial" w:cs="Arial"/>
                <w:sz w:val="16"/>
                <w:szCs w:val="16"/>
                <w:u w:val="double"/>
                <w:lang w:val="en-IE"/>
              </w:rPr>
              <w:t>HeV-g2-M-R</w:t>
            </w:r>
          </w:p>
        </w:tc>
        <w:tc>
          <w:tcPr>
            <w:tcW w:w="3686" w:type="dxa"/>
            <w:vAlign w:val="center"/>
          </w:tcPr>
          <w:p w14:paraId="010B5EF0" w14:textId="5E195A23" w:rsidR="00132E2C" w:rsidRPr="00DF5340" w:rsidRDefault="00132E2C" w:rsidP="00132E2C">
            <w:pPr>
              <w:pStyle w:val="ListParagraph1"/>
              <w:spacing w:before="100" w:after="100" w:line="240" w:lineRule="auto"/>
              <w:ind w:left="0"/>
              <w:contextualSpacing w:val="0"/>
              <w:jc w:val="center"/>
              <w:rPr>
                <w:rFonts w:ascii="Arial" w:hAnsi="Arial" w:cs="Arial"/>
                <w:sz w:val="16"/>
                <w:szCs w:val="16"/>
                <w:u w:val="double"/>
                <w:lang w:val="en-IE"/>
              </w:rPr>
            </w:pPr>
            <w:r w:rsidRPr="00DF5340">
              <w:rPr>
                <w:sz w:val="20"/>
                <w:szCs w:val="20"/>
                <w:u w:val="double"/>
                <w:lang w:eastAsia="en-AU"/>
              </w:rPr>
              <w:t>GG-CCC-GCT-TCA-CCA-TCT-CTT-AC</w:t>
            </w:r>
            <w:r w:rsidRPr="00DF5340">
              <w:rPr>
                <w:sz w:val="20"/>
                <w:szCs w:val="20"/>
                <w:u w:val="double"/>
              </w:rPr>
              <w:t xml:space="preserve"> </w:t>
            </w:r>
          </w:p>
        </w:tc>
        <w:tc>
          <w:tcPr>
            <w:tcW w:w="1530" w:type="dxa"/>
            <w:vAlign w:val="center"/>
          </w:tcPr>
          <w:p w14:paraId="2C45C4C0" w14:textId="77777777" w:rsidR="00132E2C" w:rsidRPr="00DF5340" w:rsidRDefault="00132E2C" w:rsidP="00132E2C">
            <w:pPr>
              <w:pStyle w:val="111Para"/>
              <w:spacing w:before="100" w:after="100"/>
              <w:ind w:left="0"/>
              <w:jc w:val="center"/>
              <w:rPr>
                <w:sz w:val="16"/>
                <w:szCs w:val="16"/>
                <w:u w:val="double"/>
                <w:lang w:val="en-IE"/>
              </w:rPr>
            </w:pPr>
          </w:p>
        </w:tc>
      </w:tr>
      <w:tr w:rsidR="00132E2C" w:rsidRPr="00DF5340" w14:paraId="61BF9195" w14:textId="77777777" w:rsidTr="00DF5340">
        <w:tc>
          <w:tcPr>
            <w:tcW w:w="1588" w:type="dxa"/>
            <w:vMerge/>
            <w:vAlign w:val="center"/>
          </w:tcPr>
          <w:p w14:paraId="1B0A58EB" w14:textId="77777777" w:rsidR="00132E2C" w:rsidRPr="00DF5340" w:rsidRDefault="00132E2C" w:rsidP="00132E2C">
            <w:pPr>
              <w:pStyle w:val="111Para"/>
              <w:spacing w:before="100" w:after="100"/>
              <w:ind w:left="0"/>
              <w:jc w:val="center"/>
              <w:rPr>
                <w:sz w:val="16"/>
                <w:szCs w:val="16"/>
                <w:u w:val="double"/>
                <w:lang w:val="en-IE"/>
              </w:rPr>
            </w:pPr>
          </w:p>
        </w:tc>
        <w:tc>
          <w:tcPr>
            <w:tcW w:w="851" w:type="dxa"/>
            <w:vAlign w:val="center"/>
          </w:tcPr>
          <w:p w14:paraId="7701F820" w14:textId="39B4C8D8" w:rsidR="00132E2C" w:rsidRPr="00DF5340" w:rsidRDefault="00132E2C" w:rsidP="00132E2C">
            <w:pPr>
              <w:pStyle w:val="111Para"/>
              <w:spacing w:before="100" w:after="100"/>
              <w:ind w:left="0"/>
              <w:jc w:val="center"/>
              <w:rPr>
                <w:sz w:val="16"/>
                <w:szCs w:val="16"/>
                <w:u w:val="double"/>
                <w:lang w:val="en-IE"/>
              </w:rPr>
            </w:pPr>
            <w:r w:rsidRPr="00DF5340">
              <w:rPr>
                <w:sz w:val="16"/>
                <w:szCs w:val="16"/>
                <w:u w:val="double"/>
                <w:lang w:val="en-IE"/>
              </w:rPr>
              <w:t>Probe</w:t>
            </w:r>
          </w:p>
        </w:tc>
        <w:tc>
          <w:tcPr>
            <w:tcW w:w="1417" w:type="dxa"/>
            <w:vAlign w:val="center"/>
          </w:tcPr>
          <w:p w14:paraId="2198CBC7" w14:textId="0DA3D2F3" w:rsidR="00132E2C" w:rsidRPr="00DF5340" w:rsidRDefault="00132E2C" w:rsidP="00132E2C">
            <w:pPr>
              <w:pStyle w:val="ListParagraph1"/>
              <w:spacing w:before="100" w:after="100" w:line="240" w:lineRule="auto"/>
              <w:ind w:left="0"/>
              <w:contextualSpacing w:val="0"/>
              <w:jc w:val="center"/>
              <w:rPr>
                <w:rFonts w:ascii="Arial" w:hAnsi="Arial" w:cs="Arial"/>
                <w:sz w:val="16"/>
                <w:szCs w:val="16"/>
                <w:u w:val="double"/>
                <w:lang w:val="en-IE"/>
              </w:rPr>
            </w:pPr>
            <w:r w:rsidRPr="00DF5340">
              <w:rPr>
                <w:rFonts w:ascii="Arial" w:hAnsi="Arial" w:cs="Arial"/>
                <w:sz w:val="16"/>
                <w:szCs w:val="16"/>
                <w:u w:val="double"/>
                <w:lang w:val="en-IE"/>
              </w:rPr>
              <w:t>HeV-g2-M-P</w:t>
            </w:r>
          </w:p>
        </w:tc>
        <w:tc>
          <w:tcPr>
            <w:tcW w:w="3686" w:type="dxa"/>
            <w:vAlign w:val="center"/>
          </w:tcPr>
          <w:p w14:paraId="7DCE5759" w14:textId="60E06CC6" w:rsidR="00132E2C" w:rsidRPr="00DF5340" w:rsidRDefault="00132E2C" w:rsidP="00132E2C">
            <w:pPr>
              <w:pStyle w:val="ListParagraph1"/>
              <w:spacing w:before="100" w:after="100" w:line="240" w:lineRule="auto"/>
              <w:ind w:left="0"/>
              <w:contextualSpacing w:val="0"/>
              <w:jc w:val="center"/>
              <w:rPr>
                <w:rFonts w:ascii="Arial" w:hAnsi="Arial" w:cs="Arial"/>
                <w:sz w:val="16"/>
                <w:szCs w:val="16"/>
                <w:u w:val="double"/>
                <w:lang w:val="en-IE"/>
              </w:rPr>
            </w:pPr>
            <w:r w:rsidRPr="00DF5340">
              <w:rPr>
                <w:rFonts w:ascii="Arial" w:hAnsi="Arial" w:cs="Arial"/>
                <w:sz w:val="16"/>
                <w:szCs w:val="16"/>
                <w:u w:val="double"/>
                <w:lang w:eastAsia="en-AU"/>
              </w:rPr>
              <w:t>CAG-CAT-TGA-ATA-TTG-ACC-CGC-CAG-TCA</w:t>
            </w:r>
          </w:p>
        </w:tc>
        <w:tc>
          <w:tcPr>
            <w:tcW w:w="1530" w:type="dxa"/>
            <w:vAlign w:val="center"/>
          </w:tcPr>
          <w:p w14:paraId="6FF9EB2A" w14:textId="1CB9C01F" w:rsidR="00132E2C" w:rsidRPr="00DF5340" w:rsidRDefault="00132E2C" w:rsidP="00132E2C">
            <w:pPr>
              <w:pStyle w:val="111Para"/>
              <w:spacing w:before="100" w:after="100"/>
              <w:ind w:left="0"/>
              <w:jc w:val="center"/>
              <w:rPr>
                <w:sz w:val="16"/>
                <w:szCs w:val="16"/>
                <w:u w:val="double"/>
                <w:lang w:val="en-IE"/>
              </w:rPr>
            </w:pPr>
            <w:r w:rsidRPr="00DF5340">
              <w:rPr>
                <w:sz w:val="16"/>
                <w:szCs w:val="16"/>
                <w:u w:val="double"/>
                <w:lang w:val="en-IE"/>
              </w:rPr>
              <w:t>FAM-BHQ1</w:t>
            </w:r>
          </w:p>
        </w:tc>
      </w:tr>
      <w:tr w:rsidR="00A96D2D" w:rsidRPr="00DF5340" w14:paraId="5D8A4821" w14:textId="77777777" w:rsidTr="00EB3039">
        <w:tc>
          <w:tcPr>
            <w:tcW w:w="1588" w:type="dxa"/>
            <w:vMerge w:val="restart"/>
            <w:vAlign w:val="center"/>
          </w:tcPr>
          <w:p w14:paraId="180D1E53" w14:textId="41C39547" w:rsidR="00A96D2D" w:rsidRPr="00DF5340" w:rsidRDefault="00A96D2D" w:rsidP="00A96D2D">
            <w:pPr>
              <w:pStyle w:val="111Para"/>
              <w:spacing w:before="100" w:after="100"/>
              <w:ind w:left="0"/>
              <w:jc w:val="center"/>
              <w:rPr>
                <w:sz w:val="16"/>
                <w:szCs w:val="16"/>
                <w:u w:val="double"/>
                <w:lang w:val="nl-NL"/>
              </w:rPr>
            </w:pPr>
            <w:r w:rsidRPr="00DF5340">
              <w:rPr>
                <w:sz w:val="16"/>
                <w:szCs w:val="16"/>
                <w:u w:val="double"/>
                <w:lang w:val="nl-NL"/>
              </w:rPr>
              <w:t xml:space="preserve">HeV-g2 N gene (Wang </w:t>
            </w:r>
            <w:r w:rsidRPr="00DF5340">
              <w:rPr>
                <w:i/>
                <w:iCs/>
                <w:sz w:val="16"/>
                <w:szCs w:val="16"/>
                <w:u w:val="double"/>
                <w:lang w:val="nl-NL"/>
              </w:rPr>
              <w:t>et al.,</w:t>
            </w:r>
            <w:r w:rsidRPr="00DF5340">
              <w:rPr>
                <w:sz w:val="16"/>
                <w:szCs w:val="16"/>
                <w:u w:val="double"/>
                <w:lang w:val="nl-NL"/>
              </w:rPr>
              <w:t xml:space="preserve"> 2021)</w:t>
            </w:r>
          </w:p>
        </w:tc>
        <w:tc>
          <w:tcPr>
            <w:tcW w:w="851" w:type="dxa"/>
            <w:vAlign w:val="center"/>
          </w:tcPr>
          <w:p w14:paraId="4A511637" w14:textId="18543F36" w:rsidR="00A96D2D" w:rsidRPr="00DF5340" w:rsidRDefault="00A96D2D" w:rsidP="00A96D2D">
            <w:pPr>
              <w:pStyle w:val="111Para"/>
              <w:spacing w:before="100" w:after="100"/>
              <w:ind w:left="0"/>
              <w:jc w:val="center"/>
              <w:rPr>
                <w:sz w:val="16"/>
                <w:szCs w:val="16"/>
                <w:u w:val="double"/>
                <w:lang w:val="en-IE"/>
              </w:rPr>
            </w:pPr>
            <w:r w:rsidRPr="00DF5340">
              <w:rPr>
                <w:sz w:val="16"/>
                <w:szCs w:val="16"/>
                <w:u w:val="double"/>
                <w:lang w:val="en-IE"/>
              </w:rPr>
              <w:t>Forward</w:t>
            </w:r>
          </w:p>
        </w:tc>
        <w:tc>
          <w:tcPr>
            <w:tcW w:w="1417" w:type="dxa"/>
            <w:vAlign w:val="center"/>
          </w:tcPr>
          <w:p w14:paraId="23CE216F" w14:textId="00C911E2" w:rsidR="00A96D2D" w:rsidRPr="00DF5340" w:rsidRDefault="00A96D2D" w:rsidP="00A96D2D">
            <w:pPr>
              <w:pStyle w:val="ListParagraph1"/>
              <w:spacing w:before="100" w:after="100" w:line="240" w:lineRule="auto"/>
              <w:ind w:left="0"/>
              <w:contextualSpacing w:val="0"/>
              <w:jc w:val="center"/>
              <w:rPr>
                <w:rFonts w:ascii="Arial" w:hAnsi="Arial" w:cs="Arial"/>
                <w:sz w:val="16"/>
                <w:szCs w:val="16"/>
                <w:u w:val="double"/>
                <w:lang w:val="en-IE"/>
              </w:rPr>
            </w:pPr>
            <w:r w:rsidRPr="00DF5340">
              <w:rPr>
                <w:rFonts w:ascii="Arial" w:hAnsi="Arial" w:cs="Arial"/>
                <w:sz w:val="16"/>
                <w:szCs w:val="16"/>
                <w:u w:val="double"/>
                <w:lang w:val="en-IE"/>
              </w:rPr>
              <w:t>HeV-g2-N-F</w:t>
            </w:r>
          </w:p>
        </w:tc>
        <w:tc>
          <w:tcPr>
            <w:tcW w:w="3686" w:type="dxa"/>
            <w:vAlign w:val="center"/>
          </w:tcPr>
          <w:p w14:paraId="35E576EB" w14:textId="3CBFC0FA" w:rsidR="00A96D2D" w:rsidRPr="00DF5340" w:rsidRDefault="00A96D2D" w:rsidP="00A96D2D">
            <w:pPr>
              <w:pStyle w:val="ListParagraph1"/>
              <w:spacing w:before="100" w:after="100" w:line="240" w:lineRule="auto"/>
              <w:ind w:left="0"/>
              <w:contextualSpacing w:val="0"/>
              <w:jc w:val="center"/>
              <w:rPr>
                <w:rFonts w:ascii="Arial" w:hAnsi="Arial" w:cs="Arial"/>
                <w:sz w:val="16"/>
                <w:szCs w:val="16"/>
                <w:u w:val="double"/>
                <w:lang w:val="en-IE"/>
              </w:rPr>
            </w:pPr>
            <w:r w:rsidRPr="00DF5340">
              <w:rPr>
                <w:sz w:val="20"/>
                <w:szCs w:val="20"/>
                <w:u w:val="double"/>
                <w:lang w:eastAsia="en-AU"/>
              </w:rPr>
              <w:t>TGC-GAC-AGA-TCC-CAG-TAG-TAT-TAA-AT</w:t>
            </w:r>
          </w:p>
        </w:tc>
        <w:tc>
          <w:tcPr>
            <w:tcW w:w="1530" w:type="dxa"/>
            <w:vAlign w:val="center"/>
          </w:tcPr>
          <w:p w14:paraId="3F0FD5CF" w14:textId="77777777" w:rsidR="00A96D2D" w:rsidRPr="00DF5340" w:rsidRDefault="00A96D2D" w:rsidP="00A96D2D">
            <w:pPr>
              <w:pStyle w:val="111Para"/>
              <w:spacing w:before="100" w:after="100"/>
              <w:ind w:left="0"/>
              <w:jc w:val="center"/>
              <w:rPr>
                <w:sz w:val="16"/>
                <w:szCs w:val="16"/>
                <w:u w:val="double"/>
                <w:lang w:val="en-IE"/>
              </w:rPr>
            </w:pPr>
          </w:p>
        </w:tc>
      </w:tr>
      <w:tr w:rsidR="00A96D2D" w:rsidRPr="00DF5340" w14:paraId="7587BB5F" w14:textId="77777777" w:rsidTr="00EB3039">
        <w:tc>
          <w:tcPr>
            <w:tcW w:w="1588" w:type="dxa"/>
            <w:vMerge/>
            <w:vAlign w:val="center"/>
          </w:tcPr>
          <w:p w14:paraId="1E510744" w14:textId="77777777" w:rsidR="00A96D2D" w:rsidRPr="00DF5340" w:rsidRDefault="00A96D2D" w:rsidP="00A96D2D">
            <w:pPr>
              <w:pStyle w:val="111Para"/>
              <w:spacing w:before="100" w:after="100"/>
              <w:ind w:left="0"/>
              <w:jc w:val="center"/>
              <w:rPr>
                <w:sz w:val="16"/>
                <w:szCs w:val="16"/>
                <w:u w:val="double"/>
                <w:lang w:val="en-IE"/>
              </w:rPr>
            </w:pPr>
          </w:p>
        </w:tc>
        <w:tc>
          <w:tcPr>
            <w:tcW w:w="851" w:type="dxa"/>
            <w:vAlign w:val="center"/>
          </w:tcPr>
          <w:p w14:paraId="25908CDA" w14:textId="7309C35F" w:rsidR="00A96D2D" w:rsidRPr="00DF5340" w:rsidRDefault="00A96D2D" w:rsidP="00A96D2D">
            <w:pPr>
              <w:pStyle w:val="111Para"/>
              <w:spacing w:before="100" w:after="100"/>
              <w:ind w:left="0"/>
              <w:jc w:val="center"/>
              <w:rPr>
                <w:sz w:val="16"/>
                <w:szCs w:val="16"/>
                <w:u w:val="double"/>
                <w:lang w:val="en-IE"/>
              </w:rPr>
            </w:pPr>
            <w:r w:rsidRPr="00DF5340">
              <w:rPr>
                <w:sz w:val="16"/>
                <w:szCs w:val="16"/>
                <w:u w:val="double"/>
                <w:lang w:val="en-IE"/>
              </w:rPr>
              <w:t xml:space="preserve">Reverse </w:t>
            </w:r>
          </w:p>
        </w:tc>
        <w:tc>
          <w:tcPr>
            <w:tcW w:w="1417" w:type="dxa"/>
            <w:vAlign w:val="center"/>
          </w:tcPr>
          <w:p w14:paraId="3578562C" w14:textId="235B014D" w:rsidR="00A96D2D" w:rsidRPr="00DF5340" w:rsidRDefault="00A96D2D" w:rsidP="00A96D2D">
            <w:pPr>
              <w:pStyle w:val="ListParagraph1"/>
              <w:spacing w:before="100" w:after="100" w:line="240" w:lineRule="auto"/>
              <w:ind w:left="0"/>
              <w:contextualSpacing w:val="0"/>
              <w:jc w:val="center"/>
              <w:rPr>
                <w:rFonts w:ascii="Arial" w:hAnsi="Arial" w:cs="Arial"/>
                <w:sz w:val="16"/>
                <w:szCs w:val="16"/>
                <w:u w:val="double"/>
                <w:lang w:val="en-IE"/>
              </w:rPr>
            </w:pPr>
            <w:r w:rsidRPr="00DF5340">
              <w:rPr>
                <w:rFonts w:ascii="Arial" w:hAnsi="Arial" w:cs="Arial"/>
                <w:sz w:val="16"/>
                <w:szCs w:val="16"/>
                <w:u w:val="double"/>
                <w:lang w:val="en-IE"/>
              </w:rPr>
              <w:t>HeV-g2-N-R</w:t>
            </w:r>
          </w:p>
        </w:tc>
        <w:tc>
          <w:tcPr>
            <w:tcW w:w="3686" w:type="dxa"/>
            <w:vAlign w:val="center"/>
          </w:tcPr>
          <w:p w14:paraId="648E9AB1" w14:textId="754DBB0A" w:rsidR="00A96D2D" w:rsidRPr="00DF5340" w:rsidRDefault="00A96D2D" w:rsidP="00A96D2D">
            <w:pPr>
              <w:pStyle w:val="ListParagraph1"/>
              <w:spacing w:before="100" w:after="100" w:line="240" w:lineRule="auto"/>
              <w:ind w:left="0"/>
              <w:contextualSpacing w:val="0"/>
              <w:jc w:val="center"/>
              <w:rPr>
                <w:rFonts w:ascii="Arial" w:hAnsi="Arial" w:cs="Arial"/>
                <w:sz w:val="16"/>
                <w:szCs w:val="16"/>
                <w:u w:val="double"/>
                <w:lang w:val="en-IE"/>
              </w:rPr>
            </w:pPr>
            <w:r w:rsidRPr="00DF5340">
              <w:rPr>
                <w:sz w:val="20"/>
                <w:szCs w:val="20"/>
                <w:u w:val="double"/>
                <w:lang w:eastAsia="en-AU"/>
              </w:rPr>
              <w:t>GGC-AGC-TTA-TTC-GGC-AAA-AG</w:t>
            </w:r>
          </w:p>
        </w:tc>
        <w:tc>
          <w:tcPr>
            <w:tcW w:w="1530" w:type="dxa"/>
            <w:vAlign w:val="center"/>
          </w:tcPr>
          <w:p w14:paraId="4DD167CB" w14:textId="77777777" w:rsidR="00A96D2D" w:rsidRPr="00DF5340" w:rsidRDefault="00A96D2D" w:rsidP="00A96D2D">
            <w:pPr>
              <w:pStyle w:val="111Para"/>
              <w:spacing w:before="100" w:after="100"/>
              <w:ind w:left="0"/>
              <w:jc w:val="center"/>
              <w:rPr>
                <w:sz w:val="16"/>
                <w:szCs w:val="16"/>
                <w:u w:val="double"/>
                <w:lang w:val="en-IE"/>
              </w:rPr>
            </w:pPr>
          </w:p>
        </w:tc>
      </w:tr>
      <w:tr w:rsidR="00A96D2D" w:rsidRPr="00DF5340" w14:paraId="198991C6" w14:textId="77777777" w:rsidTr="00EB3039">
        <w:tc>
          <w:tcPr>
            <w:tcW w:w="1588" w:type="dxa"/>
            <w:vMerge/>
            <w:vAlign w:val="center"/>
          </w:tcPr>
          <w:p w14:paraId="73E6C7FD" w14:textId="77777777" w:rsidR="00A96D2D" w:rsidRPr="00DF5340" w:rsidRDefault="00A96D2D" w:rsidP="00A96D2D">
            <w:pPr>
              <w:pStyle w:val="111Para"/>
              <w:spacing w:before="100" w:after="100"/>
              <w:ind w:left="0"/>
              <w:jc w:val="center"/>
              <w:rPr>
                <w:sz w:val="16"/>
                <w:szCs w:val="16"/>
                <w:u w:val="double"/>
                <w:lang w:val="en-IE"/>
              </w:rPr>
            </w:pPr>
          </w:p>
        </w:tc>
        <w:tc>
          <w:tcPr>
            <w:tcW w:w="851" w:type="dxa"/>
            <w:vAlign w:val="center"/>
          </w:tcPr>
          <w:p w14:paraId="77933BA1" w14:textId="5898FBA9" w:rsidR="00A96D2D" w:rsidRPr="00DF5340" w:rsidRDefault="00A96D2D" w:rsidP="00A96D2D">
            <w:pPr>
              <w:pStyle w:val="111Para"/>
              <w:spacing w:before="100" w:after="100"/>
              <w:ind w:left="0"/>
              <w:jc w:val="center"/>
              <w:rPr>
                <w:sz w:val="16"/>
                <w:szCs w:val="16"/>
                <w:u w:val="double"/>
                <w:lang w:val="en-IE"/>
              </w:rPr>
            </w:pPr>
            <w:r w:rsidRPr="00DF5340">
              <w:rPr>
                <w:sz w:val="16"/>
                <w:szCs w:val="16"/>
                <w:u w:val="double"/>
                <w:lang w:val="en-IE"/>
              </w:rPr>
              <w:t>Probe</w:t>
            </w:r>
          </w:p>
        </w:tc>
        <w:tc>
          <w:tcPr>
            <w:tcW w:w="1417" w:type="dxa"/>
            <w:vAlign w:val="center"/>
          </w:tcPr>
          <w:p w14:paraId="6663801A" w14:textId="420D6731" w:rsidR="00A96D2D" w:rsidRPr="00DF5340" w:rsidRDefault="00A96D2D" w:rsidP="00A96D2D">
            <w:pPr>
              <w:pStyle w:val="ListParagraph1"/>
              <w:spacing w:before="100" w:after="100" w:line="240" w:lineRule="auto"/>
              <w:ind w:left="0"/>
              <w:contextualSpacing w:val="0"/>
              <w:jc w:val="center"/>
              <w:rPr>
                <w:rFonts w:ascii="Arial" w:hAnsi="Arial" w:cs="Arial"/>
                <w:sz w:val="16"/>
                <w:szCs w:val="16"/>
                <w:u w:val="double"/>
                <w:lang w:val="en-IE"/>
              </w:rPr>
            </w:pPr>
            <w:r w:rsidRPr="00DF5340">
              <w:rPr>
                <w:rFonts w:ascii="Arial" w:hAnsi="Arial" w:cs="Arial"/>
                <w:sz w:val="16"/>
                <w:szCs w:val="16"/>
                <w:u w:val="double"/>
                <w:lang w:val="en-IE"/>
              </w:rPr>
              <w:t>HeV-g2-N-P</w:t>
            </w:r>
          </w:p>
        </w:tc>
        <w:tc>
          <w:tcPr>
            <w:tcW w:w="3686" w:type="dxa"/>
            <w:vAlign w:val="center"/>
          </w:tcPr>
          <w:p w14:paraId="123665F3" w14:textId="173CA6AF" w:rsidR="00A96D2D" w:rsidRPr="00DF5340" w:rsidRDefault="00A96D2D" w:rsidP="00A96D2D">
            <w:pPr>
              <w:pStyle w:val="ListParagraph1"/>
              <w:spacing w:before="100" w:after="100" w:line="240" w:lineRule="auto"/>
              <w:ind w:left="0"/>
              <w:contextualSpacing w:val="0"/>
              <w:jc w:val="center"/>
              <w:rPr>
                <w:rFonts w:ascii="Arial" w:hAnsi="Arial" w:cs="Arial"/>
                <w:sz w:val="16"/>
                <w:szCs w:val="16"/>
                <w:u w:val="double"/>
                <w:lang w:val="en-IE"/>
              </w:rPr>
            </w:pPr>
            <w:r w:rsidRPr="00DF5340">
              <w:rPr>
                <w:rFonts w:ascii="Arial" w:hAnsi="Arial" w:cs="Arial"/>
                <w:sz w:val="16"/>
                <w:szCs w:val="16"/>
                <w:u w:val="double"/>
                <w:lang w:eastAsia="en-AU"/>
              </w:rPr>
              <w:t>CTC-TGG-TGA-CGG-AAC-ACA-AAT-GCA-AAT-TTC</w:t>
            </w:r>
          </w:p>
        </w:tc>
        <w:tc>
          <w:tcPr>
            <w:tcW w:w="1530" w:type="dxa"/>
            <w:vAlign w:val="center"/>
          </w:tcPr>
          <w:p w14:paraId="4BF1E275" w14:textId="0CD33FEC" w:rsidR="00A96D2D" w:rsidRPr="00DF5340" w:rsidRDefault="00A96D2D" w:rsidP="00A96D2D">
            <w:pPr>
              <w:pStyle w:val="111Para"/>
              <w:spacing w:before="100" w:after="100"/>
              <w:ind w:left="0"/>
              <w:jc w:val="center"/>
              <w:rPr>
                <w:sz w:val="16"/>
                <w:szCs w:val="16"/>
                <w:u w:val="double"/>
                <w:lang w:val="en-IE"/>
              </w:rPr>
            </w:pPr>
            <w:r w:rsidRPr="00DF5340">
              <w:rPr>
                <w:sz w:val="16"/>
                <w:szCs w:val="16"/>
                <w:u w:val="double"/>
                <w:lang w:val="en-IE"/>
              </w:rPr>
              <w:t>FAM-BHQ1</w:t>
            </w:r>
          </w:p>
        </w:tc>
      </w:tr>
      <w:tr w:rsidR="00915446" w:rsidRPr="00686E9D" w14:paraId="358AA24E" w14:textId="77777777" w:rsidTr="00EB3039">
        <w:tc>
          <w:tcPr>
            <w:tcW w:w="1588" w:type="dxa"/>
            <w:vMerge w:val="restart"/>
            <w:vAlign w:val="center"/>
          </w:tcPr>
          <w:p w14:paraId="13F3FD6F" w14:textId="61463989" w:rsidR="00915446" w:rsidRPr="00686E9D" w:rsidRDefault="00915446" w:rsidP="006A1BAA">
            <w:pPr>
              <w:pStyle w:val="111Para"/>
              <w:spacing w:before="100" w:after="100"/>
              <w:ind w:left="0"/>
              <w:jc w:val="center"/>
              <w:rPr>
                <w:sz w:val="16"/>
                <w:szCs w:val="16"/>
                <w:u w:val="double"/>
                <w:lang w:val="en-IE"/>
              </w:rPr>
            </w:pPr>
            <w:proofErr w:type="spellStart"/>
            <w:r w:rsidRPr="00686E9D">
              <w:rPr>
                <w:sz w:val="16"/>
                <w:szCs w:val="16"/>
                <w:u w:val="double"/>
                <w:lang w:val="en-IE"/>
              </w:rPr>
              <w:t>HeV_</w:t>
            </w:r>
            <w:r w:rsidRPr="00686E9D">
              <w:rPr>
                <w:strike/>
                <w:sz w:val="16"/>
                <w:szCs w:val="16"/>
                <w:lang w:val="en-IE"/>
              </w:rPr>
              <w:t>TQM_</w:t>
            </w:r>
            <w:r w:rsidRPr="00686E9D">
              <w:rPr>
                <w:sz w:val="16"/>
                <w:szCs w:val="16"/>
                <w:u w:val="double"/>
                <w:lang w:val="en-IE"/>
              </w:rPr>
              <w:t>P</w:t>
            </w:r>
            <w:proofErr w:type="spellEnd"/>
            <w:r w:rsidRPr="00686E9D">
              <w:rPr>
                <w:sz w:val="16"/>
                <w:szCs w:val="16"/>
                <w:u w:val="double"/>
                <w:lang w:val="en-IE"/>
              </w:rPr>
              <w:t>*</w:t>
            </w:r>
            <w:r w:rsidR="00A96D2D">
              <w:rPr>
                <w:sz w:val="16"/>
                <w:szCs w:val="16"/>
                <w:u w:val="double"/>
                <w:lang w:val="en-IE"/>
              </w:rPr>
              <w:t>*</w:t>
            </w:r>
            <w:r w:rsidR="00DA67BF" w:rsidRPr="00686E9D">
              <w:rPr>
                <w:sz w:val="16"/>
                <w:szCs w:val="16"/>
                <w:u w:val="double"/>
                <w:lang w:val="en-IE"/>
              </w:rPr>
              <w:t xml:space="preserve"> gene</w:t>
            </w:r>
            <w:r w:rsidR="006A1BAA" w:rsidRPr="00686E9D">
              <w:rPr>
                <w:sz w:val="16"/>
                <w:szCs w:val="16"/>
                <w:u w:val="double"/>
                <w:lang w:val="en-IE"/>
              </w:rPr>
              <w:br/>
            </w:r>
            <w:r w:rsidR="00D07979" w:rsidRPr="00686E9D">
              <w:rPr>
                <w:sz w:val="16"/>
                <w:szCs w:val="16"/>
                <w:u w:val="double"/>
                <w:lang w:val="en-IE"/>
              </w:rPr>
              <w:t xml:space="preserve">(Feldman </w:t>
            </w:r>
            <w:r w:rsidR="00D07979" w:rsidRPr="00686E9D">
              <w:rPr>
                <w:i/>
                <w:iCs/>
                <w:sz w:val="16"/>
                <w:szCs w:val="16"/>
                <w:u w:val="double"/>
                <w:lang w:val="en-IE"/>
              </w:rPr>
              <w:t>et al</w:t>
            </w:r>
            <w:r w:rsidR="00D07979" w:rsidRPr="00686E9D">
              <w:rPr>
                <w:sz w:val="16"/>
                <w:szCs w:val="16"/>
                <w:u w:val="double"/>
                <w:lang w:val="en-IE"/>
              </w:rPr>
              <w:t>., 2009)</w:t>
            </w:r>
          </w:p>
        </w:tc>
        <w:tc>
          <w:tcPr>
            <w:tcW w:w="851" w:type="dxa"/>
            <w:vAlign w:val="center"/>
          </w:tcPr>
          <w:p w14:paraId="124E45EC" w14:textId="1F05B03A" w:rsidR="00915446" w:rsidRPr="00686E9D" w:rsidRDefault="00915446" w:rsidP="001B0CFA">
            <w:pPr>
              <w:pStyle w:val="111Para"/>
              <w:spacing w:before="100" w:after="100"/>
              <w:ind w:left="0"/>
              <w:jc w:val="center"/>
              <w:rPr>
                <w:sz w:val="16"/>
                <w:szCs w:val="16"/>
                <w:u w:val="double"/>
                <w:lang w:val="en-IE"/>
              </w:rPr>
            </w:pPr>
            <w:r w:rsidRPr="00686E9D">
              <w:rPr>
                <w:sz w:val="16"/>
                <w:szCs w:val="16"/>
                <w:u w:val="double"/>
                <w:lang w:val="en-IE"/>
              </w:rPr>
              <w:t>Forward</w:t>
            </w:r>
          </w:p>
        </w:tc>
        <w:tc>
          <w:tcPr>
            <w:tcW w:w="1417" w:type="dxa"/>
            <w:vAlign w:val="center"/>
          </w:tcPr>
          <w:p w14:paraId="5FDD2F5C" w14:textId="38465838" w:rsidR="00915446" w:rsidRPr="00686E9D" w:rsidRDefault="00915446" w:rsidP="001B0CFA">
            <w:pPr>
              <w:pStyle w:val="ListParagraph1"/>
              <w:spacing w:before="100" w:after="100" w:line="240" w:lineRule="auto"/>
              <w:ind w:left="0"/>
              <w:contextualSpacing w:val="0"/>
              <w:jc w:val="center"/>
              <w:rPr>
                <w:rFonts w:ascii="Arial" w:hAnsi="Arial" w:cs="Arial"/>
                <w:sz w:val="16"/>
                <w:szCs w:val="16"/>
                <w:u w:val="double"/>
                <w:lang w:val="en-IE"/>
              </w:rPr>
            </w:pPr>
            <w:r w:rsidRPr="00686E9D">
              <w:rPr>
                <w:rFonts w:ascii="Arial" w:hAnsi="Arial" w:cs="Arial"/>
                <w:sz w:val="16"/>
                <w:szCs w:val="16"/>
                <w:u w:val="double"/>
                <w:lang w:val="en-IE"/>
              </w:rPr>
              <w:t>HeV_P_2698F</w:t>
            </w:r>
          </w:p>
        </w:tc>
        <w:tc>
          <w:tcPr>
            <w:tcW w:w="3686" w:type="dxa"/>
            <w:vAlign w:val="center"/>
          </w:tcPr>
          <w:p w14:paraId="436EBC98" w14:textId="7DB32A31" w:rsidR="00915446" w:rsidRPr="00686E9D" w:rsidRDefault="00915446" w:rsidP="001B0CFA">
            <w:pPr>
              <w:pStyle w:val="ListParagraph1"/>
              <w:spacing w:before="100" w:after="100" w:line="240" w:lineRule="auto"/>
              <w:ind w:left="0"/>
              <w:contextualSpacing w:val="0"/>
              <w:jc w:val="center"/>
              <w:rPr>
                <w:rFonts w:ascii="Arial" w:hAnsi="Arial" w:cs="Arial"/>
                <w:sz w:val="16"/>
                <w:szCs w:val="16"/>
                <w:u w:val="double"/>
                <w:lang w:val="en-IE"/>
              </w:rPr>
            </w:pPr>
            <w:r w:rsidRPr="00686E9D">
              <w:rPr>
                <w:rFonts w:ascii="Arial" w:hAnsi="Arial" w:cs="Arial"/>
                <w:color w:val="000000"/>
                <w:sz w:val="16"/>
                <w:szCs w:val="16"/>
                <w:u w:val="double"/>
                <w:lang w:val="en-IE"/>
              </w:rPr>
              <w:t>ACA-TAC-AAC-TGG-ACC-CAR-TGG-TT</w:t>
            </w:r>
          </w:p>
        </w:tc>
        <w:tc>
          <w:tcPr>
            <w:tcW w:w="1530" w:type="dxa"/>
            <w:vAlign w:val="center"/>
          </w:tcPr>
          <w:p w14:paraId="0A45DF0D" w14:textId="77777777" w:rsidR="00915446" w:rsidRPr="00686E9D" w:rsidRDefault="00915446" w:rsidP="001B0CFA">
            <w:pPr>
              <w:pStyle w:val="111Para"/>
              <w:spacing w:before="100" w:after="100"/>
              <w:ind w:left="0"/>
              <w:jc w:val="center"/>
              <w:rPr>
                <w:sz w:val="16"/>
                <w:szCs w:val="16"/>
                <w:u w:val="double"/>
                <w:lang w:val="en-IE"/>
              </w:rPr>
            </w:pPr>
          </w:p>
        </w:tc>
      </w:tr>
      <w:tr w:rsidR="00915446" w:rsidRPr="00686E9D" w14:paraId="172CAB73" w14:textId="77777777" w:rsidTr="00EB3039">
        <w:tc>
          <w:tcPr>
            <w:tcW w:w="1588" w:type="dxa"/>
            <w:vMerge/>
            <w:vAlign w:val="center"/>
          </w:tcPr>
          <w:p w14:paraId="0DF2E307" w14:textId="77777777" w:rsidR="00915446" w:rsidRPr="00686E9D" w:rsidRDefault="00915446" w:rsidP="001B0CFA">
            <w:pPr>
              <w:pStyle w:val="111Para"/>
              <w:spacing w:before="100" w:after="100"/>
              <w:ind w:left="0"/>
              <w:jc w:val="center"/>
              <w:rPr>
                <w:sz w:val="16"/>
                <w:szCs w:val="16"/>
                <w:u w:val="double"/>
                <w:lang w:val="en-IE"/>
              </w:rPr>
            </w:pPr>
          </w:p>
        </w:tc>
        <w:tc>
          <w:tcPr>
            <w:tcW w:w="851" w:type="dxa"/>
            <w:vAlign w:val="center"/>
          </w:tcPr>
          <w:p w14:paraId="39FC493A" w14:textId="5D668F70" w:rsidR="00915446" w:rsidRPr="00686E9D" w:rsidRDefault="00915446" w:rsidP="001B0CFA">
            <w:pPr>
              <w:pStyle w:val="111Para"/>
              <w:spacing w:before="100" w:after="100"/>
              <w:ind w:left="0"/>
              <w:jc w:val="center"/>
              <w:rPr>
                <w:sz w:val="16"/>
                <w:szCs w:val="16"/>
                <w:u w:val="double"/>
                <w:lang w:val="en-IE"/>
              </w:rPr>
            </w:pPr>
            <w:r w:rsidRPr="00686E9D">
              <w:rPr>
                <w:sz w:val="16"/>
                <w:szCs w:val="16"/>
                <w:u w:val="double"/>
                <w:lang w:val="en-IE"/>
              </w:rPr>
              <w:t>Reverse</w:t>
            </w:r>
          </w:p>
        </w:tc>
        <w:tc>
          <w:tcPr>
            <w:tcW w:w="1417" w:type="dxa"/>
            <w:vAlign w:val="center"/>
          </w:tcPr>
          <w:p w14:paraId="1E920D10" w14:textId="42999C6C" w:rsidR="00915446" w:rsidRPr="00686E9D" w:rsidRDefault="00915446" w:rsidP="001B0CFA">
            <w:pPr>
              <w:pStyle w:val="ListParagraph1"/>
              <w:spacing w:before="100" w:after="100" w:line="240" w:lineRule="auto"/>
              <w:ind w:left="0"/>
              <w:contextualSpacing w:val="0"/>
              <w:jc w:val="center"/>
              <w:rPr>
                <w:rFonts w:ascii="Arial" w:hAnsi="Arial" w:cs="Arial"/>
                <w:sz w:val="16"/>
                <w:szCs w:val="16"/>
                <w:u w:val="double"/>
                <w:lang w:val="en-IE"/>
              </w:rPr>
            </w:pPr>
            <w:r w:rsidRPr="00686E9D">
              <w:rPr>
                <w:rFonts w:ascii="Arial" w:hAnsi="Arial" w:cs="Arial"/>
                <w:sz w:val="16"/>
                <w:szCs w:val="16"/>
                <w:u w:val="double"/>
                <w:lang w:val="en-IE"/>
              </w:rPr>
              <w:t>HeV_P_2794R</w:t>
            </w:r>
          </w:p>
        </w:tc>
        <w:tc>
          <w:tcPr>
            <w:tcW w:w="3686" w:type="dxa"/>
            <w:vAlign w:val="center"/>
          </w:tcPr>
          <w:p w14:paraId="640BF43B" w14:textId="1A12A1D2" w:rsidR="00915446" w:rsidRPr="00686E9D" w:rsidRDefault="00915446" w:rsidP="001B0CFA">
            <w:pPr>
              <w:pStyle w:val="ListParagraph1"/>
              <w:spacing w:before="100" w:after="100" w:line="240" w:lineRule="auto"/>
              <w:ind w:left="0"/>
              <w:contextualSpacing w:val="0"/>
              <w:jc w:val="center"/>
              <w:rPr>
                <w:rFonts w:ascii="Arial" w:hAnsi="Arial" w:cs="Arial"/>
                <w:sz w:val="16"/>
                <w:szCs w:val="16"/>
                <w:u w:val="double"/>
                <w:lang w:val="en-IE"/>
              </w:rPr>
            </w:pPr>
            <w:r w:rsidRPr="00686E9D">
              <w:rPr>
                <w:rFonts w:ascii="Arial" w:hAnsi="Arial" w:cs="Arial"/>
                <w:color w:val="000000"/>
                <w:sz w:val="16"/>
                <w:szCs w:val="16"/>
                <w:u w:val="double"/>
                <w:lang w:val="en-IE"/>
              </w:rPr>
              <w:t>CAC-CCT-CTC-TCA-GGG-CTT-GA</w:t>
            </w:r>
          </w:p>
        </w:tc>
        <w:tc>
          <w:tcPr>
            <w:tcW w:w="1530" w:type="dxa"/>
            <w:vAlign w:val="center"/>
          </w:tcPr>
          <w:p w14:paraId="39A557F9" w14:textId="77777777" w:rsidR="00915446" w:rsidRPr="00686E9D" w:rsidRDefault="00915446" w:rsidP="001B0CFA">
            <w:pPr>
              <w:pStyle w:val="111Para"/>
              <w:spacing w:before="100" w:after="100"/>
              <w:ind w:left="0"/>
              <w:jc w:val="center"/>
              <w:rPr>
                <w:sz w:val="16"/>
                <w:szCs w:val="16"/>
                <w:u w:val="double"/>
                <w:lang w:val="en-IE"/>
              </w:rPr>
            </w:pPr>
          </w:p>
        </w:tc>
      </w:tr>
      <w:tr w:rsidR="00915446" w:rsidRPr="00686E9D" w14:paraId="625F0FE5" w14:textId="77777777" w:rsidTr="00EB3039">
        <w:tc>
          <w:tcPr>
            <w:tcW w:w="1588" w:type="dxa"/>
            <w:vMerge/>
            <w:vAlign w:val="center"/>
          </w:tcPr>
          <w:p w14:paraId="12540785" w14:textId="77777777" w:rsidR="00915446" w:rsidRPr="00686E9D" w:rsidRDefault="00915446" w:rsidP="001B0CFA">
            <w:pPr>
              <w:pStyle w:val="111Para"/>
              <w:spacing w:before="100" w:after="100"/>
              <w:ind w:left="0"/>
              <w:jc w:val="center"/>
              <w:rPr>
                <w:sz w:val="16"/>
                <w:szCs w:val="16"/>
                <w:u w:val="double"/>
                <w:lang w:val="en-IE"/>
              </w:rPr>
            </w:pPr>
          </w:p>
        </w:tc>
        <w:tc>
          <w:tcPr>
            <w:tcW w:w="851" w:type="dxa"/>
            <w:vAlign w:val="center"/>
          </w:tcPr>
          <w:p w14:paraId="3CB12C7E" w14:textId="57D6ACCF" w:rsidR="00915446" w:rsidRPr="00686E9D" w:rsidRDefault="00915446" w:rsidP="001B0CFA">
            <w:pPr>
              <w:pStyle w:val="111Para"/>
              <w:spacing w:before="100" w:after="100"/>
              <w:ind w:left="0"/>
              <w:jc w:val="center"/>
              <w:rPr>
                <w:sz w:val="16"/>
                <w:szCs w:val="16"/>
                <w:u w:val="double"/>
                <w:lang w:val="en-IE"/>
              </w:rPr>
            </w:pPr>
            <w:r w:rsidRPr="00686E9D">
              <w:rPr>
                <w:sz w:val="16"/>
                <w:szCs w:val="16"/>
                <w:u w:val="double"/>
                <w:lang w:val="en-IE"/>
              </w:rPr>
              <w:t>Probe</w:t>
            </w:r>
          </w:p>
        </w:tc>
        <w:tc>
          <w:tcPr>
            <w:tcW w:w="1417" w:type="dxa"/>
            <w:vAlign w:val="center"/>
          </w:tcPr>
          <w:p w14:paraId="7404B9EF" w14:textId="61B071E4" w:rsidR="00915446" w:rsidRPr="00686E9D" w:rsidRDefault="00915446" w:rsidP="001B0CFA">
            <w:pPr>
              <w:pStyle w:val="ListParagraph1"/>
              <w:spacing w:before="100" w:after="100" w:line="240" w:lineRule="auto"/>
              <w:ind w:left="0"/>
              <w:contextualSpacing w:val="0"/>
              <w:jc w:val="center"/>
              <w:rPr>
                <w:rFonts w:ascii="Arial" w:hAnsi="Arial" w:cs="Arial"/>
                <w:sz w:val="16"/>
                <w:szCs w:val="16"/>
                <w:u w:val="double"/>
                <w:lang w:val="en-IE"/>
              </w:rPr>
            </w:pPr>
            <w:r w:rsidRPr="00686E9D">
              <w:rPr>
                <w:rFonts w:ascii="Arial" w:hAnsi="Arial" w:cs="Arial"/>
                <w:sz w:val="16"/>
                <w:szCs w:val="16"/>
                <w:u w:val="double"/>
                <w:lang w:val="en-IE"/>
              </w:rPr>
              <w:t>HeV_P_2721P</w:t>
            </w:r>
          </w:p>
        </w:tc>
        <w:tc>
          <w:tcPr>
            <w:tcW w:w="3686" w:type="dxa"/>
            <w:vAlign w:val="center"/>
          </w:tcPr>
          <w:p w14:paraId="745DEFB2" w14:textId="490E18DC" w:rsidR="00915446" w:rsidRPr="00686E9D" w:rsidRDefault="00915446" w:rsidP="001B0CFA">
            <w:pPr>
              <w:pStyle w:val="ListParagraph1"/>
              <w:spacing w:before="100" w:after="100" w:line="240" w:lineRule="auto"/>
              <w:ind w:left="0"/>
              <w:contextualSpacing w:val="0"/>
              <w:jc w:val="center"/>
              <w:rPr>
                <w:rFonts w:ascii="Arial" w:hAnsi="Arial" w:cs="Arial"/>
                <w:sz w:val="16"/>
                <w:szCs w:val="16"/>
                <w:u w:val="double"/>
                <w:lang w:val="en-IE"/>
              </w:rPr>
            </w:pPr>
            <w:r w:rsidRPr="00686E9D">
              <w:rPr>
                <w:rFonts w:ascii="Arial" w:hAnsi="Arial" w:cs="Arial"/>
                <w:color w:val="000000"/>
                <w:sz w:val="16"/>
                <w:szCs w:val="16"/>
                <w:u w:val="double"/>
                <w:lang w:val="en-IE"/>
              </w:rPr>
              <w:t>ACA-GAC-GTT-GTA-TAC-CAT-G</w:t>
            </w:r>
          </w:p>
        </w:tc>
        <w:tc>
          <w:tcPr>
            <w:tcW w:w="1530" w:type="dxa"/>
            <w:vAlign w:val="center"/>
          </w:tcPr>
          <w:p w14:paraId="52C172D4" w14:textId="3CDC9261" w:rsidR="00915446" w:rsidRPr="00686E9D" w:rsidRDefault="00915446" w:rsidP="001B0CFA">
            <w:pPr>
              <w:pStyle w:val="111Para"/>
              <w:spacing w:before="100" w:after="100"/>
              <w:ind w:left="0"/>
              <w:jc w:val="center"/>
              <w:rPr>
                <w:sz w:val="16"/>
                <w:szCs w:val="16"/>
                <w:u w:val="double"/>
                <w:lang w:val="en-IE"/>
              </w:rPr>
            </w:pPr>
            <w:r w:rsidRPr="00686E9D">
              <w:rPr>
                <w:color w:val="000000"/>
                <w:sz w:val="16"/>
                <w:szCs w:val="16"/>
                <w:u w:val="double"/>
                <w:lang w:val="en-IE" w:eastAsia="en-AU"/>
              </w:rPr>
              <w:t>FAM-MGBNFQ</w:t>
            </w:r>
          </w:p>
        </w:tc>
      </w:tr>
      <w:tr w:rsidR="001B0CFA" w:rsidRPr="00686E9D" w14:paraId="2B8DACEA" w14:textId="77777777" w:rsidTr="009B1295">
        <w:tc>
          <w:tcPr>
            <w:tcW w:w="1588" w:type="dxa"/>
            <w:vMerge w:val="restart"/>
            <w:vAlign w:val="center"/>
          </w:tcPr>
          <w:p w14:paraId="72F505F2" w14:textId="4D8A80F8" w:rsidR="00D07979" w:rsidRPr="00686E9D" w:rsidRDefault="001B0CFA" w:rsidP="006A1BAA">
            <w:pPr>
              <w:pStyle w:val="111Para"/>
              <w:spacing w:before="100" w:after="100"/>
              <w:ind w:left="0"/>
              <w:jc w:val="center"/>
              <w:rPr>
                <w:sz w:val="16"/>
                <w:szCs w:val="16"/>
                <w:lang w:val="en-IE"/>
              </w:rPr>
            </w:pPr>
            <w:proofErr w:type="spellStart"/>
            <w:r w:rsidRPr="00686E9D">
              <w:rPr>
                <w:sz w:val="16"/>
                <w:szCs w:val="16"/>
                <w:lang w:val="en-IE"/>
              </w:rPr>
              <w:t>HeV_</w:t>
            </w:r>
            <w:r w:rsidRPr="00686E9D">
              <w:rPr>
                <w:strike/>
                <w:sz w:val="16"/>
                <w:szCs w:val="16"/>
                <w:lang w:val="en-IE"/>
              </w:rPr>
              <w:t>TQM_</w:t>
            </w:r>
            <w:r w:rsidRPr="00686E9D">
              <w:rPr>
                <w:sz w:val="16"/>
                <w:szCs w:val="16"/>
                <w:lang w:val="en-IE"/>
              </w:rPr>
              <w:t>N</w:t>
            </w:r>
            <w:proofErr w:type="spellEnd"/>
            <w:r w:rsidR="009C5CCF" w:rsidRPr="00DF5340">
              <w:rPr>
                <w:sz w:val="16"/>
                <w:szCs w:val="16"/>
                <w:u w:val="double"/>
                <w:lang w:val="en-IE"/>
              </w:rPr>
              <w:t>**</w:t>
            </w:r>
            <w:r w:rsidR="00A96D2D" w:rsidRPr="00DF5340">
              <w:rPr>
                <w:sz w:val="16"/>
                <w:szCs w:val="16"/>
                <w:u w:val="double"/>
                <w:lang w:val="en-IE"/>
              </w:rPr>
              <w:t>*</w:t>
            </w:r>
            <w:r w:rsidR="000058F5" w:rsidRPr="00686E9D">
              <w:rPr>
                <w:sz w:val="16"/>
                <w:szCs w:val="16"/>
                <w:u w:val="double"/>
                <w:lang w:val="en-IE"/>
              </w:rPr>
              <w:t xml:space="preserve"> gene</w:t>
            </w:r>
            <w:r w:rsidR="006A1BAA" w:rsidRPr="00686E9D">
              <w:rPr>
                <w:sz w:val="16"/>
                <w:szCs w:val="16"/>
                <w:lang w:val="en-IE"/>
              </w:rPr>
              <w:br/>
            </w:r>
            <w:r w:rsidR="00D07979" w:rsidRPr="00686E9D">
              <w:rPr>
                <w:sz w:val="16"/>
                <w:szCs w:val="16"/>
                <w:u w:val="double"/>
                <w:lang w:val="en-IE"/>
              </w:rPr>
              <w:t xml:space="preserve">(Feldman </w:t>
            </w:r>
            <w:r w:rsidR="00D07979" w:rsidRPr="00686E9D">
              <w:rPr>
                <w:i/>
                <w:iCs/>
                <w:sz w:val="16"/>
                <w:szCs w:val="16"/>
                <w:u w:val="double"/>
                <w:lang w:val="en-IE"/>
              </w:rPr>
              <w:t>et al</w:t>
            </w:r>
            <w:r w:rsidR="00D07979" w:rsidRPr="00686E9D">
              <w:rPr>
                <w:sz w:val="16"/>
                <w:szCs w:val="16"/>
                <w:u w:val="double"/>
                <w:lang w:val="en-IE"/>
              </w:rPr>
              <w:t>., 2009)</w:t>
            </w:r>
          </w:p>
        </w:tc>
        <w:tc>
          <w:tcPr>
            <w:tcW w:w="851" w:type="dxa"/>
            <w:vAlign w:val="center"/>
          </w:tcPr>
          <w:p w14:paraId="3CF1F7D2" w14:textId="332F96E3" w:rsidR="001B0CFA" w:rsidRPr="00686E9D" w:rsidRDefault="001B0CFA" w:rsidP="001B0CFA">
            <w:pPr>
              <w:pStyle w:val="111Para"/>
              <w:spacing w:before="100" w:after="100"/>
              <w:ind w:left="0"/>
              <w:jc w:val="center"/>
              <w:rPr>
                <w:sz w:val="16"/>
                <w:szCs w:val="16"/>
                <w:lang w:val="en-IE"/>
              </w:rPr>
            </w:pPr>
            <w:r w:rsidRPr="00686E9D">
              <w:rPr>
                <w:sz w:val="16"/>
                <w:szCs w:val="16"/>
                <w:lang w:val="en-IE"/>
              </w:rPr>
              <w:t>Forward</w:t>
            </w:r>
          </w:p>
        </w:tc>
        <w:tc>
          <w:tcPr>
            <w:tcW w:w="1417" w:type="dxa"/>
            <w:vAlign w:val="center"/>
          </w:tcPr>
          <w:p w14:paraId="29BD0423" w14:textId="77777777" w:rsidR="001B0CFA" w:rsidRPr="00686E9D" w:rsidRDefault="001B0CFA" w:rsidP="001B0CFA">
            <w:pPr>
              <w:pStyle w:val="ListParagraph1"/>
              <w:spacing w:before="100" w:after="100" w:line="240" w:lineRule="auto"/>
              <w:ind w:left="0"/>
              <w:contextualSpacing w:val="0"/>
              <w:jc w:val="center"/>
              <w:rPr>
                <w:rFonts w:ascii="Arial" w:hAnsi="Arial" w:cs="Arial"/>
                <w:sz w:val="16"/>
                <w:szCs w:val="16"/>
                <w:lang w:val="en-IE"/>
              </w:rPr>
            </w:pPr>
            <w:proofErr w:type="spellStart"/>
            <w:r w:rsidRPr="00686E9D">
              <w:rPr>
                <w:rFonts w:ascii="Arial" w:hAnsi="Arial" w:cs="Arial"/>
                <w:sz w:val="16"/>
                <w:szCs w:val="16"/>
                <w:lang w:val="en-IE"/>
              </w:rPr>
              <w:t>HeV</w:t>
            </w:r>
            <w:proofErr w:type="spellEnd"/>
            <w:r w:rsidRPr="00686E9D">
              <w:rPr>
                <w:rFonts w:ascii="Arial" w:hAnsi="Arial" w:cs="Arial"/>
                <w:sz w:val="16"/>
                <w:szCs w:val="16"/>
                <w:lang w:val="en-IE"/>
              </w:rPr>
              <w:t xml:space="preserve"> N119F</w:t>
            </w:r>
          </w:p>
        </w:tc>
        <w:tc>
          <w:tcPr>
            <w:tcW w:w="3686" w:type="dxa"/>
            <w:vAlign w:val="center"/>
          </w:tcPr>
          <w:p w14:paraId="53548C2E" w14:textId="49F5DD4D" w:rsidR="001B0CFA" w:rsidRPr="00686E9D" w:rsidRDefault="001B0CFA" w:rsidP="001B0CFA">
            <w:pPr>
              <w:pStyle w:val="ListParagraph1"/>
              <w:tabs>
                <w:tab w:val="left" w:pos="434"/>
              </w:tabs>
              <w:spacing w:before="100" w:after="100" w:line="240" w:lineRule="auto"/>
              <w:ind w:left="0"/>
              <w:contextualSpacing w:val="0"/>
              <w:jc w:val="center"/>
              <w:rPr>
                <w:rFonts w:ascii="Arial" w:hAnsi="Arial" w:cs="Arial"/>
                <w:sz w:val="16"/>
                <w:szCs w:val="16"/>
                <w:lang w:val="en-IE"/>
              </w:rPr>
            </w:pPr>
            <w:r w:rsidRPr="00686E9D">
              <w:rPr>
                <w:rFonts w:ascii="Arial" w:hAnsi="Arial" w:cs="Arial"/>
                <w:sz w:val="16"/>
                <w:szCs w:val="16"/>
                <w:lang w:val="en-IE"/>
              </w:rPr>
              <w:t>GAT-ATI-TTT-GAM-GAG-GCG-GCT-AGT-T</w:t>
            </w:r>
          </w:p>
        </w:tc>
        <w:tc>
          <w:tcPr>
            <w:tcW w:w="1530" w:type="dxa"/>
            <w:vAlign w:val="center"/>
          </w:tcPr>
          <w:p w14:paraId="6D9295E7" w14:textId="77777777" w:rsidR="001B0CFA" w:rsidRPr="00686E9D" w:rsidRDefault="001B0CFA" w:rsidP="001B0CFA">
            <w:pPr>
              <w:pStyle w:val="111Para"/>
              <w:spacing w:before="100" w:after="100"/>
              <w:ind w:left="0"/>
              <w:jc w:val="center"/>
              <w:rPr>
                <w:sz w:val="16"/>
                <w:szCs w:val="16"/>
                <w:lang w:val="en-IE"/>
              </w:rPr>
            </w:pPr>
          </w:p>
        </w:tc>
      </w:tr>
      <w:tr w:rsidR="001B0CFA" w:rsidRPr="00D12A45" w14:paraId="48F51D25" w14:textId="77777777" w:rsidTr="009B1295">
        <w:tc>
          <w:tcPr>
            <w:tcW w:w="1588" w:type="dxa"/>
            <w:vMerge/>
            <w:vAlign w:val="center"/>
          </w:tcPr>
          <w:p w14:paraId="752F595B" w14:textId="77777777" w:rsidR="001B0CFA" w:rsidRPr="00686E9D" w:rsidRDefault="001B0CFA" w:rsidP="001B0CFA">
            <w:pPr>
              <w:pStyle w:val="111Para"/>
              <w:spacing w:before="100" w:after="100"/>
              <w:ind w:left="0"/>
              <w:jc w:val="center"/>
              <w:rPr>
                <w:sz w:val="16"/>
                <w:szCs w:val="16"/>
                <w:lang w:val="en-IE"/>
              </w:rPr>
            </w:pPr>
          </w:p>
        </w:tc>
        <w:tc>
          <w:tcPr>
            <w:tcW w:w="851" w:type="dxa"/>
            <w:vAlign w:val="center"/>
          </w:tcPr>
          <w:p w14:paraId="3483FBC9" w14:textId="1116CFD3" w:rsidR="001B0CFA" w:rsidRPr="00686E9D" w:rsidRDefault="001B0CFA" w:rsidP="001B0CFA">
            <w:pPr>
              <w:pStyle w:val="111Para"/>
              <w:spacing w:before="100" w:after="100"/>
              <w:ind w:left="0"/>
              <w:jc w:val="center"/>
              <w:rPr>
                <w:sz w:val="16"/>
                <w:szCs w:val="16"/>
                <w:lang w:val="en-IE"/>
              </w:rPr>
            </w:pPr>
            <w:r w:rsidRPr="00686E9D">
              <w:rPr>
                <w:sz w:val="16"/>
                <w:szCs w:val="16"/>
                <w:lang w:val="en-IE"/>
              </w:rPr>
              <w:t>Reverse</w:t>
            </w:r>
          </w:p>
        </w:tc>
        <w:tc>
          <w:tcPr>
            <w:tcW w:w="1417" w:type="dxa"/>
            <w:vAlign w:val="center"/>
          </w:tcPr>
          <w:p w14:paraId="465F0E15" w14:textId="77777777" w:rsidR="001B0CFA" w:rsidRPr="00686E9D" w:rsidRDefault="001B0CFA" w:rsidP="001B0CFA">
            <w:pPr>
              <w:pStyle w:val="ListParagraph1"/>
              <w:spacing w:before="100" w:after="100" w:line="240" w:lineRule="auto"/>
              <w:ind w:left="0"/>
              <w:contextualSpacing w:val="0"/>
              <w:jc w:val="center"/>
              <w:rPr>
                <w:rFonts w:ascii="Arial" w:hAnsi="Arial" w:cs="Arial"/>
                <w:sz w:val="16"/>
                <w:szCs w:val="16"/>
                <w:lang w:val="en-IE"/>
              </w:rPr>
            </w:pPr>
            <w:proofErr w:type="spellStart"/>
            <w:r w:rsidRPr="00686E9D">
              <w:rPr>
                <w:rFonts w:ascii="Arial" w:hAnsi="Arial" w:cs="Arial"/>
                <w:sz w:val="16"/>
                <w:szCs w:val="16"/>
                <w:lang w:val="en-IE"/>
              </w:rPr>
              <w:t>HeV</w:t>
            </w:r>
            <w:proofErr w:type="spellEnd"/>
            <w:r w:rsidRPr="00686E9D">
              <w:rPr>
                <w:rFonts w:ascii="Arial" w:hAnsi="Arial" w:cs="Arial"/>
                <w:sz w:val="16"/>
                <w:szCs w:val="16"/>
                <w:lang w:val="en-IE"/>
              </w:rPr>
              <w:t xml:space="preserve"> N260R</w:t>
            </w:r>
          </w:p>
        </w:tc>
        <w:tc>
          <w:tcPr>
            <w:tcW w:w="3686" w:type="dxa"/>
            <w:vAlign w:val="center"/>
          </w:tcPr>
          <w:p w14:paraId="47AC2115" w14:textId="7837A817" w:rsidR="001B0CFA" w:rsidRPr="00EC3CB9" w:rsidRDefault="001B0CFA" w:rsidP="001B0CFA">
            <w:pPr>
              <w:pStyle w:val="ListParagraph1"/>
              <w:spacing w:before="100" w:after="100" w:line="240" w:lineRule="auto"/>
              <w:ind w:left="0"/>
              <w:contextualSpacing w:val="0"/>
              <w:jc w:val="center"/>
              <w:rPr>
                <w:rFonts w:ascii="Arial" w:hAnsi="Arial" w:cs="Arial"/>
                <w:sz w:val="16"/>
                <w:szCs w:val="16"/>
                <w:lang w:val="de-DE"/>
              </w:rPr>
            </w:pPr>
            <w:r w:rsidRPr="00EC3CB9">
              <w:rPr>
                <w:rFonts w:ascii="Arial" w:hAnsi="Arial" w:cs="Arial"/>
                <w:sz w:val="16"/>
                <w:szCs w:val="16"/>
                <w:lang w:val="de-DE"/>
              </w:rPr>
              <w:t>CCC-ATC-TCA-GTT-CTG-GGC-TAT-TAG</w:t>
            </w:r>
          </w:p>
        </w:tc>
        <w:tc>
          <w:tcPr>
            <w:tcW w:w="1530" w:type="dxa"/>
            <w:vAlign w:val="center"/>
          </w:tcPr>
          <w:p w14:paraId="317DFA39" w14:textId="77777777" w:rsidR="001B0CFA" w:rsidRPr="00EC3CB9" w:rsidRDefault="001B0CFA" w:rsidP="001B0CFA">
            <w:pPr>
              <w:pStyle w:val="111Para"/>
              <w:spacing w:before="100" w:after="100"/>
              <w:ind w:left="0"/>
              <w:jc w:val="center"/>
              <w:rPr>
                <w:sz w:val="16"/>
                <w:szCs w:val="16"/>
                <w:lang w:val="de-DE"/>
              </w:rPr>
            </w:pPr>
          </w:p>
        </w:tc>
      </w:tr>
      <w:tr w:rsidR="001B0CFA" w:rsidRPr="00686E9D" w14:paraId="78F707B3" w14:textId="77777777" w:rsidTr="009B1295">
        <w:tc>
          <w:tcPr>
            <w:tcW w:w="1588" w:type="dxa"/>
            <w:vMerge/>
            <w:vAlign w:val="center"/>
          </w:tcPr>
          <w:p w14:paraId="7E6BF65F" w14:textId="77777777" w:rsidR="001B0CFA" w:rsidRPr="00EC3CB9" w:rsidRDefault="001B0CFA" w:rsidP="001B0CFA">
            <w:pPr>
              <w:pStyle w:val="111Para"/>
              <w:spacing w:before="100" w:after="100"/>
              <w:ind w:left="0"/>
              <w:jc w:val="center"/>
              <w:rPr>
                <w:lang w:val="de-DE"/>
              </w:rPr>
            </w:pPr>
          </w:p>
        </w:tc>
        <w:tc>
          <w:tcPr>
            <w:tcW w:w="851" w:type="dxa"/>
            <w:vAlign w:val="center"/>
          </w:tcPr>
          <w:p w14:paraId="0ED783DD" w14:textId="77777777" w:rsidR="001B0CFA" w:rsidRPr="00686E9D" w:rsidRDefault="001B0CFA" w:rsidP="001B0CFA">
            <w:pPr>
              <w:pStyle w:val="111Para"/>
              <w:spacing w:before="100" w:after="100"/>
              <w:ind w:left="0"/>
              <w:jc w:val="center"/>
              <w:rPr>
                <w:lang w:val="en-IE"/>
              </w:rPr>
            </w:pPr>
            <w:r w:rsidRPr="00686E9D">
              <w:rPr>
                <w:sz w:val="16"/>
                <w:szCs w:val="16"/>
                <w:lang w:val="en-IE"/>
              </w:rPr>
              <w:t>Probe</w:t>
            </w:r>
          </w:p>
        </w:tc>
        <w:tc>
          <w:tcPr>
            <w:tcW w:w="1417" w:type="dxa"/>
            <w:vAlign w:val="center"/>
          </w:tcPr>
          <w:p w14:paraId="7CEA77BE" w14:textId="77777777" w:rsidR="001B0CFA" w:rsidRPr="00686E9D" w:rsidRDefault="001B0CFA" w:rsidP="001B0CFA">
            <w:pPr>
              <w:pStyle w:val="ListParagraph1"/>
              <w:spacing w:before="100" w:after="100" w:line="240" w:lineRule="auto"/>
              <w:ind w:left="0"/>
              <w:contextualSpacing w:val="0"/>
              <w:jc w:val="center"/>
              <w:rPr>
                <w:rFonts w:ascii="Arial" w:hAnsi="Arial" w:cs="Arial"/>
                <w:sz w:val="16"/>
                <w:szCs w:val="16"/>
                <w:lang w:val="en-IE"/>
              </w:rPr>
            </w:pPr>
            <w:proofErr w:type="spellStart"/>
            <w:r w:rsidRPr="00686E9D">
              <w:rPr>
                <w:rFonts w:ascii="Arial" w:hAnsi="Arial" w:cs="Arial"/>
                <w:sz w:val="16"/>
                <w:szCs w:val="16"/>
                <w:lang w:val="en-IE"/>
              </w:rPr>
              <w:t>HeV</w:t>
            </w:r>
            <w:proofErr w:type="spellEnd"/>
            <w:r w:rsidRPr="00686E9D">
              <w:rPr>
                <w:rFonts w:ascii="Arial" w:hAnsi="Arial" w:cs="Arial"/>
                <w:sz w:val="16"/>
                <w:szCs w:val="16"/>
                <w:lang w:val="en-IE"/>
              </w:rPr>
              <w:t xml:space="preserve"> N198-220P</w:t>
            </w:r>
          </w:p>
        </w:tc>
        <w:tc>
          <w:tcPr>
            <w:tcW w:w="3686" w:type="dxa"/>
            <w:vAlign w:val="center"/>
          </w:tcPr>
          <w:p w14:paraId="4A00B8A5" w14:textId="77777777" w:rsidR="001B0CFA" w:rsidRPr="00EC3CB9" w:rsidRDefault="001B0CFA" w:rsidP="001B0CFA">
            <w:pPr>
              <w:pStyle w:val="ListParagraph1"/>
              <w:spacing w:before="100" w:after="100" w:line="240" w:lineRule="auto"/>
              <w:ind w:left="0"/>
              <w:contextualSpacing w:val="0"/>
              <w:jc w:val="center"/>
              <w:rPr>
                <w:rFonts w:ascii="Arial" w:hAnsi="Arial" w:cs="Arial"/>
                <w:sz w:val="16"/>
                <w:szCs w:val="16"/>
                <w:lang w:val="es-ES"/>
              </w:rPr>
            </w:pPr>
            <w:r w:rsidRPr="00EC3CB9">
              <w:rPr>
                <w:rFonts w:ascii="Arial" w:hAnsi="Arial" w:cs="Arial"/>
                <w:sz w:val="16"/>
                <w:szCs w:val="16"/>
                <w:lang w:val="es-ES"/>
              </w:rPr>
              <w:t>CTA-CTT-TGA-CTA-CTA-AGA-TAA-GA</w:t>
            </w:r>
          </w:p>
        </w:tc>
        <w:tc>
          <w:tcPr>
            <w:tcW w:w="1530" w:type="dxa"/>
            <w:vAlign w:val="center"/>
          </w:tcPr>
          <w:p w14:paraId="18B87F44" w14:textId="77777777" w:rsidR="001B0CFA" w:rsidRPr="00686E9D" w:rsidRDefault="001B0CFA" w:rsidP="001B0CFA">
            <w:pPr>
              <w:pStyle w:val="111Para"/>
              <w:spacing w:before="100" w:after="100"/>
              <w:ind w:left="0"/>
              <w:jc w:val="center"/>
              <w:rPr>
                <w:sz w:val="16"/>
                <w:szCs w:val="16"/>
                <w:lang w:val="en-IE"/>
              </w:rPr>
            </w:pPr>
            <w:r w:rsidRPr="00686E9D">
              <w:rPr>
                <w:sz w:val="16"/>
                <w:szCs w:val="16"/>
                <w:lang w:val="en-IE"/>
              </w:rPr>
              <w:t>FAM-MGBNFQ</w:t>
            </w:r>
          </w:p>
        </w:tc>
      </w:tr>
      <w:tr w:rsidR="001B0CFA" w:rsidRPr="00686E9D" w14:paraId="78E0342F" w14:textId="77777777" w:rsidTr="009B1295">
        <w:tc>
          <w:tcPr>
            <w:tcW w:w="1588" w:type="dxa"/>
            <w:vMerge w:val="restart"/>
            <w:vAlign w:val="center"/>
          </w:tcPr>
          <w:p w14:paraId="37EF607A" w14:textId="27C5C060" w:rsidR="001B0CFA" w:rsidRPr="00686E9D" w:rsidRDefault="001B0CFA" w:rsidP="001B0CFA">
            <w:pPr>
              <w:pStyle w:val="ListParagraph1"/>
              <w:spacing w:before="100" w:after="100"/>
              <w:ind w:left="0"/>
              <w:contextualSpacing w:val="0"/>
              <w:jc w:val="center"/>
              <w:rPr>
                <w:rFonts w:ascii="Arial Narrow" w:hAnsi="Arial Narrow" w:cs="Arial"/>
                <w:sz w:val="16"/>
                <w:szCs w:val="16"/>
                <w:lang w:val="en-IE"/>
              </w:rPr>
            </w:pPr>
            <w:proofErr w:type="spellStart"/>
            <w:r w:rsidRPr="00686E9D">
              <w:rPr>
                <w:rFonts w:ascii="Arial" w:hAnsi="Arial" w:cs="Arial"/>
                <w:strike/>
                <w:sz w:val="16"/>
                <w:szCs w:val="16"/>
                <w:lang w:val="en-IE"/>
              </w:rPr>
              <w:t>NiV</w:t>
            </w:r>
            <w:r w:rsidRPr="00686E9D">
              <w:rPr>
                <w:rFonts w:ascii="Arial Narrow" w:hAnsi="Arial Narrow" w:cs="Arial"/>
                <w:sz w:val="16"/>
                <w:szCs w:val="16"/>
                <w:lang w:val="en-IE"/>
              </w:rPr>
              <w:t>_</w:t>
            </w:r>
            <w:r w:rsidRPr="00686E9D">
              <w:rPr>
                <w:rFonts w:ascii="Arial Narrow" w:hAnsi="Arial Narrow" w:cs="Arial"/>
                <w:strike/>
                <w:sz w:val="16"/>
                <w:szCs w:val="16"/>
                <w:lang w:val="en-IE"/>
              </w:rPr>
              <w:t>TQM_N</w:t>
            </w:r>
            <w:proofErr w:type="spellEnd"/>
          </w:p>
        </w:tc>
        <w:tc>
          <w:tcPr>
            <w:tcW w:w="851" w:type="dxa"/>
            <w:vAlign w:val="center"/>
          </w:tcPr>
          <w:p w14:paraId="75550B4C" w14:textId="3EBF0A18" w:rsidR="001B0CFA" w:rsidRPr="00686E9D" w:rsidRDefault="001B0CFA" w:rsidP="001B0CFA">
            <w:pPr>
              <w:pStyle w:val="111Para"/>
              <w:spacing w:before="100" w:after="100"/>
              <w:ind w:left="0"/>
              <w:jc w:val="center"/>
              <w:rPr>
                <w:strike/>
                <w:lang w:val="en-IE"/>
              </w:rPr>
            </w:pPr>
            <w:r w:rsidRPr="00686E9D">
              <w:rPr>
                <w:strike/>
                <w:sz w:val="16"/>
                <w:szCs w:val="16"/>
                <w:lang w:val="en-IE"/>
              </w:rPr>
              <w:t>Forward</w:t>
            </w:r>
          </w:p>
        </w:tc>
        <w:tc>
          <w:tcPr>
            <w:tcW w:w="1417" w:type="dxa"/>
            <w:vAlign w:val="center"/>
          </w:tcPr>
          <w:p w14:paraId="5A9F60CA" w14:textId="24CBEFE6" w:rsidR="001B0CFA" w:rsidRPr="00686E9D" w:rsidRDefault="001B0CFA" w:rsidP="001B0CFA">
            <w:pPr>
              <w:pStyle w:val="ListParagraph1"/>
              <w:spacing w:before="100" w:after="100" w:line="240" w:lineRule="auto"/>
              <w:ind w:left="0"/>
              <w:contextualSpacing w:val="0"/>
              <w:jc w:val="center"/>
              <w:rPr>
                <w:rFonts w:ascii="Arial" w:hAnsi="Arial" w:cs="Arial"/>
                <w:strike/>
                <w:sz w:val="16"/>
                <w:szCs w:val="16"/>
                <w:lang w:val="en-IE"/>
              </w:rPr>
            </w:pPr>
            <w:r w:rsidRPr="00686E9D">
              <w:rPr>
                <w:rFonts w:ascii="Arial" w:hAnsi="Arial" w:cs="Arial"/>
                <w:strike/>
                <w:sz w:val="16"/>
                <w:szCs w:val="16"/>
                <w:lang w:val="en-IE"/>
              </w:rPr>
              <w:t>NiV_N_1198F</w:t>
            </w:r>
          </w:p>
        </w:tc>
        <w:tc>
          <w:tcPr>
            <w:tcW w:w="3686" w:type="dxa"/>
            <w:vAlign w:val="center"/>
          </w:tcPr>
          <w:p w14:paraId="2F50FABA" w14:textId="3ADF54FB" w:rsidR="001B0CFA" w:rsidRPr="00686E9D" w:rsidRDefault="001B0CFA" w:rsidP="001B0CFA">
            <w:pPr>
              <w:pStyle w:val="ListParagraph1"/>
              <w:spacing w:before="100" w:after="100" w:line="240" w:lineRule="auto"/>
              <w:ind w:left="0"/>
              <w:contextualSpacing w:val="0"/>
              <w:jc w:val="center"/>
              <w:rPr>
                <w:rFonts w:ascii="Arial" w:hAnsi="Arial" w:cs="Arial"/>
                <w:strike/>
                <w:sz w:val="16"/>
                <w:szCs w:val="16"/>
                <w:lang w:val="en-IE"/>
              </w:rPr>
            </w:pPr>
            <w:r w:rsidRPr="00686E9D">
              <w:rPr>
                <w:rFonts w:ascii="Arial" w:hAnsi="Arial" w:cs="Arial"/>
                <w:strike/>
                <w:sz w:val="16"/>
                <w:szCs w:val="16"/>
                <w:lang w:val="en-IE"/>
              </w:rPr>
              <w:t>TCA-GCA-GGA-AGG-CAA-GAG-AGT-AA</w:t>
            </w:r>
          </w:p>
        </w:tc>
        <w:tc>
          <w:tcPr>
            <w:tcW w:w="1530" w:type="dxa"/>
            <w:vAlign w:val="center"/>
          </w:tcPr>
          <w:p w14:paraId="50AF8723" w14:textId="77777777" w:rsidR="001B0CFA" w:rsidRPr="00686E9D" w:rsidRDefault="001B0CFA" w:rsidP="001B0CFA">
            <w:pPr>
              <w:pStyle w:val="111Para"/>
              <w:spacing w:before="100" w:after="100"/>
              <w:ind w:left="0"/>
              <w:jc w:val="center"/>
              <w:rPr>
                <w:strike/>
                <w:lang w:val="en-IE"/>
              </w:rPr>
            </w:pPr>
          </w:p>
        </w:tc>
      </w:tr>
      <w:tr w:rsidR="001B0CFA" w:rsidRPr="00686E9D" w14:paraId="735E8366" w14:textId="77777777" w:rsidTr="009B1295">
        <w:tc>
          <w:tcPr>
            <w:tcW w:w="1588" w:type="dxa"/>
            <w:vMerge/>
            <w:vAlign w:val="center"/>
          </w:tcPr>
          <w:p w14:paraId="4C3EF38C" w14:textId="77777777" w:rsidR="001B0CFA" w:rsidRPr="00686E9D" w:rsidRDefault="001B0CFA" w:rsidP="001B0CFA">
            <w:pPr>
              <w:pStyle w:val="111Para"/>
              <w:spacing w:before="100" w:after="100"/>
              <w:ind w:left="0"/>
              <w:jc w:val="center"/>
              <w:rPr>
                <w:lang w:val="en-IE"/>
              </w:rPr>
            </w:pPr>
          </w:p>
        </w:tc>
        <w:tc>
          <w:tcPr>
            <w:tcW w:w="851" w:type="dxa"/>
            <w:vAlign w:val="center"/>
          </w:tcPr>
          <w:p w14:paraId="26122118" w14:textId="3D152FE5" w:rsidR="001B0CFA" w:rsidRPr="00686E9D" w:rsidRDefault="001B0CFA" w:rsidP="001B0CFA">
            <w:pPr>
              <w:pStyle w:val="111Para"/>
              <w:spacing w:before="100" w:after="100"/>
              <w:ind w:left="0"/>
              <w:jc w:val="center"/>
              <w:rPr>
                <w:strike/>
                <w:lang w:val="en-IE"/>
              </w:rPr>
            </w:pPr>
            <w:r w:rsidRPr="00686E9D">
              <w:rPr>
                <w:strike/>
                <w:sz w:val="16"/>
                <w:szCs w:val="16"/>
                <w:lang w:val="en-IE"/>
              </w:rPr>
              <w:t>Reverse</w:t>
            </w:r>
          </w:p>
        </w:tc>
        <w:tc>
          <w:tcPr>
            <w:tcW w:w="1417" w:type="dxa"/>
            <w:vAlign w:val="center"/>
          </w:tcPr>
          <w:p w14:paraId="208C6A64" w14:textId="707B1658" w:rsidR="001B0CFA" w:rsidRPr="00686E9D" w:rsidRDefault="001B0CFA" w:rsidP="001B0CFA">
            <w:pPr>
              <w:pStyle w:val="ListParagraph1"/>
              <w:spacing w:before="100" w:after="100" w:line="240" w:lineRule="auto"/>
              <w:ind w:left="0"/>
              <w:contextualSpacing w:val="0"/>
              <w:jc w:val="center"/>
              <w:rPr>
                <w:rFonts w:ascii="Arial" w:hAnsi="Arial" w:cs="Arial"/>
                <w:strike/>
                <w:sz w:val="16"/>
                <w:szCs w:val="16"/>
                <w:lang w:val="en-IE"/>
              </w:rPr>
            </w:pPr>
            <w:r w:rsidRPr="00686E9D">
              <w:rPr>
                <w:rFonts w:ascii="Arial" w:hAnsi="Arial" w:cs="Arial"/>
                <w:strike/>
                <w:sz w:val="16"/>
                <w:szCs w:val="16"/>
                <w:lang w:val="en-IE"/>
              </w:rPr>
              <w:t>NiV_N_1297R</w:t>
            </w:r>
          </w:p>
        </w:tc>
        <w:tc>
          <w:tcPr>
            <w:tcW w:w="3686" w:type="dxa"/>
            <w:vAlign w:val="center"/>
          </w:tcPr>
          <w:p w14:paraId="45DA3B8B" w14:textId="629E5DA3" w:rsidR="001B0CFA" w:rsidRPr="00686E9D" w:rsidRDefault="001B0CFA" w:rsidP="001B0CFA">
            <w:pPr>
              <w:pStyle w:val="ListParagraph1"/>
              <w:spacing w:before="100" w:after="100" w:line="240" w:lineRule="auto"/>
              <w:ind w:left="0"/>
              <w:contextualSpacing w:val="0"/>
              <w:jc w:val="center"/>
              <w:rPr>
                <w:rFonts w:ascii="Arial" w:hAnsi="Arial" w:cs="Arial"/>
                <w:strike/>
                <w:sz w:val="16"/>
                <w:szCs w:val="16"/>
                <w:lang w:val="en-IE"/>
              </w:rPr>
            </w:pPr>
            <w:r w:rsidRPr="00686E9D">
              <w:rPr>
                <w:rFonts w:ascii="Arial" w:hAnsi="Arial" w:cs="Arial"/>
                <w:strike/>
                <w:sz w:val="16"/>
                <w:szCs w:val="16"/>
                <w:lang w:val="en-IE"/>
              </w:rPr>
              <w:t>CCC-CTT-CAT-CGA-TAT-CTT-GAT-CA</w:t>
            </w:r>
          </w:p>
        </w:tc>
        <w:tc>
          <w:tcPr>
            <w:tcW w:w="1530" w:type="dxa"/>
            <w:vAlign w:val="center"/>
          </w:tcPr>
          <w:p w14:paraId="602B2CB2" w14:textId="77777777" w:rsidR="001B0CFA" w:rsidRPr="00686E9D" w:rsidRDefault="001B0CFA" w:rsidP="001B0CFA">
            <w:pPr>
              <w:pStyle w:val="111Para"/>
              <w:spacing w:before="100" w:after="100"/>
              <w:ind w:left="0"/>
              <w:jc w:val="center"/>
              <w:rPr>
                <w:lang w:val="en-IE"/>
              </w:rPr>
            </w:pPr>
          </w:p>
        </w:tc>
      </w:tr>
      <w:tr w:rsidR="001B0CFA" w:rsidRPr="00686E9D" w14:paraId="25564770" w14:textId="77777777" w:rsidTr="009B1295">
        <w:tc>
          <w:tcPr>
            <w:tcW w:w="1588" w:type="dxa"/>
            <w:vMerge/>
            <w:vAlign w:val="center"/>
          </w:tcPr>
          <w:p w14:paraId="0BE3DEFD" w14:textId="77777777" w:rsidR="001B0CFA" w:rsidRPr="00686E9D" w:rsidRDefault="001B0CFA" w:rsidP="001B0CFA">
            <w:pPr>
              <w:pStyle w:val="111Para"/>
              <w:spacing w:before="100" w:after="100"/>
              <w:ind w:left="0"/>
              <w:jc w:val="center"/>
              <w:rPr>
                <w:sz w:val="16"/>
                <w:szCs w:val="16"/>
                <w:lang w:val="en-IE"/>
              </w:rPr>
            </w:pPr>
          </w:p>
        </w:tc>
        <w:tc>
          <w:tcPr>
            <w:tcW w:w="851" w:type="dxa"/>
            <w:vAlign w:val="center"/>
          </w:tcPr>
          <w:p w14:paraId="3FEE37FF" w14:textId="70C6891B" w:rsidR="001B0CFA" w:rsidRPr="00686E9D" w:rsidRDefault="001B0CFA" w:rsidP="001B0CFA">
            <w:pPr>
              <w:pStyle w:val="111Para"/>
              <w:spacing w:before="100" w:after="100"/>
              <w:ind w:left="0"/>
              <w:jc w:val="center"/>
              <w:rPr>
                <w:strike/>
                <w:sz w:val="16"/>
                <w:szCs w:val="16"/>
                <w:lang w:val="en-IE"/>
              </w:rPr>
            </w:pPr>
            <w:r w:rsidRPr="00686E9D">
              <w:rPr>
                <w:strike/>
                <w:sz w:val="16"/>
                <w:szCs w:val="16"/>
                <w:lang w:val="en-IE"/>
              </w:rPr>
              <w:t>Probe</w:t>
            </w:r>
          </w:p>
        </w:tc>
        <w:tc>
          <w:tcPr>
            <w:tcW w:w="1417" w:type="dxa"/>
            <w:vAlign w:val="center"/>
          </w:tcPr>
          <w:p w14:paraId="30E7124C" w14:textId="1EC46E41" w:rsidR="001B0CFA" w:rsidRPr="00686E9D" w:rsidRDefault="001B0CFA" w:rsidP="001B0CFA">
            <w:pPr>
              <w:pStyle w:val="ListParagraph1"/>
              <w:spacing w:before="100" w:after="100" w:line="240" w:lineRule="auto"/>
              <w:ind w:left="0"/>
              <w:contextualSpacing w:val="0"/>
              <w:jc w:val="center"/>
              <w:rPr>
                <w:rFonts w:ascii="Arial" w:hAnsi="Arial" w:cs="Arial"/>
                <w:strike/>
                <w:sz w:val="16"/>
                <w:szCs w:val="16"/>
                <w:lang w:val="en-IE"/>
              </w:rPr>
            </w:pPr>
            <w:r w:rsidRPr="00686E9D">
              <w:rPr>
                <w:rFonts w:ascii="Arial" w:hAnsi="Arial" w:cs="Arial"/>
                <w:strike/>
                <w:sz w:val="16"/>
                <w:szCs w:val="16"/>
                <w:lang w:val="en-IE"/>
              </w:rPr>
              <w:t>NiV_N_1247comp</w:t>
            </w:r>
          </w:p>
        </w:tc>
        <w:tc>
          <w:tcPr>
            <w:tcW w:w="3686" w:type="dxa"/>
            <w:vAlign w:val="center"/>
          </w:tcPr>
          <w:p w14:paraId="2BB5AD3A" w14:textId="25B98CA6" w:rsidR="001B0CFA" w:rsidRPr="00686E9D" w:rsidRDefault="001B0CFA" w:rsidP="001B0CFA">
            <w:pPr>
              <w:pStyle w:val="ListParagraph1"/>
              <w:spacing w:before="100" w:after="100" w:line="240" w:lineRule="auto"/>
              <w:ind w:left="0"/>
              <w:contextualSpacing w:val="0"/>
              <w:jc w:val="center"/>
              <w:rPr>
                <w:rFonts w:ascii="Arial" w:hAnsi="Arial" w:cs="Arial"/>
                <w:strike/>
                <w:sz w:val="16"/>
                <w:szCs w:val="16"/>
                <w:lang w:val="en-IE"/>
              </w:rPr>
            </w:pPr>
            <w:r w:rsidRPr="00686E9D">
              <w:rPr>
                <w:rFonts w:ascii="Arial" w:hAnsi="Arial" w:cs="Arial"/>
                <w:strike/>
                <w:sz w:val="16"/>
                <w:szCs w:val="16"/>
                <w:lang w:val="en-IE"/>
              </w:rPr>
              <w:t>CCT-CCA-ATG-AGC-ACA-CCT-CCT-GCA-G</w:t>
            </w:r>
          </w:p>
        </w:tc>
        <w:tc>
          <w:tcPr>
            <w:tcW w:w="1530" w:type="dxa"/>
            <w:vAlign w:val="center"/>
          </w:tcPr>
          <w:p w14:paraId="73C345B6" w14:textId="70DB3CD4" w:rsidR="001B0CFA" w:rsidRPr="00686E9D" w:rsidRDefault="001B0CFA" w:rsidP="001B0CFA">
            <w:pPr>
              <w:pStyle w:val="111Para"/>
              <w:spacing w:before="100" w:after="100"/>
              <w:ind w:left="0"/>
              <w:jc w:val="center"/>
              <w:rPr>
                <w:strike/>
                <w:sz w:val="16"/>
                <w:szCs w:val="16"/>
                <w:lang w:val="en-IE"/>
              </w:rPr>
            </w:pPr>
            <w:r w:rsidRPr="00686E9D">
              <w:rPr>
                <w:strike/>
                <w:sz w:val="16"/>
                <w:szCs w:val="16"/>
                <w:lang w:val="en-IE"/>
              </w:rPr>
              <w:t>FAM-TAMRA</w:t>
            </w:r>
          </w:p>
        </w:tc>
      </w:tr>
      <w:tr w:rsidR="00915446" w:rsidRPr="00686E9D" w14:paraId="02853EFE" w14:textId="77777777" w:rsidTr="00EB3039">
        <w:tc>
          <w:tcPr>
            <w:tcW w:w="1588" w:type="dxa"/>
            <w:vMerge w:val="restart"/>
            <w:vAlign w:val="center"/>
          </w:tcPr>
          <w:p w14:paraId="2796E218" w14:textId="32716A3A" w:rsidR="00915446" w:rsidRPr="00686E9D" w:rsidRDefault="00915446" w:rsidP="001B0CFA">
            <w:pPr>
              <w:pStyle w:val="111Para"/>
              <w:spacing w:before="100" w:after="100"/>
              <w:ind w:left="0"/>
              <w:jc w:val="center"/>
              <w:rPr>
                <w:sz w:val="16"/>
                <w:szCs w:val="16"/>
                <w:u w:val="double"/>
                <w:lang w:val="en-IE"/>
              </w:rPr>
            </w:pPr>
            <w:proofErr w:type="spellStart"/>
            <w:r w:rsidRPr="00686E9D">
              <w:rPr>
                <w:sz w:val="16"/>
                <w:szCs w:val="16"/>
                <w:u w:val="double"/>
                <w:lang w:val="en-IE"/>
              </w:rPr>
              <w:t>NiV_</w:t>
            </w:r>
            <w:r w:rsidRPr="00686E9D">
              <w:rPr>
                <w:strike/>
                <w:sz w:val="16"/>
                <w:szCs w:val="16"/>
                <w:lang w:val="en-IE"/>
              </w:rPr>
              <w:t>TQM_</w:t>
            </w:r>
            <w:r w:rsidRPr="00686E9D">
              <w:rPr>
                <w:sz w:val="16"/>
                <w:szCs w:val="16"/>
                <w:u w:val="double"/>
                <w:lang w:val="en-IE"/>
              </w:rPr>
              <w:t>L</w:t>
            </w:r>
            <w:proofErr w:type="spellEnd"/>
            <w:r w:rsidR="00055BB5" w:rsidRPr="00686E9D">
              <w:rPr>
                <w:sz w:val="16"/>
                <w:szCs w:val="16"/>
                <w:u w:val="double"/>
                <w:lang w:val="en-IE"/>
              </w:rPr>
              <w:t xml:space="preserve"> gene</w:t>
            </w:r>
            <w:r w:rsidR="00C25D0F" w:rsidRPr="00686E9D">
              <w:rPr>
                <w:sz w:val="16"/>
                <w:szCs w:val="16"/>
                <w:u w:val="double"/>
                <w:lang w:val="en-IE"/>
              </w:rPr>
              <w:t>**</w:t>
            </w:r>
            <w:r w:rsidR="009C5CCF">
              <w:rPr>
                <w:sz w:val="16"/>
                <w:szCs w:val="16"/>
                <w:u w:val="double"/>
                <w:lang w:val="en-IE"/>
              </w:rPr>
              <w:t>*</w:t>
            </w:r>
            <w:r w:rsidR="00A96D2D">
              <w:rPr>
                <w:sz w:val="16"/>
                <w:szCs w:val="16"/>
                <w:u w:val="double"/>
                <w:lang w:val="en-IE"/>
              </w:rPr>
              <w:t>*</w:t>
            </w:r>
            <w:r w:rsidRPr="00686E9D">
              <w:rPr>
                <w:sz w:val="16"/>
                <w:szCs w:val="16"/>
                <w:u w:val="double"/>
                <w:lang w:val="en-IE"/>
              </w:rPr>
              <w:t xml:space="preserve"> (Wang unpublished)</w:t>
            </w:r>
          </w:p>
        </w:tc>
        <w:tc>
          <w:tcPr>
            <w:tcW w:w="851" w:type="dxa"/>
            <w:vAlign w:val="center"/>
          </w:tcPr>
          <w:p w14:paraId="626C842A" w14:textId="2C489D05" w:rsidR="00915446" w:rsidRPr="00686E9D" w:rsidRDefault="00915446" w:rsidP="001B0CFA">
            <w:pPr>
              <w:pStyle w:val="111Para"/>
              <w:spacing w:before="100" w:after="100"/>
              <w:ind w:left="0"/>
              <w:jc w:val="center"/>
              <w:rPr>
                <w:sz w:val="16"/>
                <w:szCs w:val="16"/>
                <w:u w:val="double"/>
                <w:lang w:val="en-IE"/>
              </w:rPr>
            </w:pPr>
            <w:r w:rsidRPr="00686E9D">
              <w:rPr>
                <w:sz w:val="16"/>
                <w:szCs w:val="16"/>
                <w:u w:val="double"/>
                <w:lang w:val="en-IE"/>
              </w:rPr>
              <w:t>Forward</w:t>
            </w:r>
          </w:p>
        </w:tc>
        <w:tc>
          <w:tcPr>
            <w:tcW w:w="1417" w:type="dxa"/>
            <w:vAlign w:val="center"/>
          </w:tcPr>
          <w:p w14:paraId="78172A1A" w14:textId="78BCA068" w:rsidR="00915446" w:rsidRPr="00686E9D" w:rsidRDefault="00915446" w:rsidP="001B0CFA">
            <w:pPr>
              <w:pStyle w:val="ListParagraph1"/>
              <w:spacing w:before="100" w:after="100" w:line="240" w:lineRule="auto"/>
              <w:ind w:left="0"/>
              <w:contextualSpacing w:val="0"/>
              <w:jc w:val="center"/>
              <w:rPr>
                <w:rFonts w:ascii="Arial" w:hAnsi="Arial" w:cs="Arial"/>
                <w:sz w:val="16"/>
                <w:szCs w:val="16"/>
                <w:u w:val="double"/>
                <w:lang w:val="en-IE"/>
              </w:rPr>
            </w:pPr>
            <w:r w:rsidRPr="00686E9D">
              <w:rPr>
                <w:rFonts w:ascii="Arial" w:hAnsi="Arial" w:cs="Arial"/>
                <w:sz w:val="16"/>
                <w:szCs w:val="16"/>
                <w:u w:val="double"/>
                <w:lang w:val="en-IE"/>
              </w:rPr>
              <w:t>NiV_L_11908F</w:t>
            </w:r>
          </w:p>
        </w:tc>
        <w:tc>
          <w:tcPr>
            <w:tcW w:w="3686" w:type="dxa"/>
            <w:vAlign w:val="center"/>
          </w:tcPr>
          <w:p w14:paraId="2BB72866" w14:textId="77629C94" w:rsidR="00915446" w:rsidRPr="00686E9D" w:rsidRDefault="00915446" w:rsidP="001B0CFA">
            <w:pPr>
              <w:pStyle w:val="ListParagraph1"/>
              <w:spacing w:before="100" w:after="100" w:line="240" w:lineRule="auto"/>
              <w:ind w:left="0"/>
              <w:contextualSpacing w:val="0"/>
              <w:jc w:val="center"/>
              <w:rPr>
                <w:rFonts w:ascii="Arial" w:hAnsi="Arial" w:cs="Arial"/>
                <w:sz w:val="16"/>
                <w:szCs w:val="16"/>
                <w:u w:val="double"/>
                <w:lang w:val="en-IE"/>
              </w:rPr>
            </w:pPr>
            <w:r w:rsidRPr="00686E9D">
              <w:rPr>
                <w:rFonts w:ascii="Arial" w:hAnsi="Arial" w:cs="Arial"/>
                <w:bCs/>
                <w:sz w:val="16"/>
                <w:szCs w:val="16"/>
                <w:u w:val="double"/>
                <w:lang w:val="en-IE"/>
              </w:rPr>
              <w:t>GGT-ATG-ART-GTT-TTT-TGT-TTT-GGT-TTA-C</w:t>
            </w:r>
          </w:p>
        </w:tc>
        <w:tc>
          <w:tcPr>
            <w:tcW w:w="1530" w:type="dxa"/>
            <w:vAlign w:val="center"/>
          </w:tcPr>
          <w:p w14:paraId="2C959BC2" w14:textId="77777777" w:rsidR="00915446" w:rsidRPr="00686E9D" w:rsidRDefault="00915446" w:rsidP="001B0CFA">
            <w:pPr>
              <w:pStyle w:val="111Para"/>
              <w:spacing w:before="100" w:after="100"/>
              <w:ind w:left="0"/>
              <w:jc w:val="center"/>
              <w:rPr>
                <w:sz w:val="16"/>
                <w:szCs w:val="16"/>
                <w:u w:val="double"/>
                <w:lang w:val="en-IE"/>
              </w:rPr>
            </w:pPr>
          </w:p>
        </w:tc>
      </w:tr>
      <w:tr w:rsidR="00915446" w:rsidRPr="00686E9D" w14:paraId="110EFE39" w14:textId="77777777" w:rsidTr="00EB3039">
        <w:tc>
          <w:tcPr>
            <w:tcW w:w="1588" w:type="dxa"/>
            <w:vMerge/>
            <w:vAlign w:val="center"/>
          </w:tcPr>
          <w:p w14:paraId="0D93F5F2" w14:textId="77777777" w:rsidR="00915446" w:rsidRPr="00686E9D" w:rsidRDefault="00915446" w:rsidP="001B0CFA">
            <w:pPr>
              <w:pStyle w:val="111Para"/>
              <w:spacing w:before="100" w:after="100"/>
              <w:ind w:left="0"/>
              <w:jc w:val="center"/>
              <w:rPr>
                <w:sz w:val="16"/>
                <w:szCs w:val="16"/>
                <w:u w:val="double"/>
                <w:lang w:val="en-IE"/>
              </w:rPr>
            </w:pPr>
          </w:p>
        </w:tc>
        <w:tc>
          <w:tcPr>
            <w:tcW w:w="851" w:type="dxa"/>
            <w:vAlign w:val="center"/>
          </w:tcPr>
          <w:p w14:paraId="004EEAC2" w14:textId="1D1DE210" w:rsidR="00915446" w:rsidRPr="00686E9D" w:rsidRDefault="00915446" w:rsidP="001B0CFA">
            <w:pPr>
              <w:pStyle w:val="111Para"/>
              <w:spacing w:before="100" w:after="100"/>
              <w:ind w:left="0"/>
              <w:jc w:val="center"/>
              <w:rPr>
                <w:sz w:val="16"/>
                <w:szCs w:val="16"/>
                <w:u w:val="double"/>
                <w:lang w:val="en-IE"/>
              </w:rPr>
            </w:pPr>
            <w:r w:rsidRPr="00686E9D">
              <w:rPr>
                <w:sz w:val="16"/>
                <w:szCs w:val="16"/>
                <w:u w:val="double"/>
                <w:lang w:val="en-IE"/>
              </w:rPr>
              <w:t>Reverse</w:t>
            </w:r>
          </w:p>
        </w:tc>
        <w:tc>
          <w:tcPr>
            <w:tcW w:w="1417" w:type="dxa"/>
            <w:vAlign w:val="center"/>
          </w:tcPr>
          <w:p w14:paraId="6E90BD89" w14:textId="1E7642E0" w:rsidR="00915446" w:rsidRPr="00686E9D" w:rsidRDefault="00915446" w:rsidP="001B0CFA">
            <w:pPr>
              <w:pStyle w:val="ListParagraph1"/>
              <w:spacing w:before="100" w:after="100" w:line="240" w:lineRule="auto"/>
              <w:ind w:left="0"/>
              <w:contextualSpacing w:val="0"/>
              <w:jc w:val="center"/>
              <w:rPr>
                <w:rFonts w:ascii="Arial" w:hAnsi="Arial" w:cs="Arial"/>
                <w:sz w:val="16"/>
                <w:szCs w:val="16"/>
                <w:u w:val="double"/>
                <w:lang w:val="en-IE"/>
              </w:rPr>
            </w:pPr>
            <w:r w:rsidRPr="00686E9D">
              <w:rPr>
                <w:rFonts w:ascii="Arial" w:hAnsi="Arial" w:cs="Arial"/>
                <w:sz w:val="16"/>
                <w:szCs w:val="16"/>
                <w:u w:val="double"/>
                <w:lang w:val="en-IE"/>
              </w:rPr>
              <w:t>NiV_L_11962R</w:t>
            </w:r>
          </w:p>
        </w:tc>
        <w:tc>
          <w:tcPr>
            <w:tcW w:w="3686" w:type="dxa"/>
            <w:vAlign w:val="center"/>
          </w:tcPr>
          <w:p w14:paraId="41C41F4A" w14:textId="39F054A8" w:rsidR="00915446" w:rsidRPr="00686E9D" w:rsidRDefault="00915446" w:rsidP="001B0CFA">
            <w:pPr>
              <w:pStyle w:val="ListParagraph1"/>
              <w:spacing w:before="100" w:after="100" w:line="240" w:lineRule="auto"/>
              <w:ind w:left="0"/>
              <w:contextualSpacing w:val="0"/>
              <w:jc w:val="center"/>
              <w:rPr>
                <w:rFonts w:ascii="Arial" w:hAnsi="Arial" w:cs="Arial"/>
                <w:sz w:val="16"/>
                <w:szCs w:val="16"/>
                <w:u w:val="double"/>
                <w:lang w:val="en-IE"/>
              </w:rPr>
            </w:pPr>
            <w:r w:rsidRPr="00686E9D">
              <w:rPr>
                <w:rFonts w:ascii="Arial" w:hAnsi="Arial" w:cs="Arial"/>
                <w:bCs/>
                <w:sz w:val="16"/>
                <w:szCs w:val="16"/>
                <w:u w:val="double"/>
                <w:lang w:val="en-IE"/>
              </w:rPr>
              <w:t>CGG-CTT-TTG-YGA-ATT-CTT-GA</w:t>
            </w:r>
          </w:p>
        </w:tc>
        <w:tc>
          <w:tcPr>
            <w:tcW w:w="1530" w:type="dxa"/>
            <w:vAlign w:val="center"/>
          </w:tcPr>
          <w:p w14:paraId="1BF13F1D" w14:textId="77777777" w:rsidR="00915446" w:rsidRPr="00686E9D" w:rsidRDefault="00915446" w:rsidP="001B0CFA">
            <w:pPr>
              <w:pStyle w:val="111Para"/>
              <w:spacing w:before="100" w:after="100"/>
              <w:ind w:left="0"/>
              <w:jc w:val="center"/>
              <w:rPr>
                <w:sz w:val="16"/>
                <w:szCs w:val="16"/>
                <w:u w:val="double"/>
                <w:lang w:val="en-IE"/>
              </w:rPr>
            </w:pPr>
          </w:p>
        </w:tc>
      </w:tr>
      <w:tr w:rsidR="00915446" w:rsidRPr="00686E9D" w14:paraId="0B2AA434" w14:textId="77777777" w:rsidTr="00EB3039">
        <w:tc>
          <w:tcPr>
            <w:tcW w:w="1588" w:type="dxa"/>
            <w:vMerge/>
            <w:vAlign w:val="center"/>
          </w:tcPr>
          <w:p w14:paraId="1AA89F0A" w14:textId="77777777" w:rsidR="00915446" w:rsidRPr="00686E9D" w:rsidRDefault="00915446" w:rsidP="001B0CFA">
            <w:pPr>
              <w:pStyle w:val="111Para"/>
              <w:spacing w:before="100" w:after="100"/>
              <w:ind w:left="0"/>
              <w:jc w:val="center"/>
              <w:rPr>
                <w:sz w:val="16"/>
                <w:szCs w:val="16"/>
                <w:u w:val="double"/>
                <w:lang w:val="en-IE"/>
              </w:rPr>
            </w:pPr>
          </w:p>
        </w:tc>
        <w:tc>
          <w:tcPr>
            <w:tcW w:w="851" w:type="dxa"/>
            <w:vAlign w:val="center"/>
          </w:tcPr>
          <w:p w14:paraId="51E9F775" w14:textId="53EC7D3C" w:rsidR="00915446" w:rsidRPr="00686E9D" w:rsidRDefault="00915446" w:rsidP="001B0CFA">
            <w:pPr>
              <w:pStyle w:val="111Para"/>
              <w:spacing w:before="100" w:after="100"/>
              <w:ind w:left="0"/>
              <w:jc w:val="center"/>
              <w:rPr>
                <w:sz w:val="16"/>
                <w:szCs w:val="16"/>
                <w:u w:val="double"/>
                <w:lang w:val="en-IE"/>
              </w:rPr>
            </w:pPr>
            <w:r w:rsidRPr="00686E9D">
              <w:rPr>
                <w:sz w:val="16"/>
                <w:szCs w:val="16"/>
                <w:u w:val="double"/>
                <w:lang w:val="en-IE"/>
              </w:rPr>
              <w:t>Probe</w:t>
            </w:r>
          </w:p>
        </w:tc>
        <w:tc>
          <w:tcPr>
            <w:tcW w:w="1417" w:type="dxa"/>
            <w:vAlign w:val="center"/>
          </w:tcPr>
          <w:p w14:paraId="17C71F85" w14:textId="328D3639" w:rsidR="00915446" w:rsidRPr="00686E9D" w:rsidRDefault="00915446" w:rsidP="001B0CFA">
            <w:pPr>
              <w:pStyle w:val="ListParagraph1"/>
              <w:spacing w:before="100" w:after="100" w:line="240" w:lineRule="auto"/>
              <w:ind w:left="0"/>
              <w:contextualSpacing w:val="0"/>
              <w:jc w:val="center"/>
              <w:rPr>
                <w:rFonts w:ascii="Arial" w:hAnsi="Arial" w:cs="Arial"/>
                <w:sz w:val="16"/>
                <w:szCs w:val="16"/>
                <w:u w:val="double"/>
                <w:lang w:val="en-IE"/>
              </w:rPr>
            </w:pPr>
            <w:r w:rsidRPr="00686E9D">
              <w:rPr>
                <w:rFonts w:ascii="Arial" w:hAnsi="Arial" w:cs="Arial"/>
                <w:sz w:val="16"/>
                <w:szCs w:val="16"/>
                <w:u w:val="double"/>
                <w:lang w:val="en-IE"/>
              </w:rPr>
              <w:t>NiV_L_11937P</w:t>
            </w:r>
          </w:p>
        </w:tc>
        <w:tc>
          <w:tcPr>
            <w:tcW w:w="3686" w:type="dxa"/>
            <w:vAlign w:val="center"/>
          </w:tcPr>
          <w:p w14:paraId="4D10E6E4" w14:textId="6E65F0DC" w:rsidR="00915446" w:rsidRPr="00686E9D" w:rsidRDefault="00915446" w:rsidP="001B0CFA">
            <w:pPr>
              <w:pStyle w:val="ListParagraph1"/>
              <w:spacing w:before="100" w:after="100" w:line="240" w:lineRule="auto"/>
              <w:ind w:left="0"/>
              <w:contextualSpacing w:val="0"/>
              <w:jc w:val="center"/>
              <w:rPr>
                <w:rFonts w:ascii="Arial" w:hAnsi="Arial" w:cs="Arial"/>
                <w:sz w:val="16"/>
                <w:szCs w:val="16"/>
                <w:u w:val="double"/>
                <w:lang w:val="en-IE"/>
              </w:rPr>
            </w:pPr>
            <w:r w:rsidRPr="00686E9D">
              <w:rPr>
                <w:rFonts w:ascii="Arial" w:hAnsi="Arial" w:cs="Arial"/>
                <w:sz w:val="16"/>
                <w:szCs w:val="16"/>
                <w:u w:val="double"/>
                <w:lang w:val="en-IE"/>
              </w:rPr>
              <w:t>ATC-AAA-ACA-GAG-ATG-CGA-GC</w:t>
            </w:r>
          </w:p>
        </w:tc>
        <w:tc>
          <w:tcPr>
            <w:tcW w:w="1530" w:type="dxa"/>
            <w:vAlign w:val="center"/>
          </w:tcPr>
          <w:p w14:paraId="1C768DCD" w14:textId="57D6250D" w:rsidR="00915446" w:rsidRPr="00686E9D" w:rsidRDefault="00915446" w:rsidP="001B0CFA">
            <w:pPr>
              <w:pStyle w:val="111Para"/>
              <w:spacing w:before="100" w:after="100"/>
              <w:ind w:left="0"/>
              <w:jc w:val="center"/>
              <w:rPr>
                <w:sz w:val="16"/>
                <w:szCs w:val="16"/>
                <w:u w:val="double"/>
                <w:lang w:val="en-IE"/>
              </w:rPr>
            </w:pPr>
            <w:r w:rsidRPr="00686E9D">
              <w:rPr>
                <w:sz w:val="16"/>
                <w:szCs w:val="16"/>
                <w:u w:val="double"/>
                <w:lang w:val="en-IE"/>
              </w:rPr>
              <w:t>FAM-MGBNFQ</w:t>
            </w:r>
          </w:p>
        </w:tc>
      </w:tr>
    </w:tbl>
    <w:p w14:paraId="4EAE0682" w14:textId="6C8EF54D" w:rsidR="00C25D0F" w:rsidRPr="00686E9D" w:rsidRDefault="00A96D2D" w:rsidP="00AF7BBE">
      <w:pPr>
        <w:pStyle w:val="11"/>
        <w:spacing w:before="120"/>
        <w:jc w:val="center"/>
        <w:rPr>
          <w:rFonts w:ascii="Arial" w:hAnsi="Arial"/>
          <w:b w:val="0"/>
          <w:sz w:val="16"/>
          <w:szCs w:val="16"/>
          <w:u w:val="double"/>
          <w:lang w:val="en-IE"/>
        </w:rPr>
      </w:pPr>
      <w:r w:rsidRPr="00A96D2D">
        <w:rPr>
          <w:rFonts w:ascii="Arial" w:hAnsi="Arial"/>
          <w:b w:val="0"/>
          <w:sz w:val="16"/>
          <w:szCs w:val="16"/>
          <w:u w:val="double"/>
          <w:lang w:val="en-IE"/>
        </w:rPr>
        <w:t>*</w:t>
      </w:r>
      <w:r>
        <w:rPr>
          <w:rFonts w:ascii="Arial" w:hAnsi="Arial"/>
          <w:b w:val="0"/>
          <w:sz w:val="16"/>
          <w:szCs w:val="16"/>
          <w:u w:val="double"/>
          <w:lang w:val="en-IE"/>
        </w:rPr>
        <w:t>The HeV-g2 M gene assay is broadly reactive and detects HeV-g1 and HeV-g2</w:t>
      </w:r>
      <w:r w:rsidR="00AF7BBE">
        <w:rPr>
          <w:rFonts w:ascii="Arial" w:hAnsi="Arial"/>
          <w:b w:val="0"/>
          <w:sz w:val="16"/>
          <w:szCs w:val="16"/>
          <w:u w:val="double"/>
          <w:lang w:val="en-IE"/>
        </w:rPr>
        <w:br/>
      </w:r>
      <w:r w:rsidR="00E20DDD" w:rsidRPr="00686E9D">
        <w:rPr>
          <w:rFonts w:ascii="Arial" w:hAnsi="Arial"/>
          <w:b w:val="0"/>
          <w:sz w:val="16"/>
          <w:szCs w:val="16"/>
          <w:u w:val="double"/>
          <w:lang w:val="en-IE"/>
        </w:rPr>
        <w:t>*</w:t>
      </w:r>
      <w:r>
        <w:rPr>
          <w:rFonts w:ascii="Arial" w:hAnsi="Arial"/>
          <w:b w:val="0"/>
          <w:sz w:val="16"/>
          <w:szCs w:val="16"/>
          <w:u w:val="double"/>
          <w:lang w:val="en-IE"/>
        </w:rPr>
        <w:t>*</w:t>
      </w:r>
      <w:r w:rsidR="00E20DDD" w:rsidRPr="00686E9D">
        <w:rPr>
          <w:rFonts w:ascii="Arial" w:hAnsi="Arial"/>
          <w:b w:val="0"/>
          <w:sz w:val="16"/>
          <w:szCs w:val="16"/>
          <w:u w:val="double"/>
          <w:lang w:val="en-IE"/>
        </w:rPr>
        <w:t xml:space="preserve">The </w:t>
      </w:r>
      <w:proofErr w:type="spellStart"/>
      <w:r w:rsidR="00E20DDD" w:rsidRPr="00686E9D">
        <w:rPr>
          <w:rFonts w:ascii="Arial" w:hAnsi="Arial"/>
          <w:b w:val="0"/>
          <w:sz w:val="16"/>
          <w:szCs w:val="16"/>
          <w:u w:val="double"/>
          <w:lang w:val="en-IE"/>
        </w:rPr>
        <w:t>HeV</w:t>
      </w:r>
      <w:proofErr w:type="spellEnd"/>
      <w:r w:rsidR="00E20DDD" w:rsidRPr="00686E9D">
        <w:rPr>
          <w:rFonts w:ascii="Arial" w:hAnsi="Arial"/>
          <w:b w:val="0"/>
          <w:sz w:val="16"/>
          <w:szCs w:val="16"/>
          <w:u w:val="double"/>
          <w:lang w:val="en-IE"/>
        </w:rPr>
        <w:t xml:space="preserve"> P gene assay detects both HeV</w:t>
      </w:r>
      <w:r w:rsidR="009C5CCF">
        <w:rPr>
          <w:rFonts w:ascii="Arial" w:hAnsi="Arial"/>
          <w:b w:val="0"/>
          <w:sz w:val="16"/>
          <w:szCs w:val="16"/>
          <w:u w:val="double"/>
          <w:lang w:val="en-IE"/>
        </w:rPr>
        <w:t>-g1 and HeV-g2</w:t>
      </w:r>
      <w:r w:rsidR="00E20DDD" w:rsidRPr="00686E9D">
        <w:rPr>
          <w:rFonts w:ascii="Arial" w:hAnsi="Arial"/>
          <w:b w:val="0"/>
          <w:sz w:val="16"/>
          <w:szCs w:val="16"/>
          <w:u w:val="double"/>
          <w:lang w:val="en-IE"/>
        </w:rPr>
        <w:t xml:space="preserve"> and </w:t>
      </w:r>
      <w:proofErr w:type="spellStart"/>
      <w:r w:rsidR="00E20DDD" w:rsidRPr="00686E9D">
        <w:rPr>
          <w:rFonts w:ascii="Arial" w:hAnsi="Arial"/>
          <w:b w:val="0"/>
          <w:sz w:val="16"/>
          <w:szCs w:val="16"/>
          <w:u w:val="double"/>
          <w:lang w:val="en-IE"/>
        </w:rPr>
        <w:t>NiV</w:t>
      </w:r>
      <w:proofErr w:type="spellEnd"/>
      <w:r>
        <w:rPr>
          <w:rFonts w:ascii="Arial" w:hAnsi="Arial"/>
          <w:b w:val="0"/>
          <w:sz w:val="16"/>
          <w:szCs w:val="16"/>
          <w:u w:val="double"/>
          <w:lang w:val="en-IE"/>
        </w:rPr>
        <w:t>, but with slightly less sensitivity for HeV-g2</w:t>
      </w:r>
      <w:r w:rsidR="00E20DDD" w:rsidRPr="00686E9D">
        <w:rPr>
          <w:rFonts w:ascii="Arial" w:hAnsi="Arial"/>
          <w:b w:val="0"/>
          <w:sz w:val="16"/>
          <w:szCs w:val="16"/>
          <w:u w:val="double"/>
          <w:lang w:val="en-IE"/>
        </w:rPr>
        <w:t>.</w:t>
      </w:r>
      <w:r w:rsidR="00AF7BBE">
        <w:rPr>
          <w:rFonts w:ascii="Arial" w:hAnsi="Arial"/>
          <w:b w:val="0"/>
          <w:sz w:val="16"/>
          <w:szCs w:val="16"/>
          <w:u w:val="double"/>
          <w:lang w:val="en-IE"/>
        </w:rPr>
        <w:br/>
      </w:r>
      <w:r w:rsidR="009C5CCF">
        <w:rPr>
          <w:rFonts w:ascii="Arial" w:hAnsi="Arial"/>
          <w:b w:val="0"/>
          <w:sz w:val="16"/>
          <w:szCs w:val="16"/>
          <w:u w:val="double"/>
          <w:lang w:val="en-IE"/>
        </w:rPr>
        <w:t>**</w:t>
      </w:r>
      <w:r>
        <w:rPr>
          <w:rFonts w:ascii="Arial" w:hAnsi="Arial"/>
          <w:b w:val="0"/>
          <w:sz w:val="16"/>
          <w:szCs w:val="16"/>
          <w:u w:val="double"/>
          <w:lang w:val="en-IE"/>
        </w:rPr>
        <w:t>*</w:t>
      </w:r>
      <w:r w:rsidR="009C5CCF">
        <w:rPr>
          <w:rFonts w:ascii="Arial" w:hAnsi="Arial"/>
          <w:b w:val="0"/>
          <w:sz w:val="16"/>
          <w:szCs w:val="16"/>
          <w:u w:val="double"/>
          <w:lang w:val="en-IE"/>
        </w:rPr>
        <w:t xml:space="preserve">The </w:t>
      </w:r>
      <w:proofErr w:type="spellStart"/>
      <w:r w:rsidR="009C5CCF">
        <w:rPr>
          <w:rFonts w:ascii="Arial" w:hAnsi="Arial"/>
          <w:b w:val="0"/>
          <w:sz w:val="16"/>
          <w:szCs w:val="16"/>
          <w:u w:val="double"/>
          <w:lang w:val="en-IE"/>
        </w:rPr>
        <w:t>HeV</w:t>
      </w:r>
      <w:proofErr w:type="spellEnd"/>
      <w:r w:rsidR="009C5CCF">
        <w:rPr>
          <w:rFonts w:ascii="Arial" w:hAnsi="Arial"/>
          <w:b w:val="0"/>
          <w:sz w:val="16"/>
          <w:szCs w:val="16"/>
          <w:u w:val="double"/>
          <w:lang w:val="en-IE"/>
        </w:rPr>
        <w:t xml:space="preserve"> N gene assay detects HeV-g1. </w:t>
      </w:r>
      <w:r>
        <w:rPr>
          <w:rFonts w:ascii="Arial" w:hAnsi="Arial"/>
          <w:b w:val="0"/>
          <w:sz w:val="16"/>
          <w:szCs w:val="16"/>
          <w:u w:val="double"/>
          <w:lang w:val="en-IE"/>
        </w:rPr>
        <w:t xml:space="preserve">There are a few mismatches with </w:t>
      </w:r>
      <w:r w:rsidR="00AF7BBE">
        <w:rPr>
          <w:rFonts w:ascii="Arial" w:hAnsi="Arial"/>
          <w:b w:val="0"/>
          <w:sz w:val="16"/>
          <w:szCs w:val="16"/>
          <w:u w:val="double"/>
          <w:lang w:val="en-IE"/>
        </w:rPr>
        <w:br/>
      </w:r>
      <w:r w:rsidR="009C5CCF">
        <w:rPr>
          <w:rFonts w:ascii="Arial" w:hAnsi="Arial"/>
          <w:b w:val="0"/>
          <w:sz w:val="16"/>
          <w:szCs w:val="16"/>
          <w:u w:val="double"/>
          <w:lang w:val="en-IE"/>
        </w:rPr>
        <w:t>HeV-g2</w:t>
      </w:r>
      <w:r>
        <w:rPr>
          <w:rFonts w:ascii="Arial" w:hAnsi="Arial"/>
          <w:b w:val="0"/>
          <w:sz w:val="16"/>
          <w:szCs w:val="16"/>
          <w:u w:val="double"/>
          <w:lang w:val="en-IE"/>
        </w:rPr>
        <w:t xml:space="preserve"> but this is overcome</w:t>
      </w:r>
      <w:r w:rsidR="009C5CCF">
        <w:rPr>
          <w:rFonts w:ascii="Arial" w:hAnsi="Arial"/>
          <w:b w:val="0"/>
          <w:sz w:val="16"/>
          <w:szCs w:val="16"/>
          <w:u w:val="double"/>
          <w:lang w:val="en-IE"/>
        </w:rPr>
        <w:t xml:space="preserve"> when viral loads are high.</w:t>
      </w:r>
      <w:r w:rsidR="00AF7BBE">
        <w:rPr>
          <w:rFonts w:ascii="Arial" w:hAnsi="Arial"/>
          <w:b w:val="0"/>
          <w:sz w:val="16"/>
          <w:szCs w:val="16"/>
          <w:u w:val="double"/>
          <w:lang w:val="en-IE"/>
        </w:rPr>
        <w:t xml:space="preserve"> </w:t>
      </w:r>
      <w:r w:rsidR="00DF5340">
        <w:rPr>
          <w:rFonts w:ascii="Arial" w:hAnsi="Arial"/>
          <w:b w:val="0"/>
          <w:sz w:val="16"/>
          <w:szCs w:val="16"/>
          <w:u w:val="double"/>
          <w:lang w:val="en-IE"/>
        </w:rPr>
        <w:br/>
      </w:r>
      <w:r w:rsidR="00C25D0F" w:rsidRPr="00686E9D">
        <w:rPr>
          <w:rFonts w:ascii="Arial" w:hAnsi="Arial"/>
          <w:b w:val="0"/>
          <w:sz w:val="16"/>
          <w:szCs w:val="16"/>
          <w:u w:val="double"/>
          <w:lang w:val="en-IE"/>
        </w:rPr>
        <w:t>**</w:t>
      </w:r>
      <w:r w:rsidR="009C5CCF">
        <w:rPr>
          <w:rFonts w:ascii="Arial" w:hAnsi="Arial"/>
          <w:b w:val="0"/>
          <w:sz w:val="16"/>
          <w:szCs w:val="16"/>
          <w:u w:val="double"/>
          <w:lang w:val="en-IE"/>
        </w:rPr>
        <w:t>*</w:t>
      </w:r>
      <w:r>
        <w:rPr>
          <w:rFonts w:ascii="Arial" w:hAnsi="Arial"/>
          <w:b w:val="0"/>
          <w:sz w:val="16"/>
          <w:szCs w:val="16"/>
          <w:u w:val="double"/>
          <w:lang w:val="en-IE"/>
        </w:rPr>
        <w:t>*</w:t>
      </w:r>
      <w:r w:rsidR="00C25D0F" w:rsidRPr="00686E9D">
        <w:rPr>
          <w:rFonts w:ascii="Arial" w:hAnsi="Arial"/>
          <w:b w:val="0"/>
          <w:sz w:val="16"/>
          <w:szCs w:val="16"/>
          <w:u w:val="double"/>
          <w:lang w:val="en-IE"/>
        </w:rPr>
        <w:t xml:space="preserve">The </w:t>
      </w:r>
      <w:proofErr w:type="spellStart"/>
      <w:r w:rsidR="00C25D0F" w:rsidRPr="00686E9D">
        <w:rPr>
          <w:rFonts w:ascii="Arial" w:hAnsi="Arial"/>
          <w:b w:val="0"/>
          <w:sz w:val="16"/>
          <w:szCs w:val="16"/>
          <w:u w:val="double"/>
          <w:lang w:val="en-IE"/>
        </w:rPr>
        <w:t>NiV</w:t>
      </w:r>
      <w:proofErr w:type="spellEnd"/>
      <w:r w:rsidR="00C25D0F" w:rsidRPr="00686E9D">
        <w:rPr>
          <w:rFonts w:ascii="Arial" w:hAnsi="Arial"/>
          <w:b w:val="0"/>
          <w:sz w:val="16"/>
          <w:szCs w:val="16"/>
          <w:u w:val="double"/>
          <w:lang w:val="en-IE"/>
        </w:rPr>
        <w:t xml:space="preserve"> L gene assay detects both strains of </w:t>
      </w:r>
      <w:proofErr w:type="spellStart"/>
      <w:r w:rsidR="00C25D0F" w:rsidRPr="00686E9D">
        <w:rPr>
          <w:rFonts w:ascii="Arial" w:hAnsi="Arial"/>
          <w:b w:val="0"/>
          <w:sz w:val="16"/>
          <w:szCs w:val="16"/>
          <w:u w:val="double"/>
          <w:lang w:val="en-IE"/>
        </w:rPr>
        <w:t>NiV</w:t>
      </w:r>
      <w:proofErr w:type="spellEnd"/>
      <w:r w:rsidR="00C25D0F" w:rsidRPr="00686E9D">
        <w:rPr>
          <w:rFonts w:ascii="Arial" w:hAnsi="Arial"/>
          <w:b w:val="0"/>
          <w:sz w:val="16"/>
          <w:szCs w:val="16"/>
          <w:u w:val="double"/>
          <w:lang w:val="en-IE"/>
        </w:rPr>
        <w:t xml:space="preserve">, namely </w:t>
      </w:r>
      <w:proofErr w:type="spellStart"/>
      <w:r w:rsidR="00C25D0F" w:rsidRPr="00686E9D">
        <w:rPr>
          <w:rFonts w:ascii="Arial" w:hAnsi="Arial"/>
          <w:b w:val="0"/>
          <w:sz w:val="16"/>
          <w:szCs w:val="16"/>
          <w:u w:val="double"/>
          <w:lang w:val="en-IE"/>
        </w:rPr>
        <w:t>NiV</w:t>
      </w:r>
      <w:proofErr w:type="spellEnd"/>
      <w:r w:rsidR="00C25D0F" w:rsidRPr="00686E9D">
        <w:rPr>
          <w:rFonts w:ascii="Arial" w:hAnsi="Arial"/>
          <w:b w:val="0"/>
          <w:sz w:val="16"/>
          <w:szCs w:val="16"/>
          <w:u w:val="double"/>
          <w:lang w:val="en-IE"/>
        </w:rPr>
        <w:t xml:space="preserve">-M and </w:t>
      </w:r>
      <w:proofErr w:type="spellStart"/>
      <w:r w:rsidR="00C25D0F" w:rsidRPr="00686E9D">
        <w:rPr>
          <w:rFonts w:ascii="Arial" w:hAnsi="Arial"/>
          <w:b w:val="0"/>
          <w:sz w:val="16"/>
          <w:szCs w:val="16"/>
          <w:u w:val="double"/>
          <w:lang w:val="en-IE"/>
        </w:rPr>
        <w:t>NiV</w:t>
      </w:r>
      <w:proofErr w:type="spellEnd"/>
      <w:r w:rsidR="00C25D0F" w:rsidRPr="00686E9D">
        <w:rPr>
          <w:rFonts w:ascii="Arial" w:hAnsi="Arial"/>
          <w:b w:val="0"/>
          <w:sz w:val="16"/>
          <w:szCs w:val="16"/>
          <w:u w:val="double"/>
          <w:lang w:val="en-IE"/>
        </w:rPr>
        <w:t>-B.</w:t>
      </w:r>
    </w:p>
    <w:p w14:paraId="79FF51F3" w14:textId="4F8B27E1" w:rsidR="00682ECF" w:rsidRPr="00686E9D" w:rsidRDefault="00964ED2" w:rsidP="00B00859">
      <w:pPr>
        <w:pStyle w:val="11"/>
        <w:spacing w:before="240"/>
        <w:rPr>
          <w:bCs/>
          <w:lang w:val="en-IE"/>
        </w:rPr>
      </w:pPr>
      <w:r w:rsidRPr="00686E9D">
        <w:rPr>
          <w:bCs/>
          <w:lang w:val="en-IE"/>
        </w:rPr>
        <w:t>3.2.</w:t>
      </w:r>
      <w:r w:rsidRPr="00686E9D">
        <w:rPr>
          <w:bCs/>
          <w:lang w:val="en-IE"/>
        </w:rPr>
        <w:tab/>
      </w:r>
      <w:bookmarkStart w:id="9" w:name="_Hlk95814258"/>
      <w:r w:rsidRPr="00686E9D">
        <w:rPr>
          <w:bCs/>
          <w:lang w:val="en-IE"/>
        </w:rPr>
        <w:t>Conventional RT-PCR and Sanger sequencing</w:t>
      </w:r>
      <w:bookmarkEnd w:id="9"/>
    </w:p>
    <w:p w14:paraId="52F7D54E" w14:textId="44AF21BB" w:rsidR="00682ECF" w:rsidRPr="00686E9D" w:rsidRDefault="00964ED2" w:rsidP="00F818F6">
      <w:pPr>
        <w:pStyle w:val="11Para"/>
        <w:rPr>
          <w:lang w:val="en-IE"/>
        </w:rPr>
      </w:pPr>
      <w:r w:rsidRPr="00686E9D">
        <w:rPr>
          <w:lang w:val="en-IE"/>
        </w:rPr>
        <w:t xml:space="preserve">Two semi-nested conventional PCR assays, targeting the M gene and the P gene, can also be used for the detection of </w:t>
      </w:r>
      <w:proofErr w:type="spellStart"/>
      <w:r w:rsidRPr="00686E9D">
        <w:rPr>
          <w:lang w:val="en-IE"/>
        </w:rPr>
        <w:t>HeV</w:t>
      </w:r>
      <w:proofErr w:type="spellEnd"/>
      <w:r w:rsidRPr="00686E9D">
        <w:rPr>
          <w:lang w:val="en-IE"/>
        </w:rPr>
        <w:t xml:space="preserve">. These two assays are used as supplementary tests to confirm the results from the </w:t>
      </w:r>
      <w:r w:rsidRPr="00686E9D">
        <w:rPr>
          <w:strike/>
          <w:lang w:val="en-IE"/>
        </w:rPr>
        <w:t xml:space="preserve">TaqMan </w:t>
      </w:r>
      <w:r w:rsidR="007F0F6F" w:rsidRPr="00686E9D">
        <w:rPr>
          <w:u w:val="double"/>
          <w:lang w:val="en-IE"/>
        </w:rPr>
        <w:t>real-time</w:t>
      </w:r>
      <w:r w:rsidR="007F0F6F" w:rsidRPr="00686E9D">
        <w:rPr>
          <w:lang w:val="en-IE"/>
        </w:rPr>
        <w:t xml:space="preserve"> </w:t>
      </w:r>
      <w:r w:rsidRPr="00686E9D">
        <w:rPr>
          <w:lang w:val="en-IE"/>
        </w:rPr>
        <w:t>assays when unusual/atypical results arise</w:t>
      </w:r>
      <w:r w:rsidRPr="00686E9D">
        <w:rPr>
          <w:strike/>
          <w:lang w:val="en-IE"/>
        </w:rPr>
        <w:t xml:space="preserve"> from the TaqMan assays</w:t>
      </w:r>
      <w:r w:rsidRPr="00686E9D">
        <w:rPr>
          <w:lang w:val="en-IE"/>
        </w:rPr>
        <w:t xml:space="preserve">. They are also used for characterisation of detected </w:t>
      </w:r>
      <w:proofErr w:type="spellStart"/>
      <w:r w:rsidRPr="00686E9D">
        <w:rPr>
          <w:lang w:val="en-IE"/>
        </w:rPr>
        <w:t>HeVs</w:t>
      </w:r>
      <w:proofErr w:type="spellEnd"/>
      <w:r w:rsidRPr="00686E9D">
        <w:rPr>
          <w:lang w:val="en-IE"/>
        </w:rPr>
        <w:t xml:space="preserve"> when followed by Sanger (di-deoxy) sequencing using the same primers (see Table 3).</w:t>
      </w:r>
    </w:p>
    <w:p w14:paraId="08BEFF42" w14:textId="77777777" w:rsidR="00682ECF" w:rsidRPr="00686E9D" w:rsidRDefault="00964ED2">
      <w:pPr>
        <w:pStyle w:val="A"/>
        <w:spacing w:after="120"/>
        <w:rPr>
          <w:rFonts w:cs="Arial"/>
          <w:b w:val="0"/>
          <w:i/>
          <w:sz w:val="18"/>
          <w:szCs w:val="18"/>
          <w:lang w:val="en-IE"/>
        </w:rPr>
      </w:pPr>
      <w:r w:rsidRPr="00686E9D">
        <w:rPr>
          <w:rFonts w:cs="Arial"/>
          <w:i/>
          <w:caps w:val="0"/>
          <w:sz w:val="18"/>
          <w:szCs w:val="18"/>
          <w:lang w:val="en-IE"/>
        </w:rPr>
        <w:t xml:space="preserve">Table </w:t>
      </w:r>
      <w:r w:rsidRPr="00686E9D">
        <w:rPr>
          <w:rFonts w:cs="Arial"/>
          <w:i/>
          <w:sz w:val="18"/>
          <w:szCs w:val="18"/>
          <w:lang w:val="en-IE"/>
        </w:rPr>
        <w:t>3.</w:t>
      </w:r>
      <w:r w:rsidRPr="00686E9D">
        <w:rPr>
          <w:rFonts w:cs="Arial"/>
          <w:b w:val="0"/>
          <w:i/>
          <w:sz w:val="18"/>
          <w:szCs w:val="18"/>
          <w:lang w:val="en-IE"/>
        </w:rPr>
        <w:t xml:space="preserve"> </w:t>
      </w:r>
      <w:bookmarkStart w:id="10" w:name="_Hlk95814314"/>
      <w:r w:rsidRPr="00686E9D">
        <w:rPr>
          <w:b w:val="0"/>
          <w:i/>
          <w:caps w:val="0"/>
          <w:sz w:val="18"/>
          <w:szCs w:val="18"/>
          <w:lang w:val="en-IE"/>
        </w:rPr>
        <w:t xml:space="preserve">Primers used for conventional </w:t>
      </w:r>
      <w:r w:rsidRPr="00686E9D">
        <w:rPr>
          <w:b w:val="0"/>
          <w:i/>
          <w:sz w:val="18"/>
          <w:szCs w:val="18"/>
          <w:lang w:val="en-IE"/>
        </w:rPr>
        <w:t xml:space="preserve">PCR </w:t>
      </w:r>
      <w:r w:rsidRPr="00686E9D">
        <w:rPr>
          <w:b w:val="0"/>
          <w:i/>
          <w:caps w:val="0"/>
          <w:sz w:val="18"/>
          <w:szCs w:val="18"/>
          <w:lang w:val="en-IE"/>
        </w:rPr>
        <w:t xml:space="preserve">and sequencing of </w:t>
      </w:r>
      <w:proofErr w:type="spellStart"/>
      <w:r w:rsidRPr="00686E9D">
        <w:rPr>
          <w:b w:val="0"/>
          <w:i/>
          <w:sz w:val="18"/>
          <w:szCs w:val="18"/>
          <w:lang w:val="en-IE"/>
        </w:rPr>
        <w:t>H</w:t>
      </w:r>
      <w:r w:rsidRPr="00686E9D">
        <w:rPr>
          <w:b w:val="0"/>
          <w:i/>
          <w:caps w:val="0"/>
          <w:sz w:val="18"/>
          <w:szCs w:val="18"/>
          <w:lang w:val="en-IE"/>
        </w:rPr>
        <w:t>e</w:t>
      </w:r>
      <w:r w:rsidRPr="00686E9D">
        <w:rPr>
          <w:b w:val="0"/>
          <w:i/>
          <w:sz w:val="18"/>
          <w:szCs w:val="18"/>
          <w:lang w:val="en-IE"/>
        </w:rPr>
        <w:t>V</w:t>
      </w:r>
      <w:proofErr w:type="spellEnd"/>
      <w:r w:rsidRPr="00686E9D">
        <w:rPr>
          <w:b w:val="0"/>
          <w:i/>
          <w:sz w:val="18"/>
          <w:szCs w:val="18"/>
          <w:lang w:val="en-IE"/>
        </w:rPr>
        <w:t xml:space="preserve"> </w:t>
      </w:r>
      <w:bookmarkEnd w:id="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gridCol w:w="992"/>
        <w:gridCol w:w="1418"/>
        <w:gridCol w:w="3402"/>
        <w:gridCol w:w="1417"/>
      </w:tblGrid>
      <w:tr w:rsidR="00682ECF" w:rsidRPr="00686E9D" w14:paraId="5C15627D" w14:textId="77777777" w:rsidTr="00B4134B">
        <w:trPr>
          <w:tblHeader/>
        </w:trPr>
        <w:tc>
          <w:tcPr>
            <w:tcW w:w="851" w:type="dxa"/>
            <w:vAlign w:val="center"/>
          </w:tcPr>
          <w:p w14:paraId="22534C5D" w14:textId="77777777" w:rsidR="00682ECF" w:rsidRPr="00686E9D" w:rsidRDefault="00964ED2" w:rsidP="00843236">
            <w:pPr>
              <w:spacing w:before="120" w:after="120" w:line="240" w:lineRule="auto"/>
              <w:jc w:val="center"/>
              <w:rPr>
                <w:rFonts w:ascii="Arial" w:hAnsi="Arial" w:cs="Arial"/>
                <w:b/>
                <w:bCs/>
                <w:color w:val="000000"/>
                <w:sz w:val="18"/>
                <w:szCs w:val="18"/>
                <w:lang w:val="en-IE"/>
              </w:rPr>
            </w:pPr>
            <w:r w:rsidRPr="00686E9D">
              <w:rPr>
                <w:rFonts w:ascii="Arial" w:hAnsi="Arial" w:cs="Arial"/>
                <w:b/>
                <w:bCs/>
                <w:color w:val="000000"/>
                <w:sz w:val="18"/>
                <w:szCs w:val="18"/>
                <w:lang w:val="en-IE"/>
              </w:rPr>
              <w:t>Target</w:t>
            </w:r>
          </w:p>
        </w:tc>
        <w:tc>
          <w:tcPr>
            <w:tcW w:w="992" w:type="dxa"/>
            <w:vAlign w:val="center"/>
          </w:tcPr>
          <w:p w14:paraId="70A546E7" w14:textId="77777777" w:rsidR="00682ECF" w:rsidRPr="00686E9D" w:rsidRDefault="00964ED2" w:rsidP="00843236">
            <w:pPr>
              <w:spacing w:before="120" w:after="120" w:line="240" w:lineRule="auto"/>
              <w:jc w:val="center"/>
              <w:rPr>
                <w:rFonts w:ascii="Arial" w:hAnsi="Arial" w:cs="Arial"/>
                <w:b/>
                <w:bCs/>
                <w:color w:val="000000"/>
                <w:sz w:val="18"/>
                <w:szCs w:val="18"/>
                <w:lang w:val="en-IE"/>
              </w:rPr>
            </w:pPr>
            <w:r w:rsidRPr="00686E9D">
              <w:rPr>
                <w:rFonts w:ascii="Arial" w:hAnsi="Arial" w:cs="Arial"/>
                <w:b/>
                <w:bCs/>
                <w:color w:val="000000"/>
                <w:sz w:val="18"/>
                <w:szCs w:val="18"/>
                <w:lang w:val="en-IE"/>
              </w:rPr>
              <w:t>Assay</w:t>
            </w:r>
          </w:p>
        </w:tc>
        <w:tc>
          <w:tcPr>
            <w:tcW w:w="992" w:type="dxa"/>
            <w:vAlign w:val="center"/>
          </w:tcPr>
          <w:p w14:paraId="0F9DF1D3" w14:textId="77777777" w:rsidR="00682ECF" w:rsidRPr="00686E9D" w:rsidRDefault="00964ED2" w:rsidP="00843236">
            <w:pPr>
              <w:spacing w:before="120" w:after="120" w:line="240" w:lineRule="auto"/>
              <w:jc w:val="center"/>
              <w:rPr>
                <w:rFonts w:ascii="Arial" w:hAnsi="Arial" w:cs="Arial"/>
                <w:b/>
                <w:bCs/>
                <w:color w:val="000000"/>
                <w:sz w:val="18"/>
                <w:szCs w:val="18"/>
                <w:lang w:val="en-IE"/>
              </w:rPr>
            </w:pPr>
            <w:r w:rsidRPr="00686E9D">
              <w:rPr>
                <w:rFonts w:ascii="Arial" w:hAnsi="Arial" w:cs="Arial"/>
                <w:b/>
                <w:bCs/>
                <w:color w:val="000000"/>
                <w:sz w:val="18"/>
                <w:szCs w:val="18"/>
                <w:lang w:val="en-IE"/>
              </w:rPr>
              <w:t>Type</w:t>
            </w:r>
          </w:p>
        </w:tc>
        <w:tc>
          <w:tcPr>
            <w:tcW w:w="1418" w:type="dxa"/>
            <w:vAlign w:val="center"/>
          </w:tcPr>
          <w:p w14:paraId="3952E054" w14:textId="77777777" w:rsidR="00682ECF" w:rsidRPr="00686E9D" w:rsidRDefault="00964ED2" w:rsidP="00843236">
            <w:pPr>
              <w:spacing w:before="120" w:after="120" w:line="240" w:lineRule="auto"/>
              <w:jc w:val="center"/>
              <w:rPr>
                <w:rFonts w:ascii="Arial" w:hAnsi="Arial" w:cs="Arial"/>
                <w:b/>
                <w:bCs/>
                <w:color w:val="000000"/>
                <w:sz w:val="18"/>
                <w:szCs w:val="18"/>
                <w:lang w:val="en-IE"/>
              </w:rPr>
            </w:pPr>
            <w:r w:rsidRPr="00686E9D">
              <w:rPr>
                <w:rFonts w:ascii="Arial" w:hAnsi="Arial" w:cs="Arial"/>
                <w:b/>
                <w:bCs/>
                <w:color w:val="000000"/>
                <w:sz w:val="18"/>
                <w:szCs w:val="18"/>
                <w:lang w:val="en-IE"/>
              </w:rPr>
              <w:t>Name</w:t>
            </w:r>
          </w:p>
        </w:tc>
        <w:tc>
          <w:tcPr>
            <w:tcW w:w="3402" w:type="dxa"/>
            <w:vAlign w:val="center"/>
          </w:tcPr>
          <w:p w14:paraId="3B74C497" w14:textId="77777777" w:rsidR="00682ECF" w:rsidRPr="00686E9D" w:rsidRDefault="00964ED2" w:rsidP="00843236">
            <w:pPr>
              <w:spacing w:before="120" w:after="120" w:line="240" w:lineRule="auto"/>
              <w:jc w:val="center"/>
              <w:rPr>
                <w:rFonts w:ascii="Arial" w:hAnsi="Arial" w:cs="Arial"/>
                <w:b/>
                <w:bCs/>
                <w:color w:val="000000"/>
                <w:sz w:val="18"/>
                <w:szCs w:val="18"/>
                <w:lang w:val="en-IE"/>
              </w:rPr>
            </w:pPr>
            <w:r w:rsidRPr="00686E9D">
              <w:rPr>
                <w:rFonts w:ascii="Arial" w:hAnsi="Arial" w:cs="Arial"/>
                <w:b/>
                <w:bCs/>
                <w:color w:val="000000"/>
                <w:sz w:val="18"/>
                <w:szCs w:val="18"/>
                <w:lang w:val="en-IE"/>
              </w:rPr>
              <w:t>Primer Sequence (5’-3’)</w:t>
            </w:r>
          </w:p>
        </w:tc>
        <w:tc>
          <w:tcPr>
            <w:tcW w:w="1417" w:type="dxa"/>
            <w:vAlign w:val="center"/>
          </w:tcPr>
          <w:p w14:paraId="09A6B90A" w14:textId="447B2B0A" w:rsidR="00682ECF" w:rsidRPr="00686E9D" w:rsidRDefault="00964ED2" w:rsidP="00843236">
            <w:pPr>
              <w:spacing w:before="120" w:after="120" w:line="240" w:lineRule="auto"/>
              <w:jc w:val="center"/>
              <w:rPr>
                <w:rFonts w:ascii="Arial" w:hAnsi="Arial" w:cs="Arial"/>
                <w:b/>
                <w:bCs/>
                <w:color w:val="000000"/>
                <w:sz w:val="18"/>
                <w:szCs w:val="18"/>
                <w:lang w:val="en-IE"/>
              </w:rPr>
            </w:pPr>
            <w:r w:rsidRPr="00686E9D">
              <w:rPr>
                <w:rFonts w:ascii="Arial" w:hAnsi="Arial" w:cs="Arial"/>
                <w:b/>
                <w:bCs/>
                <w:color w:val="000000"/>
                <w:sz w:val="18"/>
                <w:szCs w:val="18"/>
                <w:lang w:val="en-IE"/>
              </w:rPr>
              <w:t>PCR product</w:t>
            </w:r>
          </w:p>
        </w:tc>
      </w:tr>
      <w:tr w:rsidR="00682ECF" w:rsidRPr="00686E9D" w14:paraId="0F3AB2A0" w14:textId="77777777" w:rsidTr="00843236">
        <w:tc>
          <w:tcPr>
            <w:tcW w:w="851" w:type="dxa"/>
            <w:vMerge w:val="restart"/>
            <w:vAlign w:val="center"/>
          </w:tcPr>
          <w:p w14:paraId="3B70358B" w14:textId="3F86B312" w:rsidR="00682ECF" w:rsidRPr="00AF7BBE" w:rsidRDefault="00964ED2" w:rsidP="00843236">
            <w:pPr>
              <w:pStyle w:val="111Para"/>
              <w:spacing w:before="100" w:after="100"/>
              <w:ind w:left="0"/>
              <w:jc w:val="center"/>
              <w:rPr>
                <w:sz w:val="16"/>
                <w:szCs w:val="16"/>
                <w:lang w:val="nl-NL"/>
              </w:rPr>
            </w:pPr>
            <w:r w:rsidRPr="00AF7BBE">
              <w:rPr>
                <w:sz w:val="16"/>
                <w:szCs w:val="16"/>
                <w:lang w:val="nl-NL"/>
              </w:rPr>
              <w:t>HeV M</w:t>
            </w:r>
            <w:r w:rsidR="00A96D2D" w:rsidRPr="00DF5340">
              <w:rPr>
                <w:sz w:val="16"/>
                <w:szCs w:val="16"/>
                <w:u w:val="double"/>
                <w:lang w:val="nl-NL"/>
              </w:rPr>
              <w:t>*</w:t>
            </w:r>
            <w:r w:rsidRPr="00AF7BBE">
              <w:rPr>
                <w:sz w:val="16"/>
                <w:szCs w:val="16"/>
                <w:lang w:val="nl-NL"/>
              </w:rPr>
              <w:t xml:space="preserve"> gene</w:t>
            </w:r>
            <w:r w:rsidR="00A96D2D" w:rsidRPr="00DF5340">
              <w:rPr>
                <w:sz w:val="16"/>
                <w:szCs w:val="16"/>
                <w:u w:val="double"/>
                <w:lang w:val="nl-NL"/>
              </w:rPr>
              <w:t xml:space="preserve"> (Wang </w:t>
            </w:r>
            <w:r w:rsidR="00A96D2D" w:rsidRPr="00DF5340">
              <w:rPr>
                <w:i/>
                <w:iCs/>
                <w:sz w:val="16"/>
                <w:szCs w:val="16"/>
                <w:u w:val="double"/>
                <w:lang w:val="nl-NL"/>
              </w:rPr>
              <w:t>et al.,</w:t>
            </w:r>
            <w:r w:rsidR="00A96D2D" w:rsidRPr="00DF5340">
              <w:rPr>
                <w:sz w:val="16"/>
                <w:szCs w:val="16"/>
                <w:u w:val="double"/>
                <w:lang w:val="nl-NL"/>
              </w:rPr>
              <w:t xml:space="preserve"> 2021)</w:t>
            </w:r>
          </w:p>
        </w:tc>
        <w:tc>
          <w:tcPr>
            <w:tcW w:w="992" w:type="dxa"/>
            <w:vMerge w:val="restart"/>
            <w:vAlign w:val="center"/>
          </w:tcPr>
          <w:p w14:paraId="5AC2F10F" w14:textId="77777777" w:rsidR="00682ECF" w:rsidRPr="00686E9D" w:rsidRDefault="00964ED2" w:rsidP="00843236">
            <w:pPr>
              <w:pStyle w:val="111Para"/>
              <w:spacing w:before="100" w:after="100"/>
              <w:ind w:left="0"/>
              <w:jc w:val="center"/>
              <w:rPr>
                <w:sz w:val="16"/>
                <w:szCs w:val="16"/>
                <w:lang w:val="en-IE"/>
              </w:rPr>
            </w:pPr>
            <w:r w:rsidRPr="00686E9D">
              <w:rPr>
                <w:sz w:val="16"/>
                <w:szCs w:val="16"/>
                <w:lang w:val="en-IE"/>
              </w:rPr>
              <w:t>Primary PCR</w:t>
            </w:r>
          </w:p>
        </w:tc>
        <w:tc>
          <w:tcPr>
            <w:tcW w:w="992" w:type="dxa"/>
            <w:vAlign w:val="center"/>
          </w:tcPr>
          <w:p w14:paraId="03A6A4F2" w14:textId="77777777" w:rsidR="00682ECF" w:rsidRPr="00686E9D" w:rsidRDefault="00964ED2" w:rsidP="00843236">
            <w:pPr>
              <w:pStyle w:val="111Para"/>
              <w:spacing w:before="100" w:after="100"/>
              <w:ind w:left="0"/>
              <w:jc w:val="center"/>
              <w:rPr>
                <w:sz w:val="16"/>
                <w:szCs w:val="16"/>
                <w:lang w:val="en-IE"/>
              </w:rPr>
            </w:pPr>
            <w:r w:rsidRPr="00686E9D">
              <w:rPr>
                <w:sz w:val="16"/>
                <w:szCs w:val="16"/>
                <w:lang w:val="en-IE"/>
              </w:rPr>
              <w:t>Forward</w:t>
            </w:r>
          </w:p>
        </w:tc>
        <w:tc>
          <w:tcPr>
            <w:tcW w:w="1418" w:type="dxa"/>
            <w:vAlign w:val="center"/>
          </w:tcPr>
          <w:p w14:paraId="2B1278E2" w14:textId="77777777" w:rsidR="00682ECF" w:rsidRPr="00686E9D" w:rsidRDefault="00964ED2" w:rsidP="00843236">
            <w:pPr>
              <w:spacing w:before="100" w:after="100" w:line="240" w:lineRule="auto"/>
              <w:jc w:val="center"/>
              <w:rPr>
                <w:rFonts w:ascii="Arial" w:hAnsi="Arial" w:cs="Arial"/>
                <w:color w:val="000000"/>
                <w:sz w:val="16"/>
                <w:szCs w:val="16"/>
                <w:lang w:val="en-IE"/>
              </w:rPr>
            </w:pPr>
            <w:proofErr w:type="spellStart"/>
            <w:r w:rsidRPr="00686E9D">
              <w:rPr>
                <w:rFonts w:ascii="Arial" w:hAnsi="Arial" w:cs="Arial"/>
                <w:color w:val="000000"/>
                <w:sz w:val="16"/>
                <w:szCs w:val="16"/>
                <w:lang w:val="en-IE"/>
              </w:rPr>
              <w:t>HeV</w:t>
            </w:r>
            <w:proofErr w:type="spellEnd"/>
            <w:r w:rsidRPr="00686E9D">
              <w:rPr>
                <w:rFonts w:ascii="Arial" w:hAnsi="Arial" w:cs="Arial"/>
                <w:color w:val="000000"/>
                <w:sz w:val="16"/>
                <w:szCs w:val="16"/>
                <w:lang w:val="en-IE"/>
              </w:rPr>
              <w:t xml:space="preserve"> M 5481F</w:t>
            </w:r>
          </w:p>
        </w:tc>
        <w:tc>
          <w:tcPr>
            <w:tcW w:w="3402" w:type="dxa"/>
            <w:vAlign w:val="center"/>
          </w:tcPr>
          <w:p w14:paraId="7EB44CF1" w14:textId="77777777" w:rsidR="00682ECF" w:rsidRPr="00686E9D" w:rsidRDefault="00964ED2" w:rsidP="00843236">
            <w:pPr>
              <w:spacing w:before="100" w:after="100" w:line="240" w:lineRule="auto"/>
              <w:jc w:val="center"/>
              <w:rPr>
                <w:rFonts w:ascii="Arial" w:hAnsi="Arial" w:cs="Arial"/>
                <w:color w:val="000000"/>
                <w:sz w:val="16"/>
                <w:szCs w:val="16"/>
                <w:lang w:val="en-IE"/>
              </w:rPr>
            </w:pPr>
            <w:r w:rsidRPr="00686E9D">
              <w:rPr>
                <w:rFonts w:ascii="Arial" w:hAnsi="Arial" w:cs="Arial"/>
                <w:color w:val="000000"/>
                <w:sz w:val="16"/>
                <w:szCs w:val="16"/>
                <w:lang w:val="en-IE"/>
              </w:rPr>
              <w:t>GCC-CGC-TTC-ATC-ATC-TCT-T</w:t>
            </w:r>
          </w:p>
        </w:tc>
        <w:tc>
          <w:tcPr>
            <w:tcW w:w="1417" w:type="dxa"/>
            <w:vMerge w:val="restart"/>
            <w:vAlign w:val="center"/>
          </w:tcPr>
          <w:p w14:paraId="65F8A765" w14:textId="77777777" w:rsidR="00682ECF" w:rsidRPr="00686E9D" w:rsidRDefault="00964ED2" w:rsidP="00843236">
            <w:pPr>
              <w:pStyle w:val="111Para"/>
              <w:spacing w:before="100" w:after="100"/>
              <w:ind w:left="0"/>
              <w:jc w:val="center"/>
              <w:rPr>
                <w:sz w:val="16"/>
                <w:szCs w:val="16"/>
                <w:lang w:val="en-IE"/>
              </w:rPr>
            </w:pPr>
            <w:r w:rsidRPr="00686E9D">
              <w:rPr>
                <w:sz w:val="16"/>
                <w:szCs w:val="16"/>
                <w:lang w:val="en-IE"/>
              </w:rPr>
              <w:t>300 bp</w:t>
            </w:r>
          </w:p>
        </w:tc>
      </w:tr>
      <w:tr w:rsidR="00682ECF" w:rsidRPr="00686E9D" w14:paraId="24889BED" w14:textId="77777777" w:rsidTr="00843236">
        <w:tc>
          <w:tcPr>
            <w:tcW w:w="851" w:type="dxa"/>
            <w:vMerge/>
            <w:vAlign w:val="center"/>
          </w:tcPr>
          <w:p w14:paraId="59E34AF0" w14:textId="77777777" w:rsidR="00682ECF" w:rsidRPr="00686E9D" w:rsidRDefault="00682ECF" w:rsidP="00843236">
            <w:pPr>
              <w:pStyle w:val="111Para"/>
              <w:spacing w:before="100" w:after="100"/>
              <w:ind w:left="0"/>
              <w:jc w:val="center"/>
              <w:rPr>
                <w:sz w:val="16"/>
                <w:szCs w:val="16"/>
                <w:lang w:val="en-IE"/>
              </w:rPr>
            </w:pPr>
          </w:p>
        </w:tc>
        <w:tc>
          <w:tcPr>
            <w:tcW w:w="992" w:type="dxa"/>
            <w:vMerge/>
            <w:vAlign w:val="center"/>
          </w:tcPr>
          <w:p w14:paraId="7FBEB678" w14:textId="77777777" w:rsidR="00682ECF" w:rsidRPr="00686E9D" w:rsidRDefault="00682ECF" w:rsidP="00843236">
            <w:pPr>
              <w:pStyle w:val="111Para"/>
              <w:spacing w:before="100" w:after="100"/>
              <w:ind w:left="0"/>
              <w:jc w:val="center"/>
              <w:rPr>
                <w:sz w:val="16"/>
                <w:szCs w:val="16"/>
                <w:lang w:val="en-IE"/>
              </w:rPr>
            </w:pPr>
          </w:p>
        </w:tc>
        <w:tc>
          <w:tcPr>
            <w:tcW w:w="992" w:type="dxa"/>
            <w:vAlign w:val="center"/>
          </w:tcPr>
          <w:p w14:paraId="526B1F44" w14:textId="77777777" w:rsidR="00682ECF" w:rsidRPr="00686E9D" w:rsidRDefault="00964ED2" w:rsidP="00843236">
            <w:pPr>
              <w:pStyle w:val="111Para"/>
              <w:spacing w:before="100" w:after="100"/>
              <w:ind w:left="0"/>
              <w:jc w:val="center"/>
              <w:rPr>
                <w:sz w:val="16"/>
                <w:szCs w:val="16"/>
                <w:lang w:val="en-IE"/>
              </w:rPr>
            </w:pPr>
            <w:r w:rsidRPr="00686E9D">
              <w:rPr>
                <w:sz w:val="16"/>
                <w:szCs w:val="16"/>
                <w:lang w:val="en-IE"/>
              </w:rPr>
              <w:t>Reverse</w:t>
            </w:r>
          </w:p>
        </w:tc>
        <w:tc>
          <w:tcPr>
            <w:tcW w:w="1418" w:type="dxa"/>
            <w:vAlign w:val="center"/>
          </w:tcPr>
          <w:p w14:paraId="729B4F56" w14:textId="77777777" w:rsidR="00682ECF" w:rsidRPr="00686E9D" w:rsidRDefault="00964ED2" w:rsidP="00843236">
            <w:pPr>
              <w:spacing w:before="100" w:after="100" w:line="240" w:lineRule="auto"/>
              <w:jc w:val="center"/>
              <w:rPr>
                <w:rFonts w:ascii="Arial" w:hAnsi="Arial" w:cs="Arial"/>
                <w:color w:val="000000"/>
                <w:sz w:val="16"/>
                <w:szCs w:val="16"/>
                <w:lang w:val="en-IE"/>
              </w:rPr>
            </w:pPr>
            <w:proofErr w:type="spellStart"/>
            <w:r w:rsidRPr="00686E9D">
              <w:rPr>
                <w:rFonts w:ascii="Arial" w:hAnsi="Arial" w:cs="Arial"/>
                <w:color w:val="000000"/>
                <w:sz w:val="16"/>
                <w:szCs w:val="16"/>
                <w:lang w:val="en-IE"/>
              </w:rPr>
              <w:t>HeV</w:t>
            </w:r>
            <w:proofErr w:type="spellEnd"/>
            <w:r w:rsidRPr="00686E9D">
              <w:rPr>
                <w:rFonts w:ascii="Arial" w:hAnsi="Arial" w:cs="Arial"/>
                <w:color w:val="000000"/>
                <w:sz w:val="16"/>
                <w:szCs w:val="16"/>
                <w:lang w:val="en-IE"/>
              </w:rPr>
              <w:t xml:space="preserve"> M 5781R1</w:t>
            </w:r>
          </w:p>
        </w:tc>
        <w:tc>
          <w:tcPr>
            <w:tcW w:w="3402" w:type="dxa"/>
            <w:vAlign w:val="center"/>
          </w:tcPr>
          <w:p w14:paraId="4B3F9C10" w14:textId="77777777" w:rsidR="00682ECF" w:rsidRPr="00686E9D" w:rsidRDefault="00964ED2" w:rsidP="00843236">
            <w:pPr>
              <w:spacing w:before="100" w:after="100" w:line="240" w:lineRule="auto"/>
              <w:jc w:val="center"/>
              <w:rPr>
                <w:rFonts w:ascii="Arial" w:hAnsi="Arial" w:cs="Arial"/>
                <w:color w:val="000000"/>
                <w:sz w:val="16"/>
                <w:szCs w:val="16"/>
                <w:lang w:val="en-IE"/>
              </w:rPr>
            </w:pPr>
            <w:r w:rsidRPr="00686E9D">
              <w:rPr>
                <w:rFonts w:ascii="Arial" w:hAnsi="Arial" w:cs="Arial"/>
                <w:color w:val="000000"/>
                <w:sz w:val="16"/>
                <w:szCs w:val="16"/>
                <w:lang w:val="en-IE"/>
              </w:rPr>
              <w:t>CCA-CTT-TGG-TTC-CGT-CTT-TG</w:t>
            </w:r>
          </w:p>
        </w:tc>
        <w:tc>
          <w:tcPr>
            <w:tcW w:w="1417" w:type="dxa"/>
            <w:vMerge/>
            <w:vAlign w:val="center"/>
          </w:tcPr>
          <w:p w14:paraId="6252FB89" w14:textId="77777777" w:rsidR="00682ECF" w:rsidRPr="00686E9D" w:rsidRDefault="00682ECF" w:rsidP="00843236">
            <w:pPr>
              <w:pStyle w:val="111Para"/>
              <w:spacing w:before="100" w:after="100"/>
              <w:ind w:left="0"/>
              <w:jc w:val="center"/>
              <w:rPr>
                <w:sz w:val="16"/>
                <w:szCs w:val="16"/>
                <w:lang w:val="en-IE"/>
              </w:rPr>
            </w:pPr>
          </w:p>
        </w:tc>
      </w:tr>
      <w:tr w:rsidR="00682ECF" w:rsidRPr="00686E9D" w14:paraId="0E032D98" w14:textId="77777777" w:rsidTr="00843236">
        <w:tc>
          <w:tcPr>
            <w:tcW w:w="851" w:type="dxa"/>
            <w:vMerge/>
            <w:vAlign w:val="center"/>
          </w:tcPr>
          <w:p w14:paraId="27D28ED1" w14:textId="77777777" w:rsidR="00682ECF" w:rsidRPr="00686E9D" w:rsidRDefault="00682ECF" w:rsidP="00843236">
            <w:pPr>
              <w:pStyle w:val="111Para"/>
              <w:spacing w:before="100" w:after="100"/>
              <w:ind w:left="0"/>
              <w:jc w:val="center"/>
              <w:rPr>
                <w:sz w:val="16"/>
                <w:szCs w:val="16"/>
                <w:lang w:val="en-IE"/>
              </w:rPr>
            </w:pPr>
          </w:p>
        </w:tc>
        <w:tc>
          <w:tcPr>
            <w:tcW w:w="992" w:type="dxa"/>
            <w:vMerge w:val="restart"/>
            <w:vAlign w:val="center"/>
          </w:tcPr>
          <w:p w14:paraId="53BDB8D9" w14:textId="77777777" w:rsidR="00682ECF" w:rsidRPr="00686E9D" w:rsidRDefault="00964ED2" w:rsidP="00843236">
            <w:pPr>
              <w:pStyle w:val="111Para"/>
              <w:spacing w:before="100" w:after="100"/>
              <w:ind w:left="0"/>
              <w:jc w:val="center"/>
              <w:rPr>
                <w:sz w:val="16"/>
                <w:szCs w:val="16"/>
                <w:lang w:val="en-IE"/>
              </w:rPr>
            </w:pPr>
            <w:r w:rsidRPr="00686E9D">
              <w:rPr>
                <w:sz w:val="16"/>
                <w:szCs w:val="16"/>
                <w:lang w:val="en-IE"/>
              </w:rPr>
              <w:t>Semi-nested PCR</w:t>
            </w:r>
          </w:p>
        </w:tc>
        <w:tc>
          <w:tcPr>
            <w:tcW w:w="992" w:type="dxa"/>
            <w:vAlign w:val="center"/>
          </w:tcPr>
          <w:p w14:paraId="30693D44" w14:textId="77777777" w:rsidR="00682ECF" w:rsidRPr="00686E9D" w:rsidRDefault="00964ED2" w:rsidP="00843236">
            <w:pPr>
              <w:pStyle w:val="111Para"/>
              <w:spacing w:before="100" w:after="100"/>
              <w:ind w:left="0"/>
              <w:jc w:val="center"/>
              <w:rPr>
                <w:sz w:val="16"/>
                <w:szCs w:val="16"/>
                <w:lang w:val="en-IE"/>
              </w:rPr>
            </w:pPr>
            <w:r w:rsidRPr="00686E9D">
              <w:rPr>
                <w:sz w:val="16"/>
                <w:szCs w:val="16"/>
                <w:lang w:val="en-IE"/>
              </w:rPr>
              <w:t>Forward</w:t>
            </w:r>
          </w:p>
        </w:tc>
        <w:tc>
          <w:tcPr>
            <w:tcW w:w="1418" w:type="dxa"/>
            <w:vAlign w:val="center"/>
          </w:tcPr>
          <w:p w14:paraId="50602AC6" w14:textId="77777777" w:rsidR="00682ECF" w:rsidRPr="00686E9D" w:rsidRDefault="00964ED2" w:rsidP="00843236">
            <w:pPr>
              <w:spacing w:before="100" w:after="100" w:line="240" w:lineRule="auto"/>
              <w:jc w:val="center"/>
              <w:rPr>
                <w:rFonts w:ascii="Arial" w:hAnsi="Arial" w:cs="Arial"/>
                <w:color w:val="000000"/>
                <w:sz w:val="16"/>
                <w:szCs w:val="16"/>
                <w:lang w:val="en-IE"/>
              </w:rPr>
            </w:pPr>
            <w:proofErr w:type="spellStart"/>
            <w:r w:rsidRPr="00686E9D">
              <w:rPr>
                <w:rFonts w:ascii="Arial" w:hAnsi="Arial" w:cs="Arial"/>
                <w:color w:val="000000"/>
                <w:sz w:val="16"/>
                <w:szCs w:val="16"/>
                <w:lang w:val="en-IE"/>
              </w:rPr>
              <w:t>HeV</w:t>
            </w:r>
            <w:proofErr w:type="spellEnd"/>
            <w:r w:rsidRPr="00686E9D">
              <w:rPr>
                <w:rFonts w:ascii="Arial" w:hAnsi="Arial" w:cs="Arial"/>
                <w:color w:val="000000"/>
                <w:sz w:val="16"/>
                <w:szCs w:val="16"/>
                <w:lang w:val="en-IE"/>
              </w:rPr>
              <w:t xml:space="preserve"> M 5481F</w:t>
            </w:r>
          </w:p>
        </w:tc>
        <w:tc>
          <w:tcPr>
            <w:tcW w:w="3402" w:type="dxa"/>
            <w:vAlign w:val="center"/>
          </w:tcPr>
          <w:p w14:paraId="1455DC4D" w14:textId="77777777" w:rsidR="00682ECF" w:rsidRPr="00686E9D" w:rsidRDefault="00964ED2" w:rsidP="00843236">
            <w:pPr>
              <w:spacing w:before="100" w:after="100" w:line="240" w:lineRule="auto"/>
              <w:jc w:val="center"/>
              <w:rPr>
                <w:rFonts w:ascii="Arial" w:hAnsi="Arial" w:cs="Arial"/>
                <w:color w:val="000000"/>
                <w:sz w:val="16"/>
                <w:szCs w:val="16"/>
                <w:lang w:val="en-IE"/>
              </w:rPr>
            </w:pPr>
            <w:r w:rsidRPr="00686E9D">
              <w:rPr>
                <w:rFonts w:ascii="Arial" w:hAnsi="Arial" w:cs="Arial"/>
                <w:color w:val="000000"/>
                <w:sz w:val="16"/>
                <w:szCs w:val="16"/>
                <w:lang w:val="en-IE"/>
              </w:rPr>
              <w:t>GCC-CGC-TTC-ATC-ATC-TCT-T</w:t>
            </w:r>
          </w:p>
        </w:tc>
        <w:tc>
          <w:tcPr>
            <w:tcW w:w="1417" w:type="dxa"/>
            <w:vMerge w:val="restart"/>
            <w:vAlign w:val="center"/>
          </w:tcPr>
          <w:p w14:paraId="3CF13ECE" w14:textId="77777777" w:rsidR="00682ECF" w:rsidRPr="00686E9D" w:rsidRDefault="00964ED2" w:rsidP="00843236">
            <w:pPr>
              <w:pStyle w:val="111Para"/>
              <w:spacing w:before="100" w:after="100"/>
              <w:ind w:left="0"/>
              <w:jc w:val="center"/>
              <w:rPr>
                <w:sz w:val="16"/>
                <w:szCs w:val="16"/>
                <w:lang w:val="en-IE"/>
              </w:rPr>
            </w:pPr>
            <w:r w:rsidRPr="00686E9D">
              <w:rPr>
                <w:sz w:val="16"/>
                <w:szCs w:val="16"/>
                <w:lang w:val="en-IE"/>
              </w:rPr>
              <w:t>211 bp</w:t>
            </w:r>
          </w:p>
        </w:tc>
      </w:tr>
      <w:tr w:rsidR="00682ECF" w:rsidRPr="00686E9D" w14:paraId="205C1C06" w14:textId="77777777" w:rsidTr="00843236">
        <w:tc>
          <w:tcPr>
            <w:tcW w:w="851" w:type="dxa"/>
            <w:vMerge/>
            <w:vAlign w:val="center"/>
          </w:tcPr>
          <w:p w14:paraId="2AF8E202" w14:textId="77777777" w:rsidR="00682ECF" w:rsidRPr="00686E9D" w:rsidRDefault="00682ECF" w:rsidP="00843236">
            <w:pPr>
              <w:pStyle w:val="111Para"/>
              <w:spacing w:before="100" w:after="100"/>
              <w:ind w:left="0"/>
              <w:jc w:val="center"/>
              <w:rPr>
                <w:sz w:val="16"/>
                <w:szCs w:val="16"/>
                <w:lang w:val="en-IE"/>
              </w:rPr>
            </w:pPr>
          </w:p>
        </w:tc>
        <w:tc>
          <w:tcPr>
            <w:tcW w:w="992" w:type="dxa"/>
            <w:vMerge/>
            <w:vAlign w:val="center"/>
          </w:tcPr>
          <w:p w14:paraId="29032CA3" w14:textId="77777777" w:rsidR="00682ECF" w:rsidRPr="00686E9D" w:rsidRDefault="00682ECF" w:rsidP="00843236">
            <w:pPr>
              <w:pStyle w:val="111Para"/>
              <w:spacing w:before="100" w:after="100"/>
              <w:ind w:left="0"/>
              <w:jc w:val="center"/>
              <w:rPr>
                <w:sz w:val="16"/>
                <w:szCs w:val="16"/>
                <w:lang w:val="en-IE"/>
              </w:rPr>
            </w:pPr>
          </w:p>
        </w:tc>
        <w:tc>
          <w:tcPr>
            <w:tcW w:w="992" w:type="dxa"/>
            <w:vAlign w:val="center"/>
          </w:tcPr>
          <w:p w14:paraId="79D42EBF" w14:textId="77777777" w:rsidR="00682ECF" w:rsidRPr="00686E9D" w:rsidRDefault="00964ED2" w:rsidP="00843236">
            <w:pPr>
              <w:pStyle w:val="111Para"/>
              <w:spacing w:before="100" w:after="100"/>
              <w:ind w:left="0"/>
              <w:jc w:val="center"/>
              <w:rPr>
                <w:sz w:val="16"/>
                <w:szCs w:val="16"/>
                <w:lang w:val="en-IE"/>
              </w:rPr>
            </w:pPr>
            <w:r w:rsidRPr="00686E9D">
              <w:rPr>
                <w:sz w:val="16"/>
                <w:szCs w:val="16"/>
                <w:lang w:val="en-IE"/>
              </w:rPr>
              <w:t>Reverse</w:t>
            </w:r>
          </w:p>
        </w:tc>
        <w:tc>
          <w:tcPr>
            <w:tcW w:w="1418" w:type="dxa"/>
            <w:vAlign w:val="center"/>
          </w:tcPr>
          <w:p w14:paraId="5C1244CE" w14:textId="77777777" w:rsidR="00682ECF" w:rsidRPr="00686E9D" w:rsidRDefault="00964ED2" w:rsidP="00843236">
            <w:pPr>
              <w:spacing w:before="100" w:after="100" w:line="240" w:lineRule="auto"/>
              <w:jc w:val="center"/>
              <w:rPr>
                <w:rFonts w:ascii="Arial" w:hAnsi="Arial" w:cs="Arial"/>
                <w:color w:val="000000"/>
                <w:sz w:val="16"/>
                <w:szCs w:val="16"/>
                <w:lang w:val="en-IE"/>
              </w:rPr>
            </w:pPr>
            <w:proofErr w:type="spellStart"/>
            <w:r w:rsidRPr="00686E9D">
              <w:rPr>
                <w:rFonts w:ascii="Arial" w:hAnsi="Arial" w:cs="Arial"/>
                <w:color w:val="000000"/>
                <w:sz w:val="16"/>
                <w:szCs w:val="16"/>
                <w:lang w:val="en-IE"/>
              </w:rPr>
              <w:t>HeV</w:t>
            </w:r>
            <w:proofErr w:type="spellEnd"/>
            <w:r w:rsidRPr="00686E9D">
              <w:rPr>
                <w:rFonts w:ascii="Arial" w:hAnsi="Arial" w:cs="Arial"/>
                <w:color w:val="000000"/>
                <w:sz w:val="16"/>
                <w:szCs w:val="16"/>
                <w:lang w:val="en-IE"/>
              </w:rPr>
              <w:t xml:space="preserve"> M 5691R2</w:t>
            </w:r>
          </w:p>
        </w:tc>
        <w:tc>
          <w:tcPr>
            <w:tcW w:w="3402" w:type="dxa"/>
            <w:vAlign w:val="center"/>
          </w:tcPr>
          <w:p w14:paraId="43E67092" w14:textId="77777777" w:rsidR="00682ECF" w:rsidRPr="00686E9D" w:rsidRDefault="00964ED2" w:rsidP="00843236">
            <w:pPr>
              <w:spacing w:before="100" w:after="100" w:line="240" w:lineRule="auto"/>
              <w:jc w:val="center"/>
              <w:rPr>
                <w:rFonts w:ascii="Arial" w:hAnsi="Arial" w:cs="Arial"/>
                <w:color w:val="000000"/>
                <w:sz w:val="16"/>
                <w:szCs w:val="16"/>
                <w:lang w:val="en-IE"/>
              </w:rPr>
            </w:pPr>
            <w:r w:rsidRPr="00686E9D">
              <w:rPr>
                <w:rFonts w:ascii="Arial" w:hAnsi="Arial" w:cs="Arial"/>
                <w:color w:val="000000"/>
                <w:sz w:val="16"/>
                <w:szCs w:val="16"/>
                <w:lang w:val="en-IE"/>
              </w:rPr>
              <w:t>TGG-CAT-CTT-TCA-TGC-TCC-ATC-TCG-G</w:t>
            </w:r>
          </w:p>
        </w:tc>
        <w:tc>
          <w:tcPr>
            <w:tcW w:w="1417" w:type="dxa"/>
            <w:vMerge/>
            <w:vAlign w:val="center"/>
          </w:tcPr>
          <w:p w14:paraId="7A7973CB" w14:textId="77777777" w:rsidR="00682ECF" w:rsidRPr="00686E9D" w:rsidRDefault="00682ECF" w:rsidP="00843236">
            <w:pPr>
              <w:pStyle w:val="111Para"/>
              <w:spacing w:before="100" w:after="100"/>
              <w:ind w:left="0"/>
              <w:jc w:val="center"/>
              <w:rPr>
                <w:sz w:val="16"/>
                <w:szCs w:val="16"/>
                <w:lang w:val="en-IE"/>
              </w:rPr>
            </w:pPr>
          </w:p>
        </w:tc>
      </w:tr>
      <w:tr w:rsidR="00682ECF" w:rsidRPr="00686E9D" w14:paraId="1C116607" w14:textId="77777777" w:rsidTr="00843236">
        <w:tc>
          <w:tcPr>
            <w:tcW w:w="851" w:type="dxa"/>
            <w:vMerge w:val="restart"/>
            <w:vAlign w:val="center"/>
          </w:tcPr>
          <w:p w14:paraId="08ABCD9A" w14:textId="77777777" w:rsidR="00682ECF" w:rsidRPr="00686E9D" w:rsidRDefault="00964ED2" w:rsidP="00843236">
            <w:pPr>
              <w:pStyle w:val="111Para"/>
              <w:spacing w:before="100" w:after="100"/>
              <w:ind w:left="0"/>
              <w:jc w:val="center"/>
              <w:rPr>
                <w:sz w:val="16"/>
                <w:szCs w:val="16"/>
                <w:lang w:val="en-IE"/>
              </w:rPr>
            </w:pPr>
            <w:proofErr w:type="spellStart"/>
            <w:r w:rsidRPr="00686E9D">
              <w:rPr>
                <w:sz w:val="16"/>
                <w:szCs w:val="16"/>
                <w:lang w:val="en-IE"/>
              </w:rPr>
              <w:t>HeV</w:t>
            </w:r>
            <w:proofErr w:type="spellEnd"/>
            <w:r w:rsidRPr="00686E9D">
              <w:rPr>
                <w:sz w:val="16"/>
                <w:szCs w:val="16"/>
                <w:lang w:val="en-IE"/>
              </w:rPr>
              <w:t xml:space="preserve"> P gene</w:t>
            </w:r>
          </w:p>
        </w:tc>
        <w:tc>
          <w:tcPr>
            <w:tcW w:w="992" w:type="dxa"/>
            <w:vMerge w:val="restart"/>
            <w:vAlign w:val="center"/>
          </w:tcPr>
          <w:p w14:paraId="41FB41FF" w14:textId="77777777" w:rsidR="00682ECF" w:rsidRPr="00686E9D" w:rsidRDefault="00964ED2" w:rsidP="00843236">
            <w:pPr>
              <w:pStyle w:val="111Para"/>
              <w:spacing w:before="100" w:after="100"/>
              <w:ind w:left="0"/>
              <w:jc w:val="center"/>
              <w:rPr>
                <w:sz w:val="16"/>
                <w:szCs w:val="16"/>
                <w:lang w:val="en-IE"/>
              </w:rPr>
            </w:pPr>
            <w:r w:rsidRPr="00686E9D">
              <w:rPr>
                <w:sz w:val="16"/>
                <w:szCs w:val="16"/>
                <w:lang w:val="en-IE"/>
              </w:rPr>
              <w:t>Primary PCR</w:t>
            </w:r>
          </w:p>
        </w:tc>
        <w:tc>
          <w:tcPr>
            <w:tcW w:w="992" w:type="dxa"/>
            <w:vAlign w:val="center"/>
          </w:tcPr>
          <w:p w14:paraId="5F1F9E30" w14:textId="77777777" w:rsidR="00682ECF" w:rsidRPr="00686E9D" w:rsidRDefault="00964ED2" w:rsidP="00843236">
            <w:pPr>
              <w:pStyle w:val="111Para"/>
              <w:spacing w:before="100" w:after="100"/>
              <w:ind w:left="0"/>
              <w:jc w:val="center"/>
              <w:rPr>
                <w:sz w:val="16"/>
                <w:szCs w:val="16"/>
                <w:lang w:val="en-IE"/>
              </w:rPr>
            </w:pPr>
            <w:r w:rsidRPr="00686E9D">
              <w:rPr>
                <w:sz w:val="16"/>
                <w:szCs w:val="16"/>
                <w:lang w:val="en-IE"/>
              </w:rPr>
              <w:t>Forward</w:t>
            </w:r>
          </w:p>
        </w:tc>
        <w:tc>
          <w:tcPr>
            <w:tcW w:w="1418" w:type="dxa"/>
            <w:vAlign w:val="center"/>
          </w:tcPr>
          <w:p w14:paraId="5B048D60" w14:textId="77777777" w:rsidR="00682ECF" w:rsidRPr="00686E9D" w:rsidRDefault="00964ED2" w:rsidP="00843236">
            <w:pPr>
              <w:spacing w:before="100" w:after="100" w:line="240" w:lineRule="auto"/>
              <w:jc w:val="center"/>
              <w:rPr>
                <w:rFonts w:ascii="Arial" w:hAnsi="Arial" w:cs="Arial"/>
                <w:color w:val="000000"/>
                <w:sz w:val="16"/>
                <w:szCs w:val="16"/>
                <w:lang w:val="en-IE"/>
              </w:rPr>
            </w:pPr>
            <w:proofErr w:type="spellStart"/>
            <w:r w:rsidRPr="00686E9D">
              <w:rPr>
                <w:rFonts w:ascii="Arial" w:eastAsia="Calibri" w:hAnsi="Arial" w:cs="Arial"/>
                <w:color w:val="000000"/>
                <w:sz w:val="16"/>
                <w:szCs w:val="16"/>
                <w:lang w:val="en-IE"/>
              </w:rPr>
              <w:t>HeV</w:t>
            </w:r>
            <w:proofErr w:type="spellEnd"/>
            <w:r w:rsidRPr="00686E9D">
              <w:rPr>
                <w:rFonts w:ascii="Arial" w:eastAsia="Calibri" w:hAnsi="Arial" w:cs="Arial"/>
                <w:color w:val="000000"/>
                <w:sz w:val="16"/>
                <w:szCs w:val="16"/>
                <w:lang w:val="en-IE"/>
              </w:rPr>
              <w:t xml:space="preserve"> P 4464F1</w:t>
            </w:r>
          </w:p>
        </w:tc>
        <w:tc>
          <w:tcPr>
            <w:tcW w:w="3402" w:type="dxa"/>
            <w:vAlign w:val="center"/>
          </w:tcPr>
          <w:p w14:paraId="58B071F7" w14:textId="77777777" w:rsidR="00682ECF" w:rsidRPr="00EC3CB9" w:rsidRDefault="00964ED2" w:rsidP="00843236">
            <w:pPr>
              <w:spacing w:before="100" w:after="100" w:line="240" w:lineRule="auto"/>
              <w:jc w:val="center"/>
              <w:rPr>
                <w:rFonts w:ascii="Arial" w:hAnsi="Arial" w:cs="Arial"/>
                <w:color w:val="000000"/>
                <w:sz w:val="16"/>
                <w:szCs w:val="16"/>
                <w:lang w:val="nl-NL"/>
              </w:rPr>
            </w:pPr>
            <w:r w:rsidRPr="00EC3CB9">
              <w:rPr>
                <w:rFonts w:ascii="Arial" w:hAnsi="Arial" w:cs="Arial"/>
                <w:color w:val="000000"/>
                <w:sz w:val="16"/>
                <w:szCs w:val="16"/>
                <w:lang w:val="nl-NL"/>
              </w:rPr>
              <w:t>CAG-GAG-GTG-GCC-AAT-ACA-GT</w:t>
            </w:r>
          </w:p>
        </w:tc>
        <w:tc>
          <w:tcPr>
            <w:tcW w:w="1417" w:type="dxa"/>
            <w:vMerge w:val="restart"/>
            <w:vAlign w:val="center"/>
          </w:tcPr>
          <w:p w14:paraId="0411059F" w14:textId="77777777" w:rsidR="00682ECF" w:rsidRPr="00686E9D" w:rsidRDefault="00964ED2" w:rsidP="00843236">
            <w:pPr>
              <w:pStyle w:val="111Para"/>
              <w:spacing w:before="100" w:after="100"/>
              <w:ind w:left="0"/>
              <w:jc w:val="center"/>
              <w:rPr>
                <w:sz w:val="16"/>
                <w:szCs w:val="16"/>
                <w:lang w:val="en-IE"/>
              </w:rPr>
            </w:pPr>
            <w:r w:rsidRPr="00686E9D">
              <w:rPr>
                <w:sz w:val="16"/>
                <w:szCs w:val="16"/>
                <w:lang w:val="en-IE"/>
              </w:rPr>
              <w:t>335 bp</w:t>
            </w:r>
          </w:p>
        </w:tc>
      </w:tr>
      <w:tr w:rsidR="00682ECF" w:rsidRPr="00485FD9" w14:paraId="585B8742" w14:textId="77777777" w:rsidTr="00843236">
        <w:tc>
          <w:tcPr>
            <w:tcW w:w="851" w:type="dxa"/>
            <w:vMerge/>
            <w:vAlign w:val="center"/>
          </w:tcPr>
          <w:p w14:paraId="6283D609" w14:textId="77777777" w:rsidR="00682ECF" w:rsidRPr="00686E9D" w:rsidRDefault="00682ECF" w:rsidP="00843236">
            <w:pPr>
              <w:pStyle w:val="111Para"/>
              <w:spacing w:before="100" w:after="100"/>
              <w:ind w:left="0"/>
              <w:jc w:val="center"/>
              <w:rPr>
                <w:sz w:val="16"/>
                <w:szCs w:val="16"/>
                <w:lang w:val="en-IE"/>
              </w:rPr>
            </w:pPr>
          </w:p>
        </w:tc>
        <w:tc>
          <w:tcPr>
            <w:tcW w:w="992" w:type="dxa"/>
            <w:vMerge/>
            <w:vAlign w:val="center"/>
          </w:tcPr>
          <w:p w14:paraId="76B6F9A6" w14:textId="77777777" w:rsidR="00682ECF" w:rsidRPr="00686E9D" w:rsidRDefault="00682ECF" w:rsidP="00843236">
            <w:pPr>
              <w:pStyle w:val="111Para"/>
              <w:spacing w:before="100" w:after="100"/>
              <w:ind w:left="0"/>
              <w:jc w:val="center"/>
              <w:rPr>
                <w:sz w:val="16"/>
                <w:szCs w:val="16"/>
                <w:lang w:val="en-IE"/>
              </w:rPr>
            </w:pPr>
          </w:p>
        </w:tc>
        <w:tc>
          <w:tcPr>
            <w:tcW w:w="992" w:type="dxa"/>
            <w:vAlign w:val="center"/>
          </w:tcPr>
          <w:p w14:paraId="64944219" w14:textId="77777777" w:rsidR="00682ECF" w:rsidRPr="00686E9D" w:rsidRDefault="00964ED2" w:rsidP="00843236">
            <w:pPr>
              <w:pStyle w:val="111Para"/>
              <w:spacing w:before="100" w:after="100"/>
              <w:ind w:left="0"/>
              <w:jc w:val="center"/>
              <w:rPr>
                <w:sz w:val="16"/>
                <w:szCs w:val="16"/>
                <w:lang w:val="en-IE"/>
              </w:rPr>
            </w:pPr>
            <w:r w:rsidRPr="00686E9D">
              <w:rPr>
                <w:sz w:val="16"/>
                <w:szCs w:val="16"/>
                <w:lang w:val="en-IE"/>
              </w:rPr>
              <w:t>Reverse</w:t>
            </w:r>
          </w:p>
        </w:tc>
        <w:tc>
          <w:tcPr>
            <w:tcW w:w="1418" w:type="dxa"/>
            <w:vAlign w:val="center"/>
          </w:tcPr>
          <w:p w14:paraId="26B8AF65" w14:textId="77777777" w:rsidR="00682ECF" w:rsidRPr="00686E9D" w:rsidRDefault="00964ED2" w:rsidP="00843236">
            <w:pPr>
              <w:spacing w:before="100" w:after="100" w:line="240" w:lineRule="auto"/>
              <w:jc w:val="center"/>
              <w:rPr>
                <w:rFonts w:ascii="Arial" w:hAnsi="Arial" w:cs="Arial"/>
                <w:color w:val="000000"/>
                <w:sz w:val="16"/>
                <w:szCs w:val="16"/>
                <w:lang w:val="en-IE"/>
              </w:rPr>
            </w:pPr>
            <w:proofErr w:type="spellStart"/>
            <w:r w:rsidRPr="00686E9D">
              <w:rPr>
                <w:rFonts w:ascii="Arial" w:hAnsi="Arial" w:cs="Arial"/>
                <w:color w:val="000000"/>
                <w:sz w:val="16"/>
                <w:szCs w:val="16"/>
                <w:lang w:val="en-IE"/>
              </w:rPr>
              <w:t>HeV</w:t>
            </w:r>
            <w:proofErr w:type="spellEnd"/>
            <w:r w:rsidRPr="00686E9D">
              <w:rPr>
                <w:rFonts w:ascii="Arial" w:hAnsi="Arial" w:cs="Arial"/>
                <w:color w:val="000000"/>
                <w:sz w:val="16"/>
                <w:szCs w:val="16"/>
                <w:lang w:val="en-IE"/>
              </w:rPr>
              <w:t xml:space="preserve"> P 4798R</w:t>
            </w:r>
          </w:p>
        </w:tc>
        <w:tc>
          <w:tcPr>
            <w:tcW w:w="3402" w:type="dxa"/>
            <w:vAlign w:val="center"/>
          </w:tcPr>
          <w:p w14:paraId="162D8844" w14:textId="77777777" w:rsidR="00682ECF" w:rsidRPr="00485FD9" w:rsidRDefault="00964ED2" w:rsidP="00843236">
            <w:pPr>
              <w:spacing w:before="100" w:after="100" w:line="240" w:lineRule="auto"/>
              <w:jc w:val="center"/>
              <w:rPr>
                <w:rFonts w:ascii="Arial" w:hAnsi="Arial" w:cs="Arial"/>
                <w:color w:val="000000"/>
                <w:sz w:val="16"/>
                <w:szCs w:val="16"/>
                <w:lang w:val="es-SV"/>
              </w:rPr>
            </w:pPr>
            <w:r w:rsidRPr="00485FD9">
              <w:rPr>
                <w:rFonts w:ascii="Arial" w:hAnsi="Arial" w:cs="Arial"/>
                <w:color w:val="000000"/>
                <w:sz w:val="16"/>
                <w:szCs w:val="16"/>
                <w:lang w:val="es-SV"/>
              </w:rPr>
              <w:t>GAC-TTG-GCA-CAA-CCC-AGA-TT</w:t>
            </w:r>
          </w:p>
        </w:tc>
        <w:tc>
          <w:tcPr>
            <w:tcW w:w="1417" w:type="dxa"/>
            <w:vMerge/>
            <w:vAlign w:val="center"/>
          </w:tcPr>
          <w:p w14:paraId="6BD1529F" w14:textId="77777777" w:rsidR="00682ECF" w:rsidRPr="00485FD9" w:rsidRDefault="00682ECF" w:rsidP="00843236">
            <w:pPr>
              <w:pStyle w:val="111Para"/>
              <w:spacing w:before="100" w:after="100"/>
              <w:ind w:left="0"/>
              <w:jc w:val="center"/>
              <w:rPr>
                <w:sz w:val="16"/>
                <w:szCs w:val="16"/>
                <w:lang w:val="es-SV"/>
              </w:rPr>
            </w:pPr>
          </w:p>
        </w:tc>
      </w:tr>
      <w:tr w:rsidR="00682ECF" w:rsidRPr="00686E9D" w14:paraId="49B1BBCF" w14:textId="77777777" w:rsidTr="00843236">
        <w:tc>
          <w:tcPr>
            <w:tcW w:w="851" w:type="dxa"/>
            <w:vMerge/>
            <w:vAlign w:val="center"/>
          </w:tcPr>
          <w:p w14:paraId="4A60E596" w14:textId="77777777" w:rsidR="00682ECF" w:rsidRPr="00485FD9" w:rsidRDefault="00682ECF" w:rsidP="00843236">
            <w:pPr>
              <w:pStyle w:val="111Para"/>
              <w:spacing w:before="100" w:after="100"/>
              <w:ind w:left="0"/>
              <w:jc w:val="center"/>
              <w:rPr>
                <w:sz w:val="16"/>
                <w:szCs w:val="16"/>
                <w:lang w:val="es-SV"/>
              </w:rPr>
            </w:pPr>
          </w:p>
        </w:tc>
        <w:tc>
          <w:tcPr>
            <w:tcW w:w="992" w:type="dxa"/>
            <w:vMerge w:val="restart"/>
            <w:vAlign w:val="center"/>
          </w:tcPr>
          <w:p w14:paraId="025499F1" w14:textId="77777777" w:rsidR="00682ECF" w:rsidRPr="00686E9D" w:rsidRDefault="00964ED2" w:rsidP="00843236">
            <w:pPr>
              <w:pStyle w:val="111Para"/>
              <w:spacing w:before="100" w:after="100"/>
              <w:ind w:left="0"/>
              <w:jc w:val="center"/>
              <w:rPr>
                <w:sz w:val="16"/>
                <w:szCs w:val="16"/>
                <w:lang w:val="en-IE"/>
              </w:rPr>
            </w:pPr>
            <w:r w:rsidRPr="00686E9D">
              <w:rPr>
                <w:sz w:val="16"/>
                <w:szCs w:val="16"/>
                <w:lang w:val="en-IE"/>
              </w:rPr>
              <w:t>Semi-nested PCR</w:t>
            </w:r>
          </w:p>
        </w:tc>
        <w:tc>
          <w:tcPr>
            <w:tcW w:w="992" w:type="dxa"/>
            <w:vAlign w:val="center"/>
          </w:tcPr>
          <w:p w14:paraId="02A25BFD" w14:textId="77777777" w:rsidR="00682ECF" w:rsidRPr="00686E9D" w:rsidRDefault="00964ED2" w:rsidP="00843236">
            <w:pPr>
              <w:pStyle w:val="111Para"/>
              <w:spacing w:before="100" w:after="100"/>
              <w:ind w:left="0"/>
              <w:jc w:val="center"/>
              <w:rPr>
                <w:sz w:val="16"/>
                <w:szCs w:val="16"/>
                <w:lang w:val="en-IE"/>
              </w:rPr>
            </w:pPr>
            <w:r w:rsidRPr="00686E9D">
              <w:rPr>
                <w:sz w:val="16"/>
                <w:szCs w:val="16"/>
                <w:lang w:val="en-IE"/>
              </w:rPr>
              <w:t>Forward</w:t>
            </w:r>
          </w:p>
        </w:tc>
        <w:tc>
          <w:tcPr>
            <w:tcW w:w="1418" w:type="dxa"/>
            <w:vAlign w:val="center"/>
          </w:tcPr>
          <w:p w14:paraId="29AFBD8C" w14:textId="77777777" w:rsidR="00682ECF" w:rsidRPr="00686E9D" w:rsidRDefault="00964ED2" w:rsidP="00843236">
            <w:pPr>
              <w:spacing w:before="100" w:after="100" w:line="240" w:lineRule="auto"/>
              <w:jc w:val="center"/>
              <w:rPr>
                <w:rFonts w:ascii="Arial" w:hAnsi="Arial" w:cs="Arial"/>
                <w:color w:val="000000"/>
                <w:sz w:val="16"/>
                <w:szCs w:val="16"/>
                <w:lang w:val="en-IE"/>
              </w:rPr>
            </w:pPr>
            <w:proofErr w:type="spellStart"/>
            <w:r w:rsidRPr="00686E9D">
              <w:rPr>
                <w:rFonts w:ascii="Arial" w:hAnsi="Arial" w:cs="Arial"/>
                <w:color w:val="000000"/>
                <w:sz w:val="16"/>
                <w:szCs w:val="16"/>
                <w:lang w:val="en-IE"/>
              </w:rPr>
              <w:t>HeV</w:t>
            </w:r>
            <w:proofErr w:type="spellEnd"/>
            <w:r w:rsidRPr="00686E9D">
              <w:rPr>
                <w:rFonts w:ascii="Arial" w:hAnsi="Arial" w:cs="Arial"/>
                <w:color w:val="000000"/>
                <w:sz w:val="16"/>
                <w:szCs w:val="16"/>
                <w:lang w:val="en-IE"/>
              </w:rPr>
              <w:t xml:space="preserve"> P 4594F2</w:t>
            </w:r>
          </w:p>
        </w:tc>
        <w:tc>
          <w:tcPr>
            <w:tcW w:w="3402" w:type="dxa"/>
            <w:vAlign w:val="center"/>
          </w:tcPr>
          <w:p w14:paraId="56077D05" w14:textId="77777777" w:rsidR="00682ECF" w:rsidRPr="00686E9D" w:rsidRDefault="00964ED2" w:rsidP="00843236">
            <w:pPr>
              <w:spacing w:before="100" w:after="100" w:line="240" w:lineRule="auto"/>
              <w:jc w:val="center"/>
              <w:rPr>
                <w:rFonts w:ascii="Arial" w:hAnsi="Arial" w:cs="Arial"/>
                <w:color w:val="000000"/>
                <w:sz w:val="16"/>
                <w:szCs w:val="16"/>
                <w:lang w:val="en-IE"/>
              </w:rPr>
            </w:pPr>
            <w:r w:rsidRPr="00686E9D">
              <w:rPr>
                <w:rFonts w:ascii="Arial" w:hAnsi="Arial" w:cs="Arial"/>
                <w:color w:val="000000"/>
                <w:sz w:val="16"/>
                <w:szCs w:val="16"/>
                <w:lang w:val="en-IE"/>
              </w:rPr>
              <w:t>TCA-ACC-ATT-CAT-AAA-CCG-TCA-G</w:t>
            </w:r>
          </w:p>
        </w:tc>
        <w:tc>
          <w:tcPr>
            <w:tcW w:w="1417" w:type="dxa"/>
            <w:vMerge w:val="restart"/>
            <w:vAlign w:val="center"/>
          </w:tcPr>
          <w:p w14:paraId="785400DB" w14:textId="77777777" w:rsidR="00682ECF" w:rsidRPr="00686E9D" w:rsidRDefault="00964ED2" w:rsidP="00843236">
            <w:pPr>
              <w:pStyle w:val="111Para"/>
              <w:spacing w:before="100" w:after="100"/>
              <w:ind w:left="0"/>
              <w:jc w:val="center"/>
              <w:rPr>
                <w:sz w:val="16"/>
                <w:szCs w:val="16"/>
                <w:lang w:val="en-IE"/>
              </w:rPr>
            </w:pPr>
            <w:r w:rsidRPr="00686E9D">
              <w:rPr>
                <w:sz w:val="16"/>
                <w:szCs w:val="16"/>
                <w:lang w:val="en-IE"/>
              </w:rPr>
              <w:t>205 bp</w:t>
            </w:r>
          </w:p>
        </w:tc>
      </w:tr>
      <w:tr w:rsidR="00682ECF" w:rsidRPr="00485FD9" w14:paraId="6EFA2564" w14:textId="77777777" w:rsidTr="00843236">
        <w:tc>
          <w:tcPr>
            <w:tcW w:w="851" w:type="dxa"/>
            <w:vMerge/>
            <w:vAlign w:val="center"/>
          </w:tcPr>
          <w:p w14:paraId="427EBD8E" w14:textId="77777777" w:rsidR="00682ECF" w:rsidRPr="00686E9D" w:rsidRDefault="00682ECF" w:rsidP="00843236">
            <w:pPr>
              <w:pStyle w:val="111Para"/>
              <w:spacing w:before="100" w:after="100"/>
              <w:ind w:left="0"/>
              <w:jc w:val="center"/>
              <w:rPr>
                <w:sz w:val="16"/>
                <w:szCs w:val="16"/>
                <w:lang w:val="en-IE"/>
              </w:rPr>
            </w:pPr>
          </w:p>
        </w:tc>
        <w:tc>
          <w:tcPr>
            <w:tcW w:w="992" w:type="dxa"/>
            <w:vMerge/>
            <w:vAlign w:val="center"/>
          </w:tcPr>
          <w:p w14:paraId="133AC3C2" w14:textId="77777777" w:rsidR="00682ECF" w:rsidRPr="00686E9D" w:rsidRDefault="00682ECF" w:rsidP="00843236">
            <w:pPr>
              <w:pStyle w:val="111Para"/>
              <w:spacing w:before="100" w:after="100"/>
              <w:ind w:left="0"/>
              <w:jc w:val="center"/>
              <w:rPr>
                <w:sz w:val="16"/>
                <w:szCs w:val="16"/>
                <w:lang w:val="en-IE"/>
              </w:rPr>
            </w:pPr>
          </w:p>
        </w:tc>
        <w:tc>
          <w:tcPr>
            <w:tcW w:w="992" w:type="dxa"/>
            <w:vAlign w:val="center"/>
          </w:tcPr>
          <w:p w14:paraId="5074B4C7" w14:textId="77777777" w:rsidR="00682ECF" w:rsidRPr="00686E9D" w:rsidRDefault="00964ED2" w:rsidP="00843236">
            <w:pPr>
              <w:pStyle w:val="111Para"/>
              <w:spacing w:before="100" w:after="100"/>
              <w:ind w:left="0"/>
              <w:jc w:val="center"/>
              <w:rPr>
                <w:sz w:val="16"/>
                <w:szCs w:val="16"/>
                <w:lang w:val="en-IE"/>
              </w:rPr>
            </w:pPr>
            <w:r w:rsidRPr="00686E9D">
              <w:rPr>
                <w:sz w:val="16"/>
                <w:szCs w:val="16"/>
                <w:lang w:val="en-IE"/>
              </w:rPr>
              <w:t>Reverse</w:t>
            </w:r>
          </w:p>
        </w:tc>
        <w:tc>
          <w:tcPr>
            <w:tcW w:w="1418" w:type="dxa"/>
            <w:vAlign w:val="center"/>
          </w:tcPr>
          <w:p w14:paraId="28482530" w14:textId="77777777" w:rsidR="00682ECF" w:rsidRPr="00686E9D" w:rsidRDefault="00964ED2" w:rsidP="00843236">
            <w:pPr>
              <w:spacing w:before="100" w:after="100" w:line="240" w:lineRule="auto"/>
              <w:jc w:val="center"/>
              <w:rPr>
                <w:rFonts w:ascii="Arial" w:hAnsi="Arial" w:cs="Arial"/>
                <w:color w:val="000000"/>
                <w:sz w:val="16"/>
                <w:szCs w:val="16"/>
                <w:lang w:val="en-IE"/>
              </w:rPr>
            </w:pPr>
            <w:proofErr w:type="spellStart"/>
            <w:r w:rsidRPr="00686E9D">
              <w:rPr>
                <w:rFonts w:ascii="Arial" w:hAnsi="Arial" w:cs="Arial"/>
                <w:color w:val="000000"/>
                <w:sz w:val="16"/>
                <w:szCs w:val="16"/>
                <w:lang w:val="en-IE"/>
              </w:rPr>
              <w:t>HeV</w:t>
            </w:r>
            <w:proofErr w:type="spellEnd"/>
            <w:r w:rsidRPr="00686E9D">
              <w:rPr>
                <w:rFonts w:ascii="Arial" w:hAnsi="Arial" w:cs="Arial"/>
                <w:color w:val="000000"/>
                <w:sz w:val="16"/>
                <w:szCs w:val="16"/>
                <w:lang w:val="en-IE"/>
              </w:rPr>
              <w:t xml:space="preserve"> P 4798R</w:t>
            </w:r>
          </w:p>
        </w:tc>
        <w:tc>
          <w:tcPr>
            <w:tcW w:w="3402" w:type="dxa"/>
            <w:vAlign w:val="center"/>
          </w:tcPr>
          <w:p w14:paraId="72C775AE" w14:textId="77777777" w:rsidR="00682ECF" w:rsidRPr="00485FD9" w:rsidRDefault="00964ED2" w:rsidP="00843236">
            <w:pPr>
              <w:spacing w:before="100" w:after="100" w:line="240" w:lineRule="auto"/>
              <w:jc w:val="center"/>
              <w:rPr>
                <w:rFonts w:ascii="Arial" w:hAnsi="Arial" w:cs="Arial"/>
                <w:color w:val="000000"/>
                <w:sz w:val="16"/>
                <w:szCs w:val="16"/>
                <w:lang w:val="es-SV"/>
              </w:rPr>
            </w:pPr>
            <w:r w:rsidRPr="00485FD9">
              <w:rPr>
                <w:rFonts w:ascii="Arial" w:hAnsi="Arial" w:cs="Arial"/>
                <w:color w:val="000000"/>
                <w:sz w:val="16"/>
                <w:szCs w:val="16"/>
                <w:lang w:val="es-SV"/>
              </w:rPr>
              <w:t>GAC-TTG-GCA-CAA-CCC-AGA-TT</w:t>
            </w:r>
          </w:p>
        </w:tc>
        <w:tc>
          <w:tcPr>
            <w:tcW w:w="1417" w:type="dxa"/>
            <w:vMerge/>
            <w:vAlign w:val="center"/>
          </w:tcPr>
          <w:p w14:paraId="68FA8CD8" w14:textId="77777777" w:rsidR="00682ECF" w:rsidRPr="00485FD9" w:rsidRDefault="00682ECF" w:rsidP="00843236">
            <w:pPr>
              <w:pStyle w:val="111Para"/>
              <w:spacing w:before="100" w:after="100"/>
              <w:ind w:left="0"/>
              <w:jc w:val="center"/>
              <w:rPr>
                <w:sz w:val="16"/>
                <w:szCs w:val="16"/>
                <w:lang w:val="es-SV"/>
              </w:rPr>
            </w:pPr>
          </w:p>
        </w:tc>
      </w:tr>
    </w:tbl>
    <w:p w14:paraId="06F850E4" w14:textId="1A6B3A37" w:rsidR="007679AF" w:rsidRPr="007679AF" w:rsidRDefault="00A96D2D" w:rsidP="00B452BF">
      <w:pPr>
        <w:pStyle w:val="111"/>
        <w:spacing w:before="120" w:after="240"/>
        <w:ind w:left="851" w:firstLine="0"/>
        <w:jc w:val="center"/>
        <w:rPr>
          <w:rFonts w:ascii="Arial" w:hAnsi="Arial"/>
          <w:b w:val="0"/>
          <w:bCs/>
          <w:sz w:val="16"/>
          <w:szCs w:val="16"/>
          <w:lang w:val="en-IE"/>
        </w:rPr>
      </w:pPr>
      <w:r w:rsidRPr="00DF5340">
        <w:rPr>
          <w:rFonts w:ascii="Arial" w:hAnsi="Arial"/>
          <w:b w:val="0"/>
          <w:bCs/>
          <w:sz w:val="16"/>
          <w:szCs w:val="16"/>
          <w:u w:val="double"/>
          <w:lang w:val="en-IE"/>
        </w:rPr>
        <w:t xml:space="preserve">*The </w:t>
      </w:r>
      <w:proofErr w:type="spellStart"/>
      <w:r w:rsidRPr="00DF5340">
        <w:rPr>
          <w:rFonts w:ascii="Arial" w:hAnsi="Arial"/>
          <w:b w:val="0"/>
          <w:bCs/>
          <w:sz w:val="16"/>
          <w:szCs w:val="16"/>
          <w:u w:val="double"/>
          <w:lang w:val="en-IE"/>
        </w:rPr>
        <w:t>HeV</w:t>
      </w:r>
      <w:proofErr w:type="spellEnd"/>
      <w:r w:rsidRPr="00DF5340">
        <w:rPr>
          <w:rFonts w:ascii="Arial" w:hAnsi="Arial"/>
          <w:b w:val="0"/>
          <w:bCs/>
          <w:sz w:val="16"/>
          <w:szCs w:val="16"/>
          <w:u w:val="double"/>
          <w:lang w:val="en-IE"/>
        </w:rPr>
        <w:t xml:space="preserve"> M gene semi-nested conventional PCR detects both HeV-g1 and HeV-g2</w:t>
      </w:r>
      <w:r w:rsidR="00A30958">
        <w:rPr>
          <w:rFonts w:ascii="Arial" w:hAnsi="Arial"/>
          <w:b w:val="0"/>
          <w:bCs/>
          <w:sz w:val="16"/>
          <w:szCs w:val="16"/>
          <w:u w:val="double"/>
          <w:lang w:val="en-IE"/>
        </w:rPr>
        <w:br/>
      </w:r>
      <w:r w:rsidR="007679AF" w:rsidRPr="0084084E">
        <w:rPr>
          <w:rFonts w:ascii="Arial" w:hAnsi="Arial"/>
          <w:b w:val="0"/>
          <w:bCs/>
          <w:sz w:val="16"/>
          <w:szCs w:val="16"/>
          <w:highlight w:val="yellow"/>
          <w:u w:val="double"/>
          <w:lang w:val="en-IE"/>
        </w:rPr>
        <w:t xml:space="preserve">The </w:t>
      </w:r>
      <w:bookmarkStart w:id="11" w:name="_Hlk95814337"/>
      <w:proofErr w:type="spellStart"/>
      <w:r w:rsidR="007679AF" w:rsidRPr="0084084E">
        <w:rPr>
          <w:rFonts w:ascii="Arial" w:hAnsi="Arial"/>
          <w:b w:val="0"/>
          <w:bCs/>
          <w:sz w:val="16"/>
          <w:szCs w:val="16"/>
          <w:highlight w:val="yellow"/>
          <w:u w:val="double"/>
          <w:lang w:val="en-IE"/>
        </w:rPr>
        <w:t>HeV</w:t>
      </w:r>
      <w:proofErr w:type="spellEnd"/>
      <w:r w:rsidR="007679AF" w:rsidRPr="0084084E">
        <w:rPr>
          <w:rFonts w:ascii="Arial" w:hAnsi="Arial"/>
          <w:b w:val="0"/>
          <w:bCs/>
          <w:sz w:val="16"/>
          <w:szCs w:val="16"/>
          <w:highlight w:val="yellow"/>
          <w:u w:val="double"/>
          <w:lang w:val="en-IE"/>
        </w:rPr>
        <w:t>-P gene semi</w:t>
      </w:r>
      <w:r w:rsidR="00B452BF">
        <w:rPr>
          <w:rFonts w:ascii="Arial" w:hAnsi="Arial"/>
          <w:b w:val="0"/>
          <w:bCs/>
          <w:sz w:val="16"/>
          <w:szCs w:val="16"/>
          <w:highlight w:val="yellow"/>
          <w:u w:val="double"/>
          <w:lang w:val="en-IE"/>
        </w:rPr>
        <w:t>-</w:t>
      </w:r>
      <w:r w:rsidR="007679AF" w:rsidRPr="0084084E">
        <w:rPr>
          <w:rFonts w:ascii="Arial" w:hAnsi="Arial"/>
          <w:b w:val="0"/>
          <w:bCs/>
          <w:sz w:val="16"/>
          <w:szCs w:val="16"/>
          <w:highlight w:val="yellow"/>
          <w:u w:val="double"/>
          <w:lang w:val="en-IE"/>
        </w:rPr>
        <w:t xml:space="preserve">nested conventional PCR </w:t>
      </w:r>
      <w:r w:rsidR="007679AF" w:rsidRPr="0084084E">
        <w:rPr>
          <w:rFonts w:ascii="Arial" w:hAnsi="Arial"/>
          <w:b w:val="0"/>
          <w:bCs/>
          <w:sz w:val="16"/>
          <w:szCs w:val="16"/>
          <w:highlight w:val="yellow"/>
          <w:u w:val="double"/>
        </w:rPr>
        <w:t>also</w:t>
      </w:r>
      <w:r w:rsidR="007679AF" w:rsidRPr="0084084E">
        <w:rPr>
          <w:rFonts w:ascii="Arial" w:hAnsi="Arial"/>
          <w:b w:val="0"/>
          <w:bCs/>
          <w:sz w:val="16"/>
          <w:szCs w:val="16"/>
          <w:highlight w:val="yellow"/>
          <w:u w:val="double"/>
          <w:lang w:val="en-IE"/>
        </w:rPr>
        <w:t xml:space="preserve"> detects HeV-g1 and HeV-g2, but with much lower sensitivity for HeV-g2</w:t>
      </w:r>
      <w:bookmarkEnd w:id="11"/>
      <w:r w:rsidR="007679AF" w:rsidRPr="0084084E">
        <w:rPr>
          <w:rFonts w:ascii="Arial" w:hAnsi="Arial"/>
          <w:b w:val="0"/>
          <w:bCs/>
          <w:sz w:val="16"/>
          <w:szCs w:val="16"/>
          <w:highlight w:val="yellow"/>
          <w:u w:val="double"/>
          <w:lang w:val="en-IE"/>
        </w:rPr>
        <w:t>.</w:t>
      </w:r>
    </w:p>
    <w:p w14:paraId="0D794EE3" w14:textId="2D909EC5" w:rsidR="00682ECF" w:rsidRPr="00686E9D" w:rsidRDefault="00791F5D" w:rsidP="00791F5D">
      <w:pPr>
        <w:pStyle w:val="111"/>
        <w:spacing w:before="240"/>
        <w:rPr>
          <w:lang w:val="en-IE"/>
        </w:rPr>
      </w:pPr>
      <w:r w:rsidRPr="00686E9D">
        <w:rPr>
          <w:lang w:val="en-IE"/>
        </w:rPr>
        <w:lastRenderedPageBreak/>
        <w:t>3.2.1.</w:t>
      </w:r>
      <w:r w:rsidR="00964ED2" w:rsidRPr="00686E9D">
        <w:rPr>
          <w:lang w:val="en-IE"/>
        </w:rPr>
        <w:tab/>
      </w:r>
      <w:proofErr w:type="spellStart"/>
      <w:r w:rsidR="00964ED2" w:rsidRPr="00686E9D">
        <w:rPr>
          <w:lang w:val="en-IE"/>
        </w:rPr>
        <w:t>He</w:t>
      </w:r>
      <w:r w:rsidR="002145D8" w:rsidRPr="00686E9D">
        <w:rPr>
          <w:lang w:val="en-IE"/>
        </w:rPr>
        <w:t>V</w:t>
      </w:r>
      <w:proofErr w:type="spellEnd"/>
      <w:r w:rsidR="00964ED2" w:rsidRPr="00686E9D">
        <w:rPr>
          <w:lang w:val="en-IE"/>
        </w:rPr>
        <w:t xml:space="preserve"> RT-PCR conditions</w:t>
      </w:r>
    </w:p>
    <w:p w14:paraId="01D42120" w14:textId="6574CAE4" w:rsidR="00682ECF" w:rsidRPr="00686E9D" w:rsidRDefault="00791F5D" w:rsidP="00791F5D">
      <w:pPr>
        <w:pStyle w:val="i"/>
        <w:rPr>
          <w:lang w:val="en-IE"/>
        </w:rPr>
      </w:pPr>
      <w:r w:rsidRPr="00686E9D">
        <w:rPr>
          <w:lang w:val="en-IE"/>
        </w:rPr>
        <w:t>i</w:t>
      </w:r>
      <w:r w:rsidR="00964ED2" w:rsidRPr="00686E9D">
        <w:rPr>
          <w:lang w:val="en-IE"/>
        </w:rPr>
        <w:t>)</w:t>
      </w:r>
      <w:r w:rsidR="00964ED2" w:rsidRPr="00686E9D">
        <w:rPr>
          <w:lang w:val="en-IE"/>
        </w:rPr>
        <w:tab/>
        <w:t>Primary RT-PCR</w:t>
      </w:r>
    </w:p>
    <w:p w14:paraId="4207871E" w14:textId="77777777" w:rsidR="00682ECF" w:rsidRPr="00686E9D" w:rsidRDefault="00964ED2" w:rsidP="00791F5D">
      <w:pPr>
        <w:pStyle w:val="afourthpara"/>
        <w:spacing w:after="120"/>
        <w:ind w:left="2410" w:hanging="567"/>
        <w:rPr>
          <w:lang w:val="en-IE"/>
        </w:rPr>
      </w:pPr>
      <w:r w:rsidRPr="00686E9D">
        <w:rPr>
          <w:lang w:val="en-IE"/>
        </w:rPr>
        <w:t xml:space="preserve">1× </w:t>
      </w:r>
      <w:r w:rsidRPr="00686E9D">
        <w:rPr>
          <w:lang w:val="en-IE"/>
        </w:rPr>
        <w:tab/>
        <w:t>48°C for 30 minutes, 94°C for 2 minutes</w:t>
      </w:r>
    </w:p>
    <w:p w14:paraId="35D7501C" w14:textId="77777777" w:rsidR="00682ECF" w:rsidRPr="00686E9D" w:rsidRDefault="00964ED2" w:rsidP="00791F5D">
      <w:pPr>
        <w:pStyle w:val="afourthpara"/>
        <w:spacing w:after="120"/>
        <w:ind w:left="2410" w:hanging="567"/>
        <w:rPr>
          <w:lang w:val="en-IE"/>
        </w:rPr>
      </w:pPr>
      <w:r w:rsidRPr="00686E9D">
        <w:rPr>
          <w:lang w:val="en-IE"/>
        </w:rPr>
        <w:t xml:space="preserve">40× </w:t>
      </w:r>
      <w:r w:rsidRPr="00686E9D">
        <w:rPr>
          <w:lang w:val="en-IE"/>
        </w:rPr>
        <w:tab/>
        <w:t>95°C for 30 seconds, 53°C for 30 seconds, 68°C for 45 seconds</w:t>
      </w:r>
    </w:p>
    <w:p w14:paraId="20291438" w14:textId="77777777" w:rsidR="00682ECF" w:rsidRPr="00686E9D" w:rsidRDefault="00964ED2" w:rsidP="00791F5D">
      <w:pPr>
        <w:pStyle w:val="afourthpara"/>
        <w:ind w:left="2410" w:hanging="567"/>
        <w:rPr>
          <w:lang w:val="en-IE"/>
        </w:rPr>
      </w:pPr>
      <w:r w:rsidRPr="00686E9D">
        <w:rPr>
          <w:lang w:val="en-IE"/>
        </w:rPr>
        <w:t xml:space="preserve">1× </w:t>
      </w:r>
      <w:r w:rsidRPr="00686E9D">
        <w:rPr>
          <w:lang w:val="en-IE"/>
        </w:rPr>
        <w:tab/>
        <w:t>68°C for 7 minutes</w:t>
      </w:r>
    </w:p>
    <w:p w14:paraId="62F97E36" w14:textId="169BBFA6" w:rsidR="00682ECF" w:rsidRPr="00686E9D" w:rsidRDefault="00437216" w:rsidP="00791F5D">
      <w:pPr>
        <w:pStyle w:val="i"/>
        <w:rPr>
          <w:lang w:val="en-IE"/>
        </w:rPr>
      </w:pPr>
      <w:r w:rsidRPr="00686E9D">
        <w:rPr>
          <w:lang w:val="en-IE"/>
        </w:rPr>
        <w:t>ii</w:t>
      </w:r>
      <w:r w:rsidR="00964ED2" w:rsidRPr="00686E9D">
        <w:rPr>
          <w:lang w:val="en-IE"/>
        </w:rPr>
        <w:t>)</w:t>
      </w:r>
      <w:r w:rsidR="00964ED2" w:rsidRPr="00686E9D">
        <w:rPr>
          <w:lang w:val="en-IE"/>
        </w:rPr>
        <w:tab/>
        <w:t>Semi-nested PCR</w:t>
      </w:r>
    </w:p>
    <w:p w14:paraId="186BBD9A" w14:textId="77777777" w:rsidR="00682ECF" w:rsidRPr="00686E9D" w:rsidRDefault="00964ED2" w:rsidP="00791F5D">
      <w:pPr>
        <w:pStyle w:val="afourthpara"/>
        <w:spacing w:after="120"/>
        <w:ind w:left="2410" w:hanging="567"/>
        <w:rPr>
          <w:lang w:val="en-IE"/>
        </w:rPr>
      </w:pPr>
      <w:r w:rsidRPr="00686E9D">
        <w:rPr>
          <w:lang w:val="en-IE"/>
        </w:rPr>
        <w:t xml:space="preserve">1× </w:t>
      </w:r>
      <w:r w:rsidRPr="00686E9D">
        <w:rPr>
          <w:lang w:val="en-IE"/>
        </w:rPr>
        <w:tab/>
        <w:t>95°C for 5 minutes</w:t>
      </w:r>
    </w:p>
    <w:p w14:paraId="78558A91" w14:textId="77777777" w:rsidR="00682ECF" w:rsidRPr="00686E9D" w:rsidRDefault="00964ED2" w:rsidP="00791F5D">
      <w:pPr>
        <w:pStyle w:val="afourthpara"/>
        <w:spacing w:after="120"/>
        <w:ind w:left="2410" w:hanging="567"/>
        <w:rPr>
          <w:lang w:val="en-IE"/>
        </w:rPr>
      </w:pPr>
      <w:r w:rsidRPr="00686E9D">
        <w:rPr>
          <w:lang w:val="en-IE"/>
        </w:rPr>
        <w:t xml:space="preserve">30× </w:t>
      </w:r>
      <w:r w:rsidRPr="00686E9D">
        <w:rPr>
          <w:lang w:val="en-IE"/>
        </w:rPr>
        <w:tab/>
        <w:t>95°C for 30 seconds, 55°C for 30 seconds, 72°C for 45 seconds</w:t>
      </w:r>
    </w:p>
    <w:p w14:paraId="04B1E3C7" w14:textId="1ADA443E" w:rsidR="00682ECF" w:rsidRPr="00686E9D" w:rsidRDefault="00964ED2" w:rsidP="00791F5D">
      <w:pPr>
        <w:pStyle w:val="afourthpara"/>
        <w:ind w:left="2410" w:hanging="567"/>
        <w:rPr>
          <w:lang w:val="en-IE"/>
        </w:rPr>
      </w:pPr>
      <w:r w:rsidRPr="00686E9D">
        <w:rPr>
          <w:lang w:val="en-IE"/>
        </w:rPr>
        <w:t xml:space="preserve">1× </w:t>
      </w:r>
      <w:r w:rsidRPr="00686E9D">
        <w:rPr>
          <w:lang w:val="en-IE"/>
        </w:rPr>
        <w:tab/>
        <w:t>72°C for 7 minutes</w:t>
      </w:r>
    </w:p>
    <w:p w14:paraId="3CF5E7ED" w14:textId="11244AF4" w:rsidR="00423790" w:rsidRPr="00686E9D" w:rsidRDefault="00423790" w:rsidP="00423790">
      <w:pPr>
        <w:pStyle w:val="111Para"/>
        <w:rPr>
          <w:u w:val="double"/>
          <w:lang w:val="en-IE"/>
        </w:rPr>
      </w:pPr>
      <w:r w:rsidRPr="00686E9D">
        <w:rPr>
          <w:u w:val="double"/>
          <w:lang w:val="en-IE"/>
        </w:rPr>
        <w:t xml:space="preserve">A range of conventional PCRs for </w:t>
      </w:r>
      <w:proofErr w:type="spellStart"/>
      <w:r w:rsidRPr="00686E9D">
        <w:rPr>
          <w:u w:val="double"/>
          <w:lang w:val="en-IE"/>
        </w:rPr>
        <w:t>NiV</w:t>
      </w:r>
      <w:proofErr w:type="spellEnd"/>
      <w:r w:rsidRPr="00686E9D">
        <w:rPr>
          <w:u w:val="double"/>
          <w:lang w:val="en-IE"/>
        </w:rPr>
        <w:t xml:space="preserve"> have been described, most of which target the N gene. For more details see </w:t>
      </w:r>
      <w:proofErr w:type="spellStart"/>
      <w:r w:rsidRPr="00686E9D">
        <w:rPr>
          <w:u w:val="double"/>
          <w:lang w:val="en-IE"/>
        </w:rPr>
        <w:t>Wacharapluesadee</w:t>
      </w:r>
      <w:proofErr w:type="spellEnd"/>
      <w:r w:rsidRPr="00686E9D">
        <w:rPr>
          <w:u w:val="double"/>
          <w:lang w:val="en-IE"/>
        </w:rPr>
        <w:t xml:space="preserve"> &amp; </w:t>
      </w:r>
      <w:proofErr w:type="spellStart"/>
      <w:r w:rsidRPr="00686E9D">
        <w:rPr>
          <w:u w:val="double"/>
          <w:lang w:val="en-IE"/>
        </w:rPr>
        <w:t>Hemachudha</w:t>
      </w:r>
      <w:proofErr w:type="spellEnd"/>
      <w:r w:rsidRPr="00686E9D">
        <w:rPr>
          <w:u w:val="double"/>
          <w:lang w:val="en-IE"/>
        </w:rPr>
        <w:t xml:space="preserve"> (2007). A semi-nested PCR targeting the L gene has been described by Feldman </w:t>
      </w:r>
      <w:r w:rsidRPr="00686E9D">
        <w:rPr>
          <w:i/>
          <w:u w:val="double"/>
          <w:lang w:val="en-IE"/>
        </w:rPr>
        <w:t>et al</w:t>
      </w:r>
      <w:r w:rsidRPr="00686E9D">
        <w:rPr>
          <w:u w:val="double"/>
          <w:lang w:val="en-IE"/>
        </w:rPr>
        <w:t xml:space="preserve">., 2009 and is shown below. This assay </w:t>
      </w:r>
      <w:r w:rsidR="00C25D0F" w:rsidRPr="00686E9D">
        <w:rPr>
          <w:u w:val="double"/>
          <w:lang w:val="en-IE"/>
        </w:rPr>
        <w:t xml:space="preserve">detects </w:t>
      </w:r>
      <w:proofErr w:type="spellStart"/>
      <w:r w:rsidR="00C25D0F" w:rsidRPr="00686E9D">
        <w:rPr>
          <w:u w:val="double"/>
          <w:lang w:val="en-IE"/>
        </w:rPr>
        <w:t>NiV</w:t>
      </w:r>
      <w:proofErr w:type="spellEnd"/>
      <w:r w:rsidR="00C25D0F" w:rsidRPr="00686E9D">
        <w:rPr>
          <w:u w:val="double"/>
          <w:lang w:val="en-IE"/>
        </w:rPr>
        <w:t xml:space="preserve">-M and </w:t>
      </w:r>
      <w:proofErr w:type="spellStart"/>
      <w:r w:rsidR="00C25D0F" w:rsidRPr="00686E9D">
        <w:rPr>
          <w:u w:val="double"/>
          <w:lang w:val="en-IE"/>
        </w:rPr>
        <w:t>NiV</w:t>
      </w:r>
      <w:proofErr w:type="spellEnd"/>
      <w:r w:rsidR="00C25D0F" w:rsidRPr="00686E9D">
        <w:rPr>
          <w:u w:val="double"/>
          <w:lang w:val="en-IE"/>
        </w:rPr>
        <w:t xml:space="preserve">-B and </w:t>
      </w:r>
      <w:r w:rsidRPr="00686E9D">
        <w:rPr>
          <w:u w:val="double"/>
          <w:lang w:val="en-IE"/>
        </w:rPr>
        <w:t xml:space="preserve">will also detect </w:t>
      </w:r>
      <w:proofErr w:type="spellStart"/>
      <w:r w:rsidRPr="00686E9D">
        <w:rPr>
          <w:u w:val="double"/>
          <w:lang w:val="en-IE"/>
        </w:rPr>
        <w:t>HeV</w:t>
      </w:r>
      <w:proofErr w:type="spellEnd"/>
      <w:r w:rsidRPr="00686E9D">
        <w:rPr>
          <w:u w:val="double"/>
          <w:lang w:val="en-IE"/>
        </w:rPr>
        <w:t>.</w:t>
      </w:r>
    </w:p>
    <w:bookmarkEnd w:id="7"/>
    <w:p w14:paraId="377BE997" w14:textId="6E092801" w:rsidR="000D479D" w:rsidRPr="00686E9D" w:rsidRDefault="000D479D" w:rsidP="00455E57">
      <w:pPr>
        <w:pStyle w:val="A"/>
        <w:spacing w:after="120"/>
        <w:rPr>
          <w:b w:val="0"/>
          <w:bCs w:val="0"/>
          <w:i/>
          <w:iCs/>
          <w:sz w:val="18"/>
          <w:szCs w:val="18"/>
          <w:lang w:val="en-IE"/>
        </w:rPr>
      </w:pPr>
      <w:r w:rsidRPr="00686E9D">
        <w:rPr>
          <w:i/>
          <w:iCs/>
          <w:caps w:val="0"/>
          <w:sz w:val="18"/>
          <w:szCs w:val="18"/>
          <w:lang w:val="en-IE"/>
        </w:rPr>
        <w:t>Table 4</w:t>
      </w:r>
      <w:r w:rsidRPr="00686E9D">
        <w:rPr>
          <w:i/>
          <w:iCs/>
          <w:sz w:val="18"/>
          <w:szCs w:val="18"/>
          <w:lang w:val="en-IE"/>
        </w:rPr>
        <w:t>.</w:t>
      </w:r>
      <w:r w:rsidRPr="00686E9D">
        <w:rPr>
          <w:b w:val="0"/>
          <w:bCs w:val="0"/>
          <w:i/>
          <w:iCs/>
          <w:sz w:val="18"/>
          <w:szCs w:val="18"/>
          <w:lang w:val="en-IE"/>
        </w:rPr>
        <w:t xml:space="preserve"> </w:t>
      </w:r>
      <w:r w:rsidRPr="00686E9D">
        <w:rPr>
          <w:b w:val="0"/>
          <w:bCs w:val="0"/>
          <w:i/>
          <w:iCs/>
          <w:caps w:val="0"/>
          <w:sz w:val="18"/>
          <w:szCs w:val="18"/>
          <w:lang w:val="en-IE"/>
        </w:rPr>
        <w:t xml:space="preserve">Primers used for conventional </w:t>
      </w:r>
      <w:r w:rsidRPr="00686E9D">
        <w:rPr>
          <w:b w:val="0"/>
          <w:bCs w:val="0"/>
          <w:i/>
          <w:iCs/>
          <w:sz w:val="18"/>
          <w:szCs w:val="18"/>
          <w:lang w:val="en-IE"/>
        </w:rPr>
        <w:t xml:space="preserve">PCR </w:t>
      </w:r>
      <w:r w:rsidRPr="00686E9D">
        <w:rPr>
          <w:b w:val="0"/>
          <w:bCs w:val="0"/>
          <w:i/>
          <w:iCs/>
          <w:caps w:val="0"/>
          <w:sz w:val="18"/>
          <w:szCs w:val="18"/>
          <w:lang w:val="en-IE"/>
        </w:rPr>
        <w:t>and sequencing of</w:t>
      </w:r>
      <w:r w:rsidR="00C25D0F" w:rsidRPr="00686E9D">
        <w:rPr>
          <w:b w:val="0"/>
          <w:bCs w:val="0"/>
          <w:i/>
          <w:iCs/>
          <w:caps w:val="0"/>
          <w:sz w:val="18"/>
          <w:szCs w:val="18"/>
          <w:lang w:val="en-IE"/>
        </w:rPr>
        <w:t xml:space="preserve"> </w:t>
      </w:r>
      <w:r w:rsidR="00C25D0F" w:rsidRPr="00686E9D">
        <w:rPr>
          <w:b w:val="0"/>
          <w:bCs w:val="0"/>
          <w:i/>
          <w:iCs/>
          <w:caps w:val="0"/>
          <w:sz w:val="18"/>
          <w:szCs w:val="18"/>
          <w:u w:val="double"/>
          <w:lang w:val="en-IE"/>
        </w:rPr>
        <w:t>both strains of</w:t>
      </w:r>
      <w:r w:rsidRPr="00686E9D">
        <w:rPr>
          <w:b w:val="0"/>
          <w:bCs w:val="0"/>
          <w:i/>
          <w:iCs/>
          <w:caps w:val="0"/>
          <w:sz w:val="18"/>
          <w:szCs w:val="18"/>
          <w:lang w:val="en-IE"/>
        </w:rPr>
        <w:t xml:space="preserve"> </w:t>
      </w:r>
      <w:proofErr w:type="spellStart"/>
      <w:r w:rsidRPr="00686E9D">
        <w:rPr>
          <w:b w:val="0"/>
          <w:bCs w:val="0"/>
          <w:i/>
          <w:iCs/>
          <w:caps w:val="0"/>
          <w:sz w:val="18"/>
          <w:szCs w:val="18"/>
          <w:lang w:val="en-IE"/>
        </w:rPr>
        <w:t>NiV</w:t>
      </w:r>
      <w:proofErr w:type="spellEnd"/>
      <w:r w:rsidR="00A36AAD" w:rsidRPr="00686E9D">
        <w:rPr>
          <w:b w:val="0"/>
          <w:bCs w:val="0"/>
          <w:i/>
          <w:iCs/>
          <w:caps w:val="0"/>
          <w:sz w:val="18"/>
          <w:szCs w:val="18"/>
          <w:lang w:val="en-IE"/>
        </w:rPr>
        <w:t xml:space="preserve"> </w:t>
      </w:r>
      <w:r w:rsidR="00A36AAD" w:rsidRPr="00686E9D">
        <w:rPr>
          <w:b w:val="0"/>
          <w:bCs w:val="0"/>
          <w:caps w:val="0"/>
          <w:sz w:val="18"/>
          <w:szCs w:val="18"/>
          <w:u w:val="double"/>
          <w:lang w:val="en-IE"/>
        </w:rPr>
        <w:t>(</w:t>
      </w:r>
      <w:r w:rsidR="00A36AAD" w:rsidRPr="00686E9D">
        <w:rPr>
          <w:b w:val="0"/>
          <w:bCs w:val="0"/>
          <w:i/>
          <w:iCs/>
          <w:caps w:val="0"/>
          <w:sz w:val="18"/>
          <w:szCs w:val="18"/>
          <w:u w:val="double"/>
          <w:lang w:val="en-IE"/>
        </w:rPr>
        <w:t>Feldman</w:t>
      </w:r>
      <w:r w:rsidR="00A36AAD" w:rsidRPr="00686E9D">
        <w:rPr>
          <w:b w:val="0"/>
          <w:bCs w:val="0"/>
          <w:caps w:val="0"/>
          <w:sz w:val="18"/>
          <w:szCs w:val="18"/>
          <w:u w:val="double"/>
          <w:lang w:val="en-IE"/>
        </w:rPr>
        <w:t xml:space="preserve"> et al., </w:t>
      </w:r>
      <w:r w:rsidR="00A36AAD" w:rsidRPr="00686E9D">
        <w:rPr>
          <w:b w:val="0"/>
          <w:bCs w:val="0"/>
          <w:i/>
          <w:iCs/>
          <w:caps w:val="0"/>
          <w:sz w:val="18"/>
          <w:szCs w:val="18"/>
          <w:u w:val="double"/>
          <w:lang w:val="en-IE"/>
        </w:rPr>
        <w:t>2009</w:t>
      </w:r>
      <w:r w:rsidR="00A36AAD" w:rsidRPr="00686E9D">
        <w:rPr>
          <w:b w:val="0"/>
          <w:bCs w:val="0"/>
          <w:caps w:val="0"/>
          <w:sz w:val="18"/>
          <w:szCs w:val="18"/>
          <w:u w:val="double"/>
          <w:lang w:val="en-IE"/>
        </w:rPr>
        <w:t>)</w:t>
      </w:r>
    </w:p>
    <w:tbl>
      <w:tblPr>
        <w:tblW w:w="9072" w:type="dxa"/>
        <w:tblInd w:w="108" w:type="dxa"/>
        <w:tblCellMar>
          <w:left w:w="0" w:type="dxa"/>
          <w:right w:w="0" w:type="dxa"/>
        </w:tblCellMar>
        <w:tblLook w:val="04A0" w:firstRow="1" w:lastRow="0" w:firstColumn="1" w:lastColumn="0" w:noHBand="0" w:noVBand="1"/>
      </w:tblPr>
      <w:tblGrid>
        <w:gridCol w:w="849"/>
        <w:gridCol w:w="1137"/>
        <w:gridCol w:w="1134"/>
        <w:gridCol w:w="1276"/>
        <w:gridCol w:w="3968"/>
        <w:gridCol w:w="708"/>
      </w:tblGrid>
      <w:tr w:rsidR="00791F5D" w:rsidRPr="00686E9D" w14:paraId="09EFC841" w14:textId="77777777" w:rsidTr="009B1295">
        <w:tc>
          <w:tcPr>
            <w:tcW w:w="849"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27BD0459" w14:textId="096C2512" w:rsidR="00791F5D" w:rsidRPr="00686E9D" w:rsidRDefault="00791F5D" w:rsidP="00791F5D">
            <w:pPr>
              <w:pStyle w:val="111Para"/>
              <w:spacing w:before="120" w:after="120"/>
              <w:ind w:left="0"/>
              <w:jc w:val="center"/>
              <w:rPr>
                <w:sz w:val="16"/>
                <w:szCs w:val="16"/>
                <w:lang w:val="en-IE"/>
              </w:rPr>
            </w:pPr>
            <w:proofErr w:type="spellStart"/>
            <w:r w:rsidRPr="00686E9D">
              <w:rPr>
                <w:sz w:val="16"/>
                <w:szCs w:val="16"/>
                <w:lang w:val="en-IE"/>
              </w:rPr>
              <w:t>NiV</w:t>
            </w:r>
            <w:proofErr w:type="spellEnd"/>
            <w:r w:rsidRPr="00686E9D">
              <w:rPr>
                <w:sz w:val="16"/>
                <w:szCs w:val="16"/>
                <w:lang w:val="en-IE"/>
              </w:rPr>
              <w:t xml:space="preserve"> </w:t>
            </w:r>
            <w:r w:rsidRPr="00686E9D">
              <w:rPr>
                <w:strike/>
                <w:sz w:val="16"/>
                <w:szCs w:val="16"/>
                <w:lang w:val="en-IE"/>
              </w:rPr>
              <w:t xml:space="preserve">M </w:t>
            </w:r>
            <w:r w:rsidR="00A36AAD" w:rsidRPr="00686E9D">
              <w:rPr>
                <w:sz w:val="16"/>
                <w:szCs w:val="16"/>
                <w:u w:val="double"/>
                <w:lang w:val="en-IE"/>
              </w:rPr>
              <w:t>L</w:t>
            </w:r>
            <w:r w:rsidR="00A36AAD" w:rsidRPr="00686E9D">
              <w:rPr>
                <w:sz w:val="16"/>
                <w:szCs w:val="16"/>
                <w:lang w:val="en-IE"/>
              </w:rPr>
              <w:t xml:space="preserve"> </w:t>
            </w:r>
            <w:r w:rsidRPr="00686E9D">
              <w:rPr>
                <w:sz w:val="16"/>
                <w:szCs w:val="16"/>
                <w:lang w:val="en-IE"/>
              </w:rPr>
              <w:t>gene</w:t>
            </w:r>
          </w:p>
        </w:tc>
        <w:tc>
          <w:tcPr>
            <w:tcW w:w="1137"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195C908B" w14:textId="12FAD379" w:rsidR="00791F5D" w:rsidRPr="00686E9D" w:rsidRDefault="00791F5D" w:rsidP="00791F5D">
            <w:pPr>
              <w:pStyle w:val="111Para"/>
              <w:spacing w:before="120" w:after="120"/>
              <w:ind w:left="0"/>
              <w:jc w:val="center"/>
              <w:rPr>
                <w:sz w:val="16"/>
                <w:szCs w:val="16"/>
                <w:lang w:val="en-IE"/>
              </w:rPr>
            </w:pPr>
            <w:r w:rsidRPr="00686E9D">
              <w:rPr>
                <w:sz w:val="16"/>
                <w:szCs w:val="16"/>
                <w:lang w:val="en-IE"/>
              </w:rPr>
              <w:t xml:space="preserve">Primary </w:t>
            </w:r>
            <w:r w:rsidR="00194ADF" w:rsidRPr="00686E9D">
              <w:rPr>
                <w:sz w:val="16"/>
                <w:szCs w:val="16"/>
                <w:lang w:val="en-IE"/>
              </w:rPr>
              <w:br/>
            </w:r>
            <w:r w:rsidRPr="00686E9D">
              <w:rPr>
                <w:sz w:val="16"/>
                <w:szCs w:val="16"/>
                <w:lang w:val="en-IE"/>
              </w:rPr>
              <w:t>RT-PCR</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21DF8B" w14:textId="77777777" w:rsidR="00791F5D" w:rsidRPr="00686E9D" w:rsidRDefault="00791F5D" w:rsidP="00791F5D">
            <w:pPr>
              <w:pStyle w:val="111Para"/>
              <w:spacing w:before="120" w:after="120"/>
              <w:ind w:left="0"/>
              <w:jc w:val="center"/>
              <w:rPr>
                <w:sz w:val="16"/>
                <w:szCs w:val="16"/>
                <w:lang w:val="en-IE"/>
              </w:rPr>
            </w:pPr>
            <w:r w:rsidRPr="00686E9D">
              <w:rPr>
                <w:sz w:val="16"/>
                <w:szCs w:val="16"/>
                <w:lang w:val="en-IE"/>
              </w:rPr>
              <w:t>Forward</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899012" w14:textId="730BEC64" w:rsidR="00791F5D" w:rsidRPr="00686E9D" w:rsidRDefault="00791F5D" w:rsidP="00791F5D">
            <w:pPr>
              <w:spacing w:before="120" w:after="120" w:line="240" w:lineRule="auto"/>
              <w:jc w:val="center"/>
              <w:rPr>
                <w:rFonts w:ascii="Arial" w:eastAsiaTheme="minorHAnsi" w:hAnsi="Arial" w:cs="Arial"/>
                <w:sz w:val="16"/>
                <w:szCs w:val="16"/>
                <w:lang w:val="en-IE"/>
              </w:rPr>
            </w:pPr>
            <w:proofErr w:type="spellStart"/>
            <w:r w:rsidRPr="00686E9D">
              <w:rPr>
                <w:rFonts w:ascii="Arial" w:hAnsi="Arial" w:cs="Arial"/>
                <w:strike/>
                <w:sz w:val="16"/>
                <w:szCs w:val="16"/>
                <w:lang w:val="en-IE"/>
              </w:rPr>
              <w:t>NiV</w:t>
            </w:r>
            <w:proofErr w:type="spellEnd"/>
            <w:r w:rsidRPr="00686E9D">
              <w:rPr>
                <w:rFonts w:ascii="Arial" w:hAnsi="Arial" w:cs="Arial"/>
                <w:strike/>
                <w:sz w:val="16"/>
                <w:szCs w:val="16"/>
                <w:lang w:val="en-IE"/>
              </w:rPr>
              <w:t xml:space="preserve"> M 5659F</w:t>
            </w:r>
            <w:r w:rsidR="00AE75AE" w:rsidRPr="00686E9D">
              <w:rPr>
                <w:rFonts w:ascii="Arial" w:hAnsi="Arial" w:cs="Arial"/>
                <w:strike/>
                <w:sz w:val="16"/>
                <w:szCs w:val="16"/>
                <w:lang w:val="en-IE"/>
              </w:rPr>
              <w:br/>
            </w:r>
            <w:r w:rsidR="00A36AAD" w:rsidRPr="00686E9D">
              <w:rPr>
                <w:rFonts w:ascii="Arial" w:hAnsi="Arial" w:cs="Arial"/>
                <w:sz w:val="16"/>
                <w:szCs w:val="16"/>
                <w:u w:val="double"/>
                <w:lang w:val="en-IE"/>
              </w:rPr>
              <w:t>LFWD1</w:t>
            </w:r>
          </w:p>
        </w:tc>
        <w:tc>
          <w:tcPr>
            <w:tcW w:w="39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68BB56" w14:textId="0EA42757" w:rsidR="00791F5D" w:rsidRPr="00686E9D" w:rsidRDefault="00791F5D" w:rsidP="00791F5D">
            <w:pPr>
              <w:spacing w:before="120" w:after="120" w:line="240" w:lineRule="auto"/>
              <w:jc w:val="center"/>
              <w:rPr>
                <w:rFonts w:ascii="Arial" w:eastAsiaTheme="minorHAnsi" w:hAnsi="Arial" w:cs="Arial"/>
                <w:sz w:val="16"/>
                <w:szCs w:val="16"/>
                <w:lang w:val="en-IE"/>
              </w:rPr>
            </w:pPr>
            <w:r w:rsidRPr="00686E9D">
              <w:rPr>
                <w:rFonts w:ascii="Arial" w:hAnsi="Arial" w:cs="Arial"/>
                <w:strike/>
                <w:sz w:val="16"/>
                <w:szCs w:val="16"/>
                <w:lang w:val="en-IE"/>
              </w:rPr>
              <w:t>TGG-AAT-CTA-CAT-GAT-TCC-ACG-AAC-CAT-G</w:t>
            </w:r>
            <w:r w:rsidR="00AE75AE" w:rsidRPr="00686E9D">
              <w:rPr>
                <w:rFonts w:ascii="Arial" w:hAnsi="Arial" w:cs="Arial"/>
                <w:sz w:val="16"/>
                <w:szCs w:val="16"/>
                <w:lang w:val="en-IE"/>
              </w:rPr>
              <w:br/>
            </w:r>
            <w:r w:rsidR="00A36AAD" w:rsidRPr="00686E9D">
              <w:rPr>
                <w:rFonts w:ascii="Arial" w:hAnsi="Arial" w:cs="Arial"/>
                <w:sz w:val="16"/>
                <w:szCs w:val="16"/>
                <w:u w:val="double"/>
                <w:lang w:val="en-IE"/>
              </w:rPr>
              <w:t>TGA GYA TGT ATA TGA AAG ATA AAG C</w:t>
            </w:r>
          </w:p>
        </w:tc>
        <w:tc>
          <w:tcPr>
            <w:tcW w:w="708"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0DE79FF2" w14:textId="236AC011" w:rsidR="00791F5D" w:rsidRPr="00686E9D" w:rsidRDefault="00791F5D" w:rsidP="00791F5D">
            <w:pPr>
              <w:pStyle w:val="111Para"/>
              <w:spacing w:before="120" w:after="120"/>
              <w:ind w:left="0"/>
              <w:jc w:val="center"/>
              <w:rPr>
                <w:sz w:val="16"/>
                <w:szCs w:val="16"/>
                <w:lang w:val="en-IE"/>
              </w:rPr>
            </w:pPr>
            <w:r w:rsidRPr="00686E9D">
              <w:rPr>
                <w:strike/>
                <w:sz w:val="16"/>
                <w:szCs w:val="16"/>
                <w:lang w:val="en-IE"/>
              </w:rPr>
              <w:t>279</w:t>
            </w:r>
            <w:r w:rsidR="00DE56AB" w:rsidRPr="00686E9D">
              <w:rPr>
                <w:strike/>
                <w:sz w:val="16"/>
                <w:szCs w:val="16"/>
                <w:lang w:val="en-IE"/>
              </w:rPr>
              <w:t> </w:t>
            </w:r>
            <w:r w:rsidR="00DE56AB" w:rsidRPr="00686E9D">
              <w:rPr>
                <w:strike/>
                <w:sz w:val="16"/>
                <w:szCs w:val="16"/>
                <w:lang w:val="en-IE"/>
              </w:rPr>
              <w:br/>
            </w:r>
            <w:r w:rsidR="00BD674E" w:rsidRPr="00686E9D">
              <w:rPr>
                <w:sz w:val="16"/>
                <w:szCs w:val="16"/>
                <w:u w:val="double"/>
                <w:lang w:val="en-IE"/>
              </w:rPr>
              <w:t>364</w:t>
            </w:r>
            <w:r w:rsidR="00DE56AB" w:rsidRPr="00686E9D">
              <w:rPr>
                <w:sz w:val="16"/>
                <w:szCs w:val="16"/>
                <w:u w:val="double"/>
                <w:lang w:val="en-IE"/>
              </w:rPr>
              <w:t xml:space="preserve"> </w:t>
            </w:r>
            <w:r w:rsidRPr="00686E9D">
              <w:rPr>
                <w:sz w:val="16"/>
                <w:szCs w:val="16"/>
                <w:lang w:val="en-IE"/>
              </w:rPr>
              <w:t>bp</w:t>
            </w:r>
          </w:p>
        </w:tc>
      </w:tr>
      <w:tr w:rsidR="00791F5D" w:rsidRPr="00686E9D" w14:paraId="19734A63" w14:textId="77777777" w:rsidTr="009B1295">
        <w:tc>
          <w:tcPr>
            <w:tcW w:w="849" w:type="dxa"/>
            <w:vMerge/>
            <w:tcBorders>
              <w:left w:val="single" w:sz="8" w:space="0" w:color="auto"/>
              <w:right w:val="single" w:sz="8" w:space="0" w:color="auto"/>
            </w:tcBorders>
            <w:vAlign w:val="center"/>
            <w:hideMark/>
          </w:tcPr>
          <w:p w14:paraId="4EE22813" w14:textId="77777777" w:rsidR="00791F5D" w:rsidRPr="00686E9D" w:rsidRDefault="00791F5D">
            <w:pPr>
              <w:rPr>
                <w:rFonts w:ascii="Arial" w:eastAsiaTheme="minorHAnsi" w:hAnsi="Arial" w:cs="Arial"/>
                <w:sz w:val="16"/>
                <w:szCs w:val="16"/>
                <w:lang w:val="en-IE"/>
              </w:rPr>
            </w:pPr>
          </w:p>
        </w:tc>
        <w:tc>
          <w:tcPr>
            <w:tcW w:w="1137" w:type="dxa"/>
            <w:vMerge/>
            <w:tcBorders>
              <w:left w:val="nil"/>
              <w:bottom w:val="single" w:sz="8" w:space="0" w:color="auto"/>
              <w:right w:val="single" w:sz="8" w:space="0" w:color="auto"/>
            </w:tcBorders>
            <w:vAlign w:val="center"/>
            <w:hideMark/>
          </w:tcPr>
          <w:p w14:paraId="55283F29" w14:textId="77777777" w:rsidR="00791F5D" w:rsidRPr="00686E9D" w:rsidRDefault="00791F5D">
            <w:pPr>
              <w:rPr>
                <w:rFonts w:ascii="Arial" w:eastAsiaTheme="minorHAnsi" w:hAnsi="Arial" w:cs="Arial"/>
                <w:sz w:val="16"/>
                <w:szCs w:val="16"/>
                <w:lang w:val="en-IE"/>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BF512" w14:textId="77777777" w:rsidR="00791F5D" w:rsidRPr="00686E9D" w:rsidRDefault="00791F5D" w:rsidP="009075C3">
            <w:pPr>
              <w:pStyle w:val="111Para"/>
              <w:spacing w:before="120" w:after="120"/>
              <w:ind w:left="0"/>
              <w:jc w:val="center"/>
              <w:rPr>
                <w:sz w:val="16"/>
                <w:szCs w:val="16"/>
                <w:lang w:val="en-IE"/>
              </w:rPr>
            </w:pPr>
            <w:r w:rsidRPr="00686E9D">
              <w:rPr>
                <w:sz w:val="16"/>
                <w:szCs w:val="16"/>
                <w:lang w:val="en-IE"/>
              </w:rPr>
              <w:t>Reverse</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59C5599A" w14:textId="1FCB6991" w:rsidR="00791F5D" w:rsidRPr="00686E9D" w:rsidRDefault="00791F5D" w:rsidP="009075C3">
            <w:pPr>
              <w:spacing w:before="120" w:after="120" w:line="240" w:lineRule="auto"/>
              <w:jc w:val="center"/>
              <w:rPr>
                <w:rFonts w:ascii="Arial" w:eastAsiaTheme="minorHAnsi" w:hAnsi="Arial" w:cs="Arial"/>
                <w:sz w:val="16"/>
                <w:szCs w:val="16"/>
                <w:lang w:val="en-IE"/>
              </w:rPr>
            </w:pPr>
            <w:proofErr w:type="spellStart"/>
            <w:r w:rsidRPr="00DF5340">
              <w:rPr>
                <w:rFonts w:ascii="Arial" w:hAnsi="Arial" w:cs="Arial"/>
                <w:strike/>
                <w:sz w:val="16"/>
                <w:szCs w:val="16"/>
                <w:lang w:val="en-IE"/>
              </w:rPr>
              <w:t>NiV</w:t>
            </w:r>
            <w:proofErr w:type="spellEnd"/>
            <w:r w:rsidRPr="00DF5340">
              <w:rPr>
                <w:rFonts w:ascii="Arial" w:hAnsi="Arial" w:cs="Arial"/>
                <w:strike/>
                <w:sz w:val="16"/>
                <w:szCs w:val="16"/>
                <w:lang w:val="en-IE"/>
              </w:rPr>
              <w:t xml:space="preserve"> M 5942R1</w:t>
            </w:r>
            <w:r w:rsidR="00AE75AE" w:rsidRPr="00DF5340">
              <w:rPr>
                <w:rFonts w:ascii="Arial" w:hAnsi="Arial" w:cs="Arial"/>
                <w:strike/>
                <w:sz w:val="16"/>
                <w:szCs w:val="16"/>
                <w:lang w:val="en-IE"/>
              </w:rPr>
              <w:br/>
            </w:r>
            <w:r w:rsidR="00A36AAD" w:rsidRPr="00686E9D">
              <w:rPr>
                <w:rFonts w:ascii="Arial" w:hAnsi="Arial" w:cs="Arial"/>
                <w:sz w:val="16"/>
                <w:szCs w:val="16"/>
                <w:u w:val="double"/>
                <w:lang w:val="en-IE"/>
              </w:rPr>
              <w:t>LREV</w:t>
            </w:r>
          </w:p>
        </w:tc>
        <w:tc>
          <w:tcPr>
            <w:tcW w:w="39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B4D47" w14:textId="176A45B4" w:rsidR="00791F5D" w:rsidRPr="00686E9D" w:rsidRDefault="00791F5D" w:rsidP="00AE75AE">
            <w:pPr>
              <w:pStyle w:val="BodyText"/>
              <w:spacing w:before="120" w:line="240" w:lineRule="auto"/>
              <w:rPr>
                <w:rFonts w:ascii="Arial" w:hAnsi="Arial" w:cs="Arial"/>
                <w:sz w:val="16"/>
                <w:szCs w:val="16"/>
                <w:lang w:val="en-IE"/>
              </w:rPr>
            </w:pPr>
            <w:r w:rsidRPr="00686E9D">
              <w:rPr>
                <w:rFonts w:ascii="Arial" w:hAnsi="Arial" w:cs="Arial"/>
                <w:bCs/>
                <w:strike/>
                <w:sz w:val="16"/>
                <w:szCs w:val="16"/>
                <w:lang w:val="en-IE"/>
              </w:rPr>
              <w:t>TAA-TGT-GGA-GAC-TTA-GTC-CGC-CTA-TG</w:t>
            </w:r>
            <w:r w:rsidR="00AE75AE" w:rsidRPr="00686E9D">
              <w:rPr>
                <w:rFonts w:ascii="Arial" w:hAnsi="Arial" w:cs="Arial"/>
                <w:bCs/>
                <w:strike/>
                <w:sz w:val="16"/>
                <w:szCs w:val="16"/>
                <w:lang w:val="en-IE"/>
              </w:rPr>
              <w:br/>
            </w:r>
            <w:r w:rsidR="00A36AAD" w:rsidRPr="00686E9D">
              <w:rPr>
                <w:rFonts w:ascii="Arial" w:hAnsi="Arial" w:cs="Arial"/>
                <w:sz w:val="16"/>
                <w:szCs w:val="16"/>
                <w:u w:val="double"/>
                <w:lang w:val="en-IE"/>
              </w:rPr>
              <w:t>TCA TCY TTA ACC ATC CCG TTC TC</w:t>
            </w:r>
          </w:p>
        </w:tc>
        <w:tc>
          <w:tcPr>
            <w:tcW w:w="708" w:type="dxa"/>
            <w:vMerge/>
            <w:tcBorders>
              <w:left w:val="nil"/>
              <w:bottom w:val="single" w:sz="8" w:space="0" w:color="auto"/>
              <w:right w:val="single" w:sz="8" w:space="0" w:color="auto"/>
            </w:tcBorders>
            <w:vAlign w:val="center"/>
            <w:hideMark/>
          </w:tcPr>
          <w:p w14:paraId="63A05895" w14:textId="77777777" w:rsidR="00791F5D" w:rsidRPr="00686E9D" w:rsidRDefault="00791F5D">
            <w:pPr>
              <w:rPr>
                <w:rFonts w:ascii="Arial" w:eastAsiaTheme="minorHAnsi" w:hAnsi="Arial" w:cs="Arial"/>
                <w:sz w:val="16"/>
                <w:szCs w:val="16"/>
                <w:lang w:val="en-IE"/>
              </w:rPr>
            </w:pPr>
          </w:p>
        </w:tc>
      </w:tr>
      <w:tr w:rsidR="00791F5D" w:rsidRPr="00686E9D" w14:paraId="54003989" w14:textId="77777777" w:rsidTr="009B1295">
        <w:tc>
          <w:tcPr>
            <w:tcW w:w="849" w:type="dxa"/>
            <w:vMerge/>
            <w:tcBorders>
              <w:left w:val="single" w:sz="8" w:space="0" w:color="auto"/>
              <w:right w:val="single" w:sz="8" w:space="0" w:color="auto"/>
            </w:tcBorders>
            <w:vAlign w:val="center"/>
            <w:hideMark/>
          </w:tcPr>
          <w:p w14:paraId="76F984EA" w14:textId="77777777" w:rsidR="00791F5D" w:rsidRPr="00686E9D" w:rsidRDefault="00791F5D">
            <w:pPr>
              <w:rPr>
                <w:rFonts w:ascii="Arial" w:eastAsiaTheme="minorHAnsi" w:hAnsi="Arial" w:cs="Arial"/>
                <w:sz w:val="16"/>
                <w:szCs w:val="16"/>
                <w:lang w:val="en-IE"/>
              </w:rPr>
            </w:pPr>
          </w:p>
        </w:tc>
        <w:tc>
          <w:tcPr>
            <w:tcW w:w="113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6CF3C0" w14:textId="081CF694" w:rsidR="00791F5D" w:rsidRPr="00686E9D" w:rsidRDefault="00423790" w:rsidP="009075C3">
            <w:pPr>
              <w:pStyle w:val="111Para"/>
              <w:spacing w:before="120" w:after="120"/>
              <w:ind w:left="0"/>
              <w:rPr>
                <w:sz w:val="16"/>
                <w:szCs w:val="16"/>
                <w:lang w:val="en-IE"/>
              </w:rPr>
            </w:pPr>
            <w:r w:rsidRPr="00686E9D">
              <w:rPr>
                <w:sz w:val="16"/>
                <w:szCs w:val="16"/>
                <w:u w:val="double"/>
                <w:lang w:val="en-IE"/>
              </w:rPr>
              <w:t>S</w:t>
            </w:r>
            <w:r w:rsidR="00A36AAD" w:rsidRPr="00686E9D">
              <w:rPr>
                <w:sz w:val="16"/>
                <w:szCs w:val="16"/>
                <w:u w:val="double"/>
                <w:lang w:val="en-IE"/>
              </w:rPr>
              <w:t>emi</w:t>
            </w:r>
            <w:r w:rsidR="00A36AAD" w:rsidRPr="00686E9D">
              <w:rPr>
                <w:sz w:val="16"/>
                <w:szCs w:val="16"/>
                <w:lang w:val="en-IE"/>
              </w:rPr>
              <w:t>-n</w:t>
            </w:r>
            <w:r w:rsidR="00791F5D" w:rsidRPr="00686E9D">
              <w:rPr>
                <w:sz w:val="16"/>
                <w:szCs w:val="16"/>
                <w:lang w:val="en-IE"/>
              </w:rPr>
              <w:t>ested PCR</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CFF893" w14:textId="77777777" w:rsidR="00791F5D" w:rsidRPr="00686E9D" w:rsidRDefault="00791F5D" w:rsidP="009075C3">
            <w:pPr>
              <w:pStyle w:val="111Para"/>
              <w:spacing w:before="120" w:after="120"/>
              <w:ind w:left="0"/>
              <w:jc w:val="center"/>
              <w:rPr>
                <w:sz w:val="16"/>
                <w:szCs w:val="16"/>
                <w:lang w:val="en-IE"/>
              </w:rPr>
            </w:pPr>
            <w:r w:rsidRPr="00686E9D">
              <w:rPr>
                <w:sz w:val="16"/>
                <w:szCs w:val="16"/>
                <w:lang w:val="en-IE"/>
              </w:rPr>
              <w:t>Forward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7FE17D" w14:textId="70B70C5D" w:rsidR="00791F5D" w:rsidRPr="00686E9D" w:rsidRDefault="00791F5D" w:rsidP="009075C3">
            <w:pPr>
              <w:spacing w:before="120" w:after="120" w:line="240" w:lineRule="auto"/>
              <w:jc w:val="center"/>
              <w:rPr>
                <w:rFonts w:ascii="Arial" w:eastAsiaTheme="minorHAnsi" w:hAnsi="Arial" w:cs="Arial"/>
                <w:sz w:val="16"/>
                <w:szCs w:val="16"/>
                <w:lang w:val="en-IE"/>
              </w:rPr>
            </w:pPr>
            <w:proofErr w:type="spellStart"/>
            <w:r w:rsidRPr="00686E9D">
              <w:rPr>
                <w:rFonts w:ascii="Arial" w:hAnsi="Arial" w:cs="Arial"/>
                <w:strike/>
                <w:sz w:val="16"/>
                <w:szCs w:val="16"/>
                <w:lang w:val="en-IE"/>
              </w:rPr>
              <w:t>NiV</w:t>
            </w:r>
            <w:proofErr w:type="spellEnd"/>
            <w:r w:rsidRPr="00686E9D">
              <w:rPr>
                <w:rFonts w:ascii="Arial" w:hAnsi="Arial" w:cs="Arial"/>
                <w:strike/>
                <w:sz w:val="16"/>
                <w:szCs w:val="16"/>
                <w:lang w:val="en-IE"/>
              </w:rPr>
              <w:t xml:space="preserve"> M 5659F</w:t>
            </w:r>
            <w:r w:rsidR="00AE75AE" w:rsidRPr="00686E9D">
              <w:rPr>
                <w:rFonts w:ascii="Arial" w:hAnsi="Arial" w:cs="Arial"/>
                <w:strike/>
                <w:sz w:val="16"/>
                <w:szCs w:val="16"/>
                <w:lang w:val="en-IE"/>
              </w:rPr>
              <w:br/>
            </w:r>
            <w:r w:rsidR="00A36AAD" w:rsidRPr="00686E9D">
              <w:rPr>
                <w:rFonts w:ascii="Arial" w:hAnsi="Arial" w:cs="Arial"/>
                <w:sz w:val="16"/>
                <w:szCs w:val="16"/>
                <w:u w:val="double"/>
                <w:lang w:val="en-IE"/>
              </w:rPr>
              <w:t>LFWD2</w:t>
            </w:r>
          </w:p>
        </w:tc>
        <w:tc>
          <w:tcPr>
            <w:tcW w:w="39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FA5A32" w14:textId="197B2792" w:rsidR="00A36AAD" w:rsidRPr="00686E9D" w:rsidRDefault="00791F5D" w:rsidP="00AE75AE">
            <w:pPr>
              <w:spacing w:before="120" w:after="120" w:line="240" w:lineRule="auto"/>
              <w:rPr>
                <w:rFonts w:ascii="Arial" w:eastAsiaTheme="minorHAnsi" w:hAnsi="Arial" w:cs="Arial"/>
                <w:sz w:val="16"/>
                <w:szCs w:val="16"/>
                <w:lang w:val="en-IE"/>
              </w:rPr>
            </w:pPr>
            <w:r w:rsidRPr="00686E9D">
              <w:rPr>
                <w:rFonts w:ascii="Arial" w:hAnsi="Arial" w:cs="Arial"/>
                <w:strike/>
                <w:sz w:val="16"/>
                <w:szCs w:val="16"/>
                <w:lang w:val="en-IE"/>
              </w:rPr>
              <w:t>TGG-AAT-CTA-CAT-GAT-TCC-ACG-AAC-CAT-G</w:t>
            </w:r>
            <w:r w:rsidR="00AE75AE" w:rsidRPr="00686E9D">
              <w:rPr>
                <w:rFonts w:ascii="Arial" w:hAnsi="Arial" w:cs="Arial"/>
                <w:strike/>
                <w:sz w:val="16"/>
                <w:szCs w:val="16"/>
                <w:lang w:val="en-IE"/>
              </w:rPr>
              <w:br/>
            </w:r>
            <w:r w:rsidR="00A36AAD" w:rsidRPr="00686E9D">
              <w:rPr>
                <w:rFonts w:ascii="Arial" w:eastAsiaTheme="minorHAnsi" w:hAnsi="Arial" w:cs="Arial"/>
                <w:sz w:val="16"/>
                <w:szCs w:val="16"/>
                <w:u w:val="double"/>
                <w:lang w:val="en-IE"/>
              </w:rPr>
              <w:t>ACC GAR CCA AGA TTG GT</w:t>
            </w: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2E537" w14:textId="2FD9AFCD" w:rsidR="00791F5D" w:rsidRPr="00686E9D" w:rsidRDefault="00791F5D" w:rsidP="009075C3">
            <w:pPr>
              <w:pStyle w:val="111Para"/>
              <w:spacing w:before="120" w:after="120"/>
              <w:ind w:left="0"/>
              <w:jc w:val="left"/>
              <w:rPr>
                <w:sz w:val="16"/>
                <w:szCs w:val="16"/>
                <w:lang w:val="en-IE"/>
              </w:rPr>
            </w:pPr>
            <w:r w:rsidRPr="00686E9D">
              <w:rPr>
                <w:strike/>
                <w:sz w:val="16"/>
                <w:szCs w:val="16"/>
                <w:lang w:val="en-IE"/>
              </w:rPr>
              <w:t>250</w:t>
            </w:r>
            <w:r w:rsidR="00DE56AB" w:rsidRPr="00686E9D">
              <w:rPr>
                <w:strike/>
                <w:sz w:val="16"/>
                <w:szCs w:val="16"/>
                <w:lang w:val="en-IE"/>
              </w:rPr>
              <w:t xml:space="preserve"> </w:t>
            </w:r>
            <w:r w:rsidR="00BD674E" w:rsidRPr="00686E9D">
              <w:rPr>
                <w:sz w:val="16"/>
                <w:szCs w:val="16"/>
                <w:u w:val="double"/>
                <w:lang w:val="en-IE"/>
              </w:rPr>
              <w:t>266</w:t>
            </w:r>
            <w:r w:rsidR="00BD674E" w:rsidRPr="00686E9D">
              <w:rPr>
                <w:sz w:val="16"/>
                <w:szCs w:val="16"/>
                <w:lang w:val="en-IE"/>
              </w:rPr>
              <w:t xml:space="preserve"> </w:t>
            </w:r>
            <w:r w:rsidRPr="00686E9D">
              <w:rPr>
                <w:sz w:val="16"/>
                <w:szCs w:val="16"/>
                <w:lang w:val="en-IE"/>
              </w:rPr>
              <w:t>bp</w:t>
            </w:r>
          </w:p>
        </w:tc>
      </w:tr>
      <w:tr w:rsidR="00791F5D" w:rsidRPr="00686E9D" w14:paraId="7D37925B" w14:textId="77777777" w:rsidTr="009B1295">
        <w:tc>
          <w:tcPr>
            <w:tcW w:w="849" w:type="dxa"/>
            <w:vMerge/>
            <w:tcBorders>
              <w:left w:val="single" w:sz="8" w:space="0" w:color="auto"/>
              <w:bottom w:val="single" w:sz="8" w:space="0" w:color="auto"/>
              <w:right w:val="single" w:sz="8" w:space="0" w:color="auto"/>
            </w:tcBorders>
            <w:vAlign w:val="center"/>
            <w:hideMark/>
          </w:tcPr>
          <w:p w14:paraId="27AC0C58" w14:textId="77777777" w:rsidR="00791F5D" w:rsidRPr="00686E9D" w:rsidRDefault="00791F5D">
            <w:pPr>
              <w:rPr>
                <w:rFonts w:ascii="Arial" w:eastAsiaTheme="minorHAnsi" w:hAnsi="Arial" w:cs="Arial"/>
                <w:sz w:val="16"/>
                <w:szCs w:val="16"/>
                <w:lang w:val="en-IE"/>
              </w:rPr>
            </w:pPr>
          </w:p>
        </w:tc>
        <w:tc>
          <w:tcPr>
            <w:tcW w:w="1137" w:type="dxa"/>
            <w:vMerge/>
            <w:tcBorders>
              <w:top w:val="nil"/>
              <w:left w:val="nil"/>
              <w:bottom w:val="single" w:sz="8" w:space="0" w:color="auto"/>
              <w:right w:val="single" w:sz="8" w:space="0" w:color="auto"/>
            </w:tcBorders>
            <w:vAlign w:val="center"/>
            <w:hideMark/>
          </w:tcPr>
          <w:p w14:paraId="0E626211" w14:textId="77777777" w:rsidR="00791F5D" w:rsidRPr="00686E9D" w:rsidRDefault="00791F5D">
            <w:pPr>
              <w:rPr>
                <w:rFonts w:ascii="Arial" w:eastAsiaTheme="minorHAnsi" w:hAnsi="Arial" w:cs="Arial"/>
                <w:sz w:val="16"/>
                <w:szCs w:val="16"/>
                <w:lang w:val="en-IE"/>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CE56" w14:textId="77777777" w:rsidR="00791F5D" w:rsidRPr="00686E9D" w:rsidRDefault="00791F5D" w:rsidP="009075C3">
            <w:pPr>
              <w:pStyle w:val="111Para"/>
              <w:spacing w:before="120" w:after="120"/>
              <w:ind w:left="0"/>
              <w:jc w:val="center"/>
              <w:rPr>
                <w:sz w:val="16"/>
                <w:szCs w:val="16"/>
                <w:lang w:val="en-IE"/>
              </w:rPr>
            </w:pPr>
            <w:r w:rsidRPr="00686E9D">
              <w:rPr>
                <w:sz w:val="16"/>
                <w:szCs w:val="16"/>
                <w:lang w:val="en-IE"/>
              </w:rPr>
              <w:t>Reverse</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F0A0DE" w14:textId="727C4B62" w:rsidR="00791F5D" w:rsidRPr="00686E9D" w:rsidRDefault="00791F5D" w:rsidP="009075C3">
            <w:pPr>
              <w:spacing w:before="120" w:after="120" w:line="240" w:lineRule="auto"/>
              <w:jc w:val="center"/>
              <w:rPr>
                <w:rFonts w:ascii="Arial" w:eastAsiaTheme="minorHAnsi" w:hAnsi="Arial" w:cs="Arial"/>
                <w:sz w:val="16"/>
                <w:szCs w:val="16"/>
                <w:lang w:val="en-IE"/>
              </w:rPr>
            </w:pPr>
            <w:proofErr w:type="spellStart"/>
            <w:r w:rsidRPr="00686E9D">
              <w:rPr>
                <w:rFonts w:ascii="Arial" w:hAnsi="Arial" w:cs="Arial"/>
                <w:strike/>
                <w:sz w:val="16"/>
                <w:szCs w:val="16"/>
                <w:lang w:val="en-IE"/>
              </w:rPr>
              <w:t>NiV</w:t>
            </w:r>
            <w:proofErr w:type="spellEnd"/>
            <w:r w:rsidRPr="00686E9D">
              <w:rPr>
                <w:rFonts w:ascii="Arial" w:hAnsi="Arial" w:cs="Arial"/>
                <w:strike/>
                <w:sz w:val="16"/>
                <w:szCs w:val="16"/>
                <w:lang w:val="en-IE"/>
              </w:rPr>
              <w:t xml:space="preserve"> M 5909R2</w:t>
            </w:r>
            <w:r w:rsidR="00AE75AE" w:rsidRPr="00686E9D">
              <w:rPr>
                <w:rFonts w:ascii="Arial" w:hAnsi="Arial" w:cs="Arial"/>
                <w:strike/>
                <w:sz w:val="16"/>
                <w:szCs w:val="16"/>
                <w:lang w:val="en-IE"/>
              </w:rPr>
              <w:br/>
            </w:r>
            <w:r w:rsidR="00A36AAD" w:rsidRPr="00686E9D">
              <w:rPr>
                <w:rFonts w:ascii="Arial" w:hAnsi="Arial" w:cs="Arial"/>
                <w:sz w:val="16"/>
                <w:szCs w:val="16"/>
                <w:u w:val="double"/>
                <w:lang w:val="en-IE"/>
              </w:rPr>
              <w:t>LREV</w:t>
            </w:r>
          </w:p>
        </w:tc>
        <w:tc>
          <w:tcPr>
            <w:tcW w:w="3968" w:type="dxa"/>
            <w:tcBorders>
              <w:top w:val="nil"/>
              <w:left w:val="nil"/>
              <w:bottom w:val="single" w:sz="8" w:space="0" w:color="auto"/>
              <w:right w:val="single" w:sz="8" w:space="0" w:color="auto"/>
            </w:tcBorders>
            <w:tcMar>
              <w:top w:w="0" w:type="dxa"/>
              <w:left w:w="108" w:type="dxa"/>
              <w:bottom w:w="0" w:type="dxa"/>
              <w:right w:w="108" w:type="dxa"/>
            </w:tcMar>
            <w:vAlign w:val="center"/>
          </w:tcPr>
          <w:p w14:paraId="76584694" w14:textId="6BC1D994" w:rsidR="00A36AAD" w:rsidRPr="00686E9D" w:rsidRDefault="00791F5D" w:rsidP="00AE75AE">
            <w:pPr>
              <w:pStyle w:val="BodyText"/>
              <w:spacing w:before="120" w:line="240" w:lineRule="auto"/>
              <w:rPr>
                <w:rFonts w:ascii="Arial" w:hAnsi="Arial" w:cs="Arial"/>
                <w:sz w:val="16"/>
                <w:szCs w:val="16"/>
                <w:lang w:val="en-IE"/>
              </w:rPr>
            </w:pPr>
            <w:r w:rsidRPr="00686E9D">
              <w:rPr>
                <w:rFonts w:ascii="Arial" w:hAnsi="Arial" w:cs="Arial"/>
                <w:bCs/>
                <w:strike/>
                <w:sz w:val="16"/>
                <w:szCs w:val="16"/>
                <w:lang w:val="en-IE"/>
              </w:rPr>
              <w:t>GTG-AAA-ACT-GCA-ATT-TCA-TCC-TAT-CAA-TC</w:t>
            </w:r>
            <w:r w:rsidR="00AE75AE" w:rsidRPr="00686E9D">
              <w:rPr>
                <w:rFonts w:ascii="Arial" w:hAnsi="Arial" w:cs="Arial"/>
                <w:bCs/>
                <w:strike/>
                <w:sz w:val="16"/>
                <w:szCs w:val="16"/>
                <w:lang w:val="en-IE"/>
              </w:rPr>
              <w:br/>
            </w:r>
            <w:r w:rsidR="00A36AAD" w:rsidRPr="00686E9D">
              <w:rPr>
                <w:rFonts w:ascii="Arial" w:hAnsi="Arial" w:cs="Arial"/>
                <w:sz w:val="16"/>
                <w:szCs w:val="16"/>
                <w:u w:val="double"/>
                <w:lang w:val="en-IE"/>
              </w:rPr>
              <w:t>TCA TCY TTA ACC ATC CCG TTC TC</w:t>
            </w:r>
          </w:p>
        </w:tc>
        <w:tc>
          <w:tcPr>
            <w:tcW w:w="708" w:type="dxa"/>
            <w:vMerge/>
            <w:tcBorders>
              <w:top w:val="nil"/>
              <w:left w:val="nil"/>
              <w:bottom w:val="single" w:sz="8" w:space="0" w:color="auto"/>
              <w:right w:val="single" w:sz="8" w:space="0" w:color="auto"/>
            </w:tcBorders>
            <w:vAlign w:val="center"/>
            <w:hideMark/>
          </w:tcPr>
          <w:p w14:paraId="3398851E" w14:textId="77777777" w:rsidR="00791F5D" w:rsidRPr="00686E9D" w:rsidRDefault="00791F5D">
            <w:pPr>
              <w:rPr>
                <w:rFonts w:ascii="Arial" w:eastAsiaTheme="minorHAnsi" w:hAnsi="Arial" w:cs="Arial"/>
                <w:sz w:val="16"/>
                <w:szCs w:val="16"/>
                <w:lang w:val="en-IE"/>
              </w:rPr>
            </w:pPr>
          </w:p>
        </w:tc>
      </w:tr>
    </w:tbl>
    <w:p w14:paraId="57F6B1AE" w14:textId="70B875B2" w:rsidR="000D479D" w:rsidRPr="00686E9D" w:rsidRDefault="00791F5D" w:rsidP="00791F5D">
      <w:pPr>
        <w:pStyle w:val="111"/>
        <w:spacing w:before="240"/>
        <w:rPr>
          <w:rFonts w:eastAsiaTheme="minorHAnsi"/>
          <w:lang w:val="en-IE"/>
        </w:rPr>
      </w:pPr>
      <w:r w:rsidRPr="00686E9D">
        <w:rPr>
          <w:lang w:val="en-IE"/>
        </w:rPr>
        <w:t>3.2.2.</w:t>
      </w:r>
      <w:r w:rsidR="0079741E" w:rsidRPr="00686E9D">
        <w:rPr>
          <w:lang w:val="en-IE"/>
        </w:rPr>
        <w:tab/>
      </w:r>
      <w:proofErr w:type="spellStart"/>
      <w:r w:rsidR="000D479D" w:rsidRPr="00686E9D">
        <w:rPr>
          <w:lang w:val="en-IE"/>
        </w:rPr>
        <w:t>NiV</w:t>
      </w:r>
      <w:proofErr w:type="spellEnd"/>
      <w:r w:rsidR="00A36AAD" w:rsidRPr="00686E9D">
        <w:rPr>
          <w:u w:val="double"/>
          <w:lang w:val="en-IE"/>
        </w:rPr>
        <w:t>-L</w:t>
      </w:r>
      <w:r w:rsidR="000D479D" w:rsidRPr="00686E9D">
        <w:rPr>
          <w:lang w:val="en-IE"/>
        </w:rPr>
        <w:t xml:space="preserve"> RT-PCR conditions</w:t>
      </w:r>
    </w:p>
    <w:p w14:paraId="2E0B4D88" w14:textId="6DDD1012" w:rsidR="000D479D" w:rsidRPr="00686E9D" w:rsidRDefault="00791F5D" w:rsidP="00791F5D">
      <w:pPr>
        <w:pStyle w:val="i"/>
        <w:rPr>
          <w:szCs w:val="17"/>
          <w:lang w:val="en-IE"/>
        </w:rPr>
      </w:pPr>
      <w:r w:rsidRPr="00686E9D">
        <w:rPr>
          <w:lang w:val="en-IE"/>
        </w:rPr>
        <w:t>i</w:t>
      </w:r>
      <w:r w:rsidR="009075C3" w:rsidRPr="00686E9D">
        <w:rPr>
          <w:lang w:val="en-IE"/>
        </w:rPr>
        <w:t>)</w:t>
      </w:r>
      <w:r w:rsidR="009075C3" w:rsidRPr="00686E9D">
        <w:rPr>
          <w:lang w:val="en-IE"/>
        </w:rPr>
        <w:tab/>
      </w:r>
      <w:r w:rsidR="000D479D" w:rsidRPr="00686E9D">
        <w:rPr>
          <w:lang w:val="en-IE"/>
        </w:rPr>
        <w:t xml:space="preserve">Primary RT-PCR </w:t>
      </w:r>
    </w:p>
    <w:p w14:paraId="02AA34C6" w14:textId="77777777" w:rsidR="000D479D" w:rsidRPr="00686E9D" w:rsidRDefault="000D479D" w:rsidP="00791F5D">
      <w:pPr>
        <w:pStyle w:val="afourthpara"/>
        <w:spacing w:after="120"/>
        <w:ind w:left="2410" w:hanging="567"/>
        <w:rPr>
          <w:lang w:val="en-IE"/>
        </w:rPr>
      </w:pPr>
      <w:r w:rsidRPr="00686E9D">
        <w:rPr>
          <w:lang w:val="en-IE"/>
        </w:rPr>
        <w:t xml:space="preserve">1× </w:t>
      </w:r>
      <w:r w:rsidR="009075C3" w:rsidRPr="00686E9D">
        <w:rPr>
          <w:lang w:val="en-IE"/>
        </w:rPr>
        <w:tab/>
      </w:r>
      <w:r w:rsidRPr="00686E9D">
        <w:rPr>
          <w:lang w:val="en-IE"/>
        </w:rPr>
        <w:t>48°C for 30 minutes</w:t>
      </w:r>
    </w:p>
    <w:p w14:paraId="56B745A7" w14:textId="7909755A" w:rsidR="000D479D" w:rsidRPr="00686E9D" w:rsidRDefault="000D479D" w:rsidP="00791F5D">
      <w:pPr>
        <w:pStyle w:val="afourthpara"/>
        <w:spacing w:after="120"/>
        <w:ind w:left="2410" w:hanging="567"/>
        <w:rPr>
          <w:lang w:val="en-IE"/>
        </w:rPr>
      </w:pPr>
      <w:r w:rsidRPr="00686E9D">
        <w:rPr>
          <w:lang w:val="en-IE"/>
        </w:rPr>
        <w:t xml:space="preserve">1× </w:t>
      </w:r>
      <w:r w:rsidR="009075C3" w:rsidRPr="00686E9D">
        <w:rPr>
          <w:lang w:val="en-IE"/>
        </w:rPr>
        <w:tab/>
      </w:r>
      <w:r w:rsidRPr="00686E9D">
        <w:rPr>
          <w:strike/>
          <w:lang w:val="en-IE"/>
        </w:rPr>
        <w:t>9</w:t>
      </w:r>
      <w:r w:rsidR="00DE56AB" w:rsidRPr="00686E9D">
        <w:rPr>
          <w:strike/>
          <w:lang w:val="en-IE"/>
        </w:rPr>
        <w:t xml:space="preserve">4 </w:t>
      </w:r>
      <w:r w:rsidR="00DE56AB" w:rsidRPr="00686E9D">
        <w:rPr>
          <w:u w:val="double"/>
          <w:lang w:val="en-IE"/>
        </w:rPr>
        <w:t>9</w:t>
      </w:r>
      <w:r w:rsidR="00A36AAD" w:rsidRPr="00686E9D">
        <w:rPr>
          <w:u w:val="double"/>
          <w:lang w:val="en-IE"/>
        </w:rPr>
        <w:t>5</w:t>
      </w:r>
      <w:r w:rsidRPr="00686E9D">
        <w:rPr>
          <w:lang w:val="en-IE"/>
        </w:rPr>
        <w:t xml:space="preserve">°C for </w:t>
      </w:r>
      <w:r w:rsidRPr="00686E9D">
        <w:rPr>
          <w:strike/>
          <w:lang w:val="en-IE"/>
        </w:rPr>
        <w:t xml:space="preserve">2 </w:t>
      </w:r>
      <w:r w:rsidR="00A36AAD" w:rsidRPr="00686E9D">
        <w:rPr>
          <w:u w:val="double"/>
          <w:lang w:val="en-IE"/>
        </w:rPr>
        <w:t>15</w:t>
      </w:r>
      <w:r w:rsidR="00A36AAD" w:rsidRPr="00686E9D">
        <w:rPr>
          <w:lang w:val="en-IE"/>
        </w:rPr>
        <w:t xml:space="preserve"> </w:t>
      </w:r>
      <w:r w:rsidRPr="00686E9D">
        <w:rPr>
          <w:lang w:val="en-IE"/>
        </w:rPr>
        <w:t>minutes</w:t>
      </w:r>
    </w:p>
    <w:p w14:paraId="4FF7FA93" w14:textId="14B4178B" w:rsidR="000D479D" w:rsidRPr="00686E9D" w:rsidRDefault="009075C3" w:rsidP="00791F5D">
      <w:pPr>
        <w:pStyle w:val="afourthpara"/>
        <w:spacing w:after="120"/>
        <w:ind w:left="2410" w:hanging="567"/>
        <w:rPr>
          <w:lang w:val="en-IE"/>
        </w:rPr>
      </w:pPr>
      <w:r w:rsidRPr="00686E9D">
        <w:rPr>
          <w:strike/>
          <w:lang w:val="en-IE"/>
        </w:rPr>
        <w:t>40</w:t>
      </w:r>
      <w:r w:rsidR="00DE56AB" w:rsidRPr="00686E9D">
        <w:rPr>
          <w:strike/>
          <w:lang w:val="en-IE"/>
        </w:rPr>
        <w:t xml:space="preserve"> </w:t>
      </w:r>
      <w:r w:rsidR="00A36AAD" w:rsidRPr="00686E9D">
        <w:rPr>
          <w:u w:val="double"/>
          <w:lang w:val="en-IE"/>
        </w:rPr>
        <w:t>30</w:t>
      </w:r>
      <w:r w:rsidRPr="00686E9D">
        <w:rPr>
          <w:lang w:val="en-IE"/>
        </w:rPr>
        <w:t>×</w:t>
      </w:r>
      <w:r w:rsidRPr="00686E9D">
        <w:rPr>
          <w:lang w:val="en-IE"/>
        </w:rPr>
        <w:tab/>
      </w:r>
      <w:r w:rsidR="000D479D" w:rsidRPr="00686E9D">
        <w:rPr>
          <w:lang w:val="en-IE"/>
        </w:rPr>
        <w:t xml:space="preserve">94°C for 30 seconds, </w:t>
      </w:r>
      <w:r w:rsidR="000D479D" w:rsidRPr="00686E9D">
        <w:rPr>
          <w:strike/>
          <w:lang w:val="en-IE"/>
        </w:rPr>
        <w:t>52</w:t>
      </w:r>
      <w:r w:rsidR="00DE56AB" w:rsidRPr="00686E9D">
        <w:rPr>
          <w:strike/>
          <w:lang w:val="en-IE"/>
        </w:rPr>
        <w:t xml:space="preserve"> </w:t>
      </w:r>
      <w:r w:rsidR="00A36AAD" w:rsidRPr="00686E9D">
        <w:rPr>
          <w:u w:val="double"/>
          <w:lang w:val="en-IE"/>
        </w:rPr>
        <w:t>42</w:t>
      </w:r>
      <w:r w:rsidR="000D479D" w:rsidRPr="00686E9D">
        <w:rPr>
          <w:lang w:val="en-IE"/>
        </w:rPr>
        <w:t xml:space="preserve">°C for 30 seconds, 68°C for </w:t>
      </w:r>
      <w:r w:rsidR="000D479D" w:rsidRPr="00686E9D">
        <w:rPr>
          <w:strike/>
          <w:lang w:val="en-IE"/>
        </w:rPr>
        <w:t>45 seconds</w:t>
      </w:r>
      <w:r w:rsidR="004B1F5C" w:rsidRPr="00686E9D">
        <w:rPr>
          <w:strike/>
          <w:lang w:val="en-IE"/>
        </w:rPr>
        <w:t xml:space="preserve"> </w:t>
      </w:r>
      <w:r w:rsidR="004B1F5C" w:rsidRPr="00686E9D">
        <w:rPr>
          <w:u w:val="double"/>
          <w:lang w:val="en-IE"/>
        </w:rPr>
        <w:t>1 minute</w:t>
      </w:r>
    </w:p>
    <w:p w14:paraId="7754C140" w14:textId="7762D609" w:rsidR="000D479D" w:rsidRPr="00686E9D" w:rsidRDefault="000D479D" w:rsidP="00791F5D">
      <w:pPr>
        <w:pStyle w:val="afourthpara"/>
        <w:ind w:left="2410" w:hanging="567"/>
        <w:rPr>
          <w:lang w:val="en-IE"/>
        </w:rPr>
      </w:pPr>
      <w:r w:rsidRPr="00686E9D">
        <w:rPr>
          <w:lang w:val="en-IE"/>
        </w:rPr>
        <w:t xml:space="preserve">1× </w:t>
      </w:r>
      <w:r w:rsidR="009075C3" w:rsidRPr="00686E9D">
        <w:rPr>
          <w:lang w:val="en-IE"/>
        </w:rPr>
        <w:tab/>
      </w:r>
      <w:r w:rsidRPr="00686E9D">
        <w:rPr>
          <w:lang w:val="en-IE"/>
        </w:rPr>
        <w:t xml:space="preserve">68°C for </w:t>
      </w:r>
      <w:r w:rsidRPr="00686E9D">
        <w:rPr>
          <w:strike/>
          <w:lang w:val="en-IE"/>
        </w:rPr>
        <w:t xml:space="preserve">7 </w:t>
      </w:r>
      <w:r w:rsidR="004B1F5C" w:rsidRPr="00686E9D">
        <w:rPr>
          <w:u w:val="double"/>
          <w:lang w:val="en-IE"/>
        </w:rPr>
        <w:t>5</w:t>
      </w:r>
      <w:r w:rsidR="004B1F5C" w:rsidRPr="00686E9D">
        <w:rPr>
          <w:lang w:val="en-IE"/>
        </w:rPr>
        <w:t xml:space="preserve"> </w:t>
      </w:r>
      <w:r w:rsidRPr="00686E9D">
        <w:rPr>
          <w:lang w:val="en-IE"/>
        </w:rPr>
        <w:t>minutes</w:t>
      </w:r>
    </w:p>
    <w:p w14:paraId="0986AB04" w14:textId="354B0750" w:rsidR="000D479D" w:rsidRPr="00686E9D" w:rsidRDefault="00791F5D" w:rsidP="00791F5D">
      <w:pPr>
        <w:pStyle w:val="i"/>
        <w:rPr>
          <w:lang w:val="en-IE"/>
        </w:rPr>
      </w:pPr>
      <w:r w:rsidRPr="00686E9D">
        <w:rPr>
          <w:lang w:val="en-IE"/>
        </w:rPr>
        <w:t>ii</w:t>
      </w:r>
      <w:r w:rsidR="009075C3" w:rsidRPr="00686E9D">
        <w:rPr>
          <w:lang w:val="en-IE"/>
        </w:rPr>
        <w:t>)</w:t>
      </w:r>
      <w:r w:rsidR="009075C3" w:rsidRPr="00686E9D">
        <w:rPr>
          <w:lang w:val="en-IE"/>
        </w:rPr>
        <w:tab/>
      </w:r>
      <w:r w:rsidR="00423790" w:rsidRPr="00686E9D">
        <w:rPr>
          <w:lang w:val="en-IE"/>
        </w:rPr>
        <w:t>S</w:t>
      </w:r>
      <w:r w:rsidR="00A36AAD" w:rsidRPr="00686E9D">
        <w:rPr>
          <w:lang w:val="en-IE"/>
        </w:rPr>
        <w:t>emi-n</w:t>
      </w:r>
      <w:r w:rsidR="000D479D" w:rsidRPr="00686E9D">
        <w:rPr>
          <w:lang w:val="en-IE"/>
        </w:rPr>
        <w:t>ested PCR</w:t>
      </w:r>
    </w:p>
    <w:p w14:paraId="0E5B6830" w14:textId="5333E523" w:rsidR="000D479D" w:rsidRPr="00686E9D" w:rsidRDefault="000D479D" w:rsidP="00791F5D">
      <w:pPr>
        <w:pStyle w:val="afourthpara"/>
        <w:spacing w:after="120"/>
        <w:ind w:left="2410" w:hanging="567"/>
        <w:rPr>
          <w:lang w:val="en-IE"/>
        </w:rPr>
      </w:pPr>
      <w:r w:rsidRPr="00686E9D">
        <w:rPr>
          <w:lang w:val="en-IE"/>
        </w:rPr>
        <w:t>1×</w:t>
      </w:r>
      <w:r w:rsidR="009075C3" w:rsidRPr="00686E9D">
        <w:rPr>
          <w:lang w:val="en-IE"/>
        </w:rPr>
        <w:tab/>
      </w:r>
      <w:r w:rsidRPr="00686E9D">
        <w:rPr>
          <w:lang w:val="en-IE"/>
        </w:rPr>
        <w:t xml:space="preserve">95°C for </w:t>
      </w:r>
      <w:r w:rsidR="00423790" w:rsidRPr="00686E9D">
        <w:rPr>
          <w:u w:val="double"/>
          <w:lang w:val="en-IE"/>
        </w:rPr>
        <w:t>1</w:t>
      </w:r>
      <w:r w:rsidRPr="00686E9D">
        <w:rPr>
          <w:lang w:val="en-IE"/>
        </w:rPr>
        <w:t>5 minutes</w:t>
      </w:r>
    </w:p>
    <w:p w14:paraId="63B8A199" w14:textId="49307F79" w:rsidR="000D479D" w:rsidRPr="00686E9D" w:rsidRDefault="000D479D" w:rsidP="00791F5D">
      <w:pPr>
        <w:pStyle w:val="afourthpara"/>
        <w:spacing w:after="120"/>
        <w:ind w:left="2410" w:hanging="567"/>
        <w:rPr>
          <w:lang w:val="en-IE"/>
        </w:rPr>
      </w:pPr>
      <w:r w:rsidRPr="00686E9D">
        <w:rPr>
          <w:lang w:val="en-IE"/>
        </w:rPr>
        <w:t>30×</w:t>
      </w:r>
      <w:r w:rsidR="009075C3" w:rsidRPr="00686E9D">
        <w:rPr>
          <w:lang w:val="en-IE"/>
        </w:rPr>
        <w:tab/>
      </w:r>
      <w:r w:rsidRPr="00686E9D">
        <w:rPr>
          <w:lang w:val="en-IE"/>
        </w:rPr>
        <w:t xml:space="preserve">94°C for 30 seconds, </w:t>
      </w:r>
      <w:r w:rsidRPr="00686E9D">
        <w:rPr>
          <w:strike/>
          <w:lang w:val="en-IE"/>
        </w:rPr>
        <w:t>52</w:t>
      </w:r>
      <w:r w:rsidR="00DE56AB" w:rsidRPr="00686E9D">
        <w:rPr>
          <w:strike/>
          <w:lang w:val="en-IE"/>
        </w:rPr>
        <w:t xml:space="preserve"> </w:t>
      </w:r>
      <w:r w:rsidR="00423790" w:rsidRPr="00686E9D">
        <w:rPr>
          <w:u w:val="double"/>
          <w:lang w:val="en-IE"/>
        </w:rPr>
        <w:t>46</w:t>
      </w:r>
      <w:r w:rsidRPr="00686E9D">
        <w:rPr>
          <w:lang w:val="en-IE"/>
        </w:rPr>
        <w:t xml:space="preserve">°C for 30 seconds, 72°C for </w:t>
      </w:r>
      <w:r w:rsidRPr="00686E9D">
        <w:rPr>
          <w:strike/>
          <w:lang w:val="en-IE"/>
        </w:rPr>
        <w:t xml:space="preserve">45 </w:t>
      </w:r>
      <w:r w:rsidR="00423790" w:rsidRPr="00686E9D">
        <w:rPr>
          <w:u w:val="double"/>
          <w:lang w:val="en-IE"/>
        </w:rPr>
        <w:t>30</w:t>
      </w:r>
      <w:r w:rsidR="00423790" w:rsidRPr="00686E9D">
        <w:rPr>
          <w:lang w:val="en-IE"/>
        </w:rPr>
        <w:t xml:space="preserve"> </w:t>
      </w:r>
      <w:r w:rsidRPr="00686E9D">
        <w:rPr>
          <w:lang w:val="en-IE"/>
        </w:rPr>
        <w:t>seconds</w:t>
      </w:r>
    </w:p>
    <w:p w14:paraId="3D1C5235" w14:textId="3D586015" w:rsidR="000D479D" w:rsidRPr="00686E9D" w:rsidRDefault="000D479D" w:rsidP="00791F5D">
      <w:pPr>
        <w:pStyle w:val="afourthpara"/>
        <w:ind w:left="2410" w:hanging="567"/>
        <w:rPr>
          <w:lang w:val="en-IE"/>
        </w:rPr>
      </w:pPr>
      <w:r w:rsidRPr="00686E9D">
        <w:rPr>
          <w:lang w:val="en-IE"/>
        </w:rPr>
        <w:t>1×</w:t>
      </w:r>
      <w:r w:rsidR="009075C3" w:rsidRPr="00686E9D">
        <w:rPr>
          <w:lang w:val="en-IE"/>
        </w:rPr>
        <w:tab/>
      </w:r>
      <w:r w:rsidRPr="00686E9D">
        <w:rPr>
          <w:lang w:val="en-IE"/>
        </w:rPr>
        <w:t xml:space="preserve">72°C for </w:t>
      </w:r>
      <w:r w:rsidRPr="00686E9D">
        <w:rPr>
          <w:strike/>
          <w:lang w:val="en-IE"/>
        </w:rPr>
        <w:t xml:space="preserve">7 </w:t>
      </w:r>
      <w:r w:rsidR="00423790" w:rsidRPr="00686E9D">
        <w:rPr>
          <w:u w:val="double"/>
          <w:lang w:val="en-IE"/>
        </w:rPr>
        <w:t>5</w:t>
      </w:r>
      <w:r w:rsidR="00423790" w:rsidRPr="00686E9D">
        <w:rPr>
          <w:lang w:val="en-IE"/>
        </w:rPr>
        <w:t xml:space="preserve"> </w:t>
      </w:r>
      <w:r w:rsidRPr="00686E9D">
        <w:rPr>
          <w:lang w:val="en-IE"/>
        </w:rPr>
        <w:t>minutes</w:t>
      </w:r>
    </w:p>
    <w:p w14:paraId="1ABA1D8E" w14:textId="4D81ACE3" w:rsidR="00682ECF" w:rsidRPr="00686E9D" w:rsidRDefault="00964ED2">
      <w:pPr>
        <w:pStyle w:val="111Para"/>
        <w:rPr>
          <w:lang w:val="en-IE"/>
        </w:rPr>
      </w:pPr>
      <w:r w:rsidRPr="00686E9D">
        <w:rPr>
          <w:lang w:val="en-IE"/>
        </w:rPr>
        <w:t>Laboratories wishing to establish molecular detection methods should refer to published protocols or consult the OIE Reference Laboratory.</w:t>
      </w:r>
    </w:p>
    <w:p w14:paraId="2D212C39" w14:textId="40719610" w:rsidR="00682ECF" w:rsidRPr="00686E9D" w:rsidRDefault="00F82AD6">
      <w:pPr>
        <w:pStyle w:val="11"/>
        <w:rPr>
          <w:lang w:val="en-IE"/>
        </w:rPr>
      </w:pPr>
      <w:r w:rsidRPr="00686E9D">
        <w:rPr>
          <w:lang w:val="en-IE"/>
        </w:rPr>
        <w:t>3.3</w:t>
      </w:r>
      <w:r w:rsidR="00964ED2" w:rsidRPr="00686E9D">
        <w:rPr>
          <w:lang w:val="en-IE"/>
        </w:rPr>
        <w:t>.</w:t>
      </w:r>
      <w:r w:rsidR="00964ED2" w:rsidRPr="00686E9D">
        <w:rPr>
          <w:lang w:val="en-IE"/>
        </w:rPr>
        <w:tab/>
      </w:r>
      <w:proofErr w:type="spellStart"/>
      <w:r w:rsidR="00964ED2" w:rsidRPr="00686E9D">
        <w:rPr>
          <w:lang w:val="en-IE"/>
        </w:rPr>
        <w:t>Henipavirus</w:t>
      </w:r>
      <w:proofErr w:type="spellEnd"/>
      <w:r w:rsidR="00964ED2" w:rsidRPr="00686E9D">
        <w:rPr>
          <w:lang w:val="en-IE"/>
        </w:rPr>
        <w:t xml:space="preserve"> antigen detection in fixed tissue </w:t>
      </w:r>
      <w:r w:rsidR="00A53BB3" w:rsidRPr="00686E9D">
        <w:rPr>
          <w:lang w:val="en-IE"/>
        </w:rPr>
        <w:t>–</w:t>
      </w:r>
      <w:r w:rsidR="00964ED2" w:rsidRPr="00686E9D">
        <w:rPr>
          <w:lang w:val="en-IE"/>
        </w:rPr>
        <w:t xml:space="preserve"> immunohistochemistry</w:t>
      </w:r>
    </w:p>
    <w:p w14:paraId="1058FDE9" w14:textId="5302459C" w:rsidR="00682ECF" w:rsidRPr="00686E9D" w:rsidRDefault="00964ED2">
      <w:pPr>
        <w:pStyle w:val="11Para"/>
        <w:rPr>
          <w:lang w:val="en-IE"/>
        </w:rPr>
      </w:pPr>
      <w:r w:rsidRPr="00686E9D">
        <w:rPr>
          <w:lang w:val="en-IE"/>
        </w:rPr>
        <w:t>Immunohistochemistry is a powerful tool that allows the visualisation of viral antigen within cell and tissue structures. Nucleoprotein viral antigen in usually located within particulate structures of variable size and form within the cytoplasm. Because of the morphological aspect to the interpretation, colour signal can be effectively evaluated for its specificity. The test is done on formalin-fixed tissues, allowing the procedure to be done safely under non-</w:t>
      </w:r>
      <w:r w:rsidR="002A5D11" w:rsidRPr="00686E9D">
        <w:rPr>
          <w:lang w:val="en-IE"/>
        </w:rPr>
        <w:t>microbiologically contained</w:t>
      </w:r>
      <w:r w:rsidRPr="00686E9D">
        <w:rPr>
          <w:lang w:val="en-IE"/>
        </w:rPr>
        <w:t xml:space="preserve"> conditions.</w:t>
      </w:r>
    </w:p>
    <w:p w14:paraId="41119FC6" w14:textId="47A8E91A" w:rsidR="00682ECF" w:rsidRPr="00686E9D" w:rsidRDefault="00964ED2">
      <w:pPr>
        <w:pStyle w:val="11Para"/>
        <w:rPr>
          <w:lang w:val="en-IE"/>
        </w:rPr>
      </w:pPr>
      <w:proofErr w:type="spellStart"/>
      <w:r w:rsidRPr="00686E9D">
        <w:rPr>
          <w:lang w:val="en-IE"/>
        </w:rPr>
        <w:t>Henipavirus</w:t>
      </w:r>
      <w:proofErr w:type="spellEnd"/>
      <w:r w:rsidRPr="00686E9D">
        <w:rPr>
          <w:lang w:val="en-IE"/>
        </w:rPr>
        <w:t xml:space="preserve"> antigen replicates in a range of cell types, including endothelium, vascular smooth muscle, lung parenchyma, kidney glomeruli, neuron cell bodies, lymphoid tissues and connective tissues (Hooper </w:t>
      </w:r>
      <w:r w:rsidRPr="00686E9D">
        <w:rPr>
          <w:i/>
          <w:lang w:val="en-IE"/>
        </w:rPr>
        <w:t>et al.,</w:t>
      </w:r>
      <w:r w:rsidRPr="00686E9D">
        <w:rPr>
          <w:lang w:val="en-IE"/>
        </w:rPr>
        <w:t xml:space="preserve"> 2001; Marsh </w:t>
      </w:r>
      <w:r w:rsidRPr="00686E9D">
        <w:rPr>
          <w:i/>
          <w:lang w:val="en-IE"/>
        </w:rPr>
        <w:t>et al</w:t>
      </w:r>
      <w:r w:rsidRPr="00686E9D">
        <w:rPr>
          <w:lang w:val="en-IE"/>
        </w:rPr>
        <w:t>., 2011</w:t>
      </w:r>
      <w:r w:rsidRPr="00686E9D">
        <w:rPr>
          <w:strike/>
          <w:lang w:val="en-IE"/>
        </w:rPr>
        <w:t xml:space="preserve">; Middleton </w:t>
      </w:r>
      <w:r w:rsidRPr="00686E9D">
        <w:rPr>
          <w:i/>
          <w:strike/>
          <w:lang w:val="en-IE"/>
        </w:rPr>
        <w:t>et al</w:t>
      </w:r>
      <w:r w:rsidRPr="00686E9D">
        <w:rPr>
          <w:strike/>
          <w:lang w:val="en-IE"/>
        </w:rPr>
        <w:t xml:space="preserve">., 2002; </w:t>
      </w:r>
      <w:proofErr w:type="spellStart"/>
      <w:r w:rsidRPr="00686E9D">
        <w:rPr>
          <w:strike/>
          <w:lang w:val="en-IE"/>
        </w:rPr>
        <w:t>Mungall</w:t>
      </w:r>
      <w:proofErr w:type="spellEnd"/>
      <w:r w:rsidRPr="00686E9D">
        <w:rPr>
          <w:strike/>
          <w:lang w:val="en-IE"/>
        </w:rPr>
        <w:t xml:space="preserve"> </w:t>
      </w:r>
      <w:r w:rsidRPr="00686E9D">
        <w:rPr>
          <w:i/>
          <w:strike/>
          <w:lang w:val="en-IE"/>
        </w:rPr>
        <w:t>et al</w:t>
      </w:r>
      <w:r w:rsidRPr="00686E9D">
        <w:rPr>
          <w:strike/>
          <w:lang w:val="en-IE"/>
        </w:rPr>
        <w:t>., 2006</w:t>
      </w:r>
      <w:r w:rsidRPr="00686E9D">
        <w:rPr>
          <w:lang w:val="en-IE"/>
        </w:rPr>
        <w:t>). Antigen is particular</w:t>
      </w:r>
      <w:r w:rsidR="008E2984" w:rsidRPr="00686E9D">
        <w:rPr>
          <w:lang w:val="en-IE"/>
        </w:rPr>
        <w:t>ly</w:t>
      </w:r>
      <w:r w:rsidRPr="00686E9D">
        <w:rPr>
          <w:lang w:val="en-IE"/>
        </w:rPr>
        <w:t xml:space="preserve"> dense </w:t>
      </w:r>
      <w:r w:rsidRPr="00686E9D">
        <w:rPr>
          <w:lang w:val="en-IE"/>
        </w:rPr>
        <w:lastRenderedPageBreak/>
        <w:t xml:space="preserve">in syncytia and in macrophages within lesions. Therefore, suitable tissues for diagnosis of </w:t>
      </w:r>
      <w:proofErr w:type="spellStart"/>
      <w:r w:rsidRPr="00686E9D">
        <w:rPr>
          <w:lang w:val="en-IE"/>
        </w:rPr>
        <w:t>henipavirus</w:t>
      </w:r>
      <w:proofErr w:type="spellEnd"/>
      <w:r w:rsidRPr="00686E9D">
        <w:rPr>
          <w:lang w:val="en-IE"/>
        </w:rPr>
        <w:t xml:space="preserve"> infection include lung, brain, lymph nodes, spleen and kidney. In the absence of these tissues, it is worthwhile examining any tissue type, as antigen can be found in occasional blood vessels throughout the vascular bed. Unless full protective clothing can be worn and suitable disinfection protocols be implemented, it is safer to remove only small pieces of tissue through ‘keyhole’ sampling</w:t>
      </w:r>
      <w:r w:rsidR="00A53826" w:rsidRPr="00686E9D">
        <w:rPr>
          <w:lang w:val="en-IE"/>
        </w:rPr>
        <w:t xml:space="preserve"> </w:t>
      </w:r>
      <w:r w:rsidR="00A53826" w:rsidRPr="00686E9D">
        <w:rPr>
          <w:u w:val="double"/>
          <w:lang w:val="en-IE"/>
        </w:rPr>
        <w:t xml:space="preserve">from </w:t>
      </w:r>
      <w:r w:rsidR="00A24D78" w:rsidRPr="00686E9D">
        <w:rPr>
          <w:u w:val="double"/>
          <w:lang w:val="en-IE"/>
        </w:rPr>
        <w:t>suspect cases</w:t>
      </w:r>
      <w:r w:rsidRPr="00686E9D">
        <w:rPr>
          <w:lang w:val="en-IE"/>
        </w:rPr>
        <w:t>. Lung tissue and sub-mandibular lymph nodes are good tissues to remove in this manner.</w:t>
      </w:r>
    </w:p>
    <w:p w14:paraId="5C2B3762" w14:textId="156F3D75" w:rsidR="00682ECF" w:rsidRPr="00686E9D" w:rsidRDefault="00964ED2">
      <w:pPr>
        <w:pStyle w:val="11Para"/>
        <w:rPr>
          <w:lang w:val="en-IE"/>
        </w:rPr>
      </w:pPr>
      <w:r w:rsidRPr="00686E9D">
        <w:rPr>
          <w:lang w:val="en-IE"/>
        </w:rPr>
        <w:t xml:space="preserve">Rabbit polyclonal antisera raised against recombinant </w:t>
      </w:r>
      <w:proofErr w:type="spellStart"/>
      <w:r w:rsidRPr="00686E9D">
        <w:rPr>
          <w:lang w:val="en-IE"/>
        </w:rPr>
        <w:t>henipavirus</w:t>
      </w:r>
      <w:proofErr w:type="spellEnd"/>
      <w:r w:rsidRPr="00686E9D">
        <w:rPr>
          <w:lang w:val="en-IE"/>
        </w:rPr>
        <w:t xml:space="preserve"> nucleoprotein are highly reliable for use as primary antibodies for diagnostic immunohistochemistry. Detection of phosphoprotein antigens is also suitable for diagnostic purposes, although phosphoprotein tends to be less expressed than nucleoprotein. There are various secondary detection systems on the market that can be used. The following is an example of an immunohistochemical procedure using an </w:t>
      </w:r>
      <w:proofErr w:type="spellStart"/>
      <w:r w:rsidRPr="00686E9D">
        <w:rPr>
          <w:lang w:val="en-IE"/>
        </w:rPr>
        <w:t>immunoperoxidase</w:t>
      </w:r>
      <w:proofErr w:type="spellEnd"/>
      <w:r w:rsidRPr="00686E9D">
        <w:rPr>
          <w:lang w:val="en-IE"/>
        </w:rPr>
        <w:t xml:space="preserve"> system and AEC chrom</w:t>
      </w:r>
      <w:r w:rsidR="00110739" w:rsidRPr="00686E9D">
        <w:rPr>
          <w:lang w:val="en-IE"/>
        </w:rPr>
        <w:t>o</w:t>
      </w:r>
      <w:r w:rsidRPr="00686E9D">
        <w:rPr>
          <w:lang w:val="en-IE"/>
        </w:rPr>
        <w:t>gen. Other methods can be used, with slight variation of the method for different enzymes and chrom</w:t>
      </w:r>
      <w:r w:rsidR="00713925" w:rsidRPr="00686E9D">
        <w:rPr>
          <w:lang w:val="en-IE"/>
        </w:rPr>
        <w:t>o</w:t>
      </w:r>
      <w:r w:rsidRPr="00686E9D">
        <w:rPr>
          <w:lang w:val="en-IE"/>
        </w:rPr>
        <w:t>gens.</w:t>
      </w:r>
    </w:p>
    <w:p w14:paraId="00F89D3F" w14:textId="5F3DC94F" w:rsidR="00682ECF" w:rsidRPr="00686E9D" w:rsidRDefault="00F82AD6">
      <w:pPr>
        <w:pStyle w:val="111"/>
        <w:rPr>
          <w:lang w:val="en-IE"/>
        </w:rPr>
      </w:pPr>
      <w:r w:rsidRPr="00686E9D">
        <w:rPr>
          <w:lang w:val="en-IE"/>
        </w:rPr>
        <w:t>3.3</w:t>
      </w:r>
      <w:r w:rsidR="00964ED2" w:rsidRPr="00686E9D">
        <w:rPr>
          <w:lang w:val="en-IE"/>
        </w:rPr>
        <w:t>.1.</w:t>
      </w:r>
      <w:r w:rsidR="00964ED2" w:rsidRPr="00686E9D">
        <w:rPr>
          <w:lang w:val="en-IE"/>
        </w:rPr>
        <w:tab/>
        <w:t>Test procedure</w:t>
      </w:r>
    </w:p>
    <w:p w14:paraId="5CB529EA" w14:textId="128E2FD0" w:rsidR="00682ECF" w:rsidRPr="00686E9D" w:rsidRDefault="00964ED2">
      <w:pPr>
        <w:pStyle w:val="i"/>
        <w:rPr>
          <w:lang w:val="en-IE"/>
        </w:rPr>
      </w:pPr>
      <w:r w:rsidRPr="00686E9D">
        <w:rPr>
          <w:lang w:val="en-IE"/>
        </w:rPr>
        <w:t>i)</w:t>
      </w:r>
      <w:r w:rsidRPr="00686E9D">
        <w:rPr>
          <w:lang w:val="en-IE"/>
        </w:rPr>
        <w:tab/>
        <w:t>Process the fixed tissues according to routine histological procedures into paraffin wax blocks and cut sections onto glass slides. Cut positive control sections and negative controls, if appropriate.</w:t>
      </w:r>
    </w:p>
    <w:p w14:paraId="2D15E069" w14:textId="1C5F2DEA" w:rsidR="00682ECF" w:rsidRPr="00686E9D" w:rsidRDefault="00964ED2">
      <w:pPr>
        <w:pStyle w:val="i"/>
        <w:rPr>
          <w:lang w:val="en-IE"/>
        </w:rPr>
      </w:pPr>
      <w:r w:rsidRPr="00686E9D">
        <w:rPr>
          <w:lang w:val="en-IE"/>
        </w:rPr>
        <w:t>ii)</w:t>
      </w:r>
      <w:r w:rsidRPr="00686E9D">
        <w:rPr>
          <w:lang w:val="en-IE"/>
        </w:rPr>
        <w:tab/>
        <w:t>Dewax the slides by immersion in three consecutive xylene baths for 3 minutes each. Hydrate sections through two changes of 98–100% ethanol, one change of 70% ethanol and running tap water to remove residual alcohol.</w:t>
      </w:r>
    </w:p>
    <w:p w14:paraId="3B4ED863" w14:textId="77777777" w:rsidR="00682ECF" w:rsidRPr="00686E9D" w:rsidRDefault="00964ED2">
      <w:pPr>
        <w:pStyle w:val="i"/>
        <w:rPr>
          <w:lang w:val="en-IE"/>
        </w:rPr>
      </w:pPr>
      <w:r w:rsidRPr="00686E9D">
        <w:rPr>
          <w:lang w:val="en-IE"/>
        </w:rPr>
        <w:t>iii)</w:t>
      </w:r>
      <w:r w:rsidRPr="00686E9D">
        <w:rPr>
          <w:lang w:val="en-IE"/>
        </w:rPr>
        <w:tab/>
        <w:t>Antigen retrieval can be done through heating in a citrate buffer (pH 9) for 20 minutes at 97°C, or by proteinase K digestion for 5 minutes.</w:t>
      </w:r>
    </w:p>
    <w:p w14:paraId="5AD0294D" w14:textId="77777777" w:rsidR="00682ECF" w:rsidRPr="00686E9D" w:rsidRDefault="00964ED2">
      <w:pPr>
        <w:pStyle w:val="i"/>
        <w:rPr>
          <w:lang w:val="en-IE"/>
        </w:rPr>
      </w:pPr>
      <w:r w:rsidRPr="00686E9D">
        <w:rPr>
          <w:lang w:val="en-IE"/>
        </w:rPr>
        <w:t>iv)</w:t>
      </w:r>
      <w:r w:rsidRPr="00686E9D">
        <w:rPr>
          <w:lang w:val="en-IE"/>
        </w:rPr>
        <w:tab/>
        <w:t>At this point and between each successive step till after step vii, wash the slides in TRIS buffer (pH 7.6) multiple times.</w:t>
      </w:r>
    </w:p>
    <w:p w14:paraId="7ECD58EB" w14:textId="77777777" w:rsidR="00682ECF" w:rsidRPr="00686E9D" w:rsidRDefault="00964ED2">
      <w:pPr>
        <w:pStyle w:val="i"/>
        <w:rPr>
          <w:lang w:val="en-IE"/>
        </w:rPr>
      </w:pPr>
      <w:r w:rsidRPr="00686E9D">
        <w:rPr>
          <w:lang w:val="en-IE"/>
        </w:rPr>
        <w:t>v)</w:t>
      </w:r>
      <w:r w:rsidRPr="00686E9D">
        <w:rPr>
          <w:lang w:val="en-IE"/>
        </w:rPr>
        <w:tab/>
        <w:t xml:space="preserve">Block endogenous compound at this stage. This will depend on the detection system used, for example, if an </w:t>
      </w:r>
      <w:proofErr w:type="spellStart"/>
      <w:r w:rsidRPr="00686E9D">
        <w:rPr>
          <w:lang w:val="en-IE"/>
        </w:rPr>
        <w:t>immunoperoxidase</w:t>
      </w:r>
      <w:proofErr w:type="spellEnd"/>
      <w:r w:rsidRPr="00686E9D">
        <w:rPr>
          <w:lang w:val="en-IE"/>
        </w:rPr>
        <w:t xml:space="preserve"> system is used then endogenous peroxidase needs to be blocked with 3% aqueous H</w:t>
      </w:r>
      <w:r w:rsidRPr="00686E9D">
        <w:rPr>
          <w:szCs w:val="14"/>
          <w:vertAlign w:val="subscript"/>
          <w:lang w:val="en-IE"/>
        </w:rPr>
        <w:t>2</w:t>
      </w:r>
      <w:r w:rsidRPr="00686E9D">
        <w:rPr>
          <w:lang w:val="en-IE"/>
        </w:rPr>
        <w:t>O</w:t>
      </w:r>
      <w:r w:rsidRPr="00686E9D">
        <w:rPr>
          <w:szCs w:val="14"/>
          <w:vertAlign w:val="subscript"/>
          <w:lang w:val="en-IE"/>
        </w:rPr>
        <w:t>2</w:t>
      </w:r>
      <w:r w:rsidRPr="00686E9D">
        <w:rPr>
          <w:lang w:val="en-IE"/>
        </w:rPr>
        <w:t xml:space="preserve"> for 10 minutes.</w:t>
      </w:r>
    </w:p>
    <w:p w14:paraId="26D9296E" w14:textId="77777777" w:rsidR="00682ECF" w:rsidRPr="00686E9D" w:rsidRDefault="00964ED2">
      <w:pPr>
        <w:pStyle w:val="i"/>
        <w:rPr>
          <w:lang w:val="en-IE"/>
        </w:rPr>
      </w:pPr>
      <w:r w:rsidRPr="00686E9D">
        <w:rPr>
          <w:lang w:val="en-IE"/>
        </w:rPr>
        <w:t>vi)</w:t>
      </w:r>
      <w:r w:rsidRPr="00686E9D">
        <w:rPr>
          <w:lang w:val="en-IE"/>
        </w:rPr>
        <w:tab/>
        <w:t>Add the primary antibody at a pre-characterised dilution for 45 minutes.</w:t>
      </w:r>
    </w:p>
    <w:p w14:paraId="741736C0" w14:textId="77777777" w:rsidR="00682ECF" w:rsidRPr="00686E9D" w:rsidRDefault="00964ED2">
      <w:pPr>
        <w:pStyle w:val="i"/>
        <w:rPr>
          <w:lang w:val="en-IE"/>
        </w:rPr>
      </w:pPr>
      <w:r w:rsidRPr="00686E9D">
        <w:rPr>
          <w:lang w:val="en-IE"/>
        </w:rPr>
        <w:t>vii)</w:t>
      </w:r>
      <w:r w:rsidRPr="00686E9D">
        <w:rPr>
          <w:lang w:val="en-IE"/>
        </w:rPr>
        <w:tab/>
        <w:t>Add the secondary antibody conjugate. Many different systems are available: the simplest and most robust consist of a single step. Consult the manufacturer’s product guidelines for the correct use.</w:t>
      </w:r>
    </w:p>
    <w:p w14:paraId="399C6321" w14:textId="2963BF7D" w:rsidR="00682ECF" w:rsidRPr="00686E9D" w:rsidRDefault="00964ED2">
      <w:pPr>
        <w:pStyle w:val="i"/>
        <w:rPr>
          <w:lang w:val="en-IE"/>
        </w:rPr>
      </w:pPr>
      <w:r w:rsidRPr="00686E9D">
        <w:rPr>
          <w:lang w:val="en-IE"/>
        </w:rPr>
        <w:t>viii)</w:t>
      </w:r>
      <w:r w:rsidRPr="00686E9D">
        <w:rPr>
          <w:lang w:val="en-IE"/>
        </w:rPr>
        <w:tab/>
        <w:t xml:space="preserve">Add the </w:t>
      </w:r>
      <w:proofErr w:type="spellStart"/>
      <w:r w:rsidRPr="00686E9D">
        <w:rPr>
          <w:lang w:val="en-IE"/>
        </w:rPr>
        <w:t>chromagen</w:t>
      </w:r>
      <w:proofErr w:type="spellEnd"/>
      <w:r w:rsidRPr="00686E9D">
        <w:rPr>
          <w:lang w:val="en-IE"/>
        </w:rPr>
        <w:t xml:space="preserve"> (for example, 3-amino-9-ethylcarbazole (AEC), or 3,3</w:t>
      </w:r>
      <w:r w:rsidR="00A53BB3" w:rsidRPr="00686E9D">
        <w:rPr>
          <w:lang w:val="en-IE"/>
        </w:rPr>
        <w:t>’</w:t>
      </w:r>
      <w:r w:rsidRPr="00686E9D">
        <w:rPr>
          <w:lang w:val="en-IE"/>
        </w:rPr>
        <w:t xml:space="preserve"> diamino-benzidine (DAB) for 10 minutes. Refer to the product guidelines for the correct use.</w:t>
      </w:r>
    </w:p>
    <w:p w14:paraId="3F93BABC" w14:textId="77777777" w:rsidR="00682ECF" w:rsidRPr="00686E9D" w:rsidRDefault="00964ED2">
      <w:pPr>
        <w:pStyle w:val="i"/>
        <w:rPr>
          <w:lang w:val="en-IE"/>
        </w:rPr>
      </w:pPr>
      <w:r w:rsidRPr="00686E9D">
        <w:rPr>
          <w:lang w:val="en-IE"/>
        </w:rPr>
        <w:t>ix)</w:t>
      </w:r>
      <w:r w:rsidRPr="00686E9D">
        <w:rPr>
          <w:lang w:val="en-IE"/>
        </w:rPr>
        <w:tab/>
        <w:t>Wash in distilled water to stop colour development.</w:t>
      </w:r>
    </w:p>
    <w:p w14:paraId="216F9EA8" w14:textId="77777777" w:rsidR="00682ECF" w:rsidRPr="00686E9D" w:rsidRDefault="00964ED2">
      <w:pPr>
        <w:pStyle w:val="i"/>
        <w:rPr>
          <w:lang w:val="en-IE"/>
        </w:rPr>
      </w:pPr>
      <w:r w:rsidRPr="00686E9D">
        <w:rPr>
          <w:lang w:val="en-IE"/>
        </w:rPr>
        <w:t>x)</w:t>
      </w:r>
      <w:r w:rsidRPr="00686E9D">
        <w:rPr>
          <w:lang w:val="en-IE"/>
        </w:rPr>
        <w:tab/>
        <w:t>Counterstain in haematoxylin for 30 seconds to 3 minutes (depending on type).</w:t>
      </w:r>
    </w:p>
    <w:p w14:paraId="52265D22" w14:textId="77777777" w:rsidR="00682ECF" w:rsidRPr="00686E9D" w:rsidRDefault="00964ED2">
      <w:pPr>
        <w:pStyle w:val="i"/>
        <w:rPr>
          <w:lang w:val="en-IE"/>
        </w:rPr>
      </w:pPr>
      <w:r w:rsidRPr="00686E9D">
        <w:rPr>
          <w:lang w:val="en-IE"/>
        </w:rPr>
        <w:t>xi)</w:t>
      </w:r>
      <w:r w:rsidRPr="00686E9D">
        <w:rPr>
          <w:lang w:val="en-IE"/>
        </w:rPr>
        <w:tab/>
        <w:t>Rinse in tap water. Add Scott’s solution (0.04 M sodium bicarbonate, 0.3 M magnesium sulphate), for 1 minute and wash well in running tap water.</w:t>
      </w:r>
    </w:p>
    <w:p w14:paraId="24CFD3D8" w14:textId="2E521A2C" w:rsidR="00682ECF" w:rsidRPr="00686E9D" w:rsidRDefault="00964ED2">
      <w:pPr>
        <w:pStyle w:val="i"/>
        <w:rPr>
          <w:lang w:val="en-IE"/>
        </w:rPr>
      </w:pPr>
      <w:r w:rsidRPr="00686E9D">
        <w:rPr>
          <w:lang w:val="en-IE"/>
        </w:rPr>
        <w:t>xii)</w:t>
      </w:r>
      <w:r w:rsidRPr="00686E9D">
        <w:rPr>
          <w:lang w:val="en-IE"/>
        </w:rPr>
        <w:tab/>
        <w:t xml:space="preserve">Mount with a </w:t>
      </w:r>
      <w:r w:rsidR="002A5D11" w:rsidRPr="00686E9D">
        <w:rPr>
          <w:lang w:val="en-IE"/>
        </w:rPr>
        <w:t>coverslip</w:t>
      </w:r>
      <w:r w:rsidRPr="00686E9D">
        <w:rPr>
          <w:lang w:val="en-IE"/>
        </w:rPr>
        <w:t xml:space="preserve"> using aqueous mounting medium.</w:t>
      </w:r>
    </w:p>
    <w:p w14:paraId="53FECDEC" w14:textId="77777777" w:rsidR="00682ECF" w:rsidRPr="00686E9D" w:rsidRDefault="00964ED2">
      <w:pPr>
        <w:pStyle w:val="i"/>
        <w:spacing w:after="240"/>
        <w:rPr>
          <w:lang w:val="en-IE"/>
        </w:rPr>
      </w:pPr>
      <w:r w:rsidRPr="00686E9D">
        <w:rPr>
          <w:lang w:val="en-IE"/>
        </w:rPr>
        <w:t>xiii)</w:t>
      </w:r>
      <w:r w:rsidRPr="00686E9D">
        <w:rPr>
          <w:lang w:val="en-IE"/>
        </w:rPr>
        <w:tab/>
        <w:t xml:space="preserve">Viral antigen can be visualised by the brown/ red stain, the colour depending on the </w:t>
      </w:r>
      <w:proofErr w:type="spellStart"/>
      <w:r w:rsidRPr="00686E9D">
        <w:rPr>
          <w:lang w:val="en-IE"/>
        </w:rPr>
        <w:t>chromagen</w:t>
      </w:r>
      <w:proofErr w:type="spellEnd"/>
      <w:r w:rsidRPr="00686E9D">
        <w:rPr>
          <w:lang w:val="en-IE"/>
        </w:rPr>
        <w:t xml:space="preserve"> used.</w:t>
      </w:r>
    </w:p>
    <w:p w14:paraId="33AE013F" w14:textId="77777777" w:rsidR="00682ECF" w:rsidRPr="00686E9D" w:rsidRDefault="00964ED2">
      <w:pPr>
        <w:pStyle w:val="para1"/>
        <w:rPr>
          <w:lang w:val="en-IE"/>
        </w:rPr>
      </w:pPr>
      <w:r w:rsidRPr="00686E9D">
        <w:rPr>
          <w:lang w:val="en-IE"/>
        </w:rPr>
        <w:t>All the above test methods should be considered as a guide only; each test parameter will need to be optimised for each testing laboratory, as they will vary according to specific laboratory conditions.</w:t>
      </w:r>
    </w:p>
    <w:p w14:paraId="35729EA9" w14:textId="719CE014" w:rsidR="00682ECF" w:rsidRPr="00686E9D" w:rsidRDefault="0030088B" w:rsidP="00713925">
      <w:pPr>
        <w:pStyle w:val="1"/>
        <w:keepNext/>
        <w:spacing w:after="280"/>
        <w:ind w:left="425" w:hanging="425"/>
        <w:rPr>
          <w:lang w:val="en-IE"/>
        </w:rPr>
      </w:pPr>
      <w:r w:rsidRPr="00686E9D">
        <w:rPr>
          <w:lang w:val="en-IE"/>
        </w:rPr>
        <w:t>4</w:t>
      </w:r>
      <w:r w:rsidR="00964ED2" w:rsidRPr="00686E9D">
        <w:rPr>
          <w:lang w:val="en-IE"/>
        </w:rPr>
        <w:t>.</w:t>
      </w:r>
      <w:r w:rsidR="00964ED2" w:rsidRPr="00686E9D">
        <w:rPr>
          <w:lang w:val="en-IE"/>
        </w:rPr>
        <w:tab/>
        <w:t>Serological tests</w:t>
      </w:r>
    </w:p>
    <w:p w14:paraId="093D8BE5" w14:textId="404DF928" w:rsidR="00682ECF" w:rsidRPr="00686E9D" w:rsidRDefault="00964ED2">
      <w:pPr>
        <w:pStyle w:val="para1"/>
        <w:rPr>
          <w:lang w:val="en-IE"/>
        </w:rPr>
      </w:pPr>
      <w:r w:rsidRPr="00686E9D">
        <w:rPr>
          <w:lang w:val="en-IE"/>
        </w:rPr>
        <w:t xml:space="preserve">In laboratories doing serological testing, particularly in outbreak situations, several strategies have been adopted to reduce the risk of exposure of laboratory personnel to </w:t>
      </w:r>
      <w:proofErr w:type="spellStart"/>
      <w:r w:rsidRPr="00686E9D">
        <w:rPr>
          <w:lang w:val="en-IE"/>
        </w:rPr>
        <w:t>HeV</w:t>
      </w:r>
      <w:proofErr w:type="spellEnd"/>
      <w:r w:rsidRPr="00686E9D">
        <w:rPr>
          <w:lang w:val="en-IE"/>
        </w:rPr>
        <w:t xml:space="preserve"> and </w:t>
      </w:r>
      <w:proofErr w:type="spellStart"/>
      <w:r w:rsidRPr="00686E9D">
        <w:rPr>
          <w:lang w:val="en-IE"/>
        </w:rPr>
        <w:t>NiV</w:t>
      </w:r>
      <w:proofErr w:type="spellEnd"/>
      <w:r w:rsidRPr="00686E9D">
        <w:rPr>
          <w:lang w:val="en-IE"/>
        </w:rPr>
        <w:t xml:space="preserve">. Sera </w:t>
      </w:r>
      <w:r w:rsidR="00F4199E" w:rsidRPr="00686E9D">
        <w:rPr>
          <w:u w:val="double"/>
          <w:lang w:val="en-IE"/>
        </w:rPr>
        <w:t>received from a</w:t>
      </w:r>
      <w:r w:rsidR="00A53826" w:rsidRPr="00686E9D">
        <w:rPr>
          <w:u w:val="double"/>
          <w:lang w:val="en-IE"/>
        </w:rPr>
        <w:t xml:space="preserve"> suspected disease </w:t>
      </w:r>
      <w:r w:rsidR="00F4199E" w:rsidRPr="00686E9D">
        <w:rPr>
          <w:u w:val="double"/>
          <w:lang w:val="en-IE"/>
        </w:rPr>
        <w:t xml:space="preserve">outbreak or from an endemic region </w:t>
      </w:r>
      <w:proofErr w:type="gramStart"/>
      <w:r w:rsidR="00F4199E" w:rsidRPr="00686E9D">
        <w:rPr>
          <w:u w:val="double"/>
          <w:lang w:val="en-IE"/>
        </w:rPr>
        <w:t>should</w:t>
      </w:r>
      <w:r w:rsidR="00F4199E" w:rsidRPr="00686E9D">
        <w:rPr>
          <w:lang w:val="en-IE"/>
        </w:rPr>
        <w:t xml:space="preserve"> </w:t>
      </w:r>
      <w:r w:rsidRPr="00686E9D">
        <w:rPr>
          <w:strike/>
          <w:lang w:val="en-IE"/>
        </w:rPr>
        <w:t>may</w:t>
      </w:r>
      <w:proofErr w:type="gramEnd"/>
      <w:r w:rsidRPr="00686E9D">
        <w:rPr>
          <w:strike/>
          <w:lang w:val="en-IE"/>
        </w:rPr>
        <w:t xml:space="preserve"> </w:t>
      </w:r>
      <w:r w:rsidRPr="00686E9D">
        <w:rPr>
          <w:lang w:val="en-IE"/>
        </w:rPr>
        <w:t>be gamma-irradiated (6</w:t>
      </w:r>
      <w:r w:rsidR="001F6218" w:rsidRPr="00686E9D">
        <w:rPr>
          <w:lang w:val="en-IE"/>
        </w:rPr>
        <w:t> </w:t>
      </w:r>
      <w:proofErr w:type="spellStart"/>
      <w:r w:rsidRPr="00686E9D">
        <w:rPr>
          <w:lang w:val="en-IE"/>
        </w:rPr>
        <w:t>kilo</w:t>
      </w:r>
      <w:r w:rsidR="001A40D4" w:rsidRPr="00686E9D">
        <w:rPr>
          <w:u w:val="double"/>
          <w:lang w:val="en-IE"/>
        </w:rPr>
        <w:t>grays</w:t>
      </w:r>
      <w:proofErr w:type="spellEnd"/>
      <w:r w:rsidR="00F50466" w:rsidRPr="00686E9D">
        <w:rPr>
          <w:strike/>
          <w:lang w:val="en-IE"/>
        </w:rPr>
        <w:t xml:space="preserve"> </w:t>
      </w:r>
      <w:r w:rsidRPr="00686E9D">
        <w:rPr>
          <w:strike/>
          <w:lang w:val="en-IE"/>
        </w:rPr>
        <w:t>Greys</w:t>
      </w:r>
      <w:r w:rsidRPr="00686E9D">
        <w:rPr>
          <w:lang w:val="en-IE"/>
        </w:rPr>
        <w:t xml:space="preserve">) or diluted 1/5 in phosphate buffered saline (PBS) containing 0.5% </w:t>
      </w:r>
      <w:r w:rsidRPr="00EC3CB9">
        <w:rPr>
          <w:strike/>
          <w:lang w:val="en-IE"/>
        </w:rPr>
        <w:t xml:space="preserve">Tween </w:t>
      </w:r>
      <w:r w:rsidR="00EC3CB9" w:rsidRPr="00EC3CB9">
        <w:rPr>
          <w:u w:val="double"/>
          <w:lang w:val="en-IE"/>
        </w:rPr>
        <w:t>polysorbate</w:t>
      </w:r>
      <w:r w:rsidR="00EC3CB9">
        <w:rPr>
          <w:lang w:val="en-IE"/>
        </w:rPr>
        <w:t xml:space="preserve"> </w:t>
      </w:r>
      <w:r w:rsidRPr="00686E9D">
        <w:rPr>
          <w:lang w:val="en-IE"/>
        </w:rPr>
        <w:t xml:space="preserve">20 and 0.5% </w:t>
      </w:r>
      <w:r w:rsidRPr="00EC3CB9">
        <w:rPr>
          <w:strike/>
          <w:lang w:val="en-IE"/>
        </w:rPr>
        <w:t xml:space="preserve">Triton-X100 </w:t>
      </w:r>
      <w:r w:rsidR="00EC3CB9" w:rsidRPr="00EC3CB9">
        <w:rPr>
          <w:u w:val="double"/>
          <w:lang w:val="en-IE"/>
        </w:rPr>
        <w:t>o</w:t>
      </w:r>
      <w:proofErr w:type="spellStart"/>
      <w:r w:rsidR="00EC3CB9" w:rsidRPr="00EC3CB9">
        <w:rPr>
          <w:u w:val="double"/>
        </w:rPr>
        <w:t>ctylphenol</w:t>
      </w:r>
      <w:proofErr w:type="spellEnd"/>
      <w:r w:rsidR="00EC3CB9" w:rsidRPr="00EC3CB9">
        <w:rPr>
          <w:u w:val="double"/>
        </w:rPr>
        <w:t xml:space="preserve"> ethoxylate</w:t>
      </w:r>
      <w:r w:rsidR="00EC3CB9">
        <w:rPr>
          <w:rStyle w:val="CommentReference"/>
          <w:rFonts w:ascii="Times New Roman" w:hAnsi="Times New Roman" w:cs="Times New Roman"/>
        </w:rPr>
        <w:t xml:space="preserve"> </w:t>
      </w:r>
      <w:r w:rsidR="00EC3CB9" w:rsidRPr="00EC3CB9">
        <w:rPr>
          <w:rStyle w:val="CommentReference"/>
          <w:sz w:val="18"/>
          <w:szCs w:val="18"/>
        </w:rPr>
        <w:t>a</w:t>
      </w:r>
      <w:proofErr w:type="spellStart"/>
      <w:r w:rsidRPr="00686E9D">
        <w:rPr>
          <w:lang w:val="en-IE"/>
        </w:rPr>
        <w:t>nd</w:t>
      </w:r>
      <w:proofErr w:type="spellEnd"/>
      <w:r w:rsidRPr="00686E9D">
        <w:rPr>
          <w:lang w:val="en-IE"/>
        </w:rPr>
        <w:t xml:space="preserve"> heat-inactivated at 56°C for 30 minutes</w:t>
      </w:r>
      <w:r w:rsidR="00F4199E" w:rsidRPr="00686E9D">
        <w:rPr>
          <w:lang w:val="en-IE"/>
        </w:rPr>
        <w:t xml:space="preserve"> </w:t>
      </w:r>
      <w:r w:rsidR="00F4199E" w:rsidRPr="00686E9D">
        <w:rPr>
          <w:u w:val="double"/>
          <w:lang w:val="en-IE"/>
        </w:rPr>
        <w:t>prior to testing</w:t>
      </w:r>
      <w:r w:rsidRPr="00686E9D">
        <w:rPr>
          <w:lang w:val="en-IE"/>
        </w:rPr>
        <w:t xml:space="preserve">. The process used will be based on a risk assessment. Specimens for surveillance testing and testing for animal movement certification may be considered a lesser biohazard than those for disease investigation during </w:t>
      </w:r>
      <w:r w:rsidR="002145D8" w:rsidRPr="00686E9D">
        <w:rPr>
          <w:lang w:val="en-IE"/>
        </w:rPr>
        <w:t xml:space="preserve">an </w:t>
      </w:r>
      <w:r w:rsidRPr="00686E9D">
        <w:rPr>
          <w:lang w:val="en-IE"/>
        </w:rPr>
        <w:t xml:space="preserve">outbreak. In some circumstances heat inactivation may be adopted as a sufficient precaution. </w:t>
      </w:r>
      <w:r w:rsidR="002A5D11" w:rsidRPr="00686E9D">
        <w:rPr>
          <w:lang w:val="en-IE"/>
        </w:rPr>
        <w:t>However,</w:t>
      </w:r>
      <w:r w:rsidRPr="00686E9D">
        <w:rPr>
          <w:lang w:val="en-IE"/>
        </w:rPr>
        <w:t xml:space="preserve"> there is value in having a standardised approach for all samples in managing a test, rather than be maintaining multiple test methods.</w:t>
      </w:r>
    </w:p>
    <w:p w14:paraId="192C8325" w14:textId="7D8DAF9B" w:rsidR="009075C3" w:rsidRPr="00686E9D" w:rsidRDefault="00FA12AE" w:rsidP="009075C3">
      <w:pPr>
        <w:pStyle w:val="para1"/>
        <w:rPr>
          <w:lang w:val="en-IE"/>
        </w:rPr>
      </w:pPr>
      <w:r w:rsidRPr="00686E9D">
        <w:rPr>
          <w:lang w:val="en-IE"/>
        </w:rPr>
        <w:lastRenderedPageBreak/>
        <w:t xml:space="preserve">In Australia, the introduction of equine vaccination against Hendra virus has affected the </w:t>
      </w:r>
      <w:r w:rsidR="00DE0323" w:rsidRPr="00686E9D">
        <w:rPr>
          <w:lang w:val="en-IE"/>
        </w:rPr>
        <w:t xml:space="preserve">possible range of purposes of testing </w:t>
      </w:r>
      <w:r w:rsidRPr="00686E9D">
        <w:rPr>
          <w:lang w:val="en-IE"/>
        </w:rPr>
        <w:t>of assays that detect antibody to the G protein</w:t>
      </w:r>
      <w:r w:rsidR="00DE0323" w:rsidRPr="00686E9D">
        <w:rPr>
          <w:lang w:val="en-IE"/>
        </w:rPr>
        <w:t>. The test may be used to detect immune responses to vaccination, and detection of antibodies no longer necessarily indicates prior infection in situations where vaccine may have been used.</w:t>
      </w:r>
      <w:r w:rsidR="008A6BA7" w:rsidRPr="00686E9D">
        <w:rPr>
          <w:lang w:val="en-IE"/>
        </w:rPr>
        <w:t xml:space="preserve"> The possibility of vaccination must be </w:t>
      </w:r>
      <w:proofErr w:type="gramStart"/>
      <w:r w:rsidR="008A6BA7" w:rsidRPr="00686E9D">
        <w:rPr>
          <w:strike/>
          <w:lang w:val="en-IE"/>
        </w:rPr>
        <w:t>taken into account</w:t>
      </w:r>
      <w:proofErr w:type="gramEnd"/>
      <w:r w:rsidR="00F50466" w:rsidRPr="00686E9D">
        <w:rPr>
          <w:strike/>
          <w:lang w:val="en-IE"/>
        </w:rPr>
        <w:t xml:space="preserve"> </w:t>
      </w:r>
      <w:r w:rsidR="002A5D11" w:rsidRPr="00686E9D">
        <w:rPr>
          <w:u w:val="double"/>
          <w:lang w:val="en-IE"/>
        </w:rPr>
        <w:t>considered</w:t>
      </w:r>
      <w:r w:rsidR="008A6BA7" w:rsidRPr="00686E9D">
        <w:rPr>
          <w:lang w:val="en-IE"/>
        </w:rPr>
        <w:t xml:space="preserve"> when interpreting serological test reactions.</w:t>
      </w:r>
    </w:p>
    <w:p w14:paraId="5BAFE9B2" w14:textId="70B9C55D" w:rsidR="00682ECF" w:rsidRPr="00686E9D" w:rsidRDefault="0030088B" w:rsidP="00893139">
      <w:pPr>
        <w:pStyle w:val="11"/>
        <w:rPr>
          <w:lang w:val="en-IE"/>
        </w:rPr>
      </w:pPr>
      <w:r w:rsidRPr="00686E9D">
        <w:rPr>
          <w:lang w:val="en-IE"/>
        </w:rPr>
        <w:t>4</w:t>
      </w:r>
      <w:r w:rsidR="00964ED2" w:rsidRPr="00686E9D">
        <w:rPr>
          <w:lang w:val="en-IE"/>
        </w:rPr>
        <w:t>.1.</w:t>
      </w:r>
      <w:r w:rsidR="00964ED2" w:rsidRPr="00686E9D">
        <w:rPr>
          <w:lang w:val="en-IE"/>
        </w:rPr>
        <w:tab/>
        <w:t>Virus neutralisation tests</w:t>
      </w:r>
    </w:p>
    <w:p w14:paraId="06A547E8" w14:textId="634156BB" w:rsidR="00682ECF" w:rsidRPr="00686E9D" w:rsidRDefault="00964ED2">
      <w:pPr>
        <w:pStyle w:val="11Para"/>
        <w:rPr>
          <w:lang w:val="en-IE"/>
        </w:rPr>
      </w:pPr>
      <w:r w:rsidRPr="00686E9D">
        <w:rPr>
          <w:lang w:val="en-IE"/>
        </w:rPr>
        <w:t xml:space="preserve">The virus neutralisation test (VNT) </w:t>
      </w:r>
      <w:r w:rsidRPr="00686E9D">
        <w:rPr>
          <w:strike/>
          <w:lang w:val="en-IE"/>
        </w:rPr>
        <w:t xml:space="preserve">(Kaku </w:t>
      </w:r>
      <w:r w:rsidRPr="00686E9D">
        <w:rPr>
          <w:i/>
          <w:strike/>
          <w:lang w:val="en-IE"/>
        </w:rPr>
        <w:t>et al</w:t>
      </w:r>
      <w:r w:rsidRPr="00686E9D">
        <w:rPr>
          <w:strike/>
          <w:lang w:val="en-IE"/>
        </w:rPr>
        <w:t xml:space="preserve">., 2009; </w:t>
      </w:r>
      <w:proofErr w:type="spellStart"/>
      <w:r w:rsidRPr="00686E9D">
        <w:rPr>
          <w:strike/>
          <w:lang w:val="en-IE"/>
        </w:rPr>
        <w:t>Tamin</w:t>
      </w:r>
      <w:proofErr w:type="spellEnd"/>
      <w:r w:rsidRPr="00686E9D">
        <w:rPr>
          <w:strike/>
          <w:lang w:val="en-IE"/>
        </w:rPr>
        <w:t xml:space="preserve"> </w:t>
      </w:r>
      <w:r w:rsidRPr="00686E9D">
        <w:rPr>
          <w:i/>
          <w:strike/>
          <w:lang w:val="en-IE"/>
        </w:rPr>
        <w:t>et al</w:t>
      </w:r>
      <w:r w:rsidRPr="00686E9D">
        <w:rPr>
          <w:strike/>
          <w:lang w:val="en-IE"/>
        </w:rPr>
        <w:t xml:space="preserve">., 2009) </w:t>
      </w:r>
      <w:r w:rsidRPr="00686E9D">
        <w:rPr>
          <w:lang w:val="en-IE"/>
        </w:rPr>
        <w:t xml:space="preserve">is accepted as the reference standard. </w:t>
      </w:r>
      <w:r w:rsidR="00946F50" w:rsidRPr="00686E9D">
        <w:rPr>
          <w:lang w:val="en-IE"/>
        </w:rPr>
        <w:t>T</w:t>
      </w:r>
      <w:r w:rsidRPr="00686E9D">
        <w:rPr>
          <w:lang w:val="en-IE"/>
        </w:rPr>
        <w:t xml:space="preserve">he </w:t>
      </w:r>
      <w:proofErr w:type="gramStart"/>
      <w:r w:rsidRPr="00686E9D">
        <w:rPr>
          <w:lang w:val="en-IE"/>
        </w:rPr>
        <w:t>most commonly used</w:t>
      </w:r>
      <w:proofErr w:type="gramEnd"/>
      <w:r w:rsidRPr="00686E9D">
        <w:rPr>
          <w:lang w:val="en-IE"/>
        </w:rPr>
        <w:t xml:space="preserve"> </w:t>
      </w:r>
      <w:r w:rsidR="00946F50" w:rsidRPr="00686E9D">
        <w:rPr>
          <w:lang w:val="en-IE"/>
        </w:rPr>
        <w:t xml:space="preserve">is the </w:t>
      </w:r>
      <w:proofErr w:type="spellStart"/>
      <w:r w:rsidRPr="00686E9D">
        <w:rPr>
          <w:lang w:val="en-IE"/>
        </w:rPr>
        <w:t>microtitre</w:t>
      </w:r>
      <w:proofErr w:type="spellEnd"/>
      <w:r w:rsidRPr="00686E9D">
        <w:rPr>
          <w:lang w:val="en-IE"/>
        </w:rPr>
        <w:t xml:space="preserve"> assay</w:t>
      </w:r>
      <w:r w:rsidR="00FF123D" w:rsidRPr="00686E9D">
        <w:rPr>
          <w:lang w:val="en-IE"/>
        </w:rPr>
        <w:t>,</w:t>
      </w:r>
      <w:r w:rsidR="009075C3" w:rsidRPr="00686E9D">
        <w:rPr>
          <w:lang w:val="en-IE"/>
        </w:rPr>
        <w:t xml:space="preserve"> </w:t>
      </w:r>
      <w:r w:rsidR="00946F50" w:rsidRPr="00686E9D">
        <w:rPr>
          <w:lang w:val="en-IE"/>
        </w:rPr>
        <w:t xml:space="preserve">which </w:t>
      </w:r>
      <w:r w:rsidR="00EB210B" w:rsidRPr="00686E9D">
        <w:rPr>
          <w:lang w:val="en-IE"/>
        </w:rPr>
        <w:t>must be performed under appropriate conditions of biological risk management.</w:t>
      </w:r>
      <w:r w:rsidRPr="00686E9D">
        <w:rPr>
          <w:lang w:val="en-IE"/>
        </w:rPr>
        <w:t xml:space="preserve"> </w:t>
      </w:r>
      <w:r w:rsidR="00EB210B" w:rsidRPr="00686E9D">
        <w:rPr>
          <w:lang w:val="en-IE"/>
        </w:rPr>
        <w:t>Test s</w:t>
      </w:r>
      <w:r w:rsidRPr="00686E9D">
        <w:rPr>
          <w:lang w:val="en-IE"/>
        </w:rPr>
        <w:t xml:space="preserve">era are incubated with </w:t>
      </w:r>
      <w:r w:rsidR="00EB210B" w:rsidRPr="00686E9D">
        <w:rPr>
          <w:lang w:val="en-IE"/>
        </w:rPr>
        <w:t xml:space="preserve">either </w:t>
      </w:r>
      <w:proofErr w:type="spellStart"/>
      <w:r w:rsidR="00EB210B" w:rsidRPr="00686E9D">
        <w:rPr>
          <w:lang w:val="en-IE"/>
        </w:rPr>
        <w:t>HeV</w:t>
      </w:r>
      <w:proofErr w:type="spellEnd"/>
      <w:r w:rsidR="00EB210B" w:rsidRPr="00686E9D">
        <w:rPr>
          <w:lang w:val="en-IE"/>
        </w:rPr>
        <w:t xml:space="preserve"> or </w:t>
      </w:r>
      <w:proofErr w:type="spellStart"/>
      <w:r w:rsidR="00EB210B" w:rsidRPr="00686E9D">
        <w:rPr>
          <w:lang w:val="en-IE"/>
        </w:rPr>
        <w:t>NiV</w:t>
      </w:r>
      <w:proofErr w:type="spellEnd"/>
      <w:r w:rsidR="00EB210B" w:rsidRPr="00686E9D">
        <w:rPr>
          <w:lang w:val="en-IE"/>
        </w:rPr>
        <w:t xml:space="preserve"> </w:t>
      </w:r>
      <w:r w:rsidRPr="00686E9D">
        <w:rPr>
          <w:lang w:val="en-IE"/>
        </w:rPr>
        <w:t xml:space="preserve">in the wells of 96-well </w:t>
      </w:r>
      <w:proofErr w:type="spellStart"/>
      <w:r w:rsidRPr="00686E9D">
        <w:rPr>
          <w:lang w:val="en-IE"/>
        </w:rPr>
        <w:t>microtitre</w:t>
      </w:r>
      <w:proofErr w:type="spellEnd"/>
      <w:r w:rsidRPr="00686E9D">
        <w:rPr>
          <w:lang w:val="en-IE"/>
        </w:rPr>
        <w:t xml:space="preserve"> plates prior to the addition of Vero cells. Sera are screened starting at a 1/2 dilution although this may lead to problems with serum-induced cytotoxicity. Where sample quality is poor or sample volumes are small, as may be the case with flying</w:t>
      </w:r>
      <w:r w:rsidR="00D12A45">
        <w:rPr>
          <w:lang w:val="en-IE"/>
        </w:rPr>
        <w:t>-</w:t>
      </w:r>
      <w:r w:rsidRPr="00686E9D">
        <w:rPr>
          <w:lang w:val="en-IE"/>
        </w:rPr>
        <w:t>fox or microbat sera, an initial dilution of 1/5 may be app</w:t>
      </w:r>
      <w:r w:rsidR="009075C3" w:rsidRPr="00686E9D">
        <w:rPr>
          <w:lang w:val="en-IE"/>
        </w:rPr>
        <w:t xml:space="preserve">ropriate. Cultures are read on </w:t>
      </w:r>
      <w:r w:rsidRPr="00686E9D">
        <w:rPr>
          <w:lang w:val="en-IE"/>
        </w:rPr>
        <w:t xml:space="preserve">day 3, and those sera that completely block development of CPE are designated as antibody positive. If cytotoxicity is a problem </w:t>
      </w:r>
      <w:r w:rsidR="00DF7F5C" w:rsidRPr="00686E9D">
        <w:rPr>
          <w:lang w:val="en-IE"/>
        </w:rPr>
        <w:t>an</w:t>
      </w:r>
      <w:r w:rsidRPr="00686E9D">
        <w:rPr>
          <w:lang w:val="en-IE"/>
        </w:rPr>
        <w:t xml:space="preserve"> immune plaque assay</w:t>
      </w:r>
      <w:r w:rsidR="003B55EC">
        <w:rPr>
          <w:lang w:val="en-IE"/>
        </w:rPr>
        <w:t xml:space="preserve"> </w:t>
      </w:r>
      <w:r w:rsidR="002C58C5" w:rsidRPr="00DF5340">
        <w:rPr>
          <w:u w:val="double"/>
          <w:lang w:val="en-IE"/>
        </w:rPr>
        <w:t>(</w:t>
      </w:r>
      <w:proofErr w:type="spellStart"/>
      <w:r w:rsidR="00175319" w:rsidRPr="00DF5340">
        <w:rPr>
          <w:u w:val="double"/>
          <w:lang w:val="en-IE"/>
        </w:rPr>
        <w:t>Crameri</w:t>
      </w:r>
      <w:proofErr w:type="spellEnd"/>
      <w:r w:rsidR="00175319" w:rsidRPr="00DF5340">
        <w:rPr>
          <w:u w:val="double"/>
          <w:lang w:val="en-IE"/>
        </w:rPr>
        <w:t xml:space="preserve"> </w:t>
      </w:r>
      <w:r w:rsidR="00175319" w:rsidRPr="00DF5340">
        <w:rPr>
          <w:i/>
          <w:iCs/>
          <w:u w:val="double"/>
          <w:lang w:val="en-IE"/>
        </w:rPr>
        <w:t>et al</w:t>
      </w:r>
      <w:r w:rsidR="00175319" w:rsidRPr="00DF5340">
        <w:rPr>
          <w:u w:val="double"/>
          <w:lang w:val="en-IE"/>
        </w:rPr>
        <w:t>., 2002</w:t>
      </w:r>
      <w:r w:rsidR="002C58C5" w:rsidRPr="00DF5340">
        <w:rPr>
          <w:u w:val="double"/>
          <w:lang w:val="en-IE"/>
        </w:rPr>
        <w:t>)</w:t>
      </w:r>
      <w:r w:rsidRPr="00686E9D">
        <w:rPr>
          <w:lang w:val="en-IE"/>
        </w:rPr>
        <w:t xml:space="preserve"> </w:t>
      </w:r>
      <w:r w:rsidR="00DF7F5C" w:rsidRPr="00686E9D">
        <w:rPr>
          <w:lang w:val="en-IE"/>
        </w:rPr>
        <w:t>approach would have</w:t>
      </w:r>
      <w:r w:rsidRPr="00686E9D">
        <w:rPr>
          <w:lang w:val="en-IE"/>
        </w:rPr>
        <w:t xml:space="preserve"> merit because the virus/serum mixtures are removed from the Vero cell monolayers after the adsorption period, thereby limiting their toxic effect. VNT results </w:t>
      </w:r>
      <w:r w:rsidR="00EB210B" w:rsidRPr="00686E9D">
        <w:rPr>
          <w:lang w:val="en-IE"/>
        </w:rPr>
        <w:t xml:space="preserve">are considered </w:t>
      </w:r>
      <w:r w:rsidRPr="00686E9D">
        <w:rPr>
          <w:lang w:val="en-IE"/>
        </w:rPr>
        <w:t>positive if virus neutrali</w:t>
      </w:r>
      <w:r w:rsidR="0061588E" w:rsidRPr="00686E9D">
        <w:rPr>
          <w:lang w:val="en-IE"/>
        </w:rPr>
        <w:t>s</w:t>
      </w:r>
      <w:r w:rsidRPr="00686E9D">
        <w:rPr>
          <w:lang w:val="en-IE"/>
        </w:rPr>
        <w:t xml:space="preserve">ation is </w:t>
      </w:r>
      <w:r w:rsidR="00946F50" w:rsidRPr="00686E9D">
        <w:rPr>
          <w:lang w:val="en-IE"/>
        </w:rPr>
        <w:t xml:space="preserve">observed at any of the </w:t>
      </w:r>
      <w:r w:rsidRPr="00686E9D">
        <w:rPr>
          <w:lang w:val="en-IE"/>
        </w:rPr>
        <w:t>dilutions</w:t>
      </w:r>
      <w:r w:rsidR="00946F50" w:rsidRPr="00686E9D">
        <w:rPr>
          <w:lang w:val="en-IE"/>
        </w:rPr>
        <w:t xml:space="preserve"> used in the test</w:t>
      </w:r>
      <w:r w:rsidRPr="00686E9D">
        <w:rPr>
          <w:lang w:val="en-IE"/>
        </w:rPr>
        <w:t>. If neutrali</w:t>
      </w:r>
      <w:r w:rsidR="009075C3" w:rsidRPr="00686E9D">
        <w:rPr>
          <w:lang w:val="en-IE"/>
        </w:rPr>
        <w:t>s</w:t>
      </w:r>
      <w:r w:rsidRPr="00686E9D">
        <w:rPr>
          <w:lang w:val="en-IE"/>
        </w:rPr>
        <w:t xml:space="preserve">ing antibodies </w:t>
      </w:r>
      <w:r w:rsidR="00EB210B" w:rsidRPr="00686E9D">
        <w:rPr>
          <w:lang w:val="en-IE"/>
        </w:rPr>
        <w:t xml:space="preserve">are </w:t>
      </w:r>
      <w:r w:rsidRPr="00686E9D">
        <w:rPr>
          <w:lang w:val="en-IE"/>
        </w:rPr>
        <w:t xml:space="preserve">present for both </w:t>
      </w:r>
      <w:proofErr w:type="spellStart"/>
      <w:r w:rsidRPr="00686E9D">
        <w:rPr>
          <w:lang w:val="en-IE"/>
        </w:rPr>
        <w:t>HeV</w:t>
      </w:r>
      <w:proofErr w:type="spellEnd"/>
      <w:r w:rsidRPr="00686E9D">
        <w:rPr>
          <w:lang w:val="en-IE"/>
        </w:rPr>
        <w:t xml:space="preserve"> and </w:t>
      </w:r>
      <w:proofErr w:type="spellStart"/>
      <w:r w:rsidRPr="00686E9D">
        <w:rPr>
          <w:lang w:val="en-IE"/>
        </w:rPr>
        <w:t>NiV</w:t>
      </w:r>
      <w:proofErr w:type="spellEnd"/>
      <w:r w:rsidRPr="00686E9D">
        <w:rPr>
          <w:lang w:val="en-IE"/>
        </w:rPr>
        <w:t xml:space="preserve">, the higher </w:t>
      </w:r>
      <w:r w:rsidR="009075C3" w:rsidRPr="00686E9D">
        <w:rPr>
          <w:lang w:val="en-IE"/>
        </w:rPr>
        <w:t>titre</w:t>
      </w:r>
      <w:r w:rsidRPr="00686E9D">
        <w:rPr>
          <w:lang w:val="en-IE"/>
        </w:rPr>
        <w:t xml:space="preserve"> &gt;</w:t>
      </w:r>
      <w:r w:rsidR="009075C3" w:rsidRPr="00686E9D">
        <w:rPr>
          <w:lang w:val="en-IE"/>
        </w:rPr>
        <w:t>four-</w:t>
      </w:r>
      <w:r w:rsidRPr="00686E9D">
        <w:rPr>
          <w:lang w:val="en-IE"/>
        </w:rPr>
        <w:t xml:space="preserve">fold </w:t>
      </w:r>
      <w:r w:rsidR="00EB210B" w:rsidRPr="00686E9D">
        <w:rPr>
          <w:lang w:val="en-IE"/>
        </w:rPr>
        <w:t xml:space="preserve">is </w:t>
      </w:r>
      <w:r w:rsidRPr="00686E9D">
        <w:rPr>
          <w:lang w:val="en-IE"/>
        </w:rPr>
        <w:t>considered the positive and if titres differed by &lt;</w:t>
      </w:r>
      <w:r w:rsidR="009075C3" w:rsidRPr="00686E9D">
        <w:rPr>
          <w:lang w:val="en-IE"/>
        </w:rPr>
        <w:t>four-</w:t>
      </w:r>
      <w:r w:rsidRPr="00686E9D">
        <w:rPr>
          <w:lang w:val="en-IE"/>
        </w:rPr>
        <w:t xml:space="preserve">fold </w:t>
      </w:r>
      <w:r w:rsidR="00EB210B" w:rsidRPr="00686E9D">
        <w:rPr>
          <w:lang w:val="en-IE"/>
        </w:rPr>
        <w:t>the serum</w:t>
      </w:r>
      <w:r w:rsidRPr="00686E9D">
        <w:rPr>
          <w:lang w:val="en-IE"/>
        </w:rPr>
        <w:t xml:space="preserve"> is considered positive for </w:t>
      </w:r>
      <w:r w:rsidR="00EB210B" w:rsidRPr="00686E9D">
        <w:rPr>
          <w:lang w:val="en-IE"/>
        </w:rPr>
        <w:t xml:space="preserve">an </w:t>
      </w:r>
      <w:r w:rsidRPr="00686E9D">
        <w:rPr>
          <w:lang w:val="en-IE"/>
        </w:rPr>
        <w:t>u</w:t>
      </w:r>
      <w:r w:rsidR="00EB210B" w:rsidRPr="00686E9D">
        <w:rPr>
          <w:lang w:val="en-IE"/>
        </w:rPr>
        <w:t>n</w:t>
      </w:r>
      <w:r w:rsidRPr="00686E9D">
        <w:rPr>
          <w:lang w:val="en-IE"/>
        </w:rPr>
        <w:t xml:space="preserve">specified </w:t>
      </w:r>
      <w:proofErr w:type="spellStart"/>
      <w:r w:rsidRPr="00686E9D">
        <w:rPr>
          <w:lang w:val="en-IE"/>
        </w:rPr>
        <w:t>henipavirus</w:t>
      </w:r>
      <w:proofErr w:type="spellEnd"/>
      <w:r w:rsidRPr="00686E9D">
        <w:rPr>
          <w:lang w:val="en-IE"/>
        </w:rPr>
        <w:t>.</w:t>
      </w:r>
      <w:r w:rsidR="005F64C2" w:rsidRPr="00686E9D">
        <w:rPr>
          <w:lang w:val="en-IE"/>
        </w:rPr>
        <w:t xml:space="preserve"> </w:t>
      </w:r>
      <w:r w:rsidR="005F64C2" w:rsidRPr="00686E9D">
        <w:rPr>
          <w:u w:val="double"/>
          <w:lang w:val="en-IE"/>
        </w:rPr>
        <w:t>For laboratories that do</w:t>
      </w:r>
      <w:r w:rsidR="00FF123D" w:rsidRPr="00686E9D">
        <w:rPr>
          <w:u w:val="double"/>
          <w:lang w:val="en-IE"/>
        </w:rPr>
        <w:t xml:space="preserve"> </w:t>
      </w:r>
      <w:r w:rsidR="005F64C2" w:rsidRPr="00686E9D">
        <w:rPr>
          <w:u w:val="double"/>
          <w:lang w:val="en-IE"/>
        </w:rPr>
        <w:t>n</w:t>
      </w:r>
      <w:r w:rsidR="00FF123D" w:rsidRPr="00686E9D">
        <w:rPr>
          <w:u w:val="double"/>
          <w:lang w:val="en-IE"/>
        </w:rPr>
        <w:t>o</w:t>
      </w:r>
      <w:r w:rsidR="005F64C2" w:rsidRPr="00686E9D">
        <w:rPr>
          <w:u w:val="double"/>
          <w:lang w:val="en-IE"/>
        </w:rPr>
        <w:t xml:space="preserve">t have </w:t>
      </w:r>
      <w:r w:rsidR="00961CB8" w:rsidRPr="00686E9D">
        <w:rPr>
          <w:u w:val="double"/>
          <w:lang w:val="en-IE"/>
        </w:rPr>
        <w:t xml:space="preserve">appropriate </w:t>
      </w:r>
      <w:proofErr w:type="spellStart"/>
      <w:r w:rsidR="00961CB8" w:rsidRPr="00686E9D">
        <w:rPr>
          <w:u w:val="double"/>
          <w:lang w:val="en-IE"/>
        </w:rPr>
        <w:t>biosecure</w:t>
      </w:r>
      <w:proofErr w:type="spellEnd"/>
      <w:r w:rsidR="00961CB8" w:rsidRPr="00686E9D">
        <w:rPr>
          <w:u w:val="double"/>
          <w:lang w:val="en-IE"/>
        </w:rPr>
        <w:t xml:space="preserve"> facilities</w:t>
      </w:r>
      <w:r w:rsidR="005F64C2" w:rsidRPr="00686E9D">
        <w:rPr>
          <w:u w:val="double"/>
          <w:lang w:val="en-IE"/>
        </w:rPr>
        <w:t>, a neutrali</w:t>
      </w:r>
      <w:r w:rsidR="00FF123D" w:rsidRPr="00686E9D">
        <w:rPr>
          <w:u w:val="double"/>
          <w:lang w:val="en-IE"/>
        </w:rPr>
        <w:t>s</w:t>
      </w:r>
      <w:r w:rsidR="005F64C2" w:rsidRPr="00686E9D">
        <w:rPr>
          <w:u w:val="double"/>
          <w:lang w:val="en-IE"/>
        </w:rPr>
        <w:t xml:space="preserve">ation test using a </w:t>
      </w:r>
      <w:proofErr w:type="spellStart"/>
      <w:r w:rsidR="005F64C2" w:rsidRPr="00686E9D">
        <w:rPr>
          <w:u w:val="double"/>
          <w:lang w:val="en-IE"/>
        </w:rPr>
        <w:t>pseudotyped</w:t>
      </w:r>
      <w:proofErr w:type="spellEnd"/>
      <w:r w:rsidR="005F64C2" w:rsidRPr="00686E9D">
        <w:rPr>
          <w:u w:val="double"/>
          <w:lang w:val="en-IE"/>
        </w:rPr>
        <w:t xml:space="preserve"> vesicular stomatitis virus expressing green fluorescent protein has been described (Kaku </w:t>
      </w:r>
      <w:r w:rsidR="005F64C2" w:rsidRPr="00686E9D">
        <w:rPr>
          <w:i/>
          <w:iCs/>
          <w:u w:val="double"/>
          <w:lang w:val="en-IE"/>
        </w:rPr>
        <w:t>et al</w:t>
      </w:r>
      <w:r w:rsidR="005F64C2" w:rsidRPr="00686E9D">
        <w:rPr>
          <w:u w:val="double"/>
          <w:lang w:val="en-IE"/>
        </w:rPr>
        <w:t>., 2009).</w:t>
      </w:r>
    </w:p>
    <w:p w14:paraId="0DC43486" w14:textId="123BCFB4" w:rsidR="00682ECF" w:rsidRPr="00686E9D" w:rsidRDefault="0030088B">
      <w:pPr>
        <w:pStyle w:val="11"/>
        <w:rPr>
          <w:lang w:val="en-IE"/>
        </w:rPr>
      </w:pPr>
      <w:r w:rsidRPr="00686E9D">
        <w:rPr>
          <w:lang w:val="en-IE"/>
        </w:rPr>
        <w:t>4</w:t>
      </w:r>
      <w:r w:rsidR="00964ED2" w:rsidRPr="00686E9D">
        <w:rPr>
          <w:lang w:val="en-IE"/>
        </w:rPr>
        <w:t>.2.</w:t>
      </w:r>
      <w:r w:rsidR="00964ED2" w:rsidRPr="00686E9D">
        <w:rPr>
          <w:lang w:val="en-IE"/>
        </w:rPr>
        <w:tab/>
      </w:r>
      <w:bookmarkStart w:id="12" w:name="_Hlk95814424"/>
      <w:r w:rsidR="00964ED2" w:rsidRPr="00686E9D">
        <w:rPr>
          <w:lang w:val="en-IE"/>
        </w:rPr>
        <w:t>Enzyme-linked immunosorbent assay</w:t>
      </w:r>
      <w:bookmarkEnd w:id="12"/>
    </w:p>
    <w:p w14:paraId="3AA7597E" w14:textId="0CC7404D" w:rsidR="00A53826" w:rsidRPr="00686E9D" w:rsidRDefault="00964ED2" w:rsidP="00DF5340">
      <w:pPr>
        <w:pStyle w:val="11Para"/>
        <w:rPr>
          <w:lang w:val="en-IE"/>
        </w:rPr>
      </w:pPr>
      <w:proofErr w:type="spellStart"/>
      <w:r w:rsidRPr="00686E9D">
        <w:rPr>
          <w:lang w:val="en-IE"/>
        </w:rPr>
        <w:t>Henipavirus</w:t>
      </w:r>
      <w:proofErr w:type="spellEnd"/>
      <w:r w:rsidRPr="00686E9D">
        <w:rPr>
          <w:lang w:val="en-IE"/>
        </w:rPr>
        <w:t xml:space="preserve"> antigens derived from tissue culture for use in the enzyme-linked immunosorbent assay (ELISA) are irradiated with 6 </w:t>
      </w:r>
      <w:proofErr w:type="spellStart"/>
      <w:r w:rsidR="008671C5" w:rsidRPr="00686E9D">
        <w:rPr>
          <w:lang w:val="en-IE"/>
        </w:rPr>
        <w:t>kilo</w:t>
      </w:r>
      <w:r w:rsidR="008671C5" w:rsidRPr="00686E9D">
        <w:rPr>
          <w:u w:val="double"/>
          <w:lang w:val="en-IE"/>
        </w:rPr>
        <w:t>grays</w:t>
      </w:r>
      <w:proofErr w:type="spellEnd"/>
      <w:r w:rsidR="008671C5" w:rsidRPr="00686E9D">
        <w:rPr>
          <w:strike/>
          <w:lang w:val="en-IE"/>
        </w:rPr>
        <w:t xml:space="preserve"> Greys</w:t>
      </w:r>
      <w:r w:rsidRPr="00686E9D">
        <w:rPr>
          <w:lang w:val="en-IE"/>
        </w:rPr>
        <w:t xml:space="preserve"> prior to use, a treatment that has negligible effect on antigen titre. In the indirect ELISA developed in response to the initial outbreak at Hendra in 1994, antigen was derived from </w:t>
      </w:r>
      <w:proofErr w:type="spellStart"/>
      <w:r w:rsidRPr="00686E9D">
        <w:rPr>
          <w:lang w:val="en-IE"/>
        </w:rPr>
        <w:t>HeV</w:t>
      </w:r>
      <w:proofErr w:type="spellEnd"/>
      <w:r w:rsidRPr="00686E9D">
        <w:rPr>
          <w:lang w:val="en-IE"/>
        </w:rPr>
        <w:t xml:space="preserve">-infected cells subjected to several cycles of freezing and thawing and treatment with 0.1% (w/v) sodium dodecyl sulphate. </w:t>
      </w:r>
      <w:r w:rsidR="00A53826" w:rsidRPr="00686E9D">
        <w:rPr>
          <w:u w:val="double"/>
          <w:lang w:val="en-IE"/>
        </w:rPr>
        <w:t>Now</w:t>
      </w:r>
      <w:r w:rsidR="00A53826" w:rsidRPr="00686E9D">
        <w:rPr>
          <w:lang w:val="en-IE"/>
        </w:rPr>
        <w:t xml:space="preserve"> </w:t>
      </w:r>
      <w:r w:rsidRPr="00686E9D">
        <w:rPr>
          <w:strike/>
          <w:lang w:val="en-IE"/>
        </w:rPr>
        <w:t xml:space="preserve">More recently, the use of </w:t>
      </w:r>
      <w:r w:rsidRPr="00686E9D">
        <w:rPr>
          <w:lang w:val="en-IE"/>
        </w:rPr>
        <w:t>a recombinant expressed soluble form of the Hendra G protein</w:t>
      </w:r>
      <w:r w:rsidR="00A53826" w:rsidRPr="00686E9D">
        <w:rPr>
          <w:lang w:val="en-IE"/>
        </w:rPr>
        <w:t xml:space="preserve"> </w:t>
      </w:r>
      <w:r w:rsidR="00A53826" w:rsidRPr="00686E9D">
        <w:rPr>
          <w:u w:val="double"/>
          <w:lang w:val="en-IE"/>
        </w:rPr>
        <w:t>(</w:t>
      </w:r>
      <w:proofErr w:type="spellStart"/>
      <w:r w:rsidR="00A53826" w:rsidRPr="00686E9D">
        <w:rPr>
          <w:u w:val="double"/>
          <w:lang w:val="en-IE"/>
        </w:rPr>
        <w:t>HeV-sG</w:t>
      </w:r>
      <w:proofErr w:type="spellEnd"/>
      <w:r w:rsidR="00A53826" w:rsidRPr="00686E9D">
        <w:rPr>
          <w:u w:val="double"/>
          <w:lang w:val="en-IE"/>
        </w:rPr>
        <w:t>)</w:t>
      </w:r>
      <w:r w:rsidRPr="00686E9D">
        <w:rPr>
          <w:lang w:val="en-IE"/>
        </w:rPr>
        <w:t xml:space="preserve"> (</w:t>
      </w:r>
      <w:proofErr w:type="spellStart"/>
      <w:r w:rsidRPr="00686E9D">
        <w:rPr>
          <w:lang w:val="en-IE"/>
        </w:rPr>
        <w:t>Bossart</w:t>
      </w:r>
      <w:proofErr w:type="spellEnd"/>
      <w:r w:rsidRPr="00686E9D">
        <w:rPr>
          <w:lang w:val="en-IE"/>
        </w:rPr>
        <w:t xml:space="preserve"> </w:t>
      </w:r>
      <w:r w:rsidRPr="00686E9D">
        <w:rPr>
          <w:i/>
          <w:lang w:val="en-IE"/>
        </w:rPr>
        <w:t>et al</w:t>
      </w:r>
      <w:r w:rsidRPr="00686E9D">
        <w:rPr>
          <w:lang w:val="en-IE"/>
        </w:rPr>
        <w:t xml:space="preserve">., 2005) </w:t>
      </w:r>
      <w:r w:rsidR="00A53826" w:rsidRPr="00686E9D">
        <w:rPr>
          <w:u w:val="double"/>
          <w:lang w:val="en-IE"/>
        </w:rPr>
        <w:t>is the preferred antigen and its use has enabled</w:t>
      </w:r>
      <w:r w:rsidR="00A53826" w:rsidRPr="00686E9D">
        <w:rPr>
          <w:lang w:val="en-IE"/>
        </w:rPr>
        <w:t xml:space="preserve"> </w:t>
      </w:r>
      <w:r w:rsidRPr="00686E9D">
        <w:rPr>
          <w:strike/>
          <w:lang w:val="en-IE"/>
        </w:rPr>
        <w:t xml:space="preserve">has been applied for </w:t>
      </w:r>
      <w:r w:rsidRPr="00686E9D">
        <w:rPr>
          <w:lang w:val="en-IE"/>
        </w:rPr>
        <w:t>improvements in Hendra</w:t>
      </w:r>
      <w:r w:rsidR="00A53826" w:rsidRPr="00686E9D">
        <w:rPr>
          <w:lang w:val="en-IE"/>
        </w:rPr>
        <w:t xml:space="preserve"> </w:t>
      </w:r>
      <w:r w:rsidR="00A53826" w:rsidRPr="00686E9D">
        <w:rPr>
          <w:u w:val="double"/>
          <w:lang w:val="en-IE"/>
        </w:rPr>
        <w:t>virus</w:t>
      </w:r>
      <w:r w:rsidRPr="00686E9D">
        <w:rPr>
          <w:lang w:val="en-IE"/>
        </w:rPr>
        <w:t xml:space="preserve"> immunoassays </w:t>
      </w:r>
      <w:r w:rsidRPr="00686E9D">
        <w:rPr>
          <w:strike/>
          <w:lang w:val="en-IE"/>
        </w:rPr>
        <w:t xml:space="preserve">(McNabb </w:t>
      </w:r>
      <w:r w:rsidRPr="00686E9D">
        <w:rPr>
          <w:i/>
          <w:strike/>
          <w:lang w:val="en-IE"/>
        </w:rPr>
        <w:t>et al</w:t>
      </w:r>
      <w:r w:rsidRPr="00686E9D">
        <w:rPr>
          <w:strike/>
          <w:lang w:val="en-IE"/>
        </w:rPr>
        <w:t>., 2014)</w:t>
      </w:r>
      <w:r w:rsidR="008671C5" w:rsidRPr="00686E9D">
        <w:rPr>
          <w:strike/>
          <w:lang w:val="en-IE"/>
        </w:rPr>
        <w:t xml:space="preserve"> </w:t>
      </w:r>
      <w:r w:rsidR="00A53826" w:rsidRPr="00686E9D">
        <w:rPr>
          <w:u w:val="double"/>
          <w:lang w:val="en-IE"/>
        </w:rPr>
        <w:t xml:space="preserve">including the development of a blocking ELISA for multiple species (horses, cats and dogs) (Di </w:t>
      </w:r>
      <w:proofErr w:type="spellStart"/>
      <w:r w:rsidR="00A53826" w:rsidRPr="00686E9D">
        <w:rPr>
          <w:u w:val="double"/>
          <w:lang w:val="en-IE"/>
        </w:rPr>
        <w:t>Rubbo</w:t>
      </w:r>
      <w:proofErr w:type="spellEnd"/>
      <w:r w:rsidR="00A53826" w:rsidRPr="00686E9D">
        <w:rPr>
          <w:u w:val="double"/>
          <w:lang w:val="en-IE"/>
        </w:rPr>
        <w:t xml:space="preserve"> </w:t>
      </w:r>
      <w:r w:rsidR="00A53826" w:rsidRPr="00686E9D">
        <w:rPr>
          <w:i/>
          <w:iCs/>
          <w:u w:val="double"/>
          <w:lang w:val="en-IE"/>
        </w:rPr>
        <w:t>et al.,</w:t>
      </w:r>
      <w:r w:rsidR="00A53826" w:rsidRPr="00686E9D">
        <w:rPr>
          <w:u w:val="double"/>
          <w:lang w:val="en-IE"/>
        </w:rPr>
        <w:t xml:space="preserve"> 2019)</w:t>
      </w:r>
      <w:r w:rsidR="00A53826" w:rsidRPr="00686E9D">
        <w:rPr>
          <w:lang w:val="en-IE"/>
        </w:rPr>
        <w:t>.</w:t>
      </w:r>
      <w:r w:rsidR="00DF5340">
        <w:rPr>
          <w:lang w:val="en-IE"/>
        </w:rPr>
        <w:t xml:space="preserve"> </w:t>
      </w:r>
      <w:r w:rsidR="00175319" w:rsidRPr="00DF5340">
        <w:rPr>
          <w:u w:val="double"/>
          <w:lang w:val="en-IE"/>
        </w:rPr>
        <w:t>An IgM</w:t>
      </w:r>
      <w:r w:rsidR="00CD3810" w:rsidRPr="00DF5340">
        <w:rPr>
          <w:u w:val="double"/>
          <w:lang w:val="en-IE"/>
        </w:rPr>
        <w:t xml:space="preserve"> antibody capture (MAC)</w:t>
      </w:r>
      <w:r w:rsidR="00175319" w:rsidRPr="00DF5340">
        <w:rPr>
          <w:u w:val="double"/>
          <w:lang w:val="en-IE"/>
        </w:rPr>
        <w:t xml:space="preserve"> ELISA for the detection of IgM </w:t>
      </w:r>
      <w:proofErr w:type="spellStart"/>
      <w:r w:rsidR="00175319" w:rsidRPr="00DF5340">
        <w:rPr>
          <w:u w:val="double"/>
          <w:lang w:val="en-IE"/>
        </w:rPr>
        <w:t>HeV</w:t>
      </w:r>
      <w:proofErr w:type="spellEnd"/>
      <w:r w:rsidR="00175319" w:rsidRPr="00DF5340">
        <w:rPr>
          <w:u w:val="double"/>
          <w:lang w:val="en-IE"/>
        </w:rPr>
        <w:t xml:space="preserve"> antibodies for use in horses has been recently described (McNabb </w:t>
      </w:r>
      <w:r w:rsidR="00175319" w:rsidRPr="00DF5340">
        <w:rPr>
          <w:i/>
          <w:iCs/>
          <w:u w:val="double"/>
          <w:lang w:val="en-IE"/>
        </w:rPr>
        <w:t>et al</w:t>
      </w:r>
      <w:r w:rsidR="00175319" w:rsidRPr="00DF5340">
        <w:rPr>
          <w:u w:val="double"/>
          <w:lang w:val="en-IE"/>
        </w:rPr>
        <w:t>., 2021).</w:t>
      </w:r>
      <w:r w:rsidR="00CD3810" w:rsidRPr="00DF5340">
        <w:rPr>
          <w:u w:val="double"/>
          <w:lang w:val="en-IE"/>
        </w:rPr>
        <w:t xml:space="preserve"> The </w:t>
      </w:r>
      <w:proofErr w:type="spellStart"/>
      <w:r w:rsidR="00CD3810" w:rsidRPr="00DF5340">
        <w:rPr>
          <w:u w:val="double"/>
          <w:lang w:val="en-IE"/>
        </w:rPr>
        <w:t>HeV</w:t>
      </w:r>
      <w:proofErr w:type="spellEnd"/>
      <w:r w:rsidR="00CD3810" w:rsidRPr="00DF5340">
        <w:rPr>
          <w:u w:val="double"/>
          <w:lang w:val="en-IE"/>
        </w:rPr>
        <w:t xml:space="preserve"> IgM MAC ELISA is intended to supplement other molecular and serology test results, with selective use, and is the only serology test which can provide an indication of recent infection.</w:t>
      </w:r>
    </w:p>
    <w:p w14:paraId="4AB199F8" w14:textId="47F365C7" w:rsidR="00682ECF" w:rsidRPr="00686E9D" w:rsidRDefault="00964ED2">
      <w:pPr>
        <w:pStyle w:val="11Para"/>
        <w:rPr>
          <w:lang w:val="en-IE"/>
        </w:rPr>
      </w:pPr>
      <w:r w:rsidRPr="00686E9D">
        <w:rPr>
          <w:lang w:val="en-IE"/>
        </w:rPr>
        <w:t xml:space="preserve">In the national swine surveillance programme in Malaysia in 1999 </w:t>
      </w:r>
      <w:r w:rsidRPr="00686E9D">
        <w:rPr>
          <w:strike/>
          <w:lang w:val="en-IE"/>
        </w:rPr>
        <w:t xml:space="preserve">(Daniels </w:t>
      </w:r>
      <w:r w:rsidRPr="00686E9D">
        <w:rPr>
          <w:i/>
          <w:strike/>
          <w:lang w:val="en-IE"/>
        </w:rPr>
        <w:t>et al</w:t>
      </w:r>
      <w:r w:rsidRPr="00686E9D">
        <w:rPr>
          <w:strike/>
          <w:lang w:val="en-IE"/>
        </w:rPr>
        <w:t xml:space="preserve">., 2000) </w:t>
      </w:r>
      <w:r w:rsidRPr="00686E9D">
        <w:rPr>
          <w:lang w:val="en-IE"/>
        </w:rPr>
        <w:t xml:space="preserve">an indirect ELISA format was used in which antigen was derived by non-ionic detergent treatment of </w:t>
      </w:r>
      <w:proofErr w:type="spellStart"/>
      <w:r w:rsidRPr="00686E9D">
        <w:rPr>
          <w:lang w:val="en-IE"/>
        </w:rPr>
        <w:t>NiV</w:t>
      </w:r>
      <w:proofErr w:type="spellEnd"/>
      <w:r w:rsidRPr="00686E9D">
        <w:rPr>
          <w:lang w:val="en-IE"/>
        </w:rPr>
        <w:t xml:space="preserve">-infected cells. Subsequently, to control for high levels of nonspecific binding activity in some porcine antisera, a modified ELISA was developed based on the relative reactivity of sera with </w:t>
      </w:r>
      <w:proofErr w:type="spellStart"/>
      <w:r w:rsidRPr="00686E9D">
        <w:rPr>
          <w:lang w:val="en-IE"/>
        </w:rPr>
        <w:t>NiV</w:t>
      </w:r>
      <w:proofErr w:type="spellEnd"/>
      <w:r w:rsidRPr="00686E9D">
        <w:rPr>
          <w:lang w:val="en-IE"/>
        </w:rPr>
        <w:t xml:space="preserve"> antigen and a control antigen derived from uninfected Vero cells. </w:t>
      </w:r>
      <w:r w:rsidRPr="00686E9D">
        <w:rPr>
          <w:strike/>
          <w:lang w:val="en-IE"/>
        </w:rPr>
        <w:t xml:space="preserve">At the </w:t>
      </w:r>
      <w:proofErr w:type="spellStart"/>
      <w:r w:rsidRPr="00686E9D">
        <w:rPr>
          <w:strike/>
          <w:lang w:val="en-IE"/>
        </w:rPr>
        <w:t>Centers</w:t>
      </w:r>
      <w:proofErr w:type="spellEnd"/>
      <w:r w:rsidRPr="00686E9D">
        <w:rPr>
          <w:strike/>
          <w:lang w:val="en-IE"/>
        </w:rPr>
        <w:t xml:space="preserve"> for Disease Control (CDC), Atlanta, USA, the approach has been to not only have an indirect ELISA for detection of IgG but also to use a capture ELISA for detection of IgM. </w:t>
      </w:r>
      <w:r w:rsidRPr="00686E9D">
        <w:rPr>
          <w:lang w:val="en-IE"/>
        </w:rPr>
        <w:t xml:space="preserve">For </w:t>
      </w:r>
      <w:proofErr w:type="spellStart"/>
      <w:r w:rsidRPr="00686E9D">
        <w:rPr>
          <w:lang w:val="en-IE"/>
        </w:rPr>
        <w:t>NiV</w:t>
      </w:r>
      <w:proofErr w:type="spellEnd"/>
      <w:r w:rsidRPr="00686E9D">
        <w:rPr>
          <w:lang w:val="en-IE"/>
        </w:rPr>
        <w:t>, an ELISA using a recombinant nucleocapsid antigen has also b</w:t>
      </w:r>
      <w:r w:rsidR="001F6218" w:rsidRPr="00686E9D">
        <w:rPr>
          <w:lang w:val="en-IE"/>
        </w:rPr>
        <w:t>e</w:t>
      </w:r>
      <w:r w:rsidRPr="00686E9D">
        <w:rPr>
          <w:lang w:val="en-IE"/>
        </w:rPr>
        <w:t xml:space="preserve">en described (Yu </w:t>
      </w:r>
      <w:r w:rsidRPr="00686E9D">
        <w:rPr>
          <w:i/>
          <w:lang w:val="en-IE"/>
        </w:rPr>
        <w:t>et al</w:t>
      </w:r>
      <w:r w:rsidRPr="00686E9D">
        <w:rPr>
          <w:lang w:val="en-IE"/>
        </w:rPr>
        <w:t xml:space="preserve">., 2006), which is </w:t>
      </w:r>
      <w:r w:rsidRPr="00686E9D">
        <w:rPr>
          <w:strike/>
          <w:lang w:val="en-IE"/>
        </w:rPr>
        <w:t xml:space="preserve">also </w:t>
      </w:r>
      <w:r w:rsidRPr="00686E9D">
        <w:rPr>
          <w:lang w:val="en-IE"/>
        </w:rPr>
        <w:t xml:space="preserve">configured to detect either IgG or IgM. </w:t>
      </w:r>
    </w:p>
    <w:p w14:paraId="1A6C92DE" w14:textId="3A64432D" w:rsidR="00682ECF" w:rsidRPr="00686E9D" w:rsidRDefault="00964ED2">
      <w:pPr>
        <w:pStyle w:val="11Para"/>
        <w:rPr>
          <w:lang w:val="en-IE"/>
        </w:rPr>
      </w:pPr>
      <w:r w:rsidRPr="00686E9D">
        <w:rPr>
          <w:strike/>
          <w:lang w:val="en-IE"/>
        </w:rPr>
        <w:t xml:space="preserve">The specificity of the indirect </w:t>
      </w:r>
      <w:proofErr w:type="spellStart"/>
      <w:r w:rsidRPr="00686E9D">
        <w:rPr>
          <w:strike/>
          <w:lang w:val="en-IE"/>
        </w:rPr>
        <w:t>NiV</w:t>
      </w:r>
      <w:proofErr w:type="spellEnd"/>
      <w:r w:rsidRPr="00686E9D">
        <w:rPr>
          <w:strike/>
          <w:lang w:val="en-IE"/>
        </w:rPr>
        <w:t xml:space="preserve"> ELISA (98.4%) (Ong </w:t>
      </w:r>
      <w:r w:rsidRPr="00686E9D">
        <w:rPr>
          <w:i/>
          <w:strike/>
          <w:lang w:val="en-IE"/>
        </w:rPr>
        <w:t>et al</w:t>
      </w:r>
      <w:r w:rsidRPr="00686E9D">
        <w:rPr>
          <w:strike/>
          <w:lang w:val="en-IE"/>
        </w:rPr>
        <w:t xml:space="preserve">., 2000) means that in surveillance programmes the test will yield false positives. This may not be a significant problem in the face of a </w:t>
      </w:r>
      <w:proofErr w:type="spellStart"/>
      <w:r w:rsidRPr="00686E9D">
        <w:rPr>
          <w:strike/>
          <w:lang w:val="en-IE"/>
        </w:rPr>
        <w:t>NiV</w:t>
      </w:r>
      <w:proofErr w:type="spellEnd"/>
      <w:r w:rsidRPr="00686E9D">
        <w:rPr>
          <w:strike/>
          <w:lang w:val="en-IE"/>
        </w:rPr>
        <w:t xml:space="preserve"> outbreak where a high proportion of pigs are </w:t>
      </w:r>
      <w:proofErr w:type="gramStart"/>
      <w:r w:rsidRPr="00686E9D">
        <w:rPr>
          <w:strike/>
          <w:lang w:val="en-IE"/>
        </w:rPr>
        <w:t>infected</w:t>
      </w:r>
      <w:proofErr w:type="gramEnd"/>
      <w:r w:rsidRPr="00686E9D">
        <w:rPr>
          <w:strike/>
          <w:lang w:val="en-IE"/>
        </w:rPr>
        <w:t xml:space="preserve"> and the purpose of the surveillance is to detect infected farms. However, this level of test specificity creates a problem in non</w:t>
      </w:r>
      <w:r w:rsidR="00686CD7" w:rsidRPr="00686E9D">
        <w:rPr>
          <w:strike/>
          <w:lang w:val="en-IE"/>
        </w:rPr>
        <w:t>-</w:t>
      </w:r>
      <w:r w:rsidRPr="00686E9D">
        <w:rPr>
          <w:strike/>
          <w:lang w:val="en-IE"/>
        </w:rPr>
        <w:t xml:space="preserve">outbreak </w:t>
      </w:r>
      <w:r w:rsidR="00C87987" w:rsidRPr="00686E9D">
        <w:rPr>
          <w:strike/>
          <w:lang w:val="en-IE"/>
        </w:rPr>
        <w:t xml:space="preserve">specimens </w:t>
      </w:r>
      <w:r w:rsidRPr="00686E9D">
        <w:rPr>
          <w:strike/>
          <w:lang w:val="en-IE"/>
        </w:rPr>
        <w:t xml:space="preserve">or if the number of samples to be tested is limited. If a positive ELISA result was indicative of a bona fide infection, failure to respond may lead to virus spread and human fatalities. In contrast, initiating control measures in response to a false positive ELISA result would be wasteful of resources (Daniels </w:t>
      </w:r>
      <w:r w:rsidRPr="00686E9D">
        <w:rPr>
          <w:i/>
          <w:strike/>
          <w:lang w:val="en-IE"/>
        </w:rPr>
        <w:t>et al.,</w:t>
      </w:r>
      <w:r w:rsidRPr="00686E9D">
        <w:rPr>
          <w:strike/>
          <w:lang w:val="en-IE"/>
        </w:rPr>
        <w:t xml:space="preserve"> 2001). </w:t>
      </w:r>
      <w:r w:rsidRPr="00686E9D">
        <w:rPr>
          <w:lang w:val="en-IE"/>
        </w:rPr>
        <w:t>The current approach is to test all ELISA reactive sera by VNT, with sera reacting in the VNT considered to be positive. Confirmatory VNT should be done under</w:t>
      </w:r>
      <w:r w:rsidR="00342F90" w:rsidRPr="00686E9D">
        <w:rPr>
          <w:lang w:val="en-IE"/>
        </w:rPr>
        <w:t xml:space="preserve"> </w:t>
      </w:r>
      <w:r w:rsidRPr="00686E9D">
        <w:rPr>
          <w:lang w:val="en-IE"/>
        </w:rPr>
        <w:t xml:space="preserve">conditions </w:t>
      </w:r>
      <w:r w:rsidR="00021214" w:rsidRPr="00686E9D">
        <w:rPr>
          <w:lang w:val="en-IE"/>
        </w:rPr>
        <w:t xml:space="preserve">where the risks of working with live virus are adequately managed </w:t>
      </w:r>
      <w:r w:rsidRPr="00686E9D">
        <w:rPr>
          <w:lang w:val="en-IE"/>
        </w:rPr>
        <w:t>and this may entail sending the samples to an internationally recognised laboratory</w:t>
      </w:r>
      <w:r w:rsidR="00021214" w:rsidRPr="00686E9D">
        <w:rPr>
          <w:lang w:val="en-IE"/>
        </w:rPr>
        <w:t xml:space="preserve"> with established procedures for such work</w:t>
      </w:r>
      <w:r w:rsidRPr="00686E9D">
        <w:rPr>
          <w:lang w:val="en-IE"/>
        </w:rPr>
        <w:t>.</w:t>
      </w:r>
    </w:p>
    <w:p w14:paraId="230A9262" w14:textId="0DFBE243" w:rsidR="00682ECF" w:rsidRPr="00686E9D" w:rsidRDefault="0030088B">
      <w:pPr>
        <w:pStyle w:val="111"/>
        <w:rPr>
          <w:lang w:val="en-IE"/>
        </w:rPr>
      </w:pPr>
      <w:r w:rsidRPr="00686E9D">
        <w:rPr>
          <w:lang w:val="en-IE"/>
        </w:rPr>
        <w:t>4</w:t>
      </w:r>
      <w:r w:rsidR="00964ED2" w:rsidRPr="00686E9D">
        <w:rPr>
          <w:lang w:val="en-IE"/>
        </w:rPr>
        <w:t>.2.1.</w:t>
      </w:r>
      <w:r w:rsidR="00964ED2" w:rsidRPr="00686E9D">
        <w:rPr>
          <w:lang w:val="en-IE"/>
        </w:rPr>
        <w:tab/>
      </w:r>
      <w:r w:rsidR="00284D2F" w:rsidRPr="00686E9D">
        <w:rPr>
          <w:u w:val="double"/>
          <w:lang w:val="en-IE"/>
        </w:rPr>
        <w:t xml:space="preserve">Hendra </w:t>
      </w:r>
      <w:proofErr w:type="spellStart"/>
      <w:r w:rsidR="00284D2F" w:rsidRPr="00686E9D">
        <w:rPr>
          <w:u w:val="double"/>
          <w:lang w:val="en-IE"/>
        </w:rPr>
        <w:t>sG</w:t>
      </w:r>
      <w:proofErr w:type="spellEnd"/>
      <w:r w:rsidR="00284D2F" w:rsidRPr="00686E9D">
        <w:rPr>
          <w:u w:val="double"/>
          <w:lang w:val="en-IE"/>
        </w:rPr>
        <w:t xml:space="preserve"> I-ELISA method for use with horse serum</w:t>
      </w:r>
      <w:r w:rsidR="00284D2F" w:rsidRPr="00686E9D">
        <w:rPr>
          <w:lang w:val="en-IE"/>
        </w:rPr>
        <w:t xml:space="preserve"> – t</w:t>
      </w:r>
      <w:r w:rsidR="00964ED2" w:rsidRPr="00686E9D">
        <w:rPr>
          <w:lang w:val="en-IE"/>
        </w:rPr>
        <w:t>est procedure</w:t>
      </w:r>
    </w:p>
    <w:p w14:paraId="3E7A919E" w14:textId="691F8E73" w:rsidR="0040163F" w:rsidRPr="00686E9D" w:rsidRDefault="005701E1" w:rsidP="0040163F">
      <w:pPr>
        <w:pStyle w:val="111Para"/>
        <w:rPr>
          <w:u w:val="double"/>
          <w:lang w:val="en-IE"/>
        </w:rPr>
      </w:pPr>
      <w:r w:rsidRPr="00686E9D">
        <w:rPr>
          <w:u w:val="double"/>
          <w:lang w:val="en-IE"/>
        </w:rPr>
        <w:t>A</w:t>
      </w:r>
      <w:r w:rsidR="0040163F" w:rsidRPr="00686E9D">
        <w:rPr>
          <w:u w:val="double"/>
          <w:lang w:val="en-IE"/>
        </w:rPr>
        <w:t xml:space="preserve"> recombinant expressed soluble form of the Hendra G protein (</w:t>
      </w:r>
      <w:proofErr w:type="spellStart"/>
      <w:r w:rsidR="0040163F" w:rsidRPr="00686E9D">
        <w:rPr>
          <w:u w:val="double"/>
          <w:lang w:val="en-IE"/>
        </w:rPr>
        <w:t>Bossart</w:t>
      </w:r>
      <w:proofErr w:type="spellEnd"/>
      <w:r w:rsidR="0040163F" w:rsidRPr="00686E9D">
        <w:rPr>
          <w:u w:val="double"/>
          <w:lang w:val="en-IE"/>
        </w:rPr>
        <w:t xml:space="preserve"> </w:t>
      </w:r>
      <w:r w:rsidR="0040163F" w:rsidRPr="00686E9D">
        <w:rPr>
          <w:i/>
          <w:iCs/>
          <w:u w:val="double"/>
          <w:lang w:val="en-IE"/>
        </w:rPr>
        <w:t>et al.,</w:t>
      </w:r>
      <w:r w:rsidR="0040163F" w:rsidRPr="00686E9D">
        <w:rPr>
          <w:u w:val="double"/>
          <w:lang w:val="en-IE"/>
        </w:rPr>
        <w:t xml:space="preserve"> 2005) has </w:t>
      </w:r>
      <w:r w:rsidRPr="00686E9D">
        <w:rPr>
          <w:u w:val="double"/>
          <w:lang w:val="en-IE"/>
        </w:rPr>
        <w:t>been used in the assay of choice. T</w:t>
      </w:r>
      <w:r w:rsidR="0040163F" w:rsidRPr="00686E9D">
        <w:rPr>
          <w:u w:val="double"/>
          <w:lang w:val="en-IE"/>
        </w:rPr>
        <w:t xml:space="preserve">he Hendra soluble G indirect ELISA eliminated almost all false-positive results from the previously used </w:t>
      </w:r>
      <w:proofErr w:type="spellStart"/>
      <w:r w:rsidR="0040163F" w:rsidRPr="00686E9D">
        <w:rPr>
          <w:u w:val="double"/>
          <w:lang w:val="en-IE"/>
        </w:rPr>
        <w:t>HeV</w:t>
      </w:r>
      <w:proofErr w:type="spellEnd"/>
      <w:r w:rsidR="0040163F" w:rsidRPr="00686E9D">
        <w:rPr>
          <w:u w:val="double"/>
          <w:lang w:val="en-IE"/>
        </w:rPr>
        <w:t xml:space="preserve"> </w:t>
      </w:r>
      <w:r w:rsidR="008C5923" w:rsidRPr="00686E9D">
        <w:rPr>
          <w:u w:val="double"/>
          <w:lang w:val="en-IE"/>
        </w:rPr>
        <w:t>I-</w:t>
      </w:r>
      <w:r w:rsidR="0040163F" w:rsidRPr="00686E9D">
        <w:rPr>
          <w:u w:val="double"/>
          <w:lang w:val="en-IE"/>
        </w:rPr>
        <w:t>ELISA</w:t>
      </w:r>
      <w:r w:rsidR="008C5923" w:rsidRPr="00686E9D">
        <w:rPr>
          <w:u w:val="double"/>
          <w:lang w:val="en-IE"/>
        </w:rPr>
        <w:t>,</w:t>
      </w:r>
      <w:r w:rsidRPr="00686E9D">
        <w:rPr>
          <w:u w:val="double"/>
          <w:lang w:val="en-IE"/>
        </w:rPr>
        <w:t xml:space="preserve"> which used a crude SDS </w:t>
      </w:r>
      <w:r w:rsidR="008C5923" w:rsidRPr="00686E9D">
        <w:rPr>
          <w:u w:val="double"/>
          <w:lang w:val="en-IE"/>
        </w:rPr>
        <w:t>(</w:t>
      </w:r>
      <w:bookmarkStart w:id="13" w:name="_Hlk77260044"/>
      <w:r w:rsidR="008C5923" w:rsidRPr="00686E9D">
        <w:rPr>
          <w:u w:val="double"/>
          <w:lang w:val="en-IE"/>
        </w:rPr>
        <w:t>sodium dodecyl sulphate</w:t>
      </w:r>
      <w:bookmarkEnd w:id="13"/>
      <w:r w:rsidR="008C5923" w:rsidRPr="00686E9D">
        <w:rPr>
          <w:u w:val="double"/>
          <w:lang w:val="en-IE"/>
        </w:rPr>
        <w:t xml:space="preserve">) </w:t>
      </w:r>
      <w:r w:rsidRPr="00686E9D">
        <w:rPr>
          <w:u w:val="double"/>
          <w:lang w:val="en-IE"/>
        </w:rPr>
        <w:t>viral preparation</w:t>
      </w:r>
      <w:r w:rsidR="0040163F" w:rsidRPr="00686E9D">
        <w:rPr>
          <w:u w:val="double"/>
          <w:lang w:val="en-IE"/>
        </w:rPr>
        <w:t xml:space="preserve">, with marginally decreased relative sensitivity (Colling </w:t>
      </w:r>
      <w:r w:rsidR="0040163F" w:rsidRPr="00686E9D">
        <w:rPr>
          <w:i/>
          <w:iCs/>
          <w:u w:val="double"/>
          <w:lang w:val="en-IE"/>
        </w:rPr>
        <w:t>et al.,</w:t>
      </w:r>
      <w:r w:rsidR="0040163F" w:rsidRPr="00686E9D">
        <w:rPr>
          <w:u w:val="double"/>
          <w:lang w:val="en-IE"/>
        </w:rPr>
        <w:t xml:space="preserve"> 2018). </w:t>
      </w:r>
      <w:r w:rsidR="0040163F" w:rsidRPr="00686E9D">
        <w:rPr>
          <w:u w:val="double"/>
          <w:lang w:val="en-IE"/>
        </w:rPr>
        <w:lastRenderedPageBreak/>
        <w:t xml:space="preserve">Assay robustness was evaluated in inter-laboratory and proficiency testing panels (Colling </w:t>
      </w:r>
      <w:r w:rsidR="0040163F" w:rsidRPr="00686E9D">
        <w:rPr>
          <w:i/>
          <w:iCs/>
          <w:u w:val="double"/>
          <w:lang w:val="en-IE"/>
        </w:rPr>
        <w:t>et al.,</w:t>
      </w:r>
      <w:r w:rsidR="0040163F" w:rsidRPr="00686E9D">
        <w:rPr>
          <w:u w:val="double"/>
          <w:lang w:val="en-IE"/>
        </w:rPr>
        <w:t xml:space="preserve"> 2018). This assay </w:t>
      </w:r>
      <w:proofErr w:type="gramStart"/>
      <w:r w:rsidR="0040163F" w:rsidRPr="00686E9D">
        <w:rPr>
          <w:u w:val="double"/>
          <w:lang w:val="en-IE"/>
        </w:rPr>
        <w:t>is considered to be</w:t>
      </w:r>
      <w:proofErr w:type="gramEnd"/>
      <w:r w:rsidR="0040163F" w:rsidRPr="00686E9D">
        <w:rPr>
          <w:u w:val="double"/>
          <w:lang w:val="en-IE"/>
        </w:rPr>
        <w:t xml:space="preserve"> fit for purpose for </w:t>
      </w:r>
      <w:proofErr w:type="spellStart"/>
      <w:r w:rsidR="0040163F" w:rsidRPr="00686E9D">
        <w:rPr>
          <w:u w:val="double"/>
          <w:lang w:val="en-IE"/>
        </w:rPr>
        <w:t>serosurveillance</w:t>
      </w:r>
      <w:proofErr w:type="spellEnd"/>
      <w:r w:rsidR="0040163F" w:rsidRPr="00686E9D">
        <w:rPr>
          <w:u w:val="double"/>
          <w:lang w:val="en-IE"/>
        </w:rPr>
        <w:t xml:space="preserve"> and international movement of horses when virus neutrali</w:t>
      </w:r>
      <w:r w:rsidR="008C5923" w:rsidRPr="00686E9D">
        <w:rPr>
          <w:u w:val="double"/>
          <w:lang w:val="en-IE"/>
        </w:rPr>
        <w:t>s</w:t>
      </w:r>
      <w:r w:rsidR="0040163F" w:rsidRPr="00686E9D">
        <w:rPr>
          <w:u w:val="double"/>
          <w:lang w:val="en-IE"/>
        </w:rPr>
        <w:t>ation is used for follow-up testing of positive or inconclusive serum samples.</w:t>
      </w:r>
    </w:p>
    <w:p w14:paraId="36E520EC" w14:textId="2E241C3C" w:rsidR="00316792" w:rsidRPr="00686E9D" w:rsidRDefault="00316792" w:rsidP="008671C5">
      <w:pPr>
        <w:pStyle w:val="i"/>
        <w:rPr>
          <w:u w:val="double"/>
          <w:lang w:val="en-IE"/>
        </w:rPr>
      </w:pPr>
      <w:r w:rsidRPr="00686E9D">
        <w:rPr>
          <w:u w:val="double"/>
          <w:lang w:val="en-IE"/>
        </w:rPr>
        <w:t>i</w:t>
      </w:r>
      <w:r w:rsidR="008671C5" w:rsidRPr="00686E9D">
        <w:rPr>
          <w:u w:val="double"/>
          <w:lang w:val="en-IE"/>
        </w:rPr>
        <w:t>)</w:t>
      </w:r>
      <w:r w:rsidR="008671C5" w:rsidRPr="00686E9D">
        <w:rPr>
          <w:u w:val="double"/>
          <w:lang w:val="en-IE"/>
        </w:rPr>
        <w:tab/>
        <w:t>I-</w:t>
      </w:r>
      <w:r w:rsidRPr="00686E9D">
        <w:rPr>
          <w:u w:val="double"/>
          <w:lang w:val="en-IE"/>
        </w:rPr>
        <w:t>ELISA method</w:t>
      </w:r>
    </w:p>
    <w:p w14:paraId="1D65FD11" w14:textId="4BC53E26" w:rsidR="0040163F" w:rsidRPr="00686E9D" w:rsidRDefault="008671C5" w:rsidP="008671C5">
      <w:pPr>
        <w:pStyle w:val="ififthlevellist"/>
        <w:rPr>
          <w:u w:val="double"/>
          <w:lang w:val="en-IE"/>
        </w:rPr>
      </w:pPr>
      <w:r w:rsidRPr="00686E9D">
        <w:rPr>
          <w:u w:val="double"/>
          <w:lang w:val="en-IE"/>
        </w:rPr>
        <w:t>a)</w:t>
      </w:r>
      <w:r w:rsidRPr="00686E9D">
        <w:rPr>
          <w:u w:val="double"/>
          <w:lang w:val="en-IE"/>
        </w:rPr>
        <w:tab/>
      </w:r>
      <w:r w:rsidR="0040163F" w:rsidRPr="00686E9D">
        <w:rPr>
          <w:u w:val="double"/>
          <w:lang w:val="en-IE"/>
        </w:rPr>
        <w:t xml:space="preserve">Coat </w:t>
      </w:r>
      <w:r w:rsidR="006773FA" w:rsidRPr="006773FA">
        <w:rPr>
          <w:highlight w:val="yellow"/>
          <w:u w:val="double"/>
          <w:lang w:val="en-IE"/>
        </w:rPr>
        <w:t xml:space="preserve">a 96 well </w:t>
      </w:r>
      <w:proofErr w:type="spellStart"/>
      <w:r w:rsidR="006773FA" w:rsidRPr="006773FA">
        <w:rPr>
          <w:highlight w:val="yellow"/>
          <w:u w:val="double"/>
          <w:lang w:val="en-IE"/>
        </w:rPr>
        <w:t>microtitre</w:t>
      </w:r>
      <w:proofErr w:type="spellEnd"/>
      <w:r w:rsidR="006773FA" w:rsidRPr="006773FA">
        <w:rPr>
          <w:highlight w:val="yellow"/>
          <w:u w:val="double"/>
          <w:lang w:val="en-IE"/>
        </w:rPr>
        <w:t xml:space="preserve"> flat bottom hard</w:t>
      </w:r>
      <w:r w:rsidR="0040163F" w:rsidRPr="00686E9D">
        <w:rPr>
          <w:u w:val="double"/>
          <w:lang w:val="en-IE"/>
        </w:rPr>
        <w:t xml:space="preserve"> ELISA plate with </w:t>
      </w:r>
      <w:proofErr w:type="spellStart"/>
      <w:r w:rsidR="0040163F" w:rsidRPr="00686E9D">
        <w:rPr>
          <w:u w:val="double"/>
          <w:lang w:val="en-IE"/>
        </w:rPr>
        <w:t>HeV</w:t>
      </w:r>
      <w:proofErr w:type="spellEnd"/>
      <w:r w:rsidR="0040163F" w:rsidRPr="00686E9D">
        <w:rPr>
          <w:u w:val="double"/>
          <w:lang w:val="en-IE"/>
        </w:rPr>
        <w:t xml:space="preserve"> </w:t>
      </w:r>
      <w:proofErr w:type="spellStart"/>
      <w:r w:rsidR="0040163F" w:rsidRPr="00686E9D">
        <w:rPr>
          <w:u w:val="double"/>
          <w:lang w:val="en-IE"/>
        </w:rPr>
        <w:t>sG</w:t>
      </w:r>
      <w:proofErr w:type="spellEnd"/>
      <w:r w:rsidR="0040163F" w:rsidRPr="00686E9D">
        <w:rPr>
          <w:u w:val="double"/>
          <w:lang w:val="en-IE"/>
        </w:rPr>
        <w:t xml:space="preserve"> recombinant protein diluted 1/3000</w:t>
      </w:r>
      <w:r w:rsidRPr="00686E9D">
        <w:rPr>
          <w:u w:val="double"/>
          <w:lang w:val="en-IE"/>
        </w:rPr>
        <w:t> </w:t>
      </w:r>
      <w:r w:rsidR="0040163F" w:rsidRPr="00686E9D">
        <w:rPr>
          <w:u w:val="double"/>
          <w:lang w:val="en-IE"/>
        </w:rPr>
        <w:t>in PBS A coating buffer (50</w:t>
      </w:r>
      <w:r w:rsidR="006773FA">
        <w:rPr>
          <w:u w:val="double"/>
          <w:lang w:val="en-IE"/>
        </w:rPr>
        <w:t xml:space="preserve"> </w:t>
      </w:r>
      <w:proofErr w:type="spellStart"/>
      <w:r w:rsidR="0040163F" w:rsidRPr="00686E9D">
        <w:rPr>
          <w:u w:val="double"/>
          <w:lang w:val="en-IE"/>
        </w:rPr>
        <w:t>μl</w:t>
      </w:r>
      <w:proofErr w:type="spellEnd"/>
      <w:r w:rsidR="0040163F" w:rsidRPr="00686E9D">
        <w:rPr>
          <w:u w:val="double"/>
          <w:lang w:val="en-IE"/>
        </w:rPr>
        <w:t>/</w:t>
      </w:r>
      <w:r w:rsidR="0040163F" w:rsidRPr="006773FA">
        <w:rPr>
          <w:u w:val="double"/>
          <w:lang w:val="en-IE"/>
        </w:rPr>
        <w:t>well</w:t>
      </w:r>
      <w:r w:rsidR="006773FA" w:rsidRPr="006773FA">
        <w:rPr>
          <w:u w:val="double"/>
          <w:lang w:val="en-IE"/>
        </w:rPr>
        <w:t xml:space="preserve"> </w:t>
      </w:r>
      <w:r w:rsidR="006773FA" w:rsidRPr="006773FA">
        <w:rPr>
          <w:highlight w:val="yellow"/>
          <w:u w:val="double"/>
        </w:rPr>
        <w:t>equivalent to a coating concentration of 0.23</w:t>
      </w:r>
      <w:r w:rsidR="006773FA">
        <w:rPr>
          <w:highlight w:val="yellow"/>
          <w:u w:val="double"/>
        </w:rPr>
        <w:t xml:space="preserve"> </w:t>
      </w:r>
      <w:proofErr w:type="spellStart"/>
      <w:r w:rsidR="006773FA" w:rsidRPr="006773FA">
        <w:rPr>
          <w:highlight w:val="yellow"/>
          <w:u w:val="double"/>
        </w:rPr>
        <w:t>μg</w:t>
      </w:r>
      <w:proofErr w:type="spellEnd"/>
      <w:r w:rsidR="006773FA" w:rsidRPr="006773FA">
        <w:rPr>
          <w:highlight w:val="yellow"/>
          <w:u w:val="double"/>
        </w:rPr>
        <w:t xml:space="preserve"> per ml</w:t>
      </w:r>
      <w:r w:rsidR="0040163F" w:rsidRPr="006773FA">
        <w:rPr>
          <w:u w:val="double"/>
          <w:lang w:val="en-IE"/>
        </w:rPr>
        <w:t>) for 1 h</w:t>
      </w:r>
      <w:r w:rsidRPr="006773FA">
        <w:rPr>
          <w:u w:val="double"/>
          <w:lang w:val="en-IE"/>
        </w:rPr>
        <w:t>our</w:t>
      </w:r>
      <w:r w:rsidR="0040163F" w:rsidRPr="006773FA">
        <w:rPr>
          <w:u w:val="double"/>
          <w:lang w:val="en-IE"/>
        </w:rPr>
        <w:t xml:space="preserve"> at 37</w:t>
      </w:r>
      <w:r w:rsidRPr="006773FA">
        <w:rPr>
          <w:u w:val="double"/>
          <w:lang w:val="en-IE"/>
        </w:rPr>
        <w:t>°</w:t>
      </w:r>
      <w:r w:rsidR="0040163F" w:rsidRPr="006773FA">
        <w:rPr>
          <w:u w:val="double"/>
          <w:lang w:val="en-IE"/>
        </w:rPr>
        <w:t>C on a plate</w:t>
      </w:r>
      <w:r w:rsidR="0040163F" w:rsidRPr="00686E9D">
        <w:rPr>
          <w:u w:val="double"/>
          <w:lang w:val="en-IE"/>
        </w:rPr>
        <w:t xml:space="preserve"> shaker</w:t>
      </w:r>
    </w:p>
    <w:p w14:paraId="6CAA4293" w14:textId="36DD3861" w:rsidR="0040163F" w:rsidRPr="00686E9D" w:rsidRDefault="008671C5" w:rsidP="008671C5">
      <w:pPr>
        <w:pStyle w:val="ififthlevellist"/>
        <w:rPr>
          <w:u w:val="double"/>
          <w:lang w:val="en-IE"/>
        </w:rPr>
      </w:pPr>
      <w:r w:rsidRPr="00686E9D">
        <w:rPr>
          <w:u w:val="double"/>
          <w:lang w:val="en-IE"/>
        </w:rPr>
        <w:t>b)</w:t>
      </w:r>
      <w:r w:rsidRPr="00686E9D">
        <w:rPr>
          <w:u w:val="double"/>
          <w:lang w:val="en-IE"/>
        </w:rPr>
        <w:tab/>
      </w:r>
      <w:r w:rsidR="0040163F" w:rsidRPr="00686E9D">
        <w:rPr>
          <w:u w:val="double"/>
          <w:lang w:val="en-IE"/>
        </w:rPr>
        <w:t xml:space="preserve">Proceed to step </w:t>
      </w:r>
      <w:r w:rsidRPr="00686E9D">
        <w:rPr>
          <w:u w:val="double"/>
          <w:lang w:val="en-IE"/>
        </w:rPr>
        <w:t>c</w:t>
      </w:r>
      <w:r w:rsidR="0040163F" w:rsidRPr="00686E9D">
        <w:rPr>
          <w:u w:val="double"/>
          <w:lang w:val="en-IE"/>
        </w:rPr>
        <w:t xml:space="preserve"> or seal plate with tape and store at 4</w:t>
      </w:r>
      <w:r w:rsidRPr="00686E9D">
        <w:rPr>
          <w:u w:val="double"/>
          <w:lang w:val="en-IE"/>
        </w:rPr>
        <w:t>°</w:t>
      </w:r>
      <w:r w:rsidR="0040163F" w:rsidRPr="00686E9D">
        <w:rPr>
          <w:u w:val="double"/>
          <w:lang w:val="en-IE"/>
        </w:rPr>
        <w:t>C (no longer than overnight).</w:t>
      </w:r>
    </w:p>
    <w:p w14:paraId="5AC8F397" w14:textId="06D47625" w:rsidR="0040163F" w:rsidRPr="00686E9D" w:rsidRDefault="008671C5" w:rsidP="008671C5">
      <w:pPr>
        <w:pStyle w:val="ififthlevellist"/>
        <w:rPr>
          <w:u w:val="double"/>
          <w:lang w:val="en-IE"/>
        </w:rPr>
      </w:pPr>
      <w:r w:rsidRPr="00686E9D">
        <w:rPr>
          <w:u w:val="double"/>
          <w:lang w:val="en-IE"/>
        </w:rPr>
        <w:t>c)</w:t>
      </w:r>
      <w:r w:rsidRPr="00686E9D">
        <w:rPr>
          <w:u w:val="double"/>
          <w:lang w:val="en-IE"/>
        </w:rPr>
        <w:tab/>
      </w:r>
      <w:r w:rsidR="0040163F" w:rsidRPr="00686E9D">
        <w:rPr>
          <w:u w:val="double"/>
          <w:lang w:val="en-IE"/>
        </w:rPr>
        <w:t xml:space="preserve">Block plate by adding 50 </w:t>
      </w:r>
      <w:proofErr w:type="spellStart"/>
      <w:r w:rsidR="0040163F" w:rsidRPr="00686E9D">
        <w:rPr>
          <w:u w:val="double"/>
          <w:lang w:val="en-IE"/>
        </w:rPr>
        <w:t>μl</w:t>
      </w:r>
      <w:proofErr w:type="spellEnd"/>
      <w:r w:rsidR="0040163F" w:rsidRPr="00686E9D">
        <w:rPr>
          <w:u w:val="double"/>
          <w:lang w:val="en-IE"/>
        </w:rPr>
        <w:t xml:space="preserve">/well of blocking buffer (5% </w:t>
      </w:r>
      <w:r w:rsidR="00ED7000" w:rsidRPr="00686E9D">
        <w:rPr>
          <w:u w:val="double"/>
          <w:lang w:val="en-IE"/>
        </w:rPr>
        <w:t>skimmed milk powder</w:t>
      </w:r>
      <w:r w:rsidR="00332EAE" w:rsidRPr="00686E9D">
        <w:rPr>
          <w:u w:val="double"/>
          <w:lang w:val="en-IE"/>
        </w:rPr>
        <w:t xml:space="preserve"> </w:t>
      </w:r>
      <w:r w:rsidR="005B393C">
        <w:rPr>
          <w:u w:val="double"/>
          <w:lang w:val="en-IE"/>
        </w:rPr>
        <w:t>[</w:t>
      </w:r>
      <w:r w:rsidR="0040163F" w:rsidRPr="00686E9D">
        <w:rPr>
          <w:u w:val="double"/>
          <w:lang w:val="en-IE"/>
        </w:rPr>
        <w:t>SMP</w:t>
      </w:r>
      <w:r w:rsidR="005B393C">
        <w:rPr>
          <w:u w:val="double"/>
          <w:lang w:val="en-IE"/>
        </w:rPr>
        <w:t>]</w:t>
      </w:r>
      <w:r w:rsidR="0040163F" w:rsidRPr="00686E9D">
        <w:rPr>
          <w:u w:val="double"/>
          <w:lang w:val="en-IE"/>
        </w:rPr>
        <w:t>in PBS A) (</w:t>
      </w:r>
      <w:r w:rsidRPr="00686E9D">
        <w:rPr>
          <w:u w:val="double"/>
          <w:lang w:val="en-IE"/>
        </w:rPr>
        <w:t>n</w:t>
      </w:r>
      <w:r w:rsidR="0040163F" w:rsidRPr="00686E9D">
        <w:rPr>
          <w:u w:val="double"/>
          <w:lang w:val="en-IE"/>
        </w:rPr>
        <w:t>o wash at this step).</w:t>
      </w:r>
    </w:p>
    <w:p w14:paraId="6A35E12A" w14:textId="4538922A" w:rsidR="0040163F" w:rsidRPr="00686E9D" w:rsidRDefault="008671C5" w:rsidP="008671C5">
      <w:pPr>
        <w:pStyle w:val="ififthlevellist"/>
        <w:rPr>
          <w:u w:val="double"/>
          <w:lang w:val="en-IE"/>
        </w:rPr>
      </w:pPr>
      <w:r w:rsidRPr="00686E9D">
        <w:rPr>
          <w:u w:val="double"/>
          <w:lang w:val="en-IE"/>
        </w:rPr>
        <w:t>d)</w:t>
      </w:r>
      <w:r w:rsidRPr="00686E9D">
        <w:rPr>
          <w:u w:val="double"/>
          <w:lang w:val="en-IE"/>
        </w:rPr>
        <w:tab/>
      </w:r>
      <w:r w:rsidR="0040163F" w:rsidRPr="00686E9D">
        <w:rPr>
          <w:u w:val="double"/>
          <w:lang w:val="en-IE"/>
        </w:rPr>
        <w:t>Incubate for a further 30 min</w:t>
      </w:r>
      <w:r w:rsidRPr="00686E9D">
        <w:rPr>
          <w:u w:val="double"/>
          <w:lang w:val="en-IE"/>
        </w:rPr>
        <w:t>utes</w:t>
      </w:r>
      <w:r w:rsidR="0040163F" w:rsidRPr="00686E9D">
        <w:rPr>
          <w:u w:val="double"/>
          <w:lang w:val="en-IE"/>
        </w:rPr>
        <w:t xml:space="preserve"> to 1 h</w:t>
      </w:r>
      <w:r w:rsidRPr="00686E9D">
        <w:rPr>
          <w:u w:val="double"/>
          <w:lang w:val="en-IE"/>
        </w:rPr>
        <w:t>our</w:t>
      </w:r>
      <w:r w:rsidR="0040163F" w:rsidRPr="00686E9D">
        <w:rPr>
          <w:u w:val="double"/>
          <w:lang w:val="en-IE"/>
        </w:rPr>
        <w:t xml:space="preserve"> at 37</w:t>
      </w:r>
      <w:r w:rsidRPr="00686E9D">
        <w:rPr>
          <w:u w:val="double"/>
          <w:lang w:val="en-IE"/>
        </w:rPr>
        <w:t>°</w:t>
      </w:r>
      <w:r w:rsidR="0040163F" w:rsidRPr="00686E9D">
        <w:rPr>
          <w:u w:val="double"/>
          <w:lang w:val="en-IE"/>
        </w:rPr>
        <w:t>C on a plate shaker.</w:t>
      </w:r>
    </w:p>
    <w:p w14:paraId="300BE505" w14:textId="2D0CF6A4" w:rsidR="0040163F" w:rsidRPr="00686E9D" w:rsidRDefault="008671C5" w:rsidP="008671C5">
      <w:pPr>
        <w:pStyle w:val="ififthlevellist"/>
        <w:rPr>
          <w:u w:val="double"/>
          <w:lang w:val="en-IE"/>
        </w:rPr>
      </w:pPr>
      <w:r w:rsidRPr="00686E9D">
        <w:rPr>
          <w:u w:val="double"/>
          <w:lang w:val="en-IE"/>
        </w:rPr>
        <w:t>e)</w:t>
      </w:r>
      <w:r w:rsidRPr="00686E9D">
        <w:rPr>
          <w:u w:val="double"/>
          <w:lang w:val="en-IE"/>
        </w:rPr>
        <w:tab/>
      </w:r>
      <w:r w:rsidR="0040163F" w:rsidRPr="00686E9D">
        <w:rPr>
          <w:u w:val="double"/>
          <w:lang w:val="en-IE"/>
        </w:rPr>
        <w:t>Wash plate 4</w:t>
      </w:r>
      <w:r w:rsidRPr="00686E9D">
        <w:rPr>
          <w:u w:val="double"/>
          <w:lang w:val="en-IE"/>
        </w:rPr>
        <w:t>×</w:t>
      </w:r>
      <w:r w:rsidR="0040163F" w:rsidRPr="00686E9D">
        <w:rPr>
          <w:u w:val="double"/>
          <w:lang w:val="en-IE"/>
        </w:rPr>
        <w:t xml:space="preserve"> with </w:t>
      </w:r>
      <w:r w:rsidR="00EC68B1" w:rsidRPr="00686E9D">
        <w:rPr>
          <w:u w:val="double"/>
          <w:lang w:val="en-IE"/>
        </w:rPr>
        <w:t xml:space="preserve">PBS containing 0.05% </w:t>
      </w:r>
      <w:r w:rsidR="005D0CC6" w:rsidRPr="005D0CC6">
        <w:rPr>
          <w:u w:val="double"/>
          <w:lang w:val="en-IE"/>
        </w:rPr>
        <w:t xml:space="preserve">polysorbate </w:t>
      </w:r>
      <w:r w:rsidR="00EC68B1" w:rsidRPr="005D0CC6">
        <w:rPr>
          <w:u w:val="double"/>
          <w:lang w:val="en-IE"/>
        </w:rPr>
        <w:t>20 (P</w:t>
      </w:r>
      <w:r w:rsidR="00EC68B1" w:rsidRPr="00686E9D">
        <w:rPr>
          <w:u w:val="double"/>
          <w:lang w:val="en-IE"/>
        </w:rPr>
        <w:t>BST)</w:t>
      </w:r>
      <w:r w:rsidR="0040163F" w:rsidRPr="00686E9D">
        <w:rPr>
          <w:u w:val="double"/>
          <w:lang w:val="en-IE"/>
        </w:rPr>
        <w:t xml:space="preserve"> using plate washer.</w:t>
      </w:r>
    </w:p>
    <w:p w14:paraId="535DC5B6" w14:textId="18B01BEE" w:rsidR="0040163F" w:rsidRPr="00686E9D" w:rsidRDefault="008671C5" w:rsidP="008671C5">
      <w:pPr>
        <w:pStyle w:val="ififthlevellist"/>
        <w:rPr>
          <w:u w:val="double"/>
          <w:lang w:val="en-IE"/>
        </w:rPr>
      </w:pPr>
      <w:r w:rsidRPr="00686E9D">
        <w:rPr>
          <w:u w:val="double"/>
          <w:lang w:val="en-IE"/>
        </w:rPr>
        <w:t>f)</w:t>
      </w:r>
      <w:r w:rsidRPr="00686E9D">
        <w:rPr>
          <w:u w:val="double"/>
          <w:lang w:val="en-IE"/>
        </w:rPr>
        <w:tab/>
      </w:r>
      <w:r w:rsidR="0040163F" w:rsidRPr="00686E9D">
        <w:rPr>
          <w:u w:val="double"/>
          <w:lang w:val="en-IE"/>
        </w:rPr>
        <w:t xml:space="preserve">Dilute test sera and </w:t>
      </w:r>
      <w:hyperlink w:anchor="_Positive_Control_Sera" w:history="1">
        <w:r w:rsidR="0040163F" w:rsidRPr="00686E9D">
          <w:rPr>
            <w:rStyle w:val="Hyperlink"/>
            <w:color w:val="auto"/>
            <w:u w:val="double"/>
            <w:lang w:val="en-IE"/>
          </w:rPr>
          <w:t>controls</w:t>
        </w:r>
      </w:hyperlink>
      <w:r w:rsidR="0040163F" w:rsidRPr="00686E9D">
        <w:rPr>
          <w:u w:val="double"/>
          <w:lang w:val="en-IE"/>
        </w:rPr>
        <w:t xml:space="preserve"> 1/100 in ELISA diluent (1% SMP in PBST) and add 50</w:t>
      </w:r>
      <w:r w:rsidRPr="00686E9D">
        <w:rPr>
          <w:u w:val="double"/>
          <w:lang w:val="en-IE"/>
        </w:rPr>
        <w:t> </w:t>
      </w:r>
      <w:proofErr w:type="spellStart"/>
      <w:r w:rsidR="0040163F" w:rsidRPr="00686E9D">
        <w:rPr>
          <w:u w:val="double"/>
          <w:lang w:val="en-IE"/>
        </w:rPr>
        <w:t>μl</w:t>
      </w:r>
      <w:proofErr w:type="spellEnd"/>
      <w:r w:rsidR="0040163F" w:rsidRPr="00686E9D">
        <w:rPr>
          <w:u w:val="double"/>
          <w:lang w:val="en-IE"/>
        </w:rPr>
        <w:t>/well. Note:</w:t>
      </w:r>
      <w:r w:rsidRPr="00686E9D">
        <w:rPr>
          <w:u w:val="double"/>
          <w:lang w:val="en-IE"/>
        </w:rPr>
        <w:t xml:space="preserve"> d</w:t>
      </w:r>
      <w:r w:rsidR="0040163F" w:rsidRPr="00686E9D">
        <w:rPr>
          <w:u w:val="double"/>
          <w:lang w:val="en-IE"/>
        </w:rPr>
        <w:t>ilute samples 1</w:t>
      </w:r>
      <w:r w:rsidR="00EC68B1" w:rsidRPr="00686E9D">
        <w:rPr>
          <w:u w:val="double"/>
          <w:lang w:val="en-IE"/>
        </w:rPr>
        <w:t>/</w:t>
      </w:r>
      <w:r w:rsidR="0040163F" w:rsidRPr="00686E9D">
        <w:rPr>
          <w:u w:val="double"/>
          <w:lang w:val="en-IE"/>
        </w:rPr>
        <w:t xml:space="preserve">20 if they have been </w:t>
      </w:r>
      <w:r w:rsidR="005D0CC6" w:rsidRPr="00EC3CB9">
        <w:rPr>
          <w:u w:val="double"/>
          <w:lang w:val="en-IE"/>
        </w:rPr>
        <w:t>o</w:t>
      </w:r>
      <w:proofErr w:type="spellStart"/>
      <w:r w:rsidR="005D0CC6" w:rsidRPr="00EC3CB9">
        <w:rPr>
          <w:u w:val="double"/>
        </w:rPr>
        <w:t>ctylphenol</w:t>
      </w:r>
      <w:proofErr w:type="spellEnd"/>
      <w:r w:rsidR="005D0CC6" w:rsidRPr="00EC3CB9">
        <w:rPr>
          <w:u w:val="double"/>
        </w:rPr>
        <w:t xml:space="preserve"> ethoxylate</w:t>
      </w:r>
      <w:r w:rsidR="005D0CC6">
        <w:rPr>
          <w:u w:val="double"/>
        </w:rPr>
        <w:t xml:space="preserve">/ </w:t>
      </w:r>
      <w:r w:rsidR="005D0CC6" w:rsidRPr="005D0CC6">
        <w:rPr>
          <w:u w:val="double"/>
          <w:lang w:val="en-IE"/>
        </w:rPr>
        <w:t>polysorbate 20</w:t>
      </w:r>
      <w:r w:rsidR="005D0CC6">
        <w:rPr>
          <w:u w:val="double"/>
          <w:lang w:val="en-IE"/>
        </w:rPr>
        <w:t xml:space="preserve"> </w:t>
      </w:r>
      <w:r w:rsidR="0040163F" w:rsidRPr="00686E9D">
        <w:rPr>
          <w:u w:val="double"/>
          <w:lang w:val="en-IE"/>
        </w:rPr>
        <w:t>treated.</w:t>
      </w:r>
    </w:p>
    <w:p w14:paraId="4F76A93D" w14:textId="4C883DCB" w:rsidR="0040163F" w:rsidRPr="00686E9D" w:rsidRDefault="008671C5" w:rsidP="008671C5">
      <w:pPr>
        <w:pStyle w:val="ififthlevellist"/>
        <w:rPr>
          <w:u w:val="double"/>
          <w:lang w:val="en-IE"/>
        </w:rPr>
      </w:pPr>
      <w:r w:rsidRPr="00686E9D">
        <w:rPr>
          <w:u w:val="double"/>
          <w:lang w:val="en-IE"/>
        </w:rPr>
        <w:t>g)</w:t>
      </w:r>
      <w:r w:rsidRPr="00686E9D">
        <w:rPr>
          <w:u w:val="double"/>
          <w:lang w:val="en-IE"/>
        </w:rPr>
        <w:tab/>
      </w:r>
      <w:r w:rsidR="0040163F" w:rsidRPr="00686E9D">
        <w:rPr>
          <w:u w:val="double"/>
          <w:lang w:val="en-IE"/>
        </w:rPr>
        <w:t>Incubate for 1 h</w:t>
      </w:r>
      <w:r w:rsidR="00952D52" w:rsidRPr="00686E9D">
        <w:rPr>
          <w:u w:val="double"/>
          <w:lang w:val="en-IE"/>
        </w:rPr>
        <w:t>our</w:t>
      </w:r>
      <w:r w:rsidR="0040163F" w:rsidRPr="00686E9D">
        <w:rPr>
          <w:u w:val="double"/>
          <w:lang w:val="en-IE"/>
        </w:rPr>
        <w:t xml:space="preserve"> at 37</w:t>
      </w:r>
      <w:r w:rsidR="00952D52" w:rsidRPr="00686E9D">
        <w:rPr>
          <w:u w:val="double"/>
          <w:lang w:val="en-IE"/>
        </w:rPr>
        <w:t>°</w:t>
      </w:r>
      <w:r w:rsidR="0040163F" w:rsidRPr="00686E9D">
        <w:rPr>
          <w:u w:val="double"/>
          <w:lang w:val="en-IE"/>
        </w:rPr>
        <w:t>C on a plate shaker, cover with plate sealer.</w:t>
      </w:r>
    </w:p>
    <w:p w14:paraId="16476600" w14:textId="09431CF3" w:rsidR="0040163F" w:rsidRPr="00686E9D" w:rsidRDefault="008671C5" w:rsidP="008671C5">
      <w:pPr>
        <w:pStyle w:val="ififthlevellist"/>
        <w:rPr>
          <w:u w:val="double"/>
          <w:lang w:val="en-IE"/>
        </w:rPr>
      </w:pPr>
      <w:r w:rsidRPr="00686E9D">
        <w:rPr>
          <w:u w:val="double"/>
          <w:lang w:val="en-IE"/>
        </w:rPr>
        <w:t>h)</w:t>
      </w:r>
      <w:r w:rsidRPr="00686E9D">
        <w:rPr>
          <w:u w:val="double"/>
          <w:lang w:val="en-IE"/>
        </w:rPr>
        <w:tab/>
      </w:r>
      <w:r w:rsidR="0040163F" w:rsidRPr="00686E9D">
        <w:rPr>
          <w:u w:val="double"/>
          <w:lang w:val="en-IE"/>
        </w:rPr>
        <w:t>Wash plate 4</w:t>
      </w:r>
      <w:r w:rsidR="00952D52" w:rsidRPr="00686E9D">
        <w:rPr>
          <w:u w:val="double"/>
          <w:lang w:val="en-IE"/>
        </w:rPr>
        <w:t>×</w:t>
      </w:r>
      <w:r w:rsidR="0040163F" w:rsidRPr="00686E9D">
        <w:rPr>
          <w:u w:val="double"/>
          <w:lang w:val="en-IE"/>
        </w:rPr>
        <w:t xml:space="preserve"> with PBST using plate washer.</w:t>
      </w:r>
    </w:p>
    <w:p w14:paraId="4C20C380" w14:textId="42F0EE5B" w:rsidR="0040163F" w:rsidRPr="00686E9D" w:rsidRDefault="008671C5" w:rsidP="008671C5">
      <w:pPr>
        <w:pStyle w:val="ififthlevellist"/>
        <w:rPr>
          <w:u w:val="double"/>
          <w:lang w:val="en-IE"/>
        </w:rPr>
      </w:pPr>
      <w:r w:rsidRPr="00686E9D">
        <w:rPr>
          <w:u w:val="double"/>
          <w:lang w:val="en-IE"/>
        </w:rPr>
        <w:t>i)</w:t>
      </w:r>
      <w:r w:rsidRPr="00686E9D">
        <w:rPr>
          <w:u w:val="double"/>
          <w:lang w:val="en-IE"/>
        </w:rPr>
        <w:tab/>
      </w:r>
      <w:r w:rsidR="0040163F" w:rsidRPr="00686E9D">
        <w:rPr>
          <w:u w:val="double"/>
          <w:lang w:val="en-IE"/>
        </w:rPr>
        <w:t>Add anti</w:t>
      </w:r>
      <w:r w:rsidR="00952D52" w:rsidRPr="005D0CC6">
        <w:rPr>
          <w:u w:val="double"/>
          <w:lang w:val="en-IE"/>
        </w:rPr>
        <w:t>-</w:t>
      </w:r>
      <w:r w:rsidR="0040163F" w:rsidRPr="005D0CC6">
        <w:rPr>
          <w:u w:val="double"/>
          <w:lang w:val="en-IE"/>
        </w:rPr>
        <w:t>equine-</w:t>
      </w:r>
      <w:r w:rsidR="005D0CC6" w:rsidRPr="005D0CC6">
        <w:rPr>
          <w:u w:val="double"/>
          <w:lang w:val="en-IE"/>
        </w:rPr>
        <w:t xml:space="preserve">horseradish peroxidase </w:t>
      </w:r>
      <w:r w:rsidR="0040163F" w:rsidRPr="005D0CC6">
        <w:rPr>
          <w:u w:val="double"/>
          <w:lang w:val="en-IE"/>
        </w:rPr>
        <w:t>conjugate 1/5000 in ELISA diluent (1% SMP in PBST).</w:t>
      </w:r>
    </w:p>
    <w:p w14:paraId="1FF8D381" w14:textId="25E5F97B" w:rsidR="0040163F" w:rsidRPr="00686E9D" w:rsidRDefault="008671C5" w:rsidP="008671C5">
      <w:pPr>
        <w:pStyle w:val="ififthlevellist"/>
        <w:rPr>
          <w:u w:val="double"/>
          <w:lang w:val="en-IE"/>
        </w:rPr>
      </w:pPr>
      <w:r w:rsidRPr="00686E9D">
        <w:rPr>
          <w:u w:val="double"/>
          <w:lang w:val="en-IE"/>
        </w:rPr>
        <w:t>j)</w:t>
      </w:r>
      <w:r w:rsidRPr="00686E9D">
        <w:rPr>
          <w:u w:val="double"/>
          <w:lang w:val="en-IE"/>
        </w:rPr>
        <w:tab/>
      </w:r>
      <w:r w:rsidR="0040163F" w:rsidRPr="00686E9D">
        <w:rPr>
          <w:u w:val="double"/>
          <w:lang w:val="en-IE"/>
        </w:rPr>
        <w:t>Incubate for 30</w:t>
      </w:r>
      <w:r w:rsidR="00952D52" w:rsidRPr="00686E9D">
        <w:rPr>
          <w:u w:val="double"/>
          <w:lang w:val="en-IE"/>
        </w:rPr>
        <w:t xml:space="preserve"> </w:t>
      </w:r>
      <w:r w:rsidR="0040163F" w:rsidRPr="00686E9D">
        <w:rPr>
          <w:u w:val="double"/>
          <w:lang w:val="en-IE"/>
        </w:rPr>
        <w:t>min</w:t>
      </w:r>
      <w:r w:rsidR="00952D52" w:rsidRPr="00686E9D">
        <w:rPr>
          <w:u w:val="double"/>
          <w:lang w:val="en-IE"/>
        </w:rPr>
        <w:t>utes</w:t>
      </w:r>
      <w:r w:rsidR="0040163F" w:rsidRPr="00686E9D">
        <w:rPr>
          <w:u w:val="double"/>
          <w:lang w:val="en-IE"/>
        </w:rPr>
        <w:t xml:space="preserve"> at 37</w:t>
      </w:r>
      <w:r w:rsidR="00952D52" w:rsidRPr="00686E9D">
        <w:rPr>
          <w:u w:val="double"/>
          <w:lang w:val="en-IE"/>
        </w:rPr>
        <w:t>°</w:t>
      </w:r>
      <w:r w:rsidR="0040163F" w:rsidRPr="00686E9D">
        <w:rPr>
          <w:u w:val="double"/>
          <w:lang w:val="en-IE"/>
        </w:rPr>
        <w:t>C on a plate shaker, cover with plate sealer.</w:t>
      </w:r>
    </w:p>
    <w:p w14:paraId="27D6B2B6" w14:textId="129D5008" w:rsidR="0040163F" w:rsidRPr="00686E9D" w:rsidRDefault="008671C5" w:rsidP="008671C5">
      <w:pPr>
        <w:pStyle w:val="ififthlevellist"/>
        <w:rPr>
          <w:u w:val="double"/>
          <w:lang w:val="en-IE"/>
        </w:rPr>
      </w:pPr>
      <w:r w:rsidRPr="00686E9D">
        <w:rPr>
          <w:u w:val="double"/>
          <w:lang w:val="en-IE"/>
        </w:rPr>
        <w:t>k)</w:t>
      </w:r>
      <w:r w:rsidRPr="00686E9D">
        <w:rPr>
          <w:u w:val="double"/>
          <w:lang w:val="en-IE"/>
        </w:rPr>
        <w:tab/>
      </w:r>
      <w:r w:rsidR="0040163F" w:rsidRPr="00686E9D">
        <w:rPr>
          <w:u w:val="double"/>
          <w:lang w:val="en-IE"/>
        </w:rPr>
        <w:t>Wash plate 4</w:t>
      </w:r>
      <w:r w:rsidR="00952D52" w:rsidRPr="00686E9D">
        <w:rPr>
          <w:u w:val="double"/>
          <w:lang w:val="en-IE"/>
        </w:rPr>
        <w:t>×</w:t>
      </w:r>
      <w:r w:rsidR="0040163F" w:rsidRPr="00686E9D">
        <w:rPr>
          <w:u w:val="double"/>
          <w:lang w:val="en-IE"/>
        </w:rPr>
        <w:t xml:space="preserve"> with PBST using plate washer</w:t>
      </w:r>
    </w:p>
    <w:p w14:paraId="7292C874" w14:textId="054EC263" w:rsidR="0040163F" w:rsidRPr="00686E9D" w:rsidRDefault="008671C5" w:rsidP="008671C5">
      <w:pPr>
        <w:pStyle w:val="ififthlevellist"/>
        <w:rPr>
          <w:u w:val="double"/>
          <w:lang w:val="en-IE"/>
        </w:rPr>
      </w:pPr>
      <w:r w:rsidRPr="00686E9D">
        <w:rPr>
          <w:u w:val="double"/>
          <w:lang w:val="en-IE"/>
        </w:rPr>
        <w:t>l)</w:t>
      </w:r>
      <w:r w:rsidRPr="00686E9D">
        <w:rPr>
          <w:u w:val="double"/>
          <w:lang w:val="en-IE"/>
        </w:rPr>
        <w:tab/>
      </w:r>
      <w:r w:rsidR="0040163F" w:rsidRPr="00686E9D">
        <w:rPr>
          <w:u w:val="double"/>
          <w:lang w:val="en-IE"/>
        </w:rPr>
        <w:t xml:space="preserve">Add 50 </w:t>
      </w:r>
      <w:proofErr w:type="spellStart"/>
      <w:r w:rsidR="0040163F" w:rsidRPr="00686E9D">
        <w:rPr>
          <w:u w:val="double"/>
          <w:lang w:val="en-IE"/>
        </w:rPr>
        <w:t>μl</w:t>
      </w:r>
      <w:proofErr w:type="spellEnd"/>
      <w:r w:rsidR="0040163F" w:rsidRPr="00686E9D">
        <w:rPr>
          <w:u w:val="double"/>
          <w:lang w:val="en-IE"/>
        </w:rPr>
        <w:t xml:space="preserve">/well TMB </w:t>
      </w:r>
      <w:r w:rsidR="00EC68B1" w:rsidRPr="00686E9D">
        <w:rPr>
          <w:u w:val="double"/>
          <w:lang w:val="en-IE"/>
        </w:rPr>
        <w:t xml:space="preserve">(tetramethylbenzidine) </w:t>
      </w:r>
      <w:r w:rsidR="00586C1C" w:rsidRPr="00686E9D">
        <w:rPr>
          <w:u w:val="double"/>
          <w:lang w:val="en-IE"/>
        </w:rPr>
        <w:t>chromogen</w:t>
      </w:r>
      <w:r w:rsidR="001F5D10" w:rsidRPr="00686E9D">
        <w:rPr>
          <w:u w:val="double"/>
          <w:lang w:val="en-IE"/>
        </w:rPr>
        <w:t>/</w:t>
      </w:r>
      <w:r w:rsidR="0040163F" w:rsidRPr="00686E9D">
        <w:rPr>
          <w:u w:val="double"/>
          <w:lang w:val="en-IE"/>
        </w:rPr>
        <w:t>substrate and incubate at room temperature for 7</w:t>
      </w:r>
      <w:r w:rsidR="00952D52" w:rsidRPr="00686E9D">
        <w:rPr>
          <w:u w:val="double"/>
          <w:lang w:val="en-IE"/>
        </w:rPr>
        <w:t>–</w:t>
      </w:r>
      <w:r w:rsidR="0040163F" w:rsidRPr="00686E9D">
        <w:rPr>
          <w:u w:val="double"/>
          <w:lang w:val="en-IE"/>
        </w:rPr>
        <w:t>10 min</w:t>
      </w:r>
      <w:r w:rsidR="00952D52" w:rsidRPr="00686E9D">
        <w:rPr>
          <w:u w:val="double"/>
          <w:lang w:val="en-IE"/>
        </w:rPr>
        <w:t>utes</w:t>
      </w:r>
      <w:r w:rsidR="0040163F" w:rsidRPr="00686E9D">
        <w:rPr>
          <w:u w:val="double"/>
          <w:lang w:val="en-IE"/>
        </w:rPr>
        <w:t>.</w:t>
      </w:r>
    </w:p>
    <w:p w14:paraId="04211044" w14:textId="6C0CCAC0" w:rsidR="0040163F" w:rsidRPr="00686E9D" w:rsidRDefault="008671C5" w:rsidP="008671C5">
      <w:pPr>
        <w:pStyle w:val="ififthlevellist"/>
        <w:rPr>
          <w:u w:val="double"/>
          <w:lang w:val="en-IE"/>
        </w:rPr>
      </w:pPr>
      <w:r w:rsidRPr="00686E9D">
        <w:rPr>
          <w:u w:val="double"/>
          <w:lang w:val="en-IE"/>
        </w:rPr>
        <w:t>m)</w:t>
      </w:r>
      <w:r w:rsidRPr="00686E9D">
        <w:rPr>
          <w:u w:val="double"/>
          <w:lang w:val="en-IE"/>
        </w:rPr>
        <w:tab/>
      </w:r>
      <w:r w:rsidR="0040163F" w:rsidRPr="00686E9D">
        <w:rPr>
          <w:u w:val="double"/>
          <w:lang w:val="en-IE"/>
        </w:rPr>
        <w:t>Stop reaction with 50</w:t>
      </w:r>
      <w:r w:rsidR="00952D52" w:rsidRPr="00686E9D">
        <w:rPr>
          <w:u w:val="double"/>
          <w:lang w:val="en-IE"/>
        </w:rPr>
        <w:t xml:space="preserve"> </w:t>
      </w:r>
      <w:proofErr w:type="spellStart"/>
      <w:r w:rsidR="0040163F" w:rsidRPr="00686E9D">
        <w:rPr>
          <w:u w:val="double"/>
          <w:lang w:val="en-IE"/>
        </w:rPr>
        <w:t>μl</w:t>
      </w:r>
      <w:proofErr w:type="spellEnd"/>
      <w:r w:rsidR="0040163F" w:rsidRPr="00686E9D">
        <w:rPr>
          <w:u w:val="double"/>
          <w:lang w:val="en-IE"/>
        </w:rPr>
        <w:t>/well 1 M H</w:t>
      </w:r>
      <w:r w:rsidR="0040163F" w:rsidRPr="00686E9D">
        <w:rPr>
          <w:u w:val="double"/>
          <w:vertAlign w:val="subscript"/>
          <w:lang w:val="en-IE"/>
        </w:rPr>
        <w:t>2</w:t>
      </w:r>
      <w:r w:rsidR="0040163F" w:rsidRPr="00686E9D">
        <w:rPr>
          <w:u w:val="double"/>
          <w:lang w:val="en-IE"/>
        </w:rPr>
        <w:t>SO</w:t>
      </w:r>
      <w:r w:rsidR="0040163F" w:rsidRPr="00686E9D">
        <w:rPr>
          <w:u w:val="double"/>
          <w:vertAlign w:val="subscript"/>
          <w:lang w:val="en-IE"/>
        </w:rPr>
        <w:t>4.</w:t>
      </w:r>
    </w:p>
    <w:p w14:paraId="0379B994" w14:textId="443D0360" w:rsidR="0040163F" w:rsidRPr="00686E9D" w:rsidRDefault="008671C5" w:rsidP="008671C5">
      <w:pPr>
        <w:pStyle w:val="ififthlevellist"/>
        <w:rPr>
          <w:u w:val="double"/>
          <w:lang w:val="en-IE"/>
        </w:rPr>
      </w:pPr>
      <w:r w:rsidRPr="00686E9D">
        <w:rPr>
          <w:u w:val="double"/>
          <w:lang w:val="en-IE"/>
        </w:rPr>
        <w:t>n)</w:t>
      </w:r>
      <w:r w:rsidRPr="00686E9D">
        <w:rPr>
          <w:u w:val="double"/>
          <w:lang w:val="en-IE"/>
        </w:rPr>
        <w:tab/>
      </w:r>
      <w:r w:rsidR="0040163F" w:rsidRPr="00686E9D">
        <w:rPr>
          <w:u w:val="double"/>
          <w:lang w:val="en-IE"/>
        </w:rPr>
        <w:t xml:space="preserve">Read </w:t>
      </w:r>
      <w:r w:rsidR="00952D52" w:rsidRPr="00686E9D">
        <w:rPr>
          <w:u w:val="double"/>
          <w:lang w:val="en-IE"/>
        </w:rPr>
        <w:t xml:space="preserve">optical density </w:t>
      </w:r>
      <w:r w:rsidR="0040163F" w:rsidRPr="00686E9D">
        <w:rPr>
          <w:u w:val="double"/>
          <w:lang w:val="en-IE"/>
        </w:rPr>
        <w:t xml:space="preserve">at 450 nm on </w:t>
      </w:r>
      <w:r w:rsidR="00952D52" w:rsidRPr="00686E9D">
        <w:rPr>
          <w:u w:val="double"/>
          <w:lang w:val="en-IE"/>
        </w:rPr>
        <w:t>plate reader</w:t>
      </w:r>
      <w:r w:rsidR="0040163F" w:rsidRPr="00686E9D">
        <w:rPr>
          <w:u w:val="double"/>
          <w:lang w:val="en-IE"/>
        </w:rPr>
        <w:t>.</w:t>
      </w:r>
    </w:p>
    <w:p w14:paraId="6FD11112" w14:textId="12A63567" w:rsidR="0040163F" w:rsidRPr="00686E9D" w:rsidRDefault="0040163F" w:rsidP="00952D52">
      <w:pPr>
        <w:pStyle w:val="afourthpara"/>
        <w:rPr>
          <w:u w:val="double"/>
          <w:lang w:val="en-IE"/>
        </w:rPr>
      </w:pPr>
      <w:r w:rsidRPr="00686E9D">
        <w:rPr>
          <w:u w:val="double"/>
          <w:lang w:val="en-IE"/>
        </w:rPr>
        <w:t xml:space="preserve">Data transformation: Mean OD values are calculated for the test and control results. The mean OD for the negative control serum, OD </w:t>
      </w:r>
      <w:proofErr w:type="gramStart"/>
      <w:r w:rsidRPr="00686E9D">
        <w:rPr>
          <w:u w:val="double"/>
          <w:lang w:val="en-IE"/>
        </w:rPr>
        <w:t>C(</w:t>
      </w:r>
      <w:proofErr w:type="gramEnd"/>
      <w:r w:rsidR="004D7898" w:rsidRPr="00686E9D">
        <w:rPr>
          <w:u w:val="double"/>
          <w:lang w:val="en-IE"/>
        </w:rPr>
        <w:t>–</w:t>
      </w:r>
      <w:r w:rsidRPr="00686E9D">
        <w:rPr>
          <w:u w:val="double"/>
          <w:lang w:val="en-IE"/>
        </w:rPr>
        <w:t>) is subtracted from all mean OD values. These are converted to a signal-to-positive ratio (S/P) of the median low positive serum (C+).</w:t>
      </w:r>
    </w:p>
    <w:p w14:paraId="4288C31E" w14:textId="314058C3" w:rsidR="0040163F" w:rsidRPr="00686E9D" w:rsidRDefault="0040163F" w:rsidP="00952D52">
      <w:pPr>
        <w:pStyle w:val="afourthpara"/>
        <w:rPr>
          <w:u w:val="double"/>
          <w:lang w:val="en-IE"/>
        </w:rPr>
      </w:pPr>
      <w:r w:rsidRPr="00686E9D">
        <w:rPr>
          <w:u w:val="double"/>
          <w:lang w:val="en-IE"/>
        </w:rPr>
        <w:t>S/P = (OD</w:t>
      </w:r>
      <w:r w:rsidRPr="00686E9D">
        <w:rPr>
          <w:u w:val="double"/>
          <w:vertAlign w:val="subscript"/>
          <w:lang w:val="en-IE"/>
        </w:rPr>
        <w:t>TEST</w:t>
      </w:r>
      <w:r w:rsidRPr="00686E9D">
        <w:rPr>
          <w:u w:val="double"/>
          <w:lang w:val="en-IE"/>
        </w:rPr>
        <w:t xml:space="preserve"> – OD</w:t>
      </w:r>
      <w:r w:rsidRPr="00686E9D">
        <w:rPr>
          <w:u w:val="double"/>
          <w:vertAlign w:val="subscript"/>
          <w:lang w:val="en-IE"/>
        </w:rPr>
        <w:t>NHS</w:t>
      </w:r>
      <w:r w:rsidRPr="00686E9D">
        <w:rPr>
          <w:u w:val="double"/>
          <w:lang w:val="en-IE"/>
        </w:rPr>
        <w:t>)</w:t>
      </w:r>
      <w:proofErr w:type="gramStart"/>
      <w:r w:rsidRPr="00686E9D">
        <w:rPr>
          <w:u w:val="double"/>
          <w:lang w:val="en-IE"/>
        </w:rPr>
        <w:t>/(</w:t>
      </w:r>
      <w:proofErr w:type="gramEnd"/>
      <w:r w:rsidRPr="00686E9D">
        <w:rPr>
          <w:u w:val="double"/>
          <w:lang w:val="en-IE"/>
        </w:rPr>
        <w:t>average OD</w:t>
      </w:r>
      <w:r w:rsidRPr="00686E9D">
        <w:rPr>
          <w:u w:val="double"/>
          <w:vertAlign w:val="subscript"/>
          <w:lang w:val="en-IE"/>
        </w:rPr>
        <w:t>L_POS</w:t>
      </w:r>
      <w:r w:rsidRPr="00686E9D">
        <w:rPr>
          <w:u w:val="double"/>
          <w:lang w:val="en-IE"/>
        </w:rPr>
        <w:t xml:space="preserve"> – OD</w:t>
      </w:r>
      <w:r w:rsidRPr="00686E9D">
        <w:rPr>
          <w:u w:val="double"/>
          <w:vertAlign w:val="subscript"/>
          <w:lang w:val="en-IE"/>
        </w:rPr>
        <w:t>NHS</w:t>
      </w:r>
      <w:r w:rsidRPr="00686E9D">
        <w:rPr>
          <w:u w:val="double"/>
          <w:lang w:val="en-IE"/>
        </w:rPr>
        <w:t>)</w:t>
      </w:r>
    </w:p>
    <w:p w14:paraId="13B23F2D" w14:textId="33FE4C80" w:rsidR="0040163F" w:rsidRPr="00686E9D" w:rsidRDefault="008671C5" w:rsidP="008671C5">
      <w:pPr>
        <w:pStyle w:val="i"/>
        <w:rPr>
          <w:u w:val="double"/>
          <w:lang w:val="en-IE"/>
        </w:rPr>
      </w:pPr>
      <w:bookmarkStart w:id="14" w:name="_Toc266045693"/>
      <w:bookmarkStart w:id="15" w:name="_Toc266131518"/>
      <w:bookmarkStart w:id="16" w:name="_Toc266132925"/>
      <w:bookmarkStart w:id="17" w:name="_Toc266262766"/>
      <w:bookmarkStart w:id="18" w:name="_Toc266263248"/>
      <w:bookmarkStart w:id="19" w:name="_Toc266263725"/>
      <w:bookmarkStart w:id="20" w:name="_Toc266265750"/>
      <w:bookmarkStart w:id="21" w:name="_Toc266265841"/>
      <w:bookmarkStart w:id="22" w:name="_Toc266045695"/>
      <w:bookmarkStart w:id="23" w:name="_Toc266131520"/>
      <w:bookmarkStart w:id="24" w:name="_Toc266132927"/>
      <w:bookmarkStart w:id="25" w:name="_Toc266262768"/>
      <w:bookmarkStart w:id="26" w:name="_Toc266263250"/>
      <w:bookmarkStart w:id="27" w:name="_Toc266263727"/>
      <w:bookmarkStart w:id="28" w:name="_Toc266265752"/>
      <w:bookmarkStart w:id="29" w:name="_Toc266265843"/>
      <w:bookmarkStart w:id="30" w:name="_Toc266045696"/>
      <w:bookmarkStart w:id="31" w:name="_Toc266131521"/>
      <w:bookmarkStart w:id="32" w:name="_Toc266132928"/>
      <w:bookmarkStart w:id="33" w:name="_Toc266262769"/>
      <w:bookmarkStart w:id="34" w:name="_Toc266263251"/>
      <w:bookmarkStart w:id="35" w:name="_Toc266263728"/>
      <w:bookmarkStart w:id="36" w:name="_Toc266265753"/>
      <w:bookmarkStart w:id="37" w:name="_Toc266265844"/>
      <w:bookmarkStart w:id="38" w:name="_Toc266045697"/>
      <w:bookmarkStart w:id="39" w:name="_Toc266131522"/>
      <w:bookmarkStart w:id="40" w:name="_Toc266132929"/>
      <w:bookmarkStart w:id="41" w:name="_Toc266262770"/>
      <w:bookmarkStart w:id="42" w:name="_Toc266263252"/>
      <w:bookmarkStart w:id="43" w:name="_Toc266263729"/>
      <w:bookmarkStart w:id="44" w:name="_Toc266265754"/>
      <w:bookmarkStart w:id="45" w:name="_Toc266265845"/>
      <w:bookmarkStart w:id="46" w:name="_Toc266045700"/>
      <w:bookmarkStart w:id="47" w:name="_Toc266131525"/>
      <w:bookmarkStart w:id="48" w:name="_Toc266132932"/>
      <w:bookmarkStart w:id="49" w:name="_Toc266262773"/>
      <w:bookmarkStart w:id="50" w:name="_Toc266263255"/>
      <w:bookmarkStart w:id="51" w:name="_Toc266263732"/>
      <w:bookmarkStart w:id="52" w:name="_Toc266265757"/>
      <w:bookmarkStart w:id="53" w:name="_Toc266265848"/>
      <w:bookmarkStart w:id="54" w:name="_Toc266045702"/>
      <w:bookmarkStart w:id="55" w:name="_Toc266131527"/>
      <w:bookmarkStart w:id="56" w:name="_Toc266132934"/>
      <w:bookmarkStart w:id="57" w:name="_Toc266262775"/>
      <w:bookmarkStart w:id="58" w:name="_Toc266263257"/>
      <w:bookmarkStart w:id="59" w:name="_Toc266263734"/>
      <w:bookmarkStart w:id="60" w:name="_Toc266265759"/>
      <w:bookmarkStart w:id="61" w:name="_Toc266265850"/>
      <w:bookmarkStart w:id="62" w:name="_Acceptance_of_Assay"/>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686E9D">
        <w:rPr>
          <w:u w:val="double"/>
          <w:lang w:val="en-IE"/>
        </w:rPr>
        <w:t>ii)</w:t>
      </w:r>
      <w:r w:rsidRPr="00686E9D">
        <w:rPr>
          <w:u w:val="double"/>
          <w:lang w:val="en-IE"/>
        </w:rPr>
        <w:tab/>
      </w:r>
      <w:r w:rsidR="0040163F" w:rsidRPr="00686E9D">
        <w:rPr>
          <w:u w:val="double"/>
          <w:lang w:val="en-IE"/>
        </w:rPr>
        <w:t>Acceptance</w:t>
      </w:r>
      <w:r w:rsidR="0012380B" w:rsidRPr="00686E9D">
        <w:rPr>
          <w:u w:val="double"/>
          <w:lang w:val="en-IE"/>
        </w:rPr>
        <w:t xml:space="preserve"> criteria</w:t>
      </w:r>
    </w:p>
    <w:p w14:paraId="430ABAEA" w14:textId="0DB6FDA3" w:rsidR="0012380B" w:rsidRPr="00686E9D" w:rsidRDefault="0012380B" w:rsidP="00952D52">
      <w:pPr>
        <w:pStyle w:val="afourthpara"/>
        <w:spacing w:after="120"/>
        <w:rPr>
          <w:u w:val="double"/>
          <w:lang w:val="en-IE"/>
        </w:rPr>
      </w:pPr>
      <w:r w:rsidRPr="00686E9D">
        <w:rPr>
          <w:u w:val="double"/>
          <w:lang w:val="en-IE"/>
        </w:rPr>
        <w:t>The test is valid if</w:t>
      </w:r>
      <w:r w:rsidR="005701E1" w:rsidRPr="00686E9D">
        <w:rPr>
          <w:u w:val="double"/>
          <w:lang w:val="en-IE"/>
        </w:rPr>
        <w:t xml:space="preserve"> </w:t>
      </w:r>
      <w:proofErr w:type="gramStart"/>
      <w:r w:rsidR="005701E1" w:rsidRPr="00686E9D">
        <w:rPr>
          <w:u w:val="double"/>
          <w:lang w:val="en-IE"/>
        </w:rPr>
        <w:t>all of</w:t>
      </w:r>
      <w:proofErr w:type="gramEnd"/>
      <w:r w:rsidRPr="00686E9D">
        <w:rPr>
          <w:u w:val="double"/>
          <w:lang w:val="en-IE"/>
        </w:rPr>
        <w:t xml:space="preserve"> the following criteria are met </w:t>
      </w:r>
    </w:p>
    <w:tbl>
      <w:tblPr>
        <w:tblW w:w="5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92"/>
      </w:tblGrid>
      <w:tr w:rsidR="0040163F" w:rsidRPr="00686E9D" w14:paraId="498FA103" w14:textId="77777777" w:rsidTr="00261C2B">
        <w:trPr>
          <w:trHeight w:val="300"/>
          <w:jc w:val="center"/>
        </w:trPr>
        <w:tc>
          <w:tcPr>
            <w:tcW w:w="2367" w:type="dxa"/>
            <w:shd w:val="clear" w:color="auto" w:fill="auto"/>
            <w:noWrap/>
            <w:vAlign w:val="bottom"/>
            <w:hideMark/>
          </w:tcPr>
          <w:p w14:paraId="65A6C6BE" w14:textId="55246AB9" w:rsidR="0040163F" w:rsidRPr="00686E9D" w:rsidRDefault="0040163F" w:rsidP="00952D52">
            <w:pPr>
              <w:spacing w:before="60" w:after="60" w:line="240" w:lineRule="auto"/>
              <w:rPr>
                <w:rFonts w:ascii="Arial" w:hAnsi="Arial" w:cs="Arial"/>
                <w:b/>
                <w:bCs/>
                <w:sz w:val="18"/>
                <w:szCs w:val="18"/>
                <w:u w:val="double"/>
                <w:lang w:val="en-IE" w:eastAsia="en-AU"/>
              </w:rPr>
            </w:pPr>
            <w:r w:rsidRPr="00686E9D">
              <w:rPr>
                <w:rFonts w:ascii="Arial" w:hAnsi="Arial" w:cs="Arial"/>
                <w:b/>
                <w:bCs/>
                <w:sz w:val="18"/>
                <w:szCs w:val="18"/>
                <w:u w:val="double"/>
                <w:lang w:val="en-IE" w:eastAsia="en-AU"/>
              </w:rPr>
              <w:t xml:space="preserve">OD </w:t>
            </w:r>
            <w:proofErr w:type="gramStart"/>
            <w:r w:rsidRPr="00686E9D">
              <w:rPr>
                <w:rFonts w:ascii="Arial" w:hAnsi="Arial" w:cs="Arial"/>
                <w:b/>
                <w:bCs/>
                <w:sz w:val="18"/>
                <w:szCs w:val="18"/>
                <w:u w:val="double"/>
                <w:lang w:val="en-IE" w:eastAsia="en-AU"/>
              </w:rPr>
              <w:t>C(</w:t>
            </w:r>
            <w:proofErr w:type="gramEnd"/>
            <w:r w:rsidRPr="00686E9D">
              <w:rPr>
                <w:rFonts w:ascii="Arial" w:hAnsi="Arial" w:cs="Arial"/>
                <w:b/>
                <w:bCs/>
                <w:sz w:val="18"/>
                <w:szCs w:val="18"/>
                <w:u w:val="double"/>
                <w:lang w:val="en-IE" w:eastAsia="en-AU"/>
              </w:rPr>
              <w:t>+) – OD C(</w:t>
            </w:r>
            <w:r w:rsidR="00952D52" w:rsidRPr="00686E9D">
              <w:rPr>
                <w:rFonts w:ascii="Arial" w:hAnsi="Arial" w:cs="Arial"/>
                <w:b/>
                <w:bCs/>
                <w:sz w:val="18"/>
                <w:szCs w:val="18"/>
                <w:u w:val="double"/>
                <w:lang w:val="en-IE" w:eastAsia="en-AU"/>
              </w:rPr>
              <w:t>–</w:t>
            </w:r>
            <w:r w:rsidRPr="00686E9D">
              <w:rPr>
                <w:rFonts w:ascii="Arial" w:hAnsi="Arial" w:cs="Arial"/>
                <w:b/>
                <w:bCs/>
                <w:sz w:val="18"/>
                <w:szCs w:val="18"/>
                <w:u w:val="double"/>
                <w:lang w:val="en-IE" w:eastAsia="en-AU"/>
              </w:rPr>
              <w:t>)</w:t>
            </w:r>
          </w:p>
        </w:tc>
        <w:tc>
          <w:tcPr>
            <w:tcW w:w="2692" w:type="dxa"/>
            <w:shd w:val="clear" w:color="auto" w:fill="auto"/>
            <w:noWrap/>
            <w:vAlign w:val="bottom"/>
            <w:hideMark/>
          </w:tcPr>
          <w:p w14:paraId="4A235C10" w14:textId="77777777" w:rsidR="0040163F" w:rsidRPr="00686E9D" w:rsidRDefault="0040163F" w:rsidP="00952D52">
            <w:pPr>
              <w:spacing w:before="60" w:after="60" w:line="240" w:lineRule="auto"/>
              <w:rPr>
                <w:rFonts w:ascii="Arial" w:hAnsi="Arial" w:cs="Arial"/>
                <w:sz w:val="18"/>
                <w:szCs w:val="18"/>
                <w:u w:val="double"/>
                <w:lang w:val="en-IE" w:eastAsia="en-AU"/>
              </w:rPr>
            </w:pPr>
            <w:r w:rsidRPr="00686E9D">
              <w:rPr>
                <w:rFonts w:ascii="Arial" w:hAnsi="Arial" w:cs="Arial"/>
                <w:sz w:val="18"/>
                <w:szCs w:val="18"/>
                <w:u w:val="double"/>
                <w:lang w:val="en-IE" w:eastAsia="en-AU"/>
              </w:rPr>
              <w:t>0.30 to 1.0</w:t>
            </w:r>
          </w:p>
        </w:tc>
      </w:tr>
      <w:tr w:rsidR="0040163F" w:rsidRPr="00686E9D" w14:paraId="7E669111" w14:textId="77777777" w:rsidTr="00261C2B">
        <w:trPr>
          <w:trHeight w:val="300"/>
          <w:jc w:val="center"/>
        </w:trPr>
        <w:tc>
          <w:tcPr>
            <w:tcW w:w="2367" w:type="dxa"/>
            <w:shd w:val="clear" w:color="auto" w:fill="auto"/>
            <w:noWrap/>
            <w:vAlign w:val="bottom"/>
            <w:hideMark/>
          </w:tcPr>
          <w:p w14:paraId="2620C9B5" w14:textId="15BCA69F" w:rsidR="0040163F" w:rsidRPr="00686E9D" w:rsidRDefault="0040163F" w:rsidP="00952D52">
            <w:pPr>
              <w:spacing w:before="60" w:after="60" w:line="240" w:lineRule="auto"/>
              <w:rPr>
                <w:rFonts w:ascii="Arial" w:hAnsi="Arial" w:cs="Arial"/>
                <w:b/>
                <w:bCs/>
                <w:sz w:val="18"/>
                <w:szCs w:val="18"/>
                <w:u w:val="double"/>
                <w:lang w:val="en-IE" w:eastAsia="en-AU"/>
              </w:rPr>
            </w:pPr>
            <w:r w:rsidRPr="00686E9D">
              <w:rPr>
                <w:rFonts w:ascii="Arial" w:hAnsi="Arial" w:cs="Arial"/>
                <w:b/>
                <w:bCs/>
                <w:sz w:val="18"/>
                <w:szCs w:val="18"/>
                <w:u w:val="double"/>
                <w:lang w:val="en-IE" w:eastAsia="en-AU"/>
              </w:rPr>
              <w:t xml:space="preserve">OD </w:t>
            </w:r>
            <w:proofErr w:type="gramStart"/>
            <w:r w:rsidRPr="00686E9D">
              <w:rPr>
                <w:rFonts w:ascii="Arial" w:hAnsi="Arial" w:cs="Arial"/>
                <w:b/>
                <w:bCs/>
                <w:sz w:val="18"/>
                <w:szCs w:val="18"/>
                <w:u w:val="double"/>
                <w:lang w:val="en-IE" w:eastAsia="en-AU"/>
              </w:rPr>
              <w:t>C(</w:t>
            </w:r>
            <w:proofErr w:type="gramEnd"/>
            <w:r w:rsidR="00952D52" w:rsidRPr="00686E9D">
              <w:rPr>
                <w:rFonts w:ascii="Arial" w:hAnsi="Arial" w:cs="Arial"/>
                <w:b/>
                <w:bCs/>
                <w:sz w:val="18"/>
                <w:szCs w:val="18"/>
                <w:u w:val="double"/>
                <w:lang w:val="en-IE" w:eastAsia="en-AU"/>
              </w:rPr>
              <w:t>–</w:t>
            </w:r>
            <w:r w:rsidRPr="00686E9D">
              <w:rPr>
                <w:rFonts w:ascii="Arial" w:hAnsi="Arial" w:cs="Arial"/>
                <w:b/>
                <w:bCs/>
                <w:sz w:val="18"/>
                <w:szCs w:val="18"/>
                <w:u w:val="double"/>
                <w:lang w:val="en-IE" w:eastAsia="en-AU"/>
              </w:rPr>
              <w:t>)</w:t>
            </w:r>
          </w:p>
        </w:tc>
        <w:tc>
          <w:tcPr>
            <w:tcW w:w="2692" w:type="dxa"/>
            <w:shd w:val="clear" w:color="auto" w:fill="auto"/>
            <w:noWrap/>
            <w:vAlign w:val="bottom"/>
            <w:hideMark/>
          </w:tcPr>
          <w:p w14:paraId="52E6E185" w14:textId="77777777" w:rsidR="0040163F" w:rsidRPr="00686E9D" w:rsidRDefault="0040163F" w:rsidP="00952D52">
            <w:pPr>
              <w:spacing w:before="60" w:after="60" w:line="240" w:lineRule="auto"/>
              <w:rPr>
                <w:rFonts w:ascii="Arial" w:hAnsi="Arial" w:cs="Arial"/>
                <w:color w:val="000000"/>
                <w:sz w:val="18"/>
                <w:szCs w:val="18"/>
                <w:u w:val="double"/>
                <w:lang w:val="en-IE" w:eastAsia="en-AU"/>
              </w:rPr>
            </w:pPr>
            <w:r w:rsidRPr="00686E9D">
              <w:rPr>
                <w:rFonts w:ascii="Arial" w:hAnsi="Arial" w:cs="Arial"/>
                <w:color w:val="000000"/>
                <w:sz w:val="18"/>
                <w:szCs w:val="18"/>
                <w:u w:val="double"/>
                <w:lang w:val="en-IE" w:eastAsia="en-AU"/>
              </w:rPr>
              <w:t>&lt; 0.25</w:t>
            </w:r>
          </w:p>
        </w:tc>
      </w:tr>
      <w:tr w:rsidR="0040163F" w:rsidRPr="00686E9D" w14:paraId="1295C57F" w14:textId="77777777" w:rsidTr="00261C2B">
        <w:trPr>
          <w:trHeight w:val="315"/>
          <w:jc w:val="center"/>
        </w:trPr>
        <w:tc>
          <w:tcPr>
            <w:tcW w:w="2367" w:type="dxa"/>
            <w:shd w:val="clear" w:color="auto" w:fill="auto"/>
            <w:noWrap/>
            <w:vAlign w:val="bottom"/>
            <w:hideMark/>
          </w:tcPr>
          <w:p w14:paraId="3FD82CA4" w14:textId="77777777" w:rsidR="0040163F" w:rsidRPr="00686E9D" w:rsidRDefault="0040163F" w:rsidP="00952D52">
            <w:pPr>
              <w:spacing w:before="60" w:after="60" w:line="240" w:lineRule="auto"/>
              <w:rPr>
                <w:rFonts w:ascii="Arial" w:hAnsi="Arial" w:cs="Arial"/>
                <w:b/>
                <w:bCs/>
                <w:sz w:val="18"/>
                <w:szCs w:val="18"/>
                <w:u w:val="double"/>
                <w:lang w:val="en-IE" w:eastAsia="en-AU"/>
              </w:rPr>
            </w:pPr>
            <w:r w:rsidRPr="00686E9D">
              <w:rPr>
                <w:rFonts w:ascii="Arial" w:hAnsi="Arial" w:cs="Arial"/>
                <w:b/>
                <w:bCs/>
                <w:sz w:val="18"/>
                <w:szCs w:val="18"/>
                <w:u w:val="double"/>
                <w:lang w:val="en-IE" w:eastAsia="en-AU"/>
              </w:rPr>
              <w:t xml:space="preserve">S/P </w:t>
            </w:r>
            <w:proofErr w:type="gramStart"/>
            <w:r w:rsidRPr="00686E9D">
              <w:rPr>
                <w:rFonts w:ascii="Arial" w:hAnsi="Arial" w:cs="Arial"/>
                <w:b/>
                <w:bCs/>
                <w:sz w:val="18"/>
                <w:szCs w:val="18"/>
                <w:u w:val="double"/>
                <w:lang w:val="en-IE" w:eastAsia="en-AU"/>
              </w:rPr>
              <w:t>C(</w:t>
            </w:r>
            <w:proofErr w:type="gramEnd"/>
            <w:r w:rsidRPr="00686E9D">
              <w:rPr>
                <w:rFonts w:ascii="Arial" w:hAnsi="Arial" w:cs="Arial"/>
                <w:b/>
                <w:bCs/>
                <w:sz w:val="18"/>
                <w:szCs w:val="18"/>
                <w:u w:val="double"/>
                <w:lang w:val="en-IE" w:eastAsia="en-AU"/>
              </w:rPr>
              <w:t>++)</w:t>
            </w:r>
          </w:p>
        </w:tc>
        <w:tc>
          <w:tcPr>
            <w:tcW w:w="2692" w:type="dxa"/>
            <w:shd w:val="clear" w:color="auto" w:fill="auto"/>
            <w:noWrap/>
            <w:vAlign w:val="bottom"/>
            <w:hideMark/>
          </w:tcPr>
          <w:p w14:paraId="633565F8" w14:textId="770AE255" w:rsidR="0040163F" w:rsidRPr="00686E9D" w:rsidRDefault="00952D52" w:rsidP="00952D52">
            <w:pPr>
              <w:spacing w:before="60" w:after="60" w:line="240" w:lineRule="auto"/>
              <w:rPr>
                <w:rFonts w:ascii="Arial" w:hAnsi="Arial" w:cs="Arial"/>
                <w:sz w:val="18"/>
                <w:szCs w:val="18"/>
                <w:u w:val="double"/>
                <w:lang w:val="en-IE" w:eastAsia="en-AU"/>
              </w:rPr>
            </w:pPr>
            <w:r w:rsidRPr="00686E9D">
              <w:rPr>
                <w:rFonts w:ascii="Arial" w:hAnsi="Arial" w:cs="Arial"/>
                <w:sz w:val="18"/>
                <w:szCs w:val="18"/>
                <w:u w:val="double"/>
                <w:lang w:val="en-IE" w:eastAsia="en-AU"/>
              </w:rPr>
              <w:t xml:space="preserve">1.4 </w:t>
            </w:r>
            <w:r w:rsidR="0040163F" w:rsidRPr="00686E9D">
              <w:rPr>
                <w:rFonts w:ascii="Arial" w:hAnsi="Arial" w:cs="Arial"/>
                <w:sz w:val="18"/>
                <w:szCs w:val="18"/>
                <w:u w:val="double"/>
                <w:lang w:val="en-IE" w:eastAsia="en-AU"/>
              </w:rPr>
              <w:t>to 2.4</w:t>
            </w:r>
          </w:p>
        </w:tc>
      </w:tr>
    </w:tbl>
    <w:p w14:paraId="16C649EB" w14:textId="0507D02F" w:rsidR="0040163F" w:rsidRPr="00686E9D" w:rsidRDefault="008671C5" w:rsidP="00952D52">
      <w:pPr>
        <w:pStyle w:val="i"/>
        <w:spacing w:before="120"/>
        <w:rPr>
          <w:b/>
          <w:bCs/>
          <w:u w:val="double"/>
          <w:lang w:val="en-IE"/>
        </w:rPr>
      </w:pPr>
      <w:bookmarkStart w:id="63" w:name="_Toc441656673"/>
      <w:r w:rsidRPr="00686E9D">
        <w:rPr>
          <w:u w:val="double"/>
          <w:lang w:val="en-IE"/>
        </w:rPr>
        <w:t>iii)</w:t>
      </w:r>
      <w:r w:rsidRPr="00686E9D">
        <w:rPr>
          <w:u w:val="double"/>
          <w:lang w:val="en-IE"/>
        </w:rPr>
        <w:tab/>
      </w:r>
      <w:r w:rsidR="0040163F" w:rsidRPr="00686E9D">
        <w:rPr>
          <w:u w:val="double"/>
          <w:lang w:val="en-IE"/>
        </w:rPr>
        <w:t>Interpretation of results</w:t>
      </w:r>
      <w:bookmarkEnd w:id="63"/>
    </w:p>
    <w:p w14:paraId="23A5DCD5" w14:textId="6E55476F" w:rsidR="0012380B" w:rsidRPr="00686E9D" w:rsidRDefault="0012380B" w:rsidP="00952D52">
      <w:pPr>
        <w:pStyle w:val="afourthpara"/>
        <w:rPr>
          <w:u w:val="double"/>
          <w:lang w:val="en-IE"/>
        </w:rPr>
      </w:pPr>
      <w:r w:rsidRPr="00686E9D">
        <w:rPr>
          <w:u w:val="double"/>
          <w:lang w:val="en-IE"/>
        </w:rPr>
        <w:t xml:space="preserve">Samples with S/P less than 0.25 are negative. </w:t>
      </w:r>
    </w:p>
    <w:p w14:paraId="4CFD49CF" w14:textId="37E654DC" w:rsidR="0040163F" w:rsidRPr="00686E9D" w:rsidRDefault="0012380B" w:rsidP="00952D52">
      <w:pPr>
        <w:pStyle w:val="afourthpara"/>
        <w:rPr>
          <w:rFonts w:cs="Times New Roman"/>
          <w:u w:val="double"/>
          <w:lang w:val="en-IE"/>
        </w:rPr>
      </w:pPr>
      <w:r w:rsidRPr="00686E9D">
        <w:rPr>
          <w:u w:val="double"/>
          <w:lang w:val="en-IE"/>
        </w:rPr>
        <w:t xml:space="preserve">Samples with S/P between 0.25 and 0.4 are considered inconclusive and a VNT is required to clarify status. Samples with S/P between &gt; 0.4 are considered positive and a VNT is required to confirm this result. </w:t>
      </w:r>
    </w:p>
    <w:p w14:paraId="2C055FB2" w14:textId="5EB08561" w:rsidR="0040163F" w:rsidRPr="00686E9D" w:rsidRDefault="0040163F" w:rsidP="00952D52">
      <w:pPr>
        <w:pStyle w:val="111Para"/>
        <w:rPr>
          <w:u w:val="double"/>
          <w:lang w:val="en-IE"/>
        </w:rPr>
      </w:pPr>
      <w:r w:rsidRPr="00686E9D">
        <w:rPr>
          <w:u w:val="double"/>
          <w:lang w:val="en-IE"/>
        </w:rPr>
        <w:t xml:space="preserve">One </w:t>
      </w:r>
      <w:r w:rsidR="001A40D4" w:rsidRPr="00686E9D">
        <w:rPr>
          <w:u w:val="double"/>
          <w:lang w:val="en-IE"/>
        </w:rPr>
        <w:t>limitation</w:t>
      </w:r>
      <w:r w:rsidRPr="00686E9D">
        <w:rPr>
          <w:u w:val="double"/>
          <w:lang w:val="en-IE"/>
        </w:rPr>
        <w:t xml:space="preserve"> of this assay is that it does not distinguish between antibodies due to natural infection and those due to vaccination (due to soluble G being present in the current Hendra virus vaccine</w:t>
      </w:r>
      <w:r w:rsidR="001A40D4" w:rsidRPr="00686E9D">
        <w:rPr>
          <w:u w:val="double"/>
          <w:lang w:val="en-IE"/>
        </w:rPr>
        <w:t>)</w:t>
      </w:r>
      <w:r w:rsidRPr="00686E9D">
        <w:rPr>
          <w:u w:val="double"/>
          <w:lang w:val="en-IE"/>
        </w:rPr>
        <w:t xml:space="preserve">. Any positive result must be interpreted in the context of the </w:t>
      </w:r>
      <w:r w:rsidR="00AD16A3" w:rsidRPr="00686E9D">
        <w:rPr>
          <w:u w:val="double"/>
          <w:lang w:val="en-IE"/>
        </w:rPr>
        <w:t>horse</w:t>
      </w:r>
      <w:r w:rsidRPr="00686E9D">
        <w:rPr>
          <w:u w:val="double"/>
          <w:lang w:val="en-IE"/>
        </w:rPr>
        <w:t>’s vaccination history. Also, this assay can only</w:t>
      </w:r>
      <w:r w:rsidR="00AD16A3" w:rsidRPr="00686E9D">
        <w:rPr>
          <w:u w:val="double"/>
          <w:lang w:val="en-IE"/>
        </w:rPr>
        <w:t xml:space="preserve"> be used</w:t>
      </w:r>
      <w:r w:rsidRPr="00686E9D">
        <w:rPr>
          <w:u w:val="double"/>
          <w:lang w:val="en-IE"/>
        </w:rPr>
        <w:t xml:space="preserve"> with </w:t>
      </w:r>
      <w:r w:rsidR="00AD16A3" w:rsidRPr="00686E9D">
        <w:rPr>
          <w:u w:val="double"/>
          <w:lang w:val="en-IE"/>
        </w:rPr>
        <w:t>horse</w:t>
      </w:r>
      <w:r w:rsidRPr="00686E9D">
        <w:rPr>
          <w:u w:val="double"/>
          <w:lang w:val="en-IE"/>
        </w:rPr>
        <w:t xml:space="preserve"> serum due to the use of an anti-equine </w:t>
      </w:r>
      <w:r w:rsidR="005D0CC6" w:rsidRPr="005D0CC6">
        <w:rPr>
          <w:u w:val="double"/>
          <w:lang w:val="en-IE"/>
        </w:rPr>
        <w:t>horseradish peroxidase</w:t>
      </w:r>
      <w:r w:rsidRPr="00686E9D">
        <w:rPr>
          <w:u w:val="double"/>
          <w:lang w:val="en-IE"/>
        </w:rPr>
        <w:t xml:space="preserve"> conjugate in the ELISA.</w:t>
      </w:r>
    </w:p>
    <w:p w14:paraId="3A6D7D11" w14:textId="4D851A20" w:rsidR="0040163F" w:rsidRPr="00686E9D" w:rsidRDefault="0040163F" w:rsidP="008671C5">
      <w:pPr>
        <w:pStyle w:val="111"/>
        <w:rPr>
          <w:u w:val="double"/>
          <w:lang w:val="en-IE"/>
        </w:rPr>
      </w:pPr>
      <w:r w:rsidRPr="00686E9D">
        <w:rPr>
          <w:u w:val="double"/>
          <w:lang w:val="en-IE"/>
        </w:rPr>
        <w:t>4.2.</w:t>
      </w:r>
      <w:r w:rsidR="00284D2F" w:rsidRPr="00686E9D">
        <w:rPr>
          <w:u w:val="double"/>
          <w:lang w:val="en-IE"/>
        </w:rPr>
        <w:t>2</w:t>
      </w:r>
      <w:r w:rsidR="008671C5" w:rsidRPr="00686E9D">
        <w:rPr>
          <w:u w:val="double"/>
          <w:lang w:val="en-IE"/>
        </w:rPr>
        <w:t>.</w:t>
      </w:r>
      <w:r w:rsidR="008671C5" w:rsidRPr="00686E9D">
        <w:rPr>
          <w:u w:val="double"/>
          <w:lang w:val="en-IE"/>
        </w:rPr>
        <w:tab/>
      </w:r>
      <w:bookmarkStart w:id="64" w:name="_Hlk95814455"/>
      <w:r w:rsidRPr="00686E9D">
        <w:rPr>
          <w:u w:val="double"/>
          <w:lang w:val="en-IE"/>
        </w:rPr>
        <w:t xml:space="preserve">Hendra </w:t>
      </w:r>
      <w:r w:rsidR="00952D52" w:rsidRPr="00686E9D">
        <w:rPr>
          <w:u w:val="double"/>
          <w:lang w:val="en-IE"/>
        </w:rPr>
        <w:t>B-</w:t>
      </w:r>
      <w:r w:rsidRPr="00686E9D">
        <w:rPr>
          <w:u w:val="double"/>
          <w:lang w:val="en-IE"/>
        </w:rPr>
        <w:t>ELISA method</w:t>
      </w:r>
      <w:bookmarkEnd w:id="64"/>
    </w:p>
    <w:p w14:paraId="66A52F65" w14:textId="6A706983" w:rsidR="0012380B" w:rsidRPr="00686E9D" w:rsidRDefault="0012380B" w:rsidP="00952D52">
      <w:pPr>
        <w:pStyle w:val="111Para"/>
        <w:rPr>
          <w:u w:val="double"/>
          <w:lang w:val="en-IE"/>
        </w:rPr>
      </w:pPr>
      <w:r w:rsidRPr="00686E9D">
        <w:rPr>
          <w:u w:val="double"/>
          <w:lang w:val="en-IE"/>
        </w:rPr>
        <w:lastRenderedPageBreak/>
        <w:t xml:space="preserve">A blocking Hendra virus ELISA has been validated for use for equine, feline and canine sera (Di </w:t>
      </w:r>
      <w:proofErr w:type="spellStart"/>
      <w:r w:rsidRPr="00686E9D">
        <w:rPr>
          <w:u w:val="double"/>
          <w:lang w:val="en-IE"/>
        </w:rPr>
        <w:t>Rubbo</w:t>
      </w:r>
      <w:proofErr w:type="spellEnd"/>
      <w:r w:rsidRPr="00686E9D">
        <w:rPr>
          <w:u w:val="double"/>
          <w:lang w:val="en-IE"/>
        </w:rPr>
        <w:t xml:space="preserve"> </w:t>
      </w:r>
      <w:r w:rsidRPr="00686E9D">
        <w:rPr>
          <w:i/>
          <w:iCs/>
          <w:u w:val="double"/>
          <w:lang w:val="en-IE"/>
        </w:rPr>
        <w:t xml:space="preserve">et al., </w:t>
      </w:r>
      <w:r w:rsidRPr="00686E9D">
        <w:rPr>
          <w:u w:val="double"/>
          <w:lang w:val="en-IE"/>
        </w:rPr>
        <w:t>2019).</w:t>
      </w:r>
    </w:p>
    <w:p w14:paraId="2EDEB1CF" w14:textId="595C3F73" w:rsidR="0012380B" w:rsidRPr="00686E9D" w:rsidRDefault="0012380B" w:rsidP="00952D52">
      <w:pPr>
        <w:pStyle w:val="i"/>
        <w:rPr>
          <w:u w:val="double"/>
          <w:lang w:val="en-IE"/>
        </w:rPr>
      </w:pPr>
      <w:r w:rsidRPr="00686E9D">
        <w:rPr>
          <w:u w:val="double"/>
          <w:lang w:val="en-IE"/>
        </w:rPr>
        <w:t>i</w:t>
      </w:r>
      <w:r w:rsidR="00952D52" w:rsidRPr="00686E9D">
        <w:rPr>
          <w:u w:val="double"/>
          <w:lang w:val="en-IE"/>
        </w:rPr>
        <w:t>)</w:t>
      </w:r>
      <w:r w:rsidR="00952D52" w:rsidRPr="00686E9D">
        <w:rPr>
          <w:u w:val="double"/>
          <w:lang w:val="en-IE"/>
        </w:rPr>
        <w:tab/>
        <w:t>B-</w:t>
      </w:r>
      <w:r w:rsidRPr="00686E9D">
        <w:rPr>
          <w:u w:val="double"/>
          <w:lang w:val="en-IE"/>
        </w:rPr>
        <w:t>ELISA method</w:t>
      </w:r>
    </w:p>
    <w:p w14:paraId="1563D40A" w14:textId="66504CCE" w:rsidR="0040163F" w:rsidRPr="00686E9D" w:rsidRDefault="0040163F" w:rsidP="00952D52">
      <w:pPr>
        <w:pStyle w:val="ififthlevellist"/>
        <w:rPr>
          <w:u w:val="double"/>
          <w:lang w:val="en-IE"/>
        </w:rPr>
      </w:pPr>
      <w:r w:rsidRPr="00686E9D">
        <w:rPr>
          <w:u w:val="double"/>
          <w:lang w:val="en-IE"/>
        </w:rPr>
        <w:t>a)</w:t>
      </w:r>
      <w:r w:rsidR="00952D52" w:rsidRPr="00686E9D">
        <w:rPr>
          <w:u w:val="double"/>
          <w:lang w:val="en-IE"/>
        </w:rPr>
        <w:tab/>
      </w:r>
      <w:r w:rsidRPr="00686E9D">
        <w:rPr>
          <w:u w:val="double"/>
          <w:lang w:val="en-IE"/>
        </w:rPr>
        <w:t xml:space="preserve">Pre-treatment of sera with </w:t>
      </w:r>
      <w:r w:rsidR="005D0CC6">
        <w:rPr>
          <w:u w:val="double"/>
          <w:lang w:val="en-IE"/>
        </w:rPr>
        <w:t>o</w:t>
      </w:r>
      <w:proofErr w:type="spellStart"/>
      <w:r w:rsidR="005D0CC6" w:rsidRPr="00EC3CB9">
        <w:rPr>
          <w:u w:val="double"/>
        </w:rPr>
        <w:t>ctylphenol</w:t>
      </w:r>
      <w:proofErr w:type="spellEnd"/>
      <w:r w:rsidR="005D0CC6" w:rsidRPr="00EC3CB9">
        <w:rPr>
          <w:u w:val="double"/>
        </w:rPr>
        <w:t xml:space="preserve"> ethoxylate</w:t>
      </w:r>
      <w:r w:rsidR="005D0CC6">
        <w:rPr>
          <w:u w:val="double"/>
        </w:rPr>
        <w:t>/</w:t>
      </w:r>
      <w:r w:rsidR="005D0CC6" w:rsidRPr="005D0CC6">
        <w:rPr>
          <w:u w:val="double"/>
          <w:lang w:val="en-IE"/>
        </w:rPr>
        <w:t>polysorbate 20</w:t>
      </w:r>
      <w:r w:rsidR="00AF3F85" w:rsidRPr="005D0CC6">
        <w:rPr>
          <w:u w:val="double"/>
          <w:lang w:val="en-IE"/>
        </w:rPr>
        <w:t xml:space="preserve"> </w:t>
      </w:r>
      <w:r w:rsidRPr="005D0CC6">
        <w:rPr>
          <w:u w:val="double"/>
          <w:lang w:val="en-IE"/>
        </w:rPr>
        <w:t>(1/</w:t>
      </w:r>
      <w:r w:rsidRPr="00686E9D">
        <w:rPr>
          <w:u w:val="double"/>
          <w:lang w:val="en-IE"/>
        </w:rPr>
        <w:t xml:space="preserve">5 </w:t>
      </w:r>
      <w:r w:rsidR="002A5D11" w:rsidRPr="00686E9D">
        <w:rPr>
          <w:u w:val="double"/>
          <w:lang w:val="en-IE"/>
        </w:rPr>
        <w:t>dilution</w:t>
      </w:r>
      <w:r w:rsidRPr="00686E9D">
        <w:rPr>
          <w:u w:val="double"/>
          <w:lang w:val="en-IE"/>
        </w:rPr>
        <w:t xml:space="preserve"> in PBS containing 0.5% </w:t>
      </w:r>
      <w:r w:rsidR="00EC68B1" w:rsidRPr="00686E9D">
        <w:rPr>
          <w:u w:val="double"/>
          <w:lang w:val="en-IE"/>
        </w:rPr>
        <w:t>[</w:t>
      </w:r>
      <w:r w:rsidRPr="00686E9D">
        <w:rPr>
          <w:u w:val="double"/>
          <w:lang w:val="en-IE"/>
        </w:rPr>
        <w:t>v/v</w:t>
      </w:r>
      <w:r w:rsidR="00EC68B1" w:rsidRPr="00686E9D">
        <w:rPr>
          <w:u w:val="double"/>
          <w:lang w:val="en-IE"/>
        </w:rPr>
        <w:t xml:space="preserve">] </w:t>
      </w:r>
      <w:r w:rsidR="005D0CC6" w:rsidRPr="00EC3CB9">
        <w:rPr>
          <w:u w:val="double"/>
          <w:lang w:val="en-IE"/>
        </w:rPr>
        <w:t>o</w:t>
      </w:r>
      <w:proofErr w:type="spellStart"/>
      <w:r w:rsidR="005D0CC6" w:rsidRPr="00EC3CB9">
        <w:rPr>
          <w:u w:val="double"/>
        </w:rPr>
        <w:t>ctylphenol</w:t>
      </w:r>
      <w:proofErr w:type="spellEnd"/>
      <w:r w:rsidR="005D0CC6" w:rsidRPr="00EC3CB9">
        <w:rPr>
          <w:u w:val="double"/>
        </w:rPr>
        <w:t xml:space="preserve"> ethoxylate</w:t>
      </w:r>
      <w:r w:rsidRPr="00686E9D">
        <w:rPr>
          <w:u w:val="double"/>
          <w:lang w:val="en-IE"/>
        </w:rPr>
        <w:t xml:space="preserve"> and 0.5% </w:t>
      </w:r>
      <w:r w:rsidR="00EC68B1" w:rsidRPr="00686E9D">
        <w:rPr>
          <w:u w:val="double"/>
          <w:lang w:val="en-IE"/>
        </w:rPr>
        <w:t>[</w:t>
      </w:r>
      <w:r w:rsidRPr="00686E9D">
        <w:rPr>
          <w:u w:val="double"/>
          <w:lang w:val="en-IE"/>
        </w:rPr>
        <w:t>v/v</w:t>
      </w:r>
      <w:r w:rsidR="00EC68B1" w:rsidRPr="00686E9D">
        <w:rPr>
          <w:u w:val="double"/>
          <w:lang w:val="en-IE"/>
        </w:rPr>
        <w:t>]</w:t>
      </w:r>
      <w:r w:rsidRPr="00686E9D">
        <w:rPr>
          <w:u w:val="double"/>
          <w:lang w:val="en-IE"/>
        </w:rPr>
        <w:t xml:space="preserve"> </w:t>
      </w:r>
      <w:r w:rsidR="005D0CC6" w:rsidRPr="00EC3CB9">
        <w:rPr>
          <w:u w:val="double"/>
          <w:lang w:val="en-IE"/>
        </w:rPr>
        <w:t>polysorbate</w:t>
      </w:r>
      <w:r w:rsidR="005D0CC6" w:rsidRPr="00686E9D">
        <w:rPr>
          <w:u w:val="double"/>
          <w:lang w:val="en-IE"/>
        </w:rPr>
        <w:t xml:space="preserve"> </w:t>
      </w:r>
      <w:r w:rsidRPr="00686E9D">
        <w:rPr>
          <w:u w:val="double"/>
          <w:lang w:val="en-IE"/>
        </w:rPr>
        <w:t>20).</w:t>
      </w:r>
    </w:p>
    <w:p w14:paraId="31CA3576" w14:textId="6CF4DD42" w:rsidR="0040163F" w:rsidRDefault="0040163F" w:rsidP="00952D52">
      <w:pPr>
        <w:pStyle w:val="ififthlevellist"/>
        <w:rPr>
          <w:u w:val="double"/>
          <w:lang w:val="en-IE"/>
        </w:rPr>
      </w:pPr>
      <w:r w:rsidRPr="00686E9D">
        <w:rPr>
          <w:u w:val="double"/>
          <w:lang w:val="en-IE"/>
        </w:rPr>
        <w:t>b)</w:t>
      </w:r>
      <w:r w:rsidR="00952D52" w:rsidRPr="00686E9D">
        <w:rPr>
          <w:u w:val="double"/>
          <w:lang w:val="en-IE"/>
        </w:rPr>
        <w:tab/>
      </w:r>
      <w:r w:rsidRPr="00686E9D">
        <w:rPr>
          <w:u w:val="double"/>
          <w:lang w:val="en-IE"/>
        </w:rPr>
        <w:t>Coat</w:t>
      </w:r>
      <w:r w:rsidR="006773FA" w:rsidRPr="006773FA">
        <w:rPr>
          <w:u w:val="double"/>
          <w:lang w:val="en-IE"/>
        </w:rPr>
        <w:t xml:space="preserve"> </w:t>
      </w:r>
      <w:r w:rsidR="006773FA" w:rsidRPr="006773FA">
        <w:rPr>
          <w:highlight w:val="yellow"/>
          <w:u w:val="double"/>
          <w:lang w:val="en-IE"/>
        </w:rPr>
        <w:t xml:space="preserve">a 96 well </w:t>
      </w:r>
      <w:proofErr w:type="spellStart"/>
      <w:r w:rsidR="006773FA" w:rsidRPr="006773FA">
        <w:rPr>
          <w:highlight w:val="yellow"/>
          <w:u w:val="double"/>
          <w:lang w:val="en-IE"/>
        </w:rPr>
        <w:t>microtitre</w:t>
      </w:r>
      <w:proofErr w:type="spellEnd"/>
      <w:r w:rsidR="006773FA" w:rsidRPr="006773FA">
        <w:rPr>
          <w:highlight w:val="yellow"/>
          <w:u w:val="double"/>
          <w:lang w:val="en-IE"/>
        </w:rPr>
        <w:t xml:space="preserve"> flat bottom hard ELISA</w:t>
      </w:r>
      <w:r w:rsidRPr="00686E9D">
        <w:rPr>
          <w:u w:val="double"/>
          <w:lang w:val="en-IE"/>
        </w:rPr>
        <w:t xml:space="preserve"> plate</w:t>
      </w:r>
      <w:r w:rsidRPr="006773FA">
        <w:rPr>
          <w:highlight w:val="yellow"/>
          <w:u w:val="double"/>
          <w:lang w:val="en-IE"/>
        </w:rPr>
        <w:t>s</w:t>
      </w:r>
      <w:r w:rsidRPr="00686E9D">
        <w:rPr>
          <w:u w:val="double"/>
          <w:lang w:val="en-IE"/>
        </w:rPr>
        <w:t xml:space="preserve"> with 50 µ</w:t>
      </w:r>
      <w:r w:rsidR="00952D52" w:rsidRPr="00686E9D">
        <w:rPr>
          <w:u w:val="double"/>
          <w:lang w:val="en-IE"/>
        </w:rPr>
        <w:t>l</w:t>
      </w:r>
      <w:r w:rsidRPr="00686E9D">
        <w:rPr>
          <w:u w:val="double"/>
          <w:lang w:val="en-IE"/>
        </w:rPr>
        <w:t>/well of Hendra virus soluble G antigen in PBS</w:t>
      </w:r>
      <w:r w:rsidR="006773FA" w:rsidRPr="006773FA">
        <w:rPr>
          <w:highlight w:val="yellow"/>
          <w:u w:val="double"/>
          <w:lang w:val="en-IE"/>
        </w:rPr>
        <w:t>, equivalent to 4.4</w:t>
      </w:r>
      <w:r w:rsidR="006773FA">
        <w:rPr>
          <w:highlight w:val="yellow"/>
          <w:u w:val="double"/>
          <w:lang w:val="en-IE"/>
        </w:rPr>
        <w:t xml:space="preserve"> </w:t>
      </w:r>
      <w:r w:rsidR="006773FA" w:rsidRPr="006773FA">
        <w:rPr>
          <w:highlight w:val="yellow"/>
          <w:u w:val="double"/>
          <w:lang w:val="en-IE"/>
        </w:rPr>
        <w:t>ng</w:t>
      </w:r>
      <w:r w:rsidRPr="00686E9D">
        <w:rPr>
          <w:u w:val="double"/>
          <w:lang w:val="en-IE"/>
        </w:rPr>
        <w:t xml:space="preserve">. Incubate at 37°C for 1 </w:t>
      </w:r>
      <w:r w:rsidR="002A5D11" w:rsidRPr="00686E9D">
        <w:rPr>
          <w:u w:val="double"/>
          <w:lang w:val="en-IE"/>
        </w:rPr>
        <w:t>h</w:t>
      </w:r>
      <w:r w:rsidR="00952D52" w:rsidRPr="00686E9D">
        <w:rPr>
          <w:u w:val="double"/>
          <w:lang w:val="en-IE"/>
        </w:rPr>
        <w:t>our</w:t>
      </w:r>
      <w:r w:rsidRPr="00686E9D">
        <w:rPr>
          <w:u w:val="double"/>
          <w:lang w:val="en-IE"/>
        </w:rPr>
        <w:t xml:space="preserve"> on a plate shaker.</w:t>
      </w:r>
    </w:p>
    <w:p w14:paraId="3571C1B1" w14:textId="05E0E192" w:rsidR="0040163F" w:rsidRPr="00686E9D" w:rsidRDefault="0040163F" w:rsidP="00952D52">
      <w:pPr>
        <w:pStyle w:val="ififthlevellist"/>
        <w:rPr>
          <w:u w:val="double"/>
          <w:lang w:val="en-IE"/>
        </w:rPr>
      </w:pPr>
      <w:r w:rsidRPr="00686E9D">
        <w:rPr>
          <w:u w:val="double"/>
          <w:lang w:val="en-IE"/>
        </w:rPr>
        <w:t>c)</w:t>
      </w:r>
      <w:r w:rsidR="00952D52" w:rsidRPr="00686E9D">
        <w:rPr>
          <w:u w:val="double"/>
          <w:lang w:val="en-IE"/>
        </w:rPr>
        <w:tab/>
      </w:r>
      <w:r w:rsidRPr="00686E9D">
        <w:rPr>
          <w:u w:val="double"/>
          <w:lang w:val="en-IE"/>
        </w:rPr>
        <w:t>Block plates by adding 50 µ</w:t>
      </w:r>
      <w:r w:rsidR="00952D52" w:rsidRPr="00686E9D">
        <w:rPr>
          <w:u w:val="double"/>
          <w:lang w:val="en-IE"/>
        </w:rPr>
        <w:t>l</w:t>
      </w:r>
      <w:r w:rsidRPr="00686E9D">
        <w:rPr>
          <w:u w:val="double"/>
          <w:lang w:val="en-IE"/>
        </w:rPr>
        <w:t xml:space="preserve"> of ELISA diluent (1 </w:t>
      </w:r>
      <w:r w:rsidR="00952D52" w:rsidRPr="00686E9D">
        <w:rPr>
          <w:u w:val="double"/>
          <w:lang w:val="en-IE"/>
        </w:rPr>
        <w:t>×</w:t>
      </w:r>
      <w:r w:rsidRPr="00686E9D">
        <w:rPr>
          <w:u w:val="double"/>
          <w:lang w:val="en-IE"/>
        </w:rPr>
        <w:t xml:space="preserve"> blocking buffer) directly to the wells without washing the plate. Place the plate on the plate shaker for 30</w:t>
      </w:r>
      <w:r w:rsidR="00952D52" w:rsidRPr="00686E9D">
        <w:rPr>
          <w:u w:val="double"/>
          <w:lang w:val="en-IE"/>
        </w:rPr>
        <w:t xml:space="preserve"> </w:t>
      </w:r>
      <w:r w:rsidRPr="00686E9D">
        <w:rPr>
          <w:u w:val="double"/>
          <w:lang w:val="en-IE"/>
        </w:rPr>
        <w:t>min</w:t>
      </w:r>
      <w:r w:rsidR="00952D52" w:rsidRPr="00686E9D">
        <w:rPr>
          <w:u w:val="double"/>
          <w:lang w:val="en-IE"/>
        </w:rPr>
        <w:t>ute</w:t>
      </w:r>
      <w:r w:rsidRPr="00686E9D">
        <w:rPr>
          <w:u w:val="double"/>
          <w:lang w:val="en-IE"/>
        </w:rPr>
        <w:t>s at 37°C.</w:t>
      </w:r>
    </w:p>
    <w:p w14:paraId="68206443" w14:textId="0C353492" w:rsidR="0040163F" w:rsidRPr="00686E9D" w:rsidRDefault="0040163F" w:rsidP="00952D52">
      <w:pPr>
        <w:pStyle w:val="ififthlevellist"/>
        <w:rPr>
          <w:u w:val="double"/>
          <w:lang w:val="en-IE"/>
        </w:rPr>
      </w:pPr>
      <w:r w:rsidRPr="00686E9D">
        <w:rPr>
          <w:u w:val="double"/>
          <w:lang w:val="en-IE"/>
        </w:rPr>
        <w:t>d)</w:t>
      </w:r>
      <w:r w:rsidR="00952D52" w:rsidRPr="00686E9D">
        <w:rPr>
          <w:u w:val="double"/>
          <w:lang w:val="en-IE"/>
        </w:rPr>
        <w:tab/>
      </w:r>
      <w:r w:rsidRPr="00686E9D">
        <w:rPr>
          <w:u w:val="double"/>
          <w:lang w:val="en-IE"/>
        </w:rPr>
        <w:t xml:space="preserve">Wash the plates 3 </w:t>
      </w:r>
      <w:r w:rsidR="00EC68B1" w:rsidRPr="00686E9D">
        <w:rPr>
          <w:u w:val="double"/>
          <w:lang w:val="en-IE"/>
        </w:rPr>
        <w:t>×</w:t>
      </w:r>
      <w:r w:rsidRPr="00686E9D">
        <w:rPr>
          <w:u w:val="double"/>
          <w:lang w:val="en-IE"/>
        </w:rPr>
        <w:t xml:space="preserve"> with PBST.</w:t>
      </w:r>
    </w:p>
    <w:p w14:paraId="3DB34AB0" w14:textId="398FB059" w:rsidR="0040163F" w:rsidRPr="00686E9D" w:rsidRDefault="0040163F" w:rsidP="00952D52">
      <w:pPr>
        <w:pStyle w:val="ififthlevellist"/>
        <w:rPr>
          <w:u w:val="double"/>
          <w:lang w:val="en-IE"/>
        </w:rPr>
      </w:pPr>
      <w:r w:rsidRPr="00686E9D">
        <w:rPr>
          <w:u w:val="double"/>
          <w:lang w:val="en-IE"/>
        </w:rPr>
        <w:t>e)</w:t>
      </w:r>
      <w:r w:rsidR="00952D52" w:rsidRPr="00686E9D">
        <w:rPr>
          <w:u w:val="double"/>
          <w:lang w:val="en-IE"/>
        </w:rPr>
        <w:tab/>
      </w:r>
      <w:r w:rsidRPr="00686E9D">
        <w:rPr>
          <w:u w:val="double"/>
          <w:lang w:val="en-IE"/>
        </w:rPr>
        <w:t>Dilute serum (30 µ</w:t>
      </w:r>
      <w:r w:rsidR="00952D52" w:rsidRPr="00686E9D">
        <w:rPr>
          <w:u w:val="double"/>
          <w:lang w:val="en-IE"/>
        </w:rPr>
        <w:t>l</w:t>
      </w:r>
      <w:r w:rsidRPr="00686E9D">
        <w:rPr>
          <w:u w:val="double"/>
          <w:lang w:val="en-IE"/>
        </w:rPr>
        <w:t xml:space="preserve"> of sera + 120 µ</w:t>
      </w:r>
      <w:r w:rsidR="00952D52" w:rsidRPr="00686E9D">
        <w:rPr>
          <w:u w:val="double"/>
          <w:lang w:val="en-IE"/>
        </w:rPr>
        <w:t>l</w:t>
      </w:r>
      <w:r w:rsidRPr="00686E9D">
        <w:rPr>
          <w:u w:val="double"/>
          <w:lang w:val="en-IE"/>
        </w:rPr>
        <w:t xml:space="preserve"> of blocking buffer) and add 50 µ</w:t>
      </w:r>
      <w:r w:rsidR="00EC68B1" w:rsidRPr="00686E9D">
        <w:rPr>
          <w:u w:val="double"/>
          <w:lang w:val="en-IE"/>
        </w:rPr>
        <w:t>l</w:t>
      </w:r>
      <w:r w:rsidRPr="00686E9D">
        <w:rPr>
          <w:u w:val="double"/>
          <w:lang w:val="en-IE"/>
        </w:rPr>
        <w:t xml:space="preserve"> per well. If using </w:t>
      </w:r>
      <w:r w:rsidR="005D0CC6" w:rsidRPr="00EC3CB9">
        <w:rPr>
          <w:u w:val="double"/>
          <w:lang w:val="en-IE"/>
        </w:rPr>
        <w:t>o</w:t>
      </w:r>
      <w:proofErr w:type="spellStart"/>
      <w:r w:rsidR="005D0CC6" w:rsidRPr="00EC3CB9">
        <w:rPr>
          <w:u w:val="double"/>
        </w:rPr>
        <w:t>ctylphenol</w:t>
      </w:r>
      <w:proofErr w:type="spellEnd"/>
      <w:r w:rsidR="005D0CC6" w:rsidRPr="00EC3CB9">
        <w:rPr>
          <w:u w:val="double"/>
        </w:rPr>
        <w:t xml:space="preserve"> ethoxylate</w:t>
      </w:r>
      <w:r w:rsidR="005D0CC6">
        <w:rPr>
          <w:u w:val="double"/>
        </w:rPr>
        <w:t>/</w:t>
      </w:r>
      <w:r w:rsidR="005D0CC6" w:rsidRPr="005D0CC6">
        <w:rPr>
          <w:u w:val="double"/>
          <w:lang w:val="en-IE"/>
        </w:rPr>
        <w:t>polysorbate 20</w:t>
      </w:r>
      <w:r w:rsidRPr="00686E9D">
        <w:rPr>
          <w:u w:val="double"/>
          <w:lang w:val="en-IE"/>
        </w:rPr>
        <w:t xml:space="preserve"> treated samples add 50 µ</w:t>
      </w:r>
      <w:r w:rsidR="00952D52" w:rsidRPr="00686E9D">
        <w:rPr>
          <w:u w:val="double"/>
          <w:lang w:val="en-IE"/>
        </w:rPr>
        <w:t>l</w:t>
      </w:r>
      <w:r w:rsidRPr="00686E9D">
        <w:rPr>
          <w:u w:val="double"/>
          <w:lang w:val="en-IE"/>
        </w:rPr>
        <w:t xml:space="preserve"> directly to wells. Place on plate shaker for 1</w:t>
      </w:r>
      <w:r w:rsidR="00284D2F" w:rsidRPr="00686E9D">
        <w:rPr>
          <w:u w:val="double"/>
          <w:lang w:val="en-IE"/>
        </w:rPr>
        <w:t> </w:t>
      </w:r>
      <w:r w:rsidRPr="00686E9D">
        <w:rPr>
          <w:u w:val="double"/>
          <w:lang w:val="en-IE"/>
        </w:rPr>
        <w:t>hour at 37°C.</w:t>
      </w:r>
    </w:p>
    <w:p w14:paraId="22450E71" w14:textId="31269024" w:rsidR="0040163F" w:rsidRPr="00686E9D" w:rsidRDefault="0040163F" w:rsidP="00952D52">
      <w:pPr>
        <w:pStyle w:val="ififthlevellist"/>
        <w:rPr>
          <w:u w:val="double"/>
          <w:lang w:val="en-IE"/>
        </w:rPr>
      </w:pPr>
      <w:r w:rsidRPr="00686E9D">
        <w:rPr>
          <w:u w:val="double"/>
          <w:lang w:val="en-IE"/>
        </w:rPr>
        <w:t>f)</w:t>
      </w:r>
      <w:r w:rsidR="00952D52" w:rsidRPr="00686E9D">
        <w:rPr>
          <w:u w:val="double"/>
          <w:lang w:val="en-IE"/>
        </w:rPr>
        <w:tab/>
      </w:r>
      <w:r w:rsidRPr="00686E9D">
        <w:rPr>
          <w:u w:val="double"/>
          <w:lang w:val="en-IE"/>
        </w:rPr>
        <w:t xml:space="preserve">Add </w:t>
      </w:r>
      <w:r w:rsidR="00EC68B1" w:rsidRPr="00686E9D">
        <w:rPr>
          <w:u w:val="double"/>
          <w:lang w:val="en-IE"/>
        </w:rPr>
        <w:t>monoclonal antibody (</w:t>
      </w:r>
      <w:proofErr w:type="spellStart"/>
      <w:r w:rsidR="00EC68B1" w:rsidRPr="00686E9D">
        <w:rPr>
          <w:u w:val="double"/>
          <w:lang w:val="en-IE"/>
        </w:rPr>
        <w:t>M</w:t>
      </w:r>
      <w:r w:rsidR="00AF3F85" w:rsidRPr="00686E9D">
        <w:rPr>
          <w:u w:val="double"/>
          <w:lang w:val="en-IE"/>
        </w:rPr>
        <w:t>A</w:t>
      </w:r>
      <w:r w:rsidRPr="00686E9D">
        <w:rPr>
          <w:u w:val="double"/>
          <w:lang w:val="en-IE"/>
        </w:rPr>
        <w:t>b</w:t>
      </w:r>
      <w:proofErr w:type="spellEnd"/>
      <w:r w:rsidR="00EC68B1" w:rsidRPr="00686E9D">
        <w:rPr>
          <w:u w:val="double"/>
          <w:lang w:val="en-IE"/>
        </w:rPr>
        <w:t>)</w:t>
      </w:r>
      <w:r w:rsidRPr="00686E9D">
        <w:rPr>
          <w:u w:val="double"/>
          <w:lang w:val="en-IE"/>
        </w:rPr>
        <w:t xml:space="preserve"> 1.2 diluted in blocking buffer 50 µ</w:t>
      </w:r>
      <w:r w:rsidR="00952D52" w:rsidRPr="00686E9D">
        <w:rPr>
          <w:u w:val="double"/>
          <w:lang w:val="en-IE"/>
        </w:rPr>
        <w:t>l</w:t>
      </w:r>
      <w:r w:rsidRPr="00686E9D">
        <w:rPr>
          <w:u w:val="double"/>
          <w:lang w:val="en-IE"/>
        </w:rPr>
        <w:t xml:space="preserve"> per well. Do not add </w:t>
      </w:r>
      <w:proofErr w:type="spellStart"/>
      <w:r w:rsidR="00952D52" w:rsidRPr="00686E9D">
        <w:rPr>
          <w:u w:val="double"/>
          <w:lang w:val="en-IE"/>
        </w:rPr>
        <w:t>M</w:t>
      </w:r>
      <w:r w:rsidRPr="00686E9D">
        <w:rPr>
          <w:u w:val="double"/>
          <w:lang w:val="en-IE"/>
        </w:rPr>
        <w:t>Ab</w:t>
      </w:r>
      <w:proofErr w:type="spellEnd"/>
      <w:r w:rsidRPr="00686E9D">
        <w:rPr>
          <w:u w:val="double"/>
          <w:lang w:val="en-IE"/>
        </w:rPr>
        <w:t xml:space="preserve"> to the blank wells. Place on plate shaker for 1 hour at 37°C.</w:t>
      </w:r>
    </w:p>
    <w:p w14:paraId="4E47C9FC" w14:textId="00F6F0F3" w:rsidR="0040163F" w:rsidRPr="00686E9D" w:rsidRDefault="0040163F" w:rsidP="00952D52">
      <w:pPr>
        <w:pStyle w:val="ififthlevellist"/>
        <w:rPr>
          <w:u w:val="double"/>
          <w:lang w:val="en-IE"/>
        </w:rPr>
      </w:pPr>
      <w:r w:rsidRPr="00686E9D">
        <w:rPr>
          <w:u w:val="double"/>
          <w:lang w:val="en-IE"/>
        </w:rPr>
        <w:t>g)</w:t>
      </w:r>
      <w:r w:rsidR="00952D52" w:rsidRPr="00686E9D">
        <w:rPr>
          <w:u w:val="double"/>
          <w:lang w:val="en-IE"/>
        </w:rPr>
        <w:tab/>
      </w:r>
      <w:r w:rsidRPr="00686E9D">
        <w:rPr>
          <w:u w:val="double"/>
          <w:lang w:val="en-IE"/>
        </w:rPr>
        <w:t xml:space="preserve">Wash the plates 3 </w:t>
      </w:r>
      <w:r w:rsidR="00952D52" w:rsidRPr="00686E9D">
        <w:rPr>
          <w:u w:val="double"/>
          <w:lang w:val="en-IE"/>
        </w:rPr>
        <w:t>×</w:t>
      </w:r>
      <w:r w:rsidRPr="00686E9D">
        <w:rPr>
          <w:u w:val="double"/>
          <w:lang w:val="en-IE"/>
        </w:rPr>
        <w:t xml:space="preserve"> with PBST.</w:t>
      </w:r>
    </w:p>
    <w:p w14:paraId="331CA695" w14:textId="18FA53F9" w:rsidR="0040163F" w:rsidRPr="00686E9D" w:rsidRDefault="0040163F" w:rsidP="00952D52">
      <w:pPr>
        <w:pStyle w:val="ififthlevellist"/>
        <w:rPr>
          <w:u w:val="double"/>
          <w:lang w:val="en-IE"/>
        </w:rPr>
      </w:pPr>
      <w:r w:rsidRPr="00686E9D">
        <w:rPr>
          <w:u w:val="double"/>
          <w:lang w:val="en-IE"/>
        </w:rPr>
        <w:t>h)</w:t>
      </w:r>
      <w:r w:rsidR="00952D52" w:rsidRPr="00686E9D">
        <w:rPr>
          <w:u w:val="double"/>
          <w:lang w:val="en-IE"/>
        </w:rPr>
        <w:tab/>
      </w:r>
      <w:r w:rsidRPr="00686E9D">
        <w:rPr>
          <w:u w:val="double"/>
          <w:lang w:val="en-IE"/>
        </w:rPr>
        <w:t xml:space="preserve">Add diluted conjugate (Jackson anti-mouse </w:t>
      </w:r>
      <w:r w:rsidR="00EC68B1" w:rsidRPr="00686E9D">
        <w:rPr>
          <w:u w:val="double"/>
          <w:lang w:val="en-IE"/>
        </w:rPr>
        <w:t>horseradish peroxidase</w:t>
      </w:r>
      <w:r w:rsidRPr="00686E9D">
        <w:rPr>
          <w:u w:val="double"/>
          <w:lang w:val="en-IE"/>
        </w:rPr>
        <w:t>) in blocking buffer 50 µ</w:t>
      </w:r>
      <w:r w:rsidR="00952D52" w:rsidRPr="00686E9D">
        <w:rPr>
          <w:u w:val="double"/>
          <w:lang w:val="en-IE"/>
        </w:rPr>
        <w:t>l</w:t>
      </w:r>
      <w:r w:rsidRPr="00686E9D">
        <w:rPr>
          <w:u w:val="double"/>
          <w:lang w:val="en-IE"/>
        </w:rPr>
        <w:t xml:space="preserve"> per well.</w:t>
      </w:r>
    </w:p>
    <w:p w14:paraId="6D2F7A64" w14:textId="283948B2" w:rsidR="0040163F" w:rsidRPr="00686E9D" w:rsidRDefault="0040163F" w:rsidP="00952D52">
      <w:pPr>
        <w:pStyle w:val="ififthlevellist"/>
        <w:rPr>
          <w:u w:val="double"/>
          <w:lang w:val="en-IE"/>
        </w:rPr>
      </w:pPr>
      <w:r w:rsidRPr="00686E9D">
        <w:rPr>
          <w:u w:val="double"/>
          <w:lang w:val="en-IE"/>
        </w:rPr>
        <w:t>i)</w:t>
      </w:r>
      <w:r w:rsidR="00952D52" w:rsidRPr="00686E9D">
        <w:rPr>
          <w:u w:val="double"/>
          <w:lang w:val="en-IE"/>
        </w:rPr>
        <w:tab/>
      </w:r>
      <w:r w:rsidRPr="00686E9D">
        <w:rPr>
          <w:u w:val="double"/>
          <w:lang w:val="en-IE"/>
        </w:rPr>
        <w:t xml:space="preserve">Wash the plates 3 </w:t>
      </w:r>
      <w:r w:rsidR="00952D52" w:rsidRPr="00686E9D">
        <w:rPr>
          <w:u w:val="double"/>
          <w:lang w:val="en-IE"/>
        </w:rPr>
        <w:t>×</w:t>
      </w:r>
      <w:r w:rsidRPr="00686E9D">
        <w:rPr>
          <w:u w:val="double"/>
          <w:lang w:val="en-IE"/>
        </w:rPr>
        <w:t xml:space="preserve"> with PBST.</w:t>
      </w:r>
    </w:p>
    <w:p w14:paraId="51774D7B" w14:textId="02B9FBED" w:rsidR="0040163F" w:rsidRPr="00686E9D" w:rsidRDefault="0040163F" w:rsidP="00952D52">
      <w:pPr>
        <w:pStyle w:val="ififthlevellist"/>
        <w:rPr>
          <w:u w:val="double"/>
          <w:lang w:val="en-IE"/>
        </w:rPr>
      </w:pPr>
      <w:r w:rsidRPr="00686E9D">
        <w:rPr>
          <w:u w:val="double"/>
          <w:lang w:val="en-IE"/>
        </w:rPr>
        <w:t>j)</w:t>
      </w:r>
      <w:r w:rsidR="00952D52" w:rsidRPr="00686E9D">
        <w:rPr>
          <w:u w:val="double"/>
          <w:lang w:val="en-IE"/>
        </w:rPr>
        <w:tab/>
      </w:r>
      <w:r w:rsidRPr="00686E9D">
        <w:rPr>
          <w:u w:val="double"/>
          <w:lang w:val="en-IE"/>
        </w:rPr>
        <w:t>Add 50 µ</w:t>
      </w:r>
      <w:r w:rsidR="00952D52" w:rsidRPr="00686E9D">
        <w:rPr>
          <w:u w:val="double"/>
          <w:lang w:val="en-IE"/>
        </w:rPr>
        <w:t>l</w:t>
      </w:r>
      <w:r w:rsidRPr="00686E9D">
        <w:rPr>
          <w:u w:val="double"/>
          <w:lang w:val="en-IE"/>
        </w:rPr>
        <w:t xml:space="preserve"> of TMB </w:t>
      </w:r>
      <w:r w:rsidR="001F5D10" w:rsidRPr="00686E9D">
        <w:rPr>
          <w:u w:val="double"/>
          <w:lang w:val="en-IE"/>
        </w:rPr>
        <w:t>chromogen/</w:t>
      </w:r>
      <w:r w:rsidRPr="00686E9D">
        <w:rPr>
          <w:u w:val="double"/>
          <w:lang w:val="en-IE"/>
        </w:rPr>
        <w:t>substrate. Colour development occurs in 7</w:t>
      </w:r>
      <w:r w:rsidR="00EC68B1" w:rsidRPr="00686E9D">
        <w:rPr>
          <w:u w:val="double"/>
          <w:lang w:val="en-IE"/>
        </w:rPr>
        <w:t>–</w:t>
      </w:r>
      <w:r w:rsidRPr="00686E9D">
        <w:rPr>
          <w:u w:val="double"/>
          <w:lang w:val="en-IE"/>
        </w:rPr>
        <w:t>10 min</w:t>
      </w:r>
      <w:r w:rsidR="00952D52" w:rsidRPr="00686E9D">
        <w:rPr>
          <w:u w:val="double"/>
          <w:lang w:val="en-IE"/>
        </w:rPr>
        <w:t>ute</w:t>
      </w:r>
      <w:r w:rsidRPr="00686E9D">
        <w:rPr>
          <w:u w:val="double"/>
          <w:lang w:val="en-IE"/>
        </w:rPr>
        <w:t>s.</w:t>
      </w:r>
    </w:p>
    <w:p w14:paraId="68E44AF6" w14:textId="043AB06D" w:rsidR="0040163F" w:rsidRPr="00686E9D" w:rsidRDefault="0040163F" w:rsidP="00952D52">
      <w:pPr>
        <w:pStyle w:val="ififthlevellist"/>
        <w:rPr>
          <w:u w:val="double"/>
          <w:lang w:val="en-IE"/>
        </w:rPr>
      </w:pPr>
      <w:r w:rsidRPr="00686E9D">
        <w:rPr>
          <w:u w:val="double"/>
          <w:lang w:val="en-IE"/>
        </w:rPr>
        <w:t>k)</w:t>
      </w:r>
      <w:r w:rsidR="00952D52" w:rsidRPr="00686E9D">
        <w:rPr>
          <w:u w:val="double"/>
          <w:lang w:val="en-IE"/>
        </w:rPr>
        <w:tab/>
      </w:r>
      <w:r w:rsidRPr="00686E9D">
        <w:rPr>
          <w:u w:val="double"/>
          <w:lang w:val="en-IE"/>
        </w:rPr>
        <w:t xml:space="preserve">Add </w:t>
      </w:r>
      <w:r w:rsidR="005701E1" w:rsidRPr="00686E9D">
        <w:rPr>
          <w:u w:val="double"/>
          <w:lang w:val="en-IE"/>
        </w:rPr>
        <w:t>50</w:t>
      </w:r>
      <w:r w:rsidRPr="00686E9D">
        <w:rPr>
          <w:u w:val="double"/>
          <w:lang w:val="en-IE"/>
        </w:rPr>
        <w:t>µ</w:t>
      </w:r>
      <w:r w:rsidR="00952D52" w:rsidRPr="00686E9D">
        <w:rPr>
          <w:u w:val="double"/>
          <w:lang w:val="en-IE"/>
        </w:rPr>
        <w:t>l</w:t>
      </w:r>
      <w:r w:rsidRPr="00686E9D">
        <w:rPr>
          <w:u w:val="double"/>
          <w:lang w:val="en-IE"/>
        </w:rPr>
        <w:t xml:space="preserve"> of stop solution (1</w:t>
      </w:r>
      <w:r w:rsidR="00952D52" w:rsidRPr="00686E9D">
        <w:rPr>
          <w:u w:val="double"/>
          <w:lang w:val="en-IE"/>
        </w:rPr>
        <w:t xml:space="preserve"> </w:t>
      </w:r>
      <w:r w:rsidRPr="00686E9D">
        <w:rPr>
          <w:u w:val="double"/>
          <w:lang w:val="en-IE"/>
        </w:rPr>
        <w:t>M sulphuric acid) to all wells.</w:t>
      </w:r>
    </w:p>
    <w:p w14:paraId="191CB30F" w14:textId="7DCC1E40" w:rsidR="0040163F" w:rsidRPr="00686E9D" w:rsidRDefault="0040163F" w:rsidP="00952D52">
      <w:pPr>
        <w:pStyle w:val="ififthlevellist"/>
        <w:rPr>
          <w:u w:val="double"/>
          <w:lang w:val="en-IE"/>
        </w:rPr>
      </w:pPr>
      <w:r w:rsidRPr="00686E9D">
        <w:rPr>
          <w:u w:val="double"/>
          <w:lang w:val="en-IE"/>
        </w:rPr>
        <w:t>l)</w:t>
      </w:r>
      <w:r w:rsidR="00952D52" w:rsidRPr="00686E9D">
        <w:rPr>
          <w:u w:val="double"/>
          <w:lang w:val="en-IE"/>
        </w:rPr>
        <w:tab/>
      </w:r>
      <w:r w:rsidRPr="00686E9D">
        <w:rPr>
          <w:u w:val="double"/>
          <w:lang w:val="en-IE"/>
        </w:rPr>
        <w:t>Read using a plate reader at 450</w:t>
      </w:r>
      <w:r w:rsidR="00952D52" w:rsidRPr="00686E9D">
        <w:rPr>
          <w:u w:val="double"/>
          <w:lang w:val="en-IE"/>
        </w:rPr>
        <w:t xml:space="preserve"> </w:t>
      </w:r>
      <w:r w:rsidRPr="00686E9D">
        <w:rPr>
          <w:u w:val="double"/>
          <w:lang w:val="en-IE"/>
        </w:rPr>
        <w:t>nm within 5 min</w:t>
      </w:r>
      <w:r w:rsidR="00952D52" w:rsidRPr="00686E9D">
        <w:rPr>
          <w:u w:val="double"/>
          <w:lang w:val="en-IE"/>
        </w:rPr>
        <w:t>ute</w:t>
      </w:r>
      <w:r w:rsidRPr="00686E9D">
        <w:rPr>
          <w:u w:val="double"/>
          <w:lang w:val="en-IE"/>
        </w:rPr>
        <w:t xml:space="preserve">s of stopping. </w:t>
      </w:r>
    </w:p>
    <w:p w14:paraId="7D0E0B4E" w14:textId="77777777" w:rsidR="0040163F" w:rsidRPr="00686E9D" w:rsidRDefault="0040163F" w:rsidP="00952D52">
      <w:pPr>
        <w:pStyle w:val="afourthpara"/>
        <w:rPr>
          <w:u w:val="double"/>
          <w:lang w:val="en-IE"/>
        </w:rPr>
      </w:pPr>
      <w:r w:rsidRPr="00686E9D">
        <w:rPr>
          <w:u w:val="double"/>
          <w:lang w:val="en-IE"/>
        </w:rPr>
        <w:t>Results are expressed as percentage inhibition (PI) relative to the average OD of the negative control sera:</w:t>
      </w:r>
    </w:p>
    <w:p w14:paraId="1ED4ACC5" w14:textId="3F095A6D" w:rsidR="0040163F" w:rsidRPr="00686E9D" w:rsidRDefault="0040163F" w:rsidP="00952D52">
      <w:pPr>
        <w:pStyle w:val="afourthpara"/>
        <w:rPr>
          <w:u w:val="double"/>
          <w:lang w:val="en-IE"/>
        </w:rPr>
      </w:pPr>
      <w:r w:rsidRPr="00686E9D">
        <w:rPr>
          <w:u w:val="double"/>
          <w:lang w:val="en-IE"/>
        </w:rPr>
        <w:t xml:space="preserve">PI = {100 </w:t>
      </w:r>
      <w:r w:rsidR="00EC68B1" w:rsidRPr="00686E9D">
        <w:rPr>
          <w:u w:val="double"/>
          <w:lang w:val="en-IE"/>
        </w:rPr>
        <w:t>×</w:t>
      </w:r>
      <w:r w:rsidRPr="00686E9D">
        <w:rPr>
          <w:u w:val="double"/>
          <w:lang w:val="en-IE"/>
        </w:rPr>
        <w:t xml:space="preserve"> (1</w:t>
      </w:r>
      <w:r w:rsidR="00EC68B1" w:rsidRPr="00686E9D">
        <w:rPr>
          <w:u w:val="double"/>
          <w:lang w:val="en-IE"/>
        </w:rPr>
        <w:t>–</w:t>
      </w:r>
      <w:r w:rsidRPr="00686E9D">
        <w:rPr>
          <w:u w:val="double"/>
          <w:lang w:val="en-IE"/>
        </w:rPr>
        <w:t xml:space="preserve"> </w:t>
      </w:r>
      <w:r w:rsidR="00952D52" w:rsidRPr="00686E9D">
        <w:rPr>
          <w:u w:val="double"/>
          <w:lang w:val="en-IE"/>
        </w:rPr>
        <w:t>[</w:t>
      </w:r>
      <w:r w:rsidRPr="00686E9D">
        <w:rPr>
          <w:u w:val="double"/>
          <w:lang w:val="en-IE"/>
        </w:rPr>
        <w:t>Test OD</w:t>
      </w:r>
      <w:r w:rsidRPr="00686E9D">
        <w:rPr>
          <w:u w:val="double"/>
          <w:vertAlign w:val="subscript"/>
          <w:lang w:val="en-IE"/>
        </w:rPr>
        <w:t xml:space="preserve">AVG </w:t>
      </w:r>
      <w:r w:rsidRPr="00686E9D">
        <w:rPr>
          <w:u w:val="double"/>
          <w:lang w:val="en-IE"/>
        </w:rPr>
        <w:t>/NEG CONTROL OD</w:t>
      </w:r>
      <w:r w:rsidRPr="00686E9D">
        <w:rPr>
          <w:u w:val="double"/>
          <w:vertAlign w:val="subscript"/>
          <w:lang w:val="en-IE"/>
        </w:rPr>
        <w:t>AVG</w:t>
      </w:r>
      <w:r w:rsidR="00952D52" w:rsidRPr="00686E9D">
        <w:rPr>
          <w:u w:val="double"/>
          <w:lang w:val="en-IE"/>
        </w:rPr>
        <w:t>]</w:t>
      </w:r>
      <w:r w:rsidRPr="00686E9D">
        <w:rPr>
          <w:u w:val="double"/>
          <w:lang w:val="en-IE"/>
        </w:rPr>
        <w:t>)}</w:t>
      </w:r>
    </w:p>
    <w:p w14:paraId="5DAE3665" w14:textId="2E3F33F4" w:rsidR="0012380B" w:rsidRPr="00686E9D" w:rsidRDefault="0012380B" w:rsidP="00952D52">
      <w:pPr>
        <w:pStyle w:val="i"/>
        <w:rPr>
          <w:u w:val="double"/>
          <w:lang w:val="en-IE"/>
        </w:rPr>
      </w:pPr>
      <w:bookmarkStart w:id="65" w:name="_Hlk62217051"/>
      <w:r w:rsidRPr="00686E9D">
        <w:rPr>
          <w:u w:val="double"/>
          <w:lang w:val="en-IE"/>
        </w:rPr>
        <w:t>ii</w:t>
      </w:r>
      <w:r w:rsidR="00952D52" w:rsidRPr="00686E9D">
        <w:rPr>
          <w:u w:val="double"/>
          <w:lang w:val="en-IE"/>
        </w:rPr>
        <w:t>)</w:t>
      </w:r>
      <w:r w:rsidR="00952D52" w:rsidRPr="00686E9D">
        <w:rPr>
          <w:u w:val="double"/>
          <w:lang w:val="en-IE"/>
        </w:rPr>
        <w:tab/>
      </w:r>
      <w:r w:rsidRPr="00686E9D">
        <w:rPr>
          <w:u w:val="double"/>
          <w:lang w:val="en-IE"/>
        </w:rPr>
        <w:t>Interpretation of results</w:t>
      </w:r>
    </w:p>
    <w:p w14:paraId="22BBB594" w14:textId="0F277A45" w:rsidR="0040163F" w:rsidRPr="00686E9D" w:rsidRDefault="0012380B" w:rsidP="00952D52">
      <w:pPr>
        <w:pStyle w:val="afourthpara"/>
        <w:rPr>
          <w:u w:val="double"/>
          <w:lang w:val="en-IE"/>
        </w:rPr>
      </w:pPr>
      <w:r w:rsidRPr="00686E9D">
        <w:rPr>
          <w:u w:val="double"/>
          <w:lang w:val="en-IE"/>
        </w:rPr>
        <w:t xml:space="preserve">If </w:t>
      </w:r>
      <w:r w:rsidR="003B3334" w:rsidRPr="00686E9D">
        <w:rPr>
          <w:u w:val="double"/>
          <w:lang w:val="en-IE"/>
        </w:rPr>
        <w:t>M</w:t>
      </w:r>
      <w:r w:rsidRPr="00686E9D">
        <w:rPr>
          <w:u w:val="double"/>
          <w:lang w:val="en-IE"/>
        </w:rPr>
        <w:t xml:space="preserve">Ab1.2 </w:t>
      </w:r>
      <w:r w:rsidR="0040163F" w:rsidRPr="00686E9D">
        <w:rPr>
          <w:u w:val="double"/>
          <w:lang w:val="en-IE"/>
        </w:rPr>
        <w:t xml:space="preserve">PI </w:t>
      </w:r>
      <w:r w:rsidRPr="00686E9D">
        <w:rPr>
          <w:u w:val="double"/>
          <w:lang w:val="en-IE"/>
        </w:rPr>
        <w:t>is less than 3</w:t>
      </w:r>
      <w:r w:rsidR="0040163F" w:rsidRPr="00686E9D">
        <w:rPr>
          <w:u w:val="double"/>
          <w:lang w:val="en-IE"/>
        </w:rPr>
        <w:t xml:space="preserve">3% </w:t>
      </w:r>
      <w:r w:rsidRPr="00686E9D">
        <w:rPr>
          <w:u w:val="double"/>
          <w:lang w:val="en-IE"/>
        </w:rPr>
        <w:t xml:space="preserve">the test result is </w:t>
      </w:r>
      <w:r w:rsidR="0040163F" w:rsidRPr="00686E9D">
        <w:rPr>
          <w:u w:val="double"/>
          <w:lang w:val="en-IE"/>
        </w:rPr>
        <w:t>negative</w:t>
      </w:r>
      <w:r w:rsidRPr="00686E9D">
        <w:rPr>
          <w:u w:val="double"/>
          <w:lang w:val="en-IE"/>
        </w:rPr>
        <w:t>. If the</w:t>
      </w:r>
      <w:r w:rsidR="0040163F" w:rsidRPr="00686E9D">
        <w:rPr>
          <w:u w:val="double"/>
          <w:lang w:val="en-IE"/>
        </w:rPr>
        <w:t xml:space="preserve"> PI </w:t>
      </w:r>
      <w:r w:rsidRPr="00686E9D">
        <w:rPr>
          <w:u w:val="double"/>
          <w:lang w:val="en-IE"/>
        </w:rPr>
        <w:t xml:space="preserve">is greater than or equal to </w:t>
      </w:r>
      <w:r w:rsidR="0040163F" w:rsidRPr="00686E9D">
        <w:rPr>
          <w:u w:val="double"/>
          <w:lang w:val="en-IE"/>
        </w:rPr>
        <w:t xml:space="preserve">33% </w:t>
      </w:r>
      <w:r w:rsidRPr="00686E9D">
        <w:rPr>
          <w:u w:val="double"/>
          <w:lang w:val="en-IE"/>
        </w:rPr>
        <w:t xml:space="preserve">the test result is </w:t>
      </w:r>
      <w:r w:rsidR="0040163F" w:rsidRPr="00686E9D">
        <w:rPr>
          <w:u w:val="double"/>
          <w:lang w:val="en-IE"/>
        </w:rPr>
        <w:t>positive.</w:t>
      </w:r>
      <w:r w:rsidRPr="00686E9D">
        <w:rPr>
          <w:u w:val="double"/>
          <w:lang w:val="en-IE"/>
        </w:rPr>
        <w:t xml:space="preserve"> Positive results should be confirmed by the</w:t>
      </w:r>
      <w:r w:rsidR="0040163F" w:rsidRPr="00686E9D">
        <w:rPr>
          <w:u w:val="double"/>
          <w:lang w:val="en-IE"/>
        </w:rPr>
        <w:t xml:space="preserve"> VNT.</w:t>
      </w:r>
      <w:r w:rsidRPr="00686E9D">
        <w:rPr>
          <w:u w:val="double"/>
          <w:lang w:val="en-IE"/>
        </w:rPr>
        <w:t xml:space="preserve"> </w:t>
      </w:r>
      <w:r w:rsidR="0040163F" w:rsidRPr="00686E9D">
        <w:rPr>
          <w:u w:val="double"/>
          <w:lang w:val="en-IE"/>
        </w:rPr>
        <w:t xml:space="preserve">Negative results are reported without the need for further testing. </w:t>
      </w:r>
    </w:p>
    <w:bookmarkEnd w:id="65"/>
    <w:p w14:paraId="786F759E" w14:textId="2AA8854F" w:rsidR="00AD16A3" w:rsidRPr="00686E9D" w:rsidRDefault="0040163F" w:rsidP="00952D52">
      <w:pPr>
        <w:pStyle w:val="afourthpara"/>
        <w:rPr>
          <w:u w:val="double"/>
          <w:lang w:val="en-IE"/>
        </w:rPr>
      </w:pPr>
      <w:r w:rsidRPr="00686E9D">
        <w:rPr>
          <w:u w:val="double"/>
          <w:lang w:val="en-IE"/>
        </w:rPr>
        <w:t xml:space="preserve">This Hendra </w:t>
      </w:r>
      <w:r w:rsidR="00952D52" w:rsidRPr="00686E9D">
        <w:rPr>
          <w:u w:val="double"/>
          <w:lang w:val="en-IE"/>
        </w:rPr>
        <w:t>B-</w:t>
      </w:r>
      <w:r w:rsidRPr="00686E9D">
        <w:rPr>
          <w:u w:val="double"/>
          <w:lang w:val="en-IE"/>
        </w:rPr>
        <w:t>ELISA also does not distinguish between antibodies due to natural infection and those due to vaccination (due to soluble G being present in the current Hendra virus vaccine used in horses). Any positive result must be interpreted in the context of the animal’s vaccination history.</w:t>
      </w:r>
    </w:p>
    <w:p w14:paraId="3B0F053A" w14:textId="4670BF1F" w:rsidR="003B55EC" w:rsidRPr="00EF77A6" w:rsidRDefault="003B55EC" w:rsidP="003B55EC">
      <w:pPr>
        <w:pStyle w:val="11Para"/>
        <w:rPr>
          <w:u w:val="double"/>
          <w:lang w:val="en-IE"/>
        </w:rPr>
      </w:pPr>
      <w:r w:rsidRPr="00686E9D">
        <w:rPr>
          <w:lang w:val="en-IE"/>
        </w:rPr>
        <w:t xml:space="preserve">The following procedure for the </w:t>
      </w:r>
      <w:proofErr w:type="spellStart"/>
      <w:r w:rsidRPr="00686E9D">
        <w:rPr>
          <w:lang w:val="en-IE"/>
        </w:rPr>
        <w:t>NiV</w:t>
      </w:r>
      <w:proofErr w:type="spellEnd"/>
      <w:r w:rsidRPr="00686E9D">
        <w:rPr>
          <w:lang w:val="en-IE"/>
        </w:rPr>
        <w:t xml:space="preserve"> ELISA has been developed at </w:t>
      </w:r>
      <w:r w:rsidRPr="00686E9D">
        <w:rPr>
          <w:strike/>
          <w:lang w:val="en-IE"/>
        </w:rPr>
        <w:t xml:space="preserve">Australian Animal Health Laboratory (AAHL) </w:t>
      </w:r>
      <w:r w:rsidRPr="00686E9D">
        <w:rPr>
          <w:u w:val="double"/>
          <w:lang w:val="en-IE"/>
        </w:rPr>
        <w:t>Australian Centre for Disease Preparedness (ACDP)</w:t>
      </w:r>
      <w:r w:rsidRPr="00686E9D">
        <w:rPr>
          <w:lang w:val="en-IE"/>
        </w:rPr>
        <w:t xml:space="preserve"> for porcine sera and standardised after collaborative studies in the Veterinary Research Institute, Ipoh, Malaysia</w:t>
      </w:r>
      <w:r>
        <w:rPr>
          <w:lang w:val="en-IE"/>
        </w:rPr>
        <w:t>.</w:t>
      </w:r>
      <w:r w:rsidR="00EF77A6">
        <w:rPr>
          <w:lang w:val="en-IE"/>
        </w:rPr>
        <w:t xml:space="preserve"> </w:t>
      </w:r>
      <w:r w:rsidR="00EF77A6" w:rsidRPr="00EF77A6">
        <w:rPr>
          <w:rStyle w:val="cf01"/>
          <w:rFonts w:ascii="Arial" w:hAnsi="Arial" w:cs="Arial"/>
          <w:highlight w:val="yellow"/>
          <w:u w:val="double"/>
        </w:rPr>
        <w:t xml:space="preserve">Other ELISA protocols for </w:t>
      </w:r>
      <w:bookmarkStart w:id="66" w:name="_Hlk95814553"/>
      <w:proofErr w:type="spellStart"/>
      <w:r w:rsidR="00EF77A6" w:rsidRPr="00EF77A6">
        <w:rPr>
          <w:rStyle w:val="cf01"/>
          <w:rFonts w:ascii="Arial" w:hAnsi="Arial" w:cs="Arial"/>
          <w:highlight w:val="yellow"/>
          <w:u w:val="double"/>
        </w:rPr>
        <w:t>henipavirus</w:t>
      </w:r>
      <w:proofErr w:type="spellEnd"/>
      <w:r w:rsidR="00EF77A6" w:rsidRPr="00EF77A6">
        <w:rPr>
          <w:rStyle w:val="cf01"/>
          <w:rFonts w:ascii="Arial" w:hAnsi="Arial" w:cs="Arial"/>
          <w:highlight w:val="yellow"/>
          <w:u w:val="double"/>
        </w:rPr>
        <w:t xml:space="preserve"> diagnostics in pigs have been published</w:t>
      </w:r>
      <w:bookmarkEnd w:id="66"/>
      <w:r w:rsidR="00EF77A6">
        <w:rPr>
          <w:rStyle w:val="cf01"/>
          <w:rFonts w:ascii="Arial" w:hAnsi="Arial" w:cs="Arial"/>
          <w:u w:val="double"/>
        </w:rPr>
        <w:t>.</w:t>
      </w:r>
    </w:p>
    <w:p w14:paraId="2DA8350A" w14:textId="00AAA7E4" w:rsidR="0040163F" w:rsidRPr="00686E9D" w:rsidRDefault="726B06DF" w:rsidP="008671C5">
      <w:pPr>
        <w:pStyle w:val="111"/>
        <w:rPr>
          <w:u w:val="double"/>
          <w:lang w:val="en-IE"/>
        </w:rPr>
      </w:pPr>
      <w:r w:rsidRPr="726B06DF">
        <w:rPr>
          <w:u w:val="double"/>
          <w:lang w:val="en-IE"/>
        </w:rPr>
        <w:t>4.2.3.</w:t>
      </w:r>
      <w:r w:rsidR="00AD16A3">
        <w:tab/>
      </w:r>
      <w:proofErr w:type="spellStart"/>
      <w:r w:rsidRPr="726B06DF">
        <w:rPr>
          <w:u w:val="double"/>
          <w:lang w:val="en-IE"/>
        </w:rPr>
        <w:t>Nipah</w:t>
      </w:r>
      <w:proofErr w:type="spellEnd"/>
      <w:r w:rsidRPr="726B06DF">
        <w:rPr>
          <w:u w:val="double"/>
          <w:lang w:val="en-IE"/>
        </w:rPr>
        <w:t xml:space="preserve"> indirect ELISA (</w:t>
      </w:r>
      <w:proofErr w:type="spellStart"/>
      <w:r w:rsidRPr="726B06DF">
        <w:rPr>
          <w:u w:val="double"/>
          <w:lang w:val="en-IE"/>
        </w:rPr>
        <w:t>NiV</w:t>
      </w:r>
      <w:proofErr w:type="spellEnd"/>
      <w:r w:rsidRPr="726B06DF">
        <w:rPr>
          <w:u w:val="double"/>
          <w:lang w:val="en-IE"/>
        </w:rPr>
        <w:t xml:space="preserve"> I-ELISA) for use with pig serum</w:t>
      </w:r>
    </w:p>
    <w:p w14:paraId="237F99CC" w14:textId="04B51861" w:rsidR="00682ECF" w:rsidRPr="00686E9D" w:rsidRDefault="00964ED2">
      <w:pPr>
        <w:pStyle w:val="111Para"/>
        <w:rPr>
          <w:lang w:val="en-IE"/>
        </w:rPr>
      </w:pPr>
      <w:r w:rsidRPr="00686E9D">
        <w:rPr>
          <w:lang w:val="en-IE"/>
        </w:rPr>
        <w:t xml:space="preserve">Detailed methodology for production and/or supply of irradiated </w:t>
      </w:r>
      <w:proofErr w:type="spellStart"/>
      <w:r w:rsidRPr="00686E9D">
        <w:rPr>
          <w:lang w:val="en-IE"/>
        </w:rPr>
        <w:t>NiV</w:t>
      </w:r>
      <w:proofErr w:type="spellEnd"/>
      <w:r w:rsidRPr="00686E9D">
        <w:rPr>
          <w:lang w:val="en-IE"/>
        </w:rPr>
        <w:t xml:space="preserve"> and uninfected Vero cell antigens are available from the </w:t>
      </w:r>
      <w:r w:rsidRPr="00686E9D">
        <w:rPr>
          <w:strike/>
          <w:lang w:val="en-IE"/>
        </w:rPr>
        <w:t>Australian Animal Health Laboratory</w:t>
      </w:r>
      <w:r w:rsidR="00952D52" w:rsidRPr="00686E9D">
        <w:rPr>
          <w:strike/>
          <w:lang w:val="en-IE"/>
        </w:rPr>
        <w:t xml:space="preserve"> </w:t>
      </w:r>
      <w:r w:rsidR="00284D2F" w:rsidRPr="00686E9D">
        <w:rPr>
          <w:u w:val="double"/>
          <w:lang w:val="en-IE"/>
        </w:rPr>
        <w:t>OIE Reference Laboratory</w:t>
      </w:r>
      <w:r w:rsidRPr="00686E9D">
        <w:rPr>
          <w:lang w:val="en-IE"/>
        </w:rPr>
        <w:t>.</w:t>
      </w:r>
    </w:p>
    <w:p w14:paraId="713BF69B" w14:textId="460AD894" w:rsidR="00682ECF" w:rsidRDefault="00964ED2">
      <w:pPr>
        <w:pStyle w:val="i"/>
        <w:rPr>
          <w:lang w:val="en-IE"/>
        </w:rPr>
      </w:pPr>
      <w:r w:rsidRPr="00686E9D">
        <w:rPr>
          <w:lang w:val="en-IE"/>
        </w:rPr>
        <w:t>i)</w:t>
      </w:r>
      <w:r w:rsidRPr="00686E9D">
        <w:rPr>
          <w:lang w:val="en-IE"/>
        </w:rPr>
        <w:tab/>
        <w:t>Preparation of test sera</w:t>
      </w:r>
    </w:p>
    <w:p w14:paraId="24708DCC" w14:textId="77777777" w:rsidR="00682ECF" w:rsidRPr="00686E9D" w:rsidRDefault="00964ED2">
      <w:pPr>
        <w:pStyle w:val="ififthlevellist"/>
        <w:rPr>
          <w:lang w:val="en-IE"/>
        </w:rPr>
      </w:pPr>
      <w:r w:rsidRPr="00686E9D">
        <w:rPr>
          <w:lang w:val="en-IE"/>
        </w:rPr>
        <w:t>a)</w:t>
      </w:r>
      <w:r w:rsidRPr="00686E9D">
        <w:rPr>
          <w:lang w:val="en-IE"/>
        </w:rPr>
        <w:tab/>
        <w:t xml:space="preserve">Preparation of blood samples prior to centrifugation </w:t>
      </w:r>
      <w:r w:rsidR="00603811" w:rsidRPr="00686E9D">
        <w:rPr>
          <w:lang w:val="en-IE"/>
        </w:rPr>
        <w:t>should</w:t>
      </w:r>
      <w:r w:rsidRPr="00686E9D">
        <w:rPr>
          <w:lang w:val="en-IE"/>
        </w:rPr>
        <w:t xml:space="preserve"> be done in a biological class II safety cabinet with appropriate personal protective equipment or a class III cabinet. </w:t>
      </w:r>
    </w:p>
    <w:p w14:paraId="0CFC9DC2" w14:textId="1A7E8952" w:rsidR="00682ECF" w:rsidRPr="00686E9D" w:rsidRDefault="00964ED2" w:rsidP="00A53BB3">
      <w:pPr>
        <w:pStyle w:val="ififthlevellist"/>
        <w:rPr>
          <w:lang w:val="en-IE"/>
        </w:rPr>
      </w:pPr>
      <w:r w:rsidRPr="00686E9D">
        <w:rPr>
          <w:lang w:val="en-IE"/>
        </w:rPr>
        <w:t>b)</w:t>
      </w:r>
      <w:r w:rsidR="009075C3" w:rsidRPr="00686E9D">
        <w:rPr>
          <w:lang w:val="en-IE"/>
        </w:rPr>
        <w:tab/>
      </w:r>
      <w:r w:rsidRPr="00686E9D">
        <w:rPr>
          <w:lang w:val="en-IE"/>
        </w:rPr>
        <w:t xml:space="preserve">Dilute test </w:t>
      </w:r>
      <w:r w:rsidRPr="00DF5340">
        <w:rPr>
          <w:lang w:val="en-IE"/>
        </w:rPr>
        <w:t xml:space="preserve">serum 1/5 in PBS containing 0.5% (v/v) </w:t>
      </w:r>
      <w:r w:rsidR="005D0CC6" w:rsidRPr="00DF5340">
        <w:rPr>
          <w:strike/>
          <w:lang w:val="en-IE"/>
        </w:rPr>
        <w:t xml:space="preserve">Triton-X100 </w:t>
      </w:r>
      <w:r w:rsidR="005D0CC6" w:rsidRPr="00DF5340">
        <w:rPr>
          <w:u w:val="double"/>
          <w:lang w:val="en-IE"/>
        </w:rPr>
        <w:t>o</w:t>
      </w:r>
      <w:proofErr w:type="spellStart"/>
      <w:r w:rsidR="005D0CC6" w:rsidRPr="00DF5340">
        <w:rPr>
          <w:u w:val="double"/>
        </w:rPr>
        <w:t>ctylphenol</w:t>
      </w:r>
      <w:proofErr w:type="spellEnd"/>
      <w:r w:rsidR="005D0CC6" w:rsidRPr="00DF5340">
        <w:rPr>
          <w:u w:val="double"/>
        </w:rPr>
        <w:t xml:space="preserve"> ethoxylate</w:t>
      </w:r>
      <w:r w:rsidRPr="00DF5340">
        <w:rPr>
          <w:lang w:val="en-IE"/>
        </w:rPr>
        <w:t xml:space="preserve"> and 0.5% (v/v) </w:t>
      </w:r>
      <w:r w:rsidR="005D0CC6" w:rsidRPr="00DF5340">
        <w:rPr>
          <w:strike/>
          <w:lang w:val="en-IE"/>
        </w:rPr>
        <w:t xml:space="preserve">Tween </w:t>
      </w:r>
      <w:r w:rsidR="005D0CC6" w:rsidRPr="00DF5340">
        <w:rPr>
          <w:u w:val="double"/>
          <w:lang w:val="en-IE"/>
        </w:rPr>
        <w:t>polysorbate</w:t>
      </w:r>
      <w:r w:rsidR="005D0CC6" w:rsidRPr="00DF5340">
        <w:rPr>
          <w:lang w:val="en-IE"/>
        </w:rPr>
        <w:t xml:space="preserve"> </w:t>
      </w:r>
      <w:r w:rsidRPr="00DF5340">
        <w:rPr>
          <w:lang w:val="en-IE"/>
        </w:rPr>
        <w:t xml:space="preserve">20 in the wells of a 96-well </w:t>
      </w:r>
      <w:proofErr w:type="spellStart"/>
      <w:r w:rsidRPr="00DF5340">
        <w:rPr>
          <w:lang w:val="en-IE"/>
        </w:rPr>
        <w:t>microtitre</w:t>
      </w:r>
      <w:proofErr w:type="spellEnd"/>
      <w:r w:rsidRPr="00DF5340">
        <w:rPr>
          <w:lang w:val="en-IE"/>
        </w:rPr>
        <w:t xml:space="preserve"> plate. Seal the </w:t>
      </w:r>
      <w:proofErr w:type="spellStart"/>
      <w:r w:rsidRPr="00DF5340">
        <w:rPr>
          <w:lang w:val="en-IE"/>
        </w:rPr>
        <w:t>microtitre</w:t>
      </w:r>
      <w:proofErr w:type="spellEnd"/>
      <w:r w:rsidRPr="00DF5340">
        <w:rPr>
          <w:lang w:val="en-IE"/>
        </w:rPr>
        <w:t xml:space="preserve"> plate. Laboratory personnel should wear gowns and gloves and spray both their hands and the sealed </w:t>
      </w:r>
      <w:proofErr w:type="spellStart"/>
      <w:r w:rsidRPr="00DF5340">
        <w:rPr>
          <w:lang w:val="en-IE"/>
        </w:rPr>
        <w:t>microtitre</w:t>
      </w:r>
      <w:proofErr w:type="spellEnd"/>
      <w:r w:rsidRPr="00DF5340">
        <w:rPr>
          <w:lang w:val="en-IE"/>
        </w:rPr>
        <w:t xml:space="preserve"> plate with suitable disinfectant </w:t>
      </w:r>
      <w:r w:rsidRPr="00DF5340">
        <w:rPr>
          <w:strike/>
          <w:lang w:val="en-IE"/>
        </w:rPr>
        <w:t>(</w:t>
      </w:r>
      <w:proofErr w:type="gramStart"/>
      <w:r w:rsidRPr="00DF5340">
        <w:rPr>
          <w:strike/>
          <w:lang w:val="en-IE"/>
        </w:rPr>
        <w:t>e.g.</w:t>
      </w:r>
      <w:proofErr w:type="gramEnd"/>
      <w:r w:rsidRPr="00DF5340">
        <w:rPr>
          <w:strike/>
          <w:lang w:val="en-IE"/>
        </w:rPr>
        <w:t xml:space="preserve"> 1% </w:t>
      </w:r>
      <w:proofErr w:type="spellStart"/>
      <w:r w:rsidRPr="00DF5340">
        <w:rPr>
          <w:strike/>
          <w:lang w:val="en-IE"/>
        </w:rPr>
        <w:t>Virkon</w:t>
      </w:r>
      <w:proofErr w:type="spellEnd"/>
      <w:r w:rsidRPr="00DF5340">
        <w:rPr>
          <w:strike/>
          <w:lang w:val="en-IE"/>
        </w:rPr>
        <w:t xml:space="preserve">) </w:t>
      </w:r>
      <w:r w:rsidRPr="00DF5340">
        <w:rPr>
          <w:lang w:val="en-IE"/>
        </w:rPr>
        <w:lastRenderedPageBreak/>
        <w:t xml:space="preserve">before removing the </w:t>
      </w:r>
      <w:proofErr w:type="spellStart"/>
      <w:r w:rsidRPr="00DF5340">
        <w:rPr>
          <w:lang w:val="en-IE"/>
        </w:rPr>
        <w:t>microtitre</w:t>
      </w:r>
      <w:proofErr w:type="spellEnd"/>
      <w:r w:rsidRPr="00DF5340">
        <w:rPr>
          <w:lang w:val="en-IE"/>
        </w:rPr>
        <w:t xml:space="preserve"> plate from the biosafety cabinet to heat at 56°C for</w:t>
      </w:r>
      <w:r w:rsidRPr="00686E9D">
        <w:rPr>
          <w:lang w:val="en-IE"/>
        </w:rPr>
        <w:t xml:space="preserve"> 30 minutes.</w:t>
      </w:r>
    </w:p>
    <w:p w14:paraId="523CDC5D" w14:textId="77777777" w:rsidR="00682ECF" w:rsidRPr="00686E9D" w:rsidRDefault="00964ED2" w:rsidP="00A53BB3">
      <w:pPr>
        <w:pStyle w:val="ififthlevellist"/>
        <w:rPr>
          <w:spacing w:val="-4"/>
          <w:lang w:val="en-IE"/>
        </w:rPr>
      </w:pPr>
      <w:r w:rsidRPr="00686E9D">
        <w:rPr>
          <w:lang w:val="en-IE"/>
        </w:rPr>
        <w:t>c)</w:t>
      </w:r>
      <w:r w:rsidRPr="00686E9D">
        <w:rPr>
          <w:lang w:val="en-IE"/>
        </w:rPr>
        <w:tab/>
      </w:r>
      <w:r w:rsidRPr="00686E9D">
        <w:rPr>
          <w:spacing w:val="-4"/>
          <w:lang w:val="en-IE"/>
        </w:rPr>
        <w:t xml:space="preserve">Mix 22.5 </w:t>
      </w:r>
      <w:proofErr w:type="spellStart"/>
      <w:r w:rsidRPr="00686E9D">
        <w:rPr>
          <w:spacing w:val="-4"/>
          <w:lang w:val="en-IE"/>
        </w:rPr>
        <w:t>μl</w:t>
      </w:r>
      <w:proofErr w:type="spellEnd"/>
      <w:r w:rsidRPr="00686E9D">
        <w:rPr>
          <w:spacing w:val="-4"/>
          <w:lang w:val="en-IE"/>
        </w:rPr>
        <w:t xml:space="preserve"> heat-inactivated serum with an equal volume of uninfected Vero cell antigen diluted 1/100 in PBS. Mix thoroughly and incubate at 18–22°C for 30 minutes.</w:t>
      </w:r>
    </w:p>
    <w:p w14:paraId="03DEC12B" w14:textId="5E2444D0" w:rsidR="00682ECF" w:rsidRPr="00686E9D" w:rsidRDefault="00FE6C65" w:rsidP="00A53BB3">
      <w:pPr>
        <w:pStyle w:val="ififthlevellist"/>
        <w:spacing w:after="240"/>
        <w:rPr>
          <w:lang w:val="en-IE"/>
        </w:rPr>
      </w:pPr>
      <w:r w:rsidRPr="00686E9D">
        <w:rPr>
          <w:lang w:val="en-IE"/>
        </w:rPr>
        <w:t>d</w:t>
      </w:r>
      <w:r w:rsidR="00964ED2" w:rsidRPr="00686E9D">
        <w:rPr>
          <w:lang w:val="en-IE"/>
        </w:rPr>
        <w:t>)</w:t>
      </w:r>
      <w:r w:rsidR="00964ED2" w:rsidRPr="00686E9D">
        <w:rPr>
          <w:lang w:val="en-IE"/>
        </w:rPr>
        <w:tab/>
        <w:t xml:space="preserve">Add 405 </w:t>
      </w:r>
      <w:proofErr w:type="spellStart"/>
      <w:r w:rsidR="00964ED2" w:rsidRPr="00686E9D">
        <w:rPr>
          <w:lang w:val="en-IE"/>
        </w:rPr>
        <w:t>μl</w:t>
      </w:r>
      <w:proofErr w:type="spellEnd"/>
      <w:r w:rsidR="00964ED2" w:rsidRPr="00686E9D">
        <w:rPr>
          <w:lang w:val="en-IE"/>
        </w:rPr>
        <w:t xml:space="preserve"> blocking solution (PBS containing 5% chicken serum and 5% </w:t>
      </w:r>
      <w:r w:rsidR="00964ED2" w:rsidRPr="008D4889">
        <w:rPr>
          <w:strike/>
          <w:lang w:val="en-IE"/>
        </w:rPr>
        <w:t>skim milk powder</w:t>
      </w:r>
      <w:r w:rsidR="008D4889">
        <w:rPr>
          <w:strike/>
          <w:lang w:val="en-IE"/>
        </w:rPr>
        <w:t xml:space="preserve"> </w:t>
      </w:r>
      <w:r w:rsidR="008D4889" w:rsidRPr="008D4889">
        <w:rPr>
          <w:u w:val="double"/>
          <w:lang w:val="en-IE"/>
        </w:rPr>
        <w:t>SMP</w:t>
      </w:r>
      <w:r w:rsidR="00964ED2" w:rsidRPr="00686E9D">
        <w:rPr>
          <w:lang w:val="en-IE"/>
        </w:rPr>
        <w:t xml:space="preserve">) to give a final serum dilution of 1/100 and incubate at 18–22°C for 30 minutes. Aliquots of 100 </w:t>
      </w:r>
      <w:proofErr w:type="spellStart"/>
      <w:r w:rsidR="00964ED2" w:rsidRPr="00686E9D">
        <w:rPr>
          <w:lang w:val="en-IE"/>
        </w:rPr>
        <w:t>μl</w:t>
      </w:r>
      <w:proofErr w:type="spellEnd"/>
      <w:r w:rsidR="00964ED2" w:rsidRPr="00686E9D">
        <w:rPr>
          <w:lang w:val="en-IE"/>
        </w:rPr>
        <w:t xml:space="preserve"> are added to two wells containing </w:t>
      </w:r>
      <w:proofErr w:type="spellStart"/>
      <w:r w:rsidR="00964ED2" w:rsidRPr="00686E9D">
        <w:rPr>
          <w:lang w:val="en-IE"/>
        </w:rPr>
        <w:t>NiV</w:t>
      </w:r>
      <w:proofErr w:type="spellEnd"/>
      <w:r w:rsidR="00964ED2" w:rsidRPr="00686E9D">
        <w:rPr>
          <w:lang w:val="en-IE"/>
        </w:rPr>
        <w:t xml:space="preserve"> antigen and two wells containing uninfected Vero cell control antigen as described in step vi.</w:t>
      </w:r>
    </w:p>
    <w:p w14:paraId="13A538E2" w14:textId="6865CE49" w:rsidR="00682ECF" w:rsidRPr="00686E9D" w:rsidRDefault="00964ED2">
      <w:pPr>
        <w:pStyle w:val="i"/>
        <w:rPr>
          <w:lang w:val="en-IE"/>
        </w:rPr>
      </w:pPr>
      <w:r w:rsidRPr="00686E9D">
        <w:rPr>
          <w:lang w:val="en-IE"/>
        </w:rPr>
        <w:t>ii)</w:t>
      </w:r>
      <w:r w:rsidRPr="00686E9D">
        <w:rPr>
          <w:lang w:val="en-IE"/>
        </w:rPr>
        <w:tab/>
        <w:t xml:space="preserve">ELISA </w:t>
      </w:r>
      <w:r w:rsidRPr="00686E9D">
        <w:rPr>
          <w:strike/>
          <w:lang w:val="en-IE"/>
        </w:rPr>
        <w:t>procedure</w:t>
      </w:r>
      <w:r w:rsidR="00A11043" w:rsidRPr="00686E9D">
        <w:rPr>
          <w:strike/>
          <w:lang w:val="en-IE"/>
        </w:rPr>
        <w:t xml:space="preserve"> </w:t>
      </w:r>
      <w:r w:rsidR="0012380B" w:rsidRPr="00686E9D">
        <w:rPr>
          <w:u w:val="double"/>
          <w:lang w:val="en-IE"/>
        </w:rPr>
        <w:t>method</w:t>
      </w:r>
    </w:p>
    <w:p w14:paraId="4483FAA9" w14:textId="1E2322E9" w:rsidR="00682ECF" w:rsidRPr="00686E9D" w:rsidRDefault="00964ED2" w:rsidP="00A53BB3">
      <w:pPr>
        <w:pStyle w:val="ififthlevellist"/>
        <w:rPr>
          <w:lang w:val="en-IE"/>
        </w:rPr>
      </w:pPr>
      <w:r w:rsidRPr="00686E9D">
        <w:rPr>
          <w:lang w:val="en-IE"/>
        </w:rPr>
        <w:t>a)</w:t>
      </w:r>
      <w:r w:rsidRPr="00686E9D">
        <w:rPr>
          <w:lang w:val="en-IE"/>
        </w:rPr>
        <w:tab/>
        <w:t xml:space="preserve">Dilute Vero cell control and </w:t>
      </w:r>
      <w:proofErr w:type="spellStart"/>
      <w:r w:rsidRPr="00686E9D">
        <w:rPr>
          <w:lang w:val="en-IE"/>
        </w:rPr>
        <w:t>NiV</w:t>
      </w:r>
      <w:proofErr w:type="spellEnd"/>
      <w:r w:rsidRPr="00686E9D">
        <w:rPr>
          <w:lang w:val="en-IE"/>
        </w:rPr>
        <w:t xml:space="preserve"> antigens in PBS to ensure that control and virus antigen wells are coated in parallel and at a similar concentration of protein. Antigen is usually diluted 1/1000 to 1/4000, but a specific dilution factor must be determined for each batch of antigen. Add 50 </w:t>
      </w:r>
      <w:proofErr w:type="spellStart"/>
      <w:r w:rsidRPr="00686E9D">
        <w:rPr>
          <w:lang w:val="en-IE"/>
        </w:rPr>
        <w:t>μl</w:t>
      </w:r>
      <w:proofErr w:type="spellEnd"/>
      <w:r w:rsidRPr="00686E9D">
        <w:rPr>
          <w:lang w:val="en-IE"/>
        </w:rPr>
        <w:t xml:space="preserve"> virus and cell control antigen to the wells of a 96-well </w:t>
      </w:r>
      <w:proofErr w:type="spellStart"/>
      <w:r w:rsidRPr="00686E9D">
        <w:rPr>
          <w:lang w:val="en-IE"/>
        </w:rPr>
        <w:t>microtitre</w:t>
      </w:r>
      <w:proofErr w:type="spellEnd"/>
      <w:r w:rsidRPr="00686E9D">
        <w:rPr>
          <w:lang w:val="en-IE"/>
        </w:rPr>
        <w:t xml:space="preserve"> plate as follows: virus antigen in columns 1, 3, 5, 7, 9 and 11 and cell control antigen in columns 2, 4, 6, 8 10 and 12. Incubate at 37°C for 1 hour with shaking. Plates can be also incubated at 4°C overnight.</w:t>
      </w:r>
    </w:p>
    <w:p w14:paraId="163406F4" w14:textId="7BDA36FD" w:rsidR="00682ECF" w:rsidRPr="00DF5340" w:rsidRDefault="00964ED2" w:rsidP="00A53BB3">
      <w:pPr>
        <w:pStyle w:val="ififthlevellist"/>
        <w:rPr>
          <w:lang w:val="en-IE"/>
        </w:rPr>
      </w:pPr>
      <w:r w:rsidRPr="00686E9D">
        <w:rPr>
          <w:lang w:val="en-IE"/>
        </w:rPr>
        <w:t>b)</w:t>
      </w:r>
      <w:r w:rsidRPr="00686E9D">
        <w:rPr>
          <w:lang w:val="en-IE"/>
        </w:rPr>
        <w:tab/>
        <w:t xml:space="preserve">Wash ELISA </w:t>
      </w:r>
      <w:r w:rsidRPr="00DF5340">
        <w:rPr>
          <w:lang w:val="en-IE"/>
        </w:rPr>
        <w:t xml:space="preserve">plates three times with PBS containing 0.05% </w:t>
      </w:r>
      <w:r w:rsidR="005D0CC6" w:rsidRPr="00DF5340">
        <w:rPr>
          <w:strike/>
          <w:lang w:val="en-IE"/>
        </w:rPr>
        <w:t xml:space="preserve">Tween </w:t>
      </w:r>
      <w:r w:rsidR="005D0CC6" w:rsidRPr="00DF5340">
        <w:rPr>
          <w:u w:val="double"/>
          <w:lang w:val="en-IE"/>
        </w:rPr>
        <w:t>polysorbate</w:t>
      </w:r>
      <w:r w:rsidR="005D0CC6" w:rsidRPr="00DF5340">
        <w:rPr>
          <w:lang w:val="en-IE"/>
        </w:rPr>
        <w:t xml:space="preserve"> </w:t>
      </w:r>
      <w:r w:rsidRPr="00DF5340">
        <w:rPr>
          <w:lang w:val="en-IE"/>
        </w:rPr>
        <w:t>20 (PBST) (250 </w:t>
      </w:r>
      <w:proofErr w:type="spellStart"/>
      <w:r w:rsidRPr="00DF5340">
        <w:rPr>
          <w:lang w:val="en-IE"/>
        </w:rPr>
        <w:t>μl</w:t>
      </w:r>
      <w:proofErr w:type="spellEnd"/>
      <w:r w:rsidRPr="00DF5340">
        <w:rPr>
          <w:lang w:val="en-IE"/>
        </w:rPr>
        <w:t xml:space="preserve">/well) and block with PBS containing 5% chicken serum and 5% </w:t>
      </w:r>
      <w:r w:rsidR="008D4889" w:rsidRPr="00DF5340">
        <w:rPr>
          <w:strike/>
          <w:lang w:val="en-IE"/>
        </w:rPr>
        <w:t xml:space="preserve">skim milk powder </w:t>
      </w:r>
      <w:r w:rsidR="008D4889" w:rsidRPr="00DF5340">
        <w:rPr>
          <w:u w:val="double"/>
          <w:lang w:val="en-IE"/>
        </w:rPr>
        <w:t>SMP</w:t>
      </w:r>
      <w:r w:rsidRPr="00DF5340">
        <w:rPr>
          <w:lang w:val="en-IE"/>
        </w:rPr>
        <w:t xml:space="preserve"> (100 </w:t>
      </w:r>
      <w:proofErr w:type="spellStart"/>
      <w:r w:rsidRPr="00DF5340">
        <w:rPr>
          <w:lang w:val="en-IE"/>
        </w:rPr>
        <w:t>μl</w:t>
      </w:r>
      <w:proofErr w:type="spellEnd"/>
      <w:r w:rsidRPr="00DF5340">
        <w:rPr>
          <w:lang w:val="en-IE"/>
        </w:rPr>
        <w:t>/well) for 30 minutes at 37°C on a shaker.</w:t>
      </w:r>
    </w:p>
    <w:p w14:paraId="64FB8525" w14:textId="186C22B6" w:rsidR="00682ECF" w:rsidRPr="00686E9D" w:rsidRDefault="00964ED2" w:rsidP="00A53BB3">
      <w:pPr>
        <w:pStyle w:val="ififthlevellist"/>
        <w:rPr>
          <w:lang w:val="en-IE"/>
        </w:rPr>
      </w:pPr>
      <w:r w:rsidRPr="00DF5340">
        <w:rPr>
          <w:lang w:val="en-IE"/>
        </w:rPr>
        <w:t>c)</w:t>
      </w:r>
      <w:r w:rsidRPr="00DF5340">
        <w:rPr>
          <w:lang w:val="en-IE"/>
        </w:rPr>
        <w:tab/>
        <w:t>Wash plates three times</w:t>
      </w:r>
      <w:r w:rsidRPr="00686E9D">
        <w:rPr>
          <w:lang w:val="en-IE"/>
        </w:rPr>
        <w:t xml:space="preserve"> with PBST and add 100 </w:t>
      </w:r>
      <w:proofErr w:type="spellStart"/>
      <w:r w:rsidRPr="00686E9D">
        <w:rPr>
          <w:lang w:val="en-IE"/>
        </w:rPr>
        <w:t>μl</w:t>
      </w:r>
      <w:proofErr w:type="spellEnd"/>
      <w:r w:rsidRPr="00686E9D">
        <w:rPr>
          <w:lang w:val="en-IE"/>
        </w:rPr>
        <w:t xml:space="preserve"> of inactivated, absorbed sera from step iii to each well</w:t>
      </w:r>
      <w:r w:rsidRPr="006773FA">
        <w:rPr>
          <w:strike/>
          <w:lang w:val="en-IE"/>
        </w:rPr>
        <w:t xml:space="preserve"> </w:t>
      </w:r>
      <w:r w:rsidRPr="006773FA">
        <w:rPr>
          <w:strike/>
          <w:highlight w:val="yellow"/>
          <w:lang w:val="en-IE"/>
        </w:rPr>
        <w:t>as indicated in the format below</w:t>
      </w:r>
      <w:r w:rsidRPr="00686E9D">
        <w:rPr>
          <w:lang w:val="en-IE"/>
        </w:rPr>
        <w:t xml:space="preserve">. Add 100 </w:t>
      </w:r>
      <w:proofErr w:type="spellStart"/>
      <w:r w:rsidRPr="00686E9D">
        <w:rPr>
          <w:lang w:val="en-IE"/>
        </w:rPr>
        <w:t>μl</w:t>
      </w:r>
      <w:proofErr w:type="spellEnd"/>
      <w:r w:rsidRPr="00686E9D">
        <w:rPr>
          <w:lang w:val="en-IE"/>
        </w:rPr>
        <w:t xml:space="preserve"> PBS containing 5% chicken serum and 5% </w:t>
      </w:r>
      <w:r w:rsidR="008D4889" w:rsidRPr="008D4889">
        <w:rPr>
          <w:strike/>
          <w:lang w:val="en-IE"/>
        </w:rPr>
        <w:t>skim milk powder</w:t>
      </w:r>
      <w:r w:rsidR="008D4889">
        <w:rPr>
          <w:strike/>
          <w:lang w:val="en-IE"/>
        </w:rPr>
        <w:t xml:space="preserve"> </w:t>
      </w:r>
      <w:r w:rsidR="008D4889" w:rsidRPr="008D4889">
        <w:rPr>
          <w:u w:val="double"/>
          <w:lang w:val="en-IE"/>
        </w:rPr>
        <w:t>SMP</w:t>
      </w:r>
      <w:r w:rsidR="008D4889" w:rsidRPr="00686E9D">
        <w:rPr>
          <w:lang w:val="en-IE"/>
        </w:rPr>
        <w:t xml:space="preserve"> </w:t>
      </w:r>
      <w:r w:rsidRPr="00686E9D">
        <w:rPr>
          <w:lang w:val="en-IE"/>
        </w:rPr>
        <w:t>to conjugate and substrate control wells. Incubate the plates without shaking for 1 hour at 37°C and wash three times with PBST.</w:t>
      </w:r>
    </w:p>
    <w:p w14:paraId="202FD9B9" w14:textId="42B223C7" w:rsidR="00682ECF" w:rsidRPr="00686E9D" w:rsidRDefault="00964ED2" w:rsidP="00A53BB3">
      <w:pPr>
        <w:pStyle w:val="ififthlevellist"/>
        <w:rPr>
          <w:lang w:val="en-IE"/>
        </w:rPr>
      </w:pPr>
      <w:r w:rsidRPr="00686E9D">
        <w:rPr>
          <w:lang w:val="en-IE"/>
        </w:rPr>
        <w:t>d)</w:t>
      </w:r>
      <w:r w:rsidRPr="00686E9D">
        <w:rPr>
          <w:lang w:val="en-IE"/>
        </w:rPr>
        <w:tab/>
        <w:t>Dilute protein A/G-horseradish peroxidase conjugate in PBST containing 1% (w/v) skim milk powder. The dilution factor is approximately 1/50,000. Mix well and add 100</w:t>
      </w:r>
      <w:r w:rsidR="003B55EC">
        <w:rPr>
          <w:lang w:val="en-IE"/>
        </w:rPr>
        <w:t> </w:t>
      </w:r>
      <w:proofErr w:type="spellStart"/>
      <w:r w:rsidRPr="00686E9D">
        <w:rPr>
          <w:lang w:val="en-IE"/>
        </w:rPr>
        <w:t>μl</w:t>
      </w:r>
      <w:proofErr w:type="spellEnd"/>
      <w:r w:rsidRPr="00686E9D">
        <w:rPr>
          <w:lang w:val="en-IE"/>
        </w:rPr>
        <w:t xml:space="preserve"> protein A-conjugate to all wells except the substrate control wells. Add 100 </w:t>
      </w:r>
      <w:proofErr w:type="spellStart"/>
      <w:r w:rsidRPr="00686E9D">
        <w:rPr>
          <w:lang w:val="en-IE"/>
        </w:rPr>
        <w:t>μl</w:t>
      </w:r>
      <w:proofErr w:type="spellEnd"/>
      <w:r w:rsidRPr="00686E9D">
        <w:rPr>
          <w:lang w:val="en-IE"/>
        </w:rPr>
        <w:t xml:space="preserve"> PBST containing 1% </w:t>
      </w:r>
      <w:r w:rsidR="008D4889" w:rsidRPr="008D4889">
        <w:rPr>
          <w:strike/>
          <w:lang w:val="en-IE"/>
        </w:rPr>
        <w:t>skim milk powder</w:t>
      </w:r>
      <w:r w:rsidR="008D4889">
        <w:rPr>
          <w:strike/>
          <w:lang w:val="en-IE"/>
        </w:rPr>
        <w:t xml:space="preserve"> </w:t>
      </w:r>
      <w:r w:rsidR="008D4889" w:rsidRPr="008D4889">
        <w:rPr>
          <w:u w:val="double"/>
          <w:lang w:val="en-IE"/>
        </w:rPr>
        <w:t>SMP</w:t>
      </w:r>
      <w:r w:rsidR="008D4889" w:rsidRPr="00686E9D">
        <w:rPr>
          <w:lang w:val="en-IE"/>
        </w:rPr>
        <w:t xml:space="preserve"> </w:t>
      </w:r>
      <w:r w:rsidRPr="00686E9D">
        <w:rPr>
          <w:lang w:val="en-IE"/>
        </w:rPr>
        <w:t>to the substrate control wells. Incubate the plates for 1 hour at 37°C without shaking and wash four times with PBST.</w:t>
      </w:r>
    </w:p>
    <w:p w14:paraId="66C05CA8" w14:textId="676ED15A" w:rsidR="00682ECF" w:rsidRPr="00686E9D" w:rsidRDefault="00964ED2" w:rsidP="00A53BB3">
      <w:pPr>
        <w:pStyle w:val="ififthlevellist"/>
        <w:rPr>
          <w:lang w:val="en-IE"/>
        </w:rPr>
      </w:pPr>
      <w:r w:rsidRPr="00686E9D">
        <w:rPr>
          <w:lang w:val="en-IE"/>
        </w:rPr>
        <w:t>e)</w:t>
      </w:r>
      <w:r w:rsidRPr="00686E9D">
        <w:rPr>
          <w:lang w:val="en-IE"/>
        </w:rPr>
        <w:tab/>
        <w:t xml:space="preserve">Prepare the </w:t>
      </w:r>
      <w:r w:rsidR="00C15FD4" w:rsidRPr="00686E9D">
        <w:rPr>
          <w:u w:val="double"/>
          <w:lang w:val="en-IE"/>
        </w:rPr>
        <w:t>chromogen/</w:t>
      </w:r>
      <w:r w:rsidRPr="00686E9D">
        <w:rPr>
          <w:lang w:val="en-IE"/>
        </w:rPr>
        <w:t>substrate (3,3’,5,5’-tetramethylbenzidine; TMB) by dissolving one tablet (1</w:t>
      </w:r>
      <w:r w:rsidR="00AF3F85" w:rsidRPr="00686E9D">
        <w:rPr>
          <w:lang w:val="en-IE"/>
        </w:rPr>
        <w:t> </w:t>
      </w:r>
      <w:r w:rsidRPr="00686E9D">
        <w:rPr>
          <w:lang w:val="en-IE"/>
        </w:rPr>
        <w:t xml:space="preserve">mg) in 10 ml of 0.05 M phosphate citrate buffer, pH 5.0, and add 2 </w:t>
      </w:r>
      <w:proofErr w:type="spellStart"/>
      <w:r w:rsidRPr="00686E9D">
        <w:rPr>
          <w:lang w:val="en-IE"/>
        </w:rPr>
        <w:t>μl</w:t>
      </w:r>
      <w:proofErr w:type="spellEnd"/>
      <w:r w:rsidRPr="00686E9D">
        <w:rPr>
          <w:lang w:val="en-IE"/>
        </w:rPr>
        <w:t xml:space="preserve"> of fresh 30% (v/v) H</w:t>
      </w:r>
      <w:r w:rsidRPr="00686E9D">
        <w:rPr>
          <w:rFonts w:cs="Angsana New"/>
          <w:szCs w:val="14"/>
          <w:vertAlign w:val="subscript"/>
          <w:lang w:val="en-IE"/>
        </w:rPr>
        <w:t>2</w:t>
      </w:r>
      <w:r w:rsidRPr="00686E9D">
        <w:rPr>
          <w:lang w:val="en-IE"/>
        </w:rPr>
        <w:t>O</w:t>
      </w:r>
      <w:r w:rsidRPr="00686E9D">
        <w:rPr>
          <w:rFonts w:cs="Angsana New"/>
          <w:szCs w:val="14"/>
          <w:vertAlign w:val="subscript"/>
          <w:lang w:val="en-IE"/>
        </w:rPr>
        <w:t>2</w:t>
      </w:r>
      <w:r w:rsidRPr="00686E9D">
        <w:rPr>
          <w:lang w:val="en-IE"/>
        </w:rPr>
        <w:t xml:space="preserve">. Add 100 </w:t>
      </w:r>
      <w:proofErr w:type="spellStart"/>
      <w:r w:rsidRPr="00686E9D">
        <w:rPr>
          <w:lang w:val="en-IE"/>
        </w:rPr>
        <w:t>μl</w:t>
      </w:r>
      <w:proofErr w:type="spellEnd"/>
      <w:r w:rsidRPr="00686E9D">
        <w:rPr>
          <w:lang w:val="en-IE"/>
        </w:rPr>
        <w:t xml:space="preserve"> of the TMB substrate to each well. Incubate for 10</w:t>
      </w:r>
      <w:r w:rsidR="003B55EC">
        <w:rPr>
          <w:lang w:val="en-IE"/>
        </w:rPr>
        <w:t> </w:t>
      </w:r>
      <w:r w:rsidRPr="00686E9D">
        <w:rPr>
          <w:lang w:val="en-IE"/>
        </w:rPr>
        <w:t xml:space="preserve">minutes at 18–22°C and stop the test by adding 100 </w:t>
      </w:r>
      <w:proofErr w:type="spellStart"/>
      <w:r w:rsidRPr="00686E9D">
        <w:rPr>
          <w:lang w:val="en-IE"/>
        </w:rPr>
        <w:t>μl</w:t>
      </w:r>
      <w:proofErr w:type="spellEnd"/>
      <w:r w:rsidRPr="00686E9D">
        <w:rPr>
          <w:lang w:val="en-IE"/>
        </w:rPr>
        <w:t xml:space="preserve"> 1 M sulphuric acid to each well.</w:t>
      </w:r>
    </w:p>
    <w:p w14:paraId="7CAF79AF" w14:textId="31E0E181" w:rsidR="00682ECF" w:rsidRPr="00686E9D" w:rsidRDefault="00964ED2" w:rsidP="00A53BB3">
      <w:pPr>
        <w:pStyle w:val="ififthlevellist"/>
        <w:spacing w:after="240"/>
        <w:rPr>
          <w:lang w:val="en-IE"/>
        </w:rPr>
      </w:pPr>
      <w:r w:rsidRPr="00686E9D">
        <w:rPr>
          <w:lang w:val="en-IE"/>
        </w:rPr>
        <w:t>f)</w:t>
      </w:r>
      <w:r w:rsidRPr="00686E9D">
        <w:rPr>
          <w:lang w:val="en-IE"/>
        </w:rPr>
        <w:tab/>
        <w:t>Read plates after blanking on a s</w:t>
      </w:r>
      <w:r w:rsidRPr="00686E9D">
        <w:rPr>
          <w:rFonts w:cs="Angsana New"/>
          <w:szCs w:val="28"/>
          <w:lang w:val="en-IE"/>
        </w:rPr>
        <w:t>u</w:t>
      </w:r>
      <w:r w:rsidRPr="00686E9D">
        <w:rPr>
          <w:lang w:val="en-IE"/>
        </w:rPr>
        <w:t>bstrate control well. The optical density (OD) at 450</w:t>
      </w:r>
      <w:r w:rsidR="00AF3F85" w:rsidRPr="00686E9D">
        <w:rPr>
          <w:lang w:val="en-IE"/>
        </w:rPr>
        <w:t> </w:t>
      </w:r>
      <w:r w:rsidRPr="00686E9D">
        <w:rPr>
          <w:lang w:val="en-IE"/>
        </w:rPr>
        <w:t xml:space="preserve">nm on </w:t>
      </w:r>
      <w:proofErr w:type="spellStart"/>
      <w:r w:rsidRPr="00686E9D">
        <w:rPr>
          <w:lang w:val="en-IE"/>
        </w:rPr>
        <w:t>NiV</w:t>
      </w:r>
      <w:proofErr w:type="spellEnd"/>
      <w:r w:rsidRPr="00686E9D">
        <w:rPr>
          <w:rFonts w:cs="Angsana New"/>
          <w:szCs w:val="28"/>
          <w:lang w:val="en-IE"/>
        </w:rPr>
        <w:t xml:space="preserve"> </w:t>
      </w:r>
      <w:r w:rsidRPr="00686E9D">
        <w:rPr>
          <w:lang w:val="en-IE"/>
        </w:rPr>
        <w:t>a</w:t>
      </w:r>
      <w:r w:rsidRPr="00686E9D">
        <w:rPr>
          <w:rFonts w:cs="Angsana New"/>
          <w:szCs w:val="28"/>
          <w:lang w:val="en-IE"/>
        </w:rPr>
        <w:t>n</w:t>
      </w:r>
      <w:r w:rsidRPr="00686E9D">
        <w:rPr>
          <w:lang w:val="en-IE"/>
        </w:rPr>
        <w:t xml:space="preserve">tigen and control Vero cell antigen </w:t>
      </w:r>
      <w:proofErr w:type="gramStart"/>
      <w:r w:rsidRPr="00686E9D">
        <w:rPr>
          <w:lang w:val="en-IE"/>
        </w:rPr>
        <w:t>are</w:t>
      </w:r>
      <w:proofErr w:type="gramEnd"/>
      <w:r w:rsidRPr="00686E9D">
        <w:rPr>
          <w:lang w:val="en-IE"/>
        </w:rPr>
        <w:t xml:space="preserve"> used </w:t>
      </w:r>
      <w:r w:rsidRPr="00686E9D">
        <w:rPr>
          <w:rFonts w:cs="Angsana New"/>
          <w:szCs w:val="28"/>
          <w:lang w:val="en-IE"/>
        </w:rPr>
        <w:t>t</w:t>
      </w:r>
      <w:r w:rsidRPr="00686E9D">
        <w:rPr>
          <w:lang w:val="en-IE"/>
        </w:rPr>
        <w:t>o</w:t>
      </w:r>
      <w:r w:rsidRPr="00686E9D">
        <w:rPr>
          <w:rFonts w:cs="Angsana New"/>
          <w:szCs w:val="28"/>
          <w:lang w:val="en-IE"/>
        </w:rPr>
        <w:t xml:space="preserve"> </w:t>
      </w:r>
      <w:r w:rsidRPr="00686E9D">
        <w:rPr>
          <w:lang w:val="en-IE"/>
        </w:rPr>
        <w:t xml:space="preserve">calculate an OD ratio for each serum (OD on </w:t>
      </w:r>
      <w:proofErr w:type="spellStart"/>
      <w:r w:rsidRPr="00686E9D">
        <w:rPr>
          <w:lang w:val="en-IE"/>
        </w:rPr>
        <w:t>NiV</w:t>
      </w:r>
      <w:proofErr w:type="spellEnd"/>
      <w:r w:rsidRPr="00686E9D">
        <w:rPr>
          <w:lang w:val="en-IE"/>
        </w:rPr>
        <w:t xml:space="preserve"> antigen/OD on</w:t>
      </w:r>
      <w:r w:rsidRPr="00686E9D">
        <w:rPr>
          <w:rFonts w:cs="Angsana New"/>
          <w:szCs w:val="28"/>
          <w:lang w:val="en-IE"/>
        </w:rPr>
        <w:t xml:space="preserve"> </w:t>
      </w:r>
      <w:r w:rsidRPr="00686E9D">
        <w:rPr>
          <w:lang w:val="en-IE"/>
        </w:rPr>
        <w:t>Vero control antigen).</w:t>
      </w:r>
    </w:p>
    <w:p w14:paraId="087B7092" w14:textId="7A186832" w:rsidR="00682ECF" w:rsidRPr="00686E9D" w:rsidRDefault="00FE6C65">
      <w:pPr>
        <w:pStyle w:val="i"/>
        <w:rPr>
          <w:lang w:val="en-IE"/>
        </w:rPr>
      </w:pPr>
      <w:r w:rsidRPr="00686E9D">
        <w:rPr>
          <w:lang w:val="en-IE"/>
        </w:rPr>
        <w:t>i</w:t>
      </w:r>
      <w:r w:rsidR="00964ED2" w:rsidRPr="00686E9D">
        <w:rPr>
          <w:lang w:val="en-IE"/>
        </w:rPr>
        <w:t>ii)</w:t>
      </w:r>
      <w:r w:rsidR="00964ED2" w:rsidRPr="00686E9D">
        <w:rPr>
          <w:lang w:val="en-IE"/>
        </w:rPr>
        <w:tab/>
        <w:t>Interpretation of results</w:t>
      </w:r>
    </w:p>
    <w:p w14:paraId="029A46C4" w14:textId="77777777" w:rsidR="00682ECF" w:rsidRPr="00686E9D" w:rsidRDefault="00964ED2" w:rsidP="00A53BB3">
      <w:pPr>
        <w:pStyle w:val="ipara"/>
        <w:rPr>
          <w:spacing w:val="-2"/>
          <w:lang w:val="en-IE"/>
        </w:rPr>
      </w:pPr>
      <w:r w:rsidRPr="00686E9D">
        <w:rPr>
          <w:spacing w:val="-2"/>
          <w:lang w:val="en-IE"/>
        </w:rPr>
        <w:t xml:space="preserve">Samples with </w:t>
      </w:r>
      <w:proofErr w:type="spellStart"/>
      <w:r w:rsidRPr="00686E9D">
        <w:rPr>
          <w:spacing w:val="-2"/>
          <w:lang w:val="en-IE"/>
        </w:rPr>
        <w:t>NiV</w:t>
      </w:r>
      <w:proofErr w:type="spellEnd"/>
      <w:r w:rsidRPr="00686E9D">
        <w:rPr>
          <w:spacing w:val="-2"/>
          <w:lang w:val="en-IE"/>
        </w:rPr>
        <w:t xml:space="preserve"> antigen OD value less than 0.20 are negative. Samples with </w:t>
      </w:r>
      <w:proofErr w:type="spellStart"/>
      <w:r w:rsidRPr="00686E9D">
        <w:rPr>
          <w:spacing w:val="-2"/>
          <w:lang w:val="en-IE"/>
        </w:rPr>
        <w:t>NiV</w:t>
      </w:r>
      <w:proofErr w:type="spellEnd"/>
      <w:r w:rsidRPr="00686E9D">
        <w:rPr>
          <w:spacing w:val="-2"/>
          <w:lang w:val="en-IE"/>
        </w:rPr>
        <w:t xml:space="preserve"> antigen OD value greater than 0.2 are assessed by OD ratio (antigen/control) value accordingly as:</w:t>
      </w:r>
    </w:p>
    <w:p w14:paraId="739989BE" w14:textId="2407E828" w:rsidR="00682ECF" w:rsidRPr="00686E9D" w:rsidRDefault="00964ED2" w:rsidP="00A53BB3">
      <w:pPr>
        <w:pStyle w:val="ififthlevellist"/>
        <w:rPr>
          <w:lang w:val="en-IE"/>
        </w:rPr>
      </w:pPr>
      <w:r w:rsidRPr="00686E9D">
        <w:rPr>
          <w:lang w:val="en-IE"/>
        </w:rPr>
        <w:t>a)</w:t>
      </w:r>
      <w:r w:rsidRPr="00686E9D">
        <w:rPr>
          <w:lang w:val="en-IE"/>
        </w:rPr>
        <w:tab/>
        <w:t>an OD ratio &gt;2.0</w:t>
      </w:r>
      <w:r w:rsidR="009075C3" w:rsidRPr="00686E9D">
        <w:rPr>
          <w:lang w:val="en-IE"/>
        </w:rPr>
        <w:t xml:space="preserve"> </w:t>
      </w:r>
      <w:r w:rsidRPr="00686E9D">
        <w:rPr>
          <w:lang w:val="en-IE"/>
        </w:rPr>
        <w:t>are considered positive</w:t>
      </w:r>
    </w:p>
    <w:p w14:paraId="6446353C" w14:textId="1066478D" w:rsidR="00682ECF" w:rsidRPr="00686E9D" w:rsidRDefault="00964ED2" w:rsidP="00A53BB3">
      <w:pPr>
        <w:pStyle w:val="ififthlevellist"/>
        <w:rPr>
          <w:lang w:val="en-IE"/>
        </w:rPr>
      </w:pPr>
      <w:r w:rsidRPr="00686E9D">
        <w:rPr>
          <w:lang w:val="en-IE"/>
        </w:rPr>
        <w:t>b)</w:t>
      </w:r>
      <w:r w:rsidRPr="00686E9D">
        <w:rPr>
          <w:lang w:val="en-IE"/>
        </w:rPr>
        <w:tab/>
        <w:t xml:space="preserve">an OD ratio between 2.0 and 2.2 should be considered </w:t>
      </w:r>
      <w:r w:rsidRPr="00686E9D">
        <w:rPr>
          <w:strike/>
          <w:lang w:val="en-IE"/>
        </w:rPr>
        <w:t>doubtful</w:t>
      </w:r>
      <w:r w:rsidR="00A11043" w:rsidRPr="00686E9D">
        <w:rPr>
          <w:strike/>
          <w:lang w:val="en-IE"/>
        </w:rPr>
        <w:t xml:space="preserve"> </w:t>
      </w:r>
      <w:r w:rsidR="00857808" w:rsidRPr="00686E9D">
        <w:rPr>
          <w:u w:val="double"/>
          <w:lang w:val="en-IE"/>
        </w:rPr>
        <w:t>inconclusive</w:t>
      </w:r>
    </w:p>
    <w:p w14:paraId="74752F43" w14:textId="17418AD7" w:rsidR="00682ECF" w:rsidRPr="00686E9D" w:rsidRDefault="00964ED2">
      <w:pPr>
        <w:pStyle w:val="ipara"/>
        <w:spacing w:after="240"/>
        <w:rPr>
          <w:lang w:val="en-IE"/>
        </w:rPr>
      </w:pPr>
      <w:r w:rsidRPr="00686E9D">
        <w:rPr>
          <w:strike/>
          <w:lang w:val="en-IE"/>
        </w:rPr>
        <w:t xml:space="preserve">Doubtful </w:t>
      </w:r>
      <w:r w:rsidR="00857808" w:rsidRPr="00686E9D">
        <w:rPr>
          <w:u w:val="double"/>
          <w:lang w:val="en-IE"/>
        </w:rPr>
        <w:t>Inconclusive</w:t>
      </w:r>
      <w:r w:rsidR="00857808" w:rsidRPr="00686E9D">
        <w:rPr>
          <w:lang w:val="en-IE"/>
        </w:rPr>
        <w:t xml:space="preserve"> </w:t>
      </w:r>
      <w:r w:rsidRPr="00686E9D">
        <w:rPr>
          <w:lang w:val="en-IE"/>
        </w:rPr>
        <w:t xml:space="preserve">and positive sera should be tested by </w:t>
      </w:r>
      <w:bookmarkStart w:id="67" w:name="_Hlk62217188"/>
      <w:r w:rsidRPr="00686E9D">
        <w:rPr>
          <w:lang w:val="en-IE"/>
        </w:rPr>
        <w:t>VNT</w:t>
      </w:r>
      <w:r w:rsidR="00857808" w:rsidRPr="00686E9D">
        <w:rPr>
          <w:u w:val="double"/>
          <w:lang w:val="en-IE"/>
        </w:rPr>
        <w:t xml:space="preserve"> to either confirm or clarify </w:t>
      </w:r>
      <w:r w:rsidR="001A40D4" w:rsidRPr="00686E9D">
        <w:rPr>
          <w:u w:val="double"/>
          <w:lang w:val="en-IE"/>
        </w:rPr>
        <w:t xml:space="preserve">a </w:t>
      </w:r>
      <w:r w:rsidR="00857808" w:rsidRPr="00686E9D">
        <w:rPr>
          <w:u w:val="double"/>
          <w:lang w:val="en-IE"/>
        </w:rPr>
        <w:t>result</w:t>
      </w:r>
      <w:r w:rsidRPr="00686E9D">
        <w:rPr>
          <w:lang w:val="en-IE"/>
        </w:rPr>
        <w:t>.</w:t>
      </w:r>
    </w:p>
    <w:bookmarkEnd w:id="67"/>
    <w:p w14:paraId="4EA30FD4" w14:textId="6AB8D7EE" w:rsidR="00682ECF" w:rsidRPr="00686E9D" w:rsidRDefault="0030088B" w:rsidP="00A53BB3">
      <w:pPr>
        <w:pStyle w:val="11"/>
        <w:spacing w:after="200"/>
        <w:rPr>
          <w:lang w:val="en-IE"/>
        </w:rPr>
      </w:pPr>
      <w:r w:rsidRPr="00686E9D">
        <w:rPr>
          <w:lang w:val="en-IE"/>
        </w:rPr>
        <w:t>4</w:t>
      </w:r>
      <w:r w:rsidR="00964ED2" w:rsidRPr="00686E9D">
        <w:rPr>
          <w:lang w:val="en-IE"/>
        </w:rPr>
        <w:t>.3.</w:t>
      </w:r>
      <w:r w:rsidR="00964ED2" w:rsidRPr="00686E9D">
        <w:rPr>
          <w:lang w:val="en-IE"/>
        </w:rPr>
        <w:tab/>
      </w:r>
      <w:bookmarkStart w:id="68" w:name="_Hlk95814629"/>
      <w:r w:rsidR="00964ED2" w:rsidRPr="00686E9D">
        <w:rPr>
          <w:lang w:val="en-IE"/>
        </w:rPr>
        <w:t>Bead-based assays</w:t>
      </w:r>
      <w:bookmarkEnd w:id="68"/>
    </w:p>
    <w:p w14:paraId="60A326D5" w14:textId="694333F1" w:rsidR="00682ECF" w:rsidRPr="00686E9D" w:rsidRDefault="00AD16A3" w:rsidP="00AD16A3">
      <w:pPr>
        <w:pStyle w:val="11Para"/>
        <w:spacing w:after="200"/>
        <w:rPr>
          <w:lang w:val="en-IE"/>
        </w:rPr>
      </w:pPr>
      <w:r w:rsidRPr="00686E9D">
        <w:rPr>
          <w:u w:val="double"/>
          <w:lang w:val="en-IE"/>
        </w:rPr>
        <w:t>An advantage of using bead-based assays is that serum</w:t>
      </w:r>
      <w:r w:rsidR="004512A6" w:rsidRPr="00686E9D">
        <w:rPr>
          <w:u w:val="double"/>
          <w:lang w:val="en-IE"/>
        </w:rPr>
        <w:t xml:space="preserve"> can be tested</w:t>
      </w:r>
      <w:r w:rsidRPr="00686E9D">
        <w:rPr>
          <w:u w:val="double"/>
          <w:lang w:val="en-IE"/>
        </w:rPr>
        <w:t xml:space="preserve"> for both Hendra and </w:t>
      </w:r>
      <w:proofErr w:type="spellStart"/>
      <w:r w:rsidRPr="00686E9D">
        <w:rPr>
          <w:u w:val="double"/>
          <w:lang w:val="en-IE"/>
        </w:rPr>
        <w:t>Nipah</w:t>
      </w:r>
      <w:proofErr w:type="spellEnd"/>
      <w:r w:rsidRPr="00686E9D">
        <w:rPr>
          <w:u w:val="double"/>
          <w:lang w:val="en-IE"/>
        </w:rPr>
        <w:t xml:space="preserve"> virus antibodies in the same well using one experiment instead of multiple tests (ELISAs and VNTs) as validated by McNabb </w:t>
      </w:r>
      <w:r w:rsidRPr="00686E9D">
        <w:rPr>
          <w:i/>
          <w:iCs/>
          <w:u w:val="double"/>
          <w:lang w:val="en-IE"/>
        </w:rPr>
        <w:t>et al.</w:t>
      </w:r>
      <w:r w:rsidRPr="00686E9D">
        <w:rPr>
          <w:u w:val="double"/>
          <w:lang w:val="en-IE"/>
        </w:rPr>
        <w:t xml:space="preserve"> (2014).</w:t>
      </w:r>
      <w:r w:rsidR="00A11043" w:rsidRPr="00686E9D">
        <w:rPr>
          <w:lang w:val="en-IE"/>
        </w:rPr>
        <w:t xml:space="preserve"> </w:t>
      </w:r>
      <w:r w:rsidR="00964ED2" w:rsidRPr="00686E9D">
        <w:rPr>
          <w:strike/>
          <w:lang w:val="en-IE"/>
        </w:rPr>
        <w:t xml:space="preserve">Bead-based assays can be used. </w:t>
      </w:r>
      <w:r w:rsidR="00964ED2" w:rsidRPr="00686E9D">
        <w:rPr>
          <w:lang w:val="en-IE"/>
        </w:rPr>
        <w:t xml:space="preserve">The </w:t>
      </w:r>
      <w:r w:rsidR="0064202E" w:rsidRPr="00686E9D">
        <w:rPr>
          <w:lang w:val="en-IE"/>
        </w:rPr>
        <w:t xml:space="preserve">validated </w:t>
      </w:r>
      <w:r w:rsidR="00964ED2" w:rsidRPr="00686E9D">
        <w:rPr>
          <w:lang w:val="en-IE"/>
        </w:rPr>
        <w:t>methods below are examples of such assays</w:t>
      </w:r>
      <w:r w:rsidR="008436E6" w:rsidRPr="00686E9D">
        <w:rPr>
          <w:lang w:val="en-IE"/>
        </w:rPr>
        <w:t>.</w:t>
      </w:r>
      <w:r w:rsidR="00306BF8" w:rsidRPr="00686E9D">
        <w:rPr>
          <w:lang w:val="en-IE"/>
        </w:rPr>
        <w:t xml:space="preserve"> </w:t>
      </w:r>
    </w:p>
    <w:p w14:paraId="6E15AC04" w14:textId="2E15FF93" w:rsidR="00682ECF" w:rsidRPr="006F5C75" w:rsidRDefault="00964ED2" w:rsidP="00A53BB3">
      <w:pPr>
        <w:pStyle w:val="11Para"/>
        <w:rPr>
          <w:lang w:val="en-IE"/>
        </w:rPr>
      </w:pPr>
      <w:r w:rsidRPr="00686E9D">
        <w:rPr>
          <w:lang w:val="en-IE"/>
        </w:rPr>
        <w:t xml:space="preserve">Two multiplexed bead-based serological assays have been developed using </w:t>
      </w:r>
      <w:r w:rsidR="0064202E" w:rsidRPr="00686E9D">
        <w:rPr>
          <w:lang w:val="en-IE"/>
        </w:rPr>
        <w:t>magnetic bead</w:t>
      </w:r>
      <w:r w:rsidR="008436E6" w:rsidRPr="00686E9D">
        <w:rPr>
          <w:lang w:val="en-IE"/>
        </w:rPr>
        <w:t>-</w:t>
      </w:r>
      <w:r w:rsidR="0064202E" w:rsidRPr="00686E9D">
        <w:rPr>
          <w:lang w:val="en-IE"/>
        </w:rPr>
        <w:t xml:space="preserve">based </w:t>
      </w:r>
      <w:r w:rsidRPr="00686E9D">
        <w:rPr>
          <w:lang w:val="en-IE"/>
        </w:rPr>
        <w:t>technology</w:t>
      </w:r>
      <w:r w:rsidR="00AE315A" w:rsidRPr="00686E9D">
        <w:rPr>
          <w:lang w:val="en-IE"/>
        </w:rPr>
        <w:t xml:space="preserve"> </w:t>
      </w:r>
      <w:r w:rsidR="00AE315A" w:rsidRPr="00686E9D">
        <w:rPr>
          <w:strike/>
          <w:lang w:val="en-IE"/>
        </w:rPr>
        <w:t>(Luminex)</w:t>
      </w:r>
      <w:r w:rsidRPr="00686E9D">
        <w:rPr>
          <w:lang w:val="en-IE"/>
        </w:rPr>
        <w:t xml:space="preserve"> and incorporate identification of antibodies to both </w:t>
      </w:r>
      <w:proofErr w:type="spellStart"/>
      <w:r w:rsidRPr="00686E9D">
        <w:rPr>
          <w:lang w:val="en-IE"/>
        </w:rPr>
        <w:t>HeV</w:t>
      </w:r>
      <w:proofErr w:type="spellEnd"/>
      <w:r w:rsidRPr="00686E9D">
        <w:rPr>
          <w:lang w:val="en-IE"/>
        </w:rPr>
        <w:t xml:space="preserve"> </w:t>
      </w:r>
      <w:proofErr w:type="gramStart"/>
      <w:r w:rsidRPr="00686E9D">
        <w:rPr>
          <w:lang w:val="en-IE"/>
        </w:rPr>
        <w:t>or</w:t>
      </w:r>
      <w:proofErr w:type="gramEnd"/>
      <w:r w:rsidRPr="00686E9D">
        <w:rPr>
          <w:lang w:val="en-IE"/>
        </w:rPr>
        <w:t xml:space="preserve"> </w:t>
      </w:r>
      <w:proofErr w:type="spellStart"/>
      <w:r w:rsidRPr="00686E9D">
        <w:rPr>
          <w:lang w:val="en-IE"/>
        </w:rPr>
        <w:t>NiV</w:t>
      </w:r>
      <w:proofErr w:type="spellEnd"/>
      <w:r w:rsidRPr="00686E9D">
        <w:rPr>
          <w:lang w:val="en-IE"/>
        </w:rPr>
        <w:t xml:space="preserve"> in a single test (</w:t>
      </w:r>
      <w:proofErr w:type="spellStart"/>
      <w:r w:rsidRPr="00686E9D">
        <w:rPr>
          <w:strike/>
          <w:lang w:val="en-IE"/>
        </w:rPr>
        <w:t>Bossart</w:t>
      </w:r>
      <w:proofErr w:type="spellEnd"/>
      <w:r w:rsidRPr="00686E9D">
        <w:rPr>
          <w:strike/>
          <w:lang w:val="en-IE"/>
        </w:rPr>
        <w:t xml:space="preserve"> </w:t>
      </w:r>
      <w:r w:rsidRPr="00686E9D">
        <w:rPr>
          <w:i/>
          <w:strike/>
          <w:lang w:val="en-IE"/>
        </w:rPr>
        <w:t>et al</w:t>
      </w:r>
      <w:r w:rsidRPr="00686E9D">
        <w:rPr>
          <w:strike/>
          <w:lang w:val="en-IE"/>
        </w:rPr>
        <w:t xml:space="preserve">., 2007; </w:t>
      </w:r>
      <w:r w:rsidRPr="00686E9D">
        <w:rPr>
          <w:lang w:val="en-IE"/>
        </w:rPr>
        <w:t xml:space="preserve">McNabb </w:t>
      </w:r>
      <w:r w:rsidRPr="00686E9D">
        <w:rPr>
          <w:i/>
          <w:lang w:val="en-IE"/>
        </w:rPr>
        <w:t>et al</w:t>
      </w:r>
      <w:r w:rsidRPr="00686E9D">
        <w:rPr>
          <w:lang w:val="en-IE"/>
        </w:rPr>
        <w:t>., 2014). Both assays measure antibodies to recombinant expressed soluble glycoprotein (</w:t>
      </w:r>
      <w:proofErr w:type="spellStart"/>
      <w:r w:rsidRPr="00686E9D">
        <w:rPr>
          <w:lang w:val="en-IE"/>
        </w:rPr>
        <w:t>sG</w:t>
      </w:r>
      <w:proofErr w:type="spellEnd"/>
      <w:r w:rsidRPr="00686E9D">
        <w:rPr>
          <w:lang w:val="en-IE"/>
        </w:rPr>
        <w:t xml:space="preserve">) of </w:t>
      </w:r>
      <w:proofErr w:type="spellStart"/>
      <w:r w:rsidRPr="00686E9D">
        <w:rPr>
          <w:lang w:val="en-IE"/>
        </w:rPr>
        <w:t>HeV</w:t>
      </w:r>
      <w:proofErr w:type="spellEnd"/>
      <w:r w:rsidRPr="00686E9D">
        <w:rPr>
          <w:lang w:val="en-IE"/>
        </w:rPr>
        <w:t xml:space="preserve"> and </w:t>
      </w:r>
      <w:proofErr w:type="spellStart"/>
      <w:r w:rsidRPr="00686E9D">
        <w:rPr>
          <w:lang w:val="en-IE"/>
        </w:rPr>
        <w:t>NiV</w:t>
      </w:r>
      <w:proofErr w:type="spellEnd"/>
      <w:r w:rsidRPr="00686E9D">
        <w:rPr>
          <w:lang w:val="en-IE"/>
        </w:rPr>
        <w:t xml:space="preserve">. One assay measures </w:t>
      </w:r>
      <w:proofErr w:type="gramStart"/>
      <w:r w:rsidRPr="00686E9D">
        <w:rPr>
          <w:lang w:val="en-IE"/>
        </w:rPr>
        <w:t>antibodies</w:t>
      </w:r>
      <w:proofErr w:type="gramEnd"/>
      <w:r w:rsidRPr="00686E9D">
        <w:rPr>
          <w:lang w:val="en-IE"/>
        </w:rPr>
        <w:t xml:space="preserve"> that bind directly to </w:t>
      </w:r>
      <w:proofErr w:type="spellStart"/>
      <w:r w:rsidRPr="00686E9D">
        <w:rPr>
          <w:lang w:val="en-IE"/>
        </w:rPr>
        <w:t>sG</w:t>
      </w:r>
      <w:proofErr w:type="spellEnd"/>
      <w:r w:rsidRPr="00686E9D">
        <w:rPr>
          <w:lang w:val="en-IE"/>
        </w:rPr>
        <w:t xml:space="preserve"> (binding assay) and the other assay measures the ability of antibodies to block the </w:t>
      </w:r>
      <w:proofErr w:type="spellStart"/>
      <w:r w:rsidRPr="00686E9D">
        <w:rPr>
          <w:lang w:val="en-IE"/>
        </w:rPr>
        <w:t>henipavirus</w:t>
      </w:r>
      <w:proofErr w:type="spellEnd"/>
      <w:r w:rsidRPr="00686E9D">
        <w:rPr>
          <w:lang w:val="en-IE"/>
        </w:rPr>
        <w:t xml:space="preserve"> receptor </w:t>
      </w:r>
      <w:r w:rsidR="008D4889" w:rsidRPr="00686E9D">
        <w:rPr>
          <w:lang w:val="en-IE"/>
        </w:rPr>
        <w:t>ephrin</w:t>
      </w:r>
      <w:r w:rsidR="0094674C">
        <w:rPr>
          <w:lang w:val="en-IE"/>
        </w:rPr>
        <w:t>B</w:t>
      </w:r>
      <w:r w:rsidR="008D4889" w:rsidRPr="00686E9D">
        <w:rPr>
          <w:lang w:val="en-IE"/>
        </w:rPr>
        <w:t xml:space="preserve">2 </w:t>
      </w:r>
      <w:r w:rsidRPr="00686E9D">
        <w:rPr>
          <w:lang w:val="en-IE"/>
        </w:rPr>
        <w:t xml:space="preserve">binding to </w:t>
      </w:r>
      <w:proofErr w:type="spellStart"/>
      <w:r w:rsidRPr="00686E9D">
        <w:rPr>
          <w:lang w:val="en-IE"/>
        </w:rPr>
        <w:t>sG</w:t>
      </w:r>
      <w:proofErr w:type="spellEnd"/>
      <w:r w:rsidRPr="00686E9D">
        <w:rPr>
          <w:lang w:val="en-IE"/>
        </w:rPr>
        <w:t xml:space="preserve"> (blocking assay). The recombinant </w:t>
      </w:r>
      <w:proofErr w:type="spellStart"/>
      <w:r w:rsidRPr="00686E9D">
        <w:rPr>
          <w:lang w:val="en-IE"/>
        </w:rPr>
        <w:t>HeV</w:t>
      </w:r>
      <w:proofErr w:type="spellEnd"/>
      <w:r w:rsidRPr="00686E9D">
        <w:rPr>
          <w:lang w:val="en-IE"/>
        </w:rPr>
        <w:t xml:space="preserve"> or </w:t>
      </w:r>
      <w:proofErr w:type="spellStart"/>
      <w:r w:rsidRPr="00686E9D">
        <w:rPr>
          <w:lang w:val="en-IE"/>
        </w:rPr>
        <w:t>NiV</w:t>
      </w:r>
      <w:proofErr w:type="spellEnd"/>
      <w:r w:rsidRPr="00686E9D">
        <w:rPr>
          <w:lang w:val="en-IE"/>
        </w:rPr>
        <w:t xml:space="preserve"> </w:t>
      </w:r>
      <w:proofErr w:type="spellStart"/>
      <w:r w:rsidRPr="00686E9D">
        <w:rPr>
          <w:lang w:val="en-IE"/>
        </w:rPr>
        <w:t>sG</w:t>
      </w:r>
      <w:proofErr w:type="spellEnd"/>
      <w:r w:rsidRPr="00686E9D">
        <w:rPr>
          <w:lang w:val="en-IE"/>
        </w:rPr>
        <w:t xml:space="preserve"> proteins are first coupled to individually identifiable magnetic beads. The coupled beads are then mixed with test sera. For the binding </w:t>
      </w:r>
      <w:r w:rsidRPr="00686E9D">
        <w:rPr>
          <w:lang w:val="en-IE"/>
        </w:rPr>
        <w:lastRenderedPageBreak/>
        <w:t>assay, bound sera are then detected using a biotinylated protein A/G secondary conjugate and Streptavidin-phycoerythrin (S-PE). For the blocking assay, sera must compete with biotinylated ephrin</w:t>
      </w:r>
      <w:r w:rsidR="008D4889">
        <w:rPr>
          <w:lang w:val="en-IE"/>
        </w:rPr>
        <w:t>B</w:t>
      </w:r>
      <w:r w:rsidRPr="00686E9D">
        <w:rPr>
          <w:lang w:val="en-IE"/>
        </w:rPr>
        <w:t xml:space="preserve">2 for binding to the </w:t>
      </w:r>
      <w:proofErr w:type="spellStart"/>
      <w:r w:rsidRPr="00686E9D">
        <w:rPr>
          <w:lang w:val="en-IE"/>
        </w:rPr>
        <w:t>sG</w:t>
      </w:r>
      <w:proofErr w:type="spellEnd"/>
      <w:r w:rsidRPr="00686E9D">
        <w:rPr>
          <w:lang w:val="en-IE"/>
        </w:rPr>
        <w:t xml:space="preserve"> and S-PE is again used to quantify the reaction. The beads are then interrogated by lasers in </w:t>
      </w:r>
      <w:r w:rsidRPr="00DF5340">
        <w:rPr>
          <w:lang w:val="en-IE"/>
        </w:rPr>
        <w:t xml:space="preserve">a </w:t>
      </w:r>
      <w:r w:rsidRPr="00DF5340">
        <w:rPr>
          <w:strike/>
          <w:lang w:val="en-IE"/>
        </w:rPr>
        <w:t xml:space="preserve">Luminex machine </w:t>
      </w:r>
      <w:r w:rsidR="008858E8" w:rsidRPr="00DF5340">
        <w:rPr>
          <w:u w:val="double"/>
          <w:lang w:val="en-IE"/>
        </w:rPr>
        <w:t>bead-based multiplexed immunoassay system</w:t>
      </w:r>
      <w:r w:rsidR="00DF5340" w:rsidRPr="00DF5340">
        <w:rPr>
          <w:lang w:val="en-IE"/>
        </w:rPr>
        <w:t xml:space="preserve"> </w:t>
      </w:r>
      <w:r w:rsidRPr="006F5C75">
        <w:rPr>
          <w:lang w:val="en-IE"/>
        </w:rPr>
        <w:t xml:space="preserve">and the results recorded as the median fluorescent intensity (MFI) of 100 beads. </w:t>
      </w:r>
      <w:bookmarkStart w:id="69" w:name="_Hlk95814682"/>
      <w:r w:rsidRPr="00EF77A6">
        <w:rPr>
          <w:strike/>
          <w:highlight w:val="yellow"/>
          <w:lang w:val="en-IE"/>
        </w:rPr>
        <w:t xml:space="preserve">The assays use completely recombinant reagents and can be performed </w:t>
      </w:r>
      <w:r w:rsidR="0081072F" w:rsidRPr="00EF77A6">
        <w:rPr>
          <w:strike/>
          <w:highlight w:val="yellow"/>
          <w:lang w:val="en-IE"/>
        </w:rPr>
        <w:t>with relative biosafety</w:t>
      </w:r>
      <w:r w:rsidRPr="00EF77A6">
        <w:rPr>
          <w:strike/>
          <w:highlight w:val="yellow"/>
          <w:lang w:val="en-IE"/>
        </w:rPr>
        <w:t xml:space="preserve">, whereas the traditional ELISA requires </w:t>
      </w:r>
      <w:r w:rsidR="0081072F" w:rsidRPr="00EF77A6">
        <w:rPr>
          <w:strike/>
          <w:highlight w:val="yellow"/>
          <w:lang w:val="en-IE"/>
        </w:rPr>
        <w:t xml:space="preserve">more stringent attention to biological risk management, particularly </w:t>
      </w:r>
      <w:proofErr w:type="gramStart"/>
      <w:r w:rsidR="0081072F" w:rsidRPr="00EF77A6">
        <w:rPr>
          <w:strike/>
          <w:highlight w:val="yellow"/>
          <w:lang w:val="en-IE"/>
        </w:rPr>
        <w:t>for the production of</w:t>
      </w:r>
      <w:proofErr w:type="gramEnd"/>
      <w:r w:rsidR="0081072F" w:rsidRPr="00EF77A6">
        <w:rPr>
          <w:strike/>
          <w:highlight w:val="yellow"/>
          <w:lang w:val="en-IE"/>
        </w:rPr>
        <w:t xml:space="preserve"> the </w:t>
      </w:r>
      <w:r w:rsidRPr="00EF77A6">
        <w:rPr>
          <w:strike/>
          <w:highlight w:val="yellow"/>
          <w:lang w:val="en-IE"/>
        </w:rPr>
        <w:t>antigen.</w:t>
      </w:r>
      <w:r w:rsidRPr="00EF77A6">
        <w:rPr>
          <w:strike/>
          <w:lang w:val="en-IE"/>
        </w:rPr>
        <w:t xml:space="preserve"> </w:t>
      </w:r>
      <w:bookmarkEnd w:id="69"/>
      <w:proofErr w:type="gramStart"/>
      <w:r w:rsidRPr="006F5C75">
        <w:rPr>
          <w:lang w:val="en-IE"/>
        </w:rPr>
        <w:t>Similar to</w:t>
      </w:r>
      <w:proofErr w:type="gramEnd"/>
      <w:r w:rsidRPr="006F5C75">
        <w:rPr>
          <w:lang w:val="en-IE"/>
        </w:rPr>
        <w:t xml:space="preserve"> the approach taken with ELISA, any suspect positive sera are then tested by VNT. </w:t>
      </w:r>
    </w:p>
    <w:p w14:paraId="50751235" w14:textId="0EA5C1D0" w:rsidR="00682ECF" w:rsidRPr="006F5C75" w:rsidRDefault="0030088B">
      <w:pPr>
        <w:pStyle w:val="111"/>
        <w:rPr>
          <w:lang w:val="en-IE"/>
        </w:rPr>
      </w:pPr>
      <w:r w:rsidRPr="006F5C75">
        <w:rPr>
          <w:lang w:val="en-IE"/>
        </w:rPr>
        <w:t>4</w:t>
      </w:r>
      <w:r w:rsidR="00964ED2" w:rsidRPr="006F5C75">
        <w:rPr>
          <w:lang w:val="en-IE"/>
        </w:rPr>
        <w:t>.3.1.</w:t>
      </w:r>
      <w:r w:rsidR="00964ED2" w:rsidRPr="006F5C75">
        <w:rPr>
          <w:lang w:val="en-IE"/>
        </w:rPr>
        <w:tab/>
        <w:t>Bead-coupling procedure</w:t>
      </w:r>
    </w:p>
    <w:p w14:paraId="364865BA" w14:textId="77777777" w:rsidR="00682ECF" w:rsidRPr="006F5C75" w:rsidRDefault="00964ED2">
      <w:pPr>
        <w:pStyle w:val="i"/>
        <w:rPr>
          <w:lang w:val="en-IE"/>
        </w:rPr>
      </w:pPr>
      <w:r w:rsidRPr="006F5C75">
        <w:rPr>
          <w:lang w:val="en-IE"/>
        </w:rPr>
        <w:t>i)</w:t>
      </w:r>
      <w:r w:rsidRPr="006F5C75">
        <w:rPr>
          <w:lang w:val="en-IE"/>
        </w:rPr>
        <w:tab/>
        <w:t>Bead activation</w:t>
      </w:r>
    </w:p>
    <w:p w14:paraId="12736EAF" w14:textId="77777777" w:rsidR="00682ECF" w:rsidRPr="006F5C75" w:rsidRDefault="00964ED2">
      <w:pPr>
        <w:pStyle w:val="ififthlevellist"/>
        <w:rPr>
          <w:lang w:val="en-IE"/>
        </w:rPr>
      </w:pPr>
      <w:r w:rsidRPr="006F5C75">
        <w:rPr>
          <w:lang w:val="en-IE"/>
        </w:rPr>
        <w:t>a)</w:t>
      </w:r>
      <w:r w:rsidRPr="006F5C75">
        <w:rPr>
          <w:lang w:val="en-IE"/>
        </w:rPr>
        <w:tab/>
        <w:t>Bring the bead activation buffer (0.1 M NaH</w:t>
      </w:r>
      <w:r w:rsidRPr="006F5C75">
        <w:rPr>
          <w:szCs w:val="14"/>
          <w:vertAlign w:val="subscript"/>
          <w:lang w:val="en-IE"/>
        </w:rPr>
        <w:t>2</w:t>
      </w:r>
      <w:r w:rsidRPr="006F5C75">
        <w:rPr>
          <w:lang w:val="en-IE"/>
        </w:rPr>
        <w:t>PO</w:t>
      </w:r>
      <w:r w:rsidRPr="006F5C75">
        <w:rPr>
          <w:szCs w:val="14"/>
          <w:vertAlign w:val="subscript"/>
          <w:lang w:val="en-IE"/>
        </w:rPr>
        <w:t>4</w:t>
      </w:r>
      <w:r w:rsidRPr="006F5C75">
        <w:rPr>
          <w:lang w:val="en-IE"/>
        </w:rPr>
        <w:t xml:space="preserve">, pH6.2) to room temperature prior to use. </w:t>
      </w:r>
    </w:p>
    <w:p w14:paraId="7169E871" w14:textId="77777777" w:rsidR="00682ECF" w:rsidRPr="006F5C75" w:rsidRDefault="00964ED2">
      <w:pPr>
        <w:pStyle w:val="dotsixthpara"/>
        <w:rPr>
          <w:lang w:val="en-IE"/>
        </w:rPr>
      </w:pPr>
      <w:r w:rsidRPr="006F5C75">
        <w:rPr>
          <w:lang w:val="en-IE"/>
        </w:rPr>
        <w:t xml:space="preserve">NOTE: Be careful to protect the beads from light as they </w:t>
      </w:r>
      <w:proofErr w:type="spellStart"/>
      <w:r w:rsidRPr="006F5C75">
        <w:rPr>
          <w:lang w:val="en-IE"/>
        </w:rPr>
        <w:t>photobleach</w:t>
      </w:r>
      <w:proofErr w:type="spellEnd"/>
      <w:r w:rsidRPr="006F5C75">
        <w:rPr>
          <w:lang w:val="en-IE"/>
        </w:rPr>
        <w:t xml:space="preserve"> (cover tubes with foil where possible).</w:t>
      </w:r>
    </w:p>
    <w:p w14:paraId="07073216" w14:textId="3CD17F2F" w:rsidR="00682ECF" w:rsidRPr="006F5C75" w:rsidRDefault="00964ED2">
      <w:pPr>
        <w:pStyle w:val="ififthlevellist"/>
        <w:rPr>
          <w:lang w:val="en-IE"/>
        </w:rPr>
      </w:pPr>
      <w:r w:rsidRPr="006F5C75">
        <w:rPr>
          <w:lang w:val="en-IE"/>
        </w:rPr>
        <w:t>b)</w:t>
      </w:r>
      <w:r w:rsidRPr="006F5C75">
        <w:rPr>
          <w:lang w:val="en-IE"/>
        </w:rPr>
        <w:tab/>
        <w:t xml:space="preserve">Select the </w:t>
      </w:r>
      <w:proofErr w:type="spellStart"/>
      <w:r w:rsidRPr="008B0A97">
        <w:rPr>
          <w:strike/>
          <w:lang w:val="en-IE"/>
        </w:rPr>
        <w:t>MagPlex</w:t>
      </w:r>
      <w:proofErr w:type="spellEnd"/>
      <w:r w:rsidRPr="008B0A97">
        <w:rPr>
          <w:strike/>
          <w:lang w:val="en-IE"/>
        </w:rPr>
        <w:t xml:space="preserve"> </w:t>
      </w:r>
      <w:r w:rsidR="008858E8" w:rsidRPr="008B0A97">
        <w:rPr>
          <w:u w:val="double"/>
          <w:lang w:val="en-IE"/>
        </w:rPr>
        <w:t>magnetic</w:t>
      </w:r>
      <w:r w:rsidR="008B0A97" w:rsidRPr="008B0A97">
        <w:rPr>
          <w:lang w:val="en-IE"/>
        </w:rPr>
        <w:t xml:space="preserve"> </w:t>
      </w:r>
      <w:proofErr w:type="spellStart"/>
      <w:r w:rsidRPr="008B0A97">
        <w:rPr>
          <w:lang w:val="en-IE"/>
        </w:rPr>
        <w:t>carboxylated</w:t>
      </w:r>
      <w:proofErr w:type="spellEnd"/>
      <w:r w:rsidRPr="008B0A97">
        <w:rPr>
          <w:lang w:val="en-IE"/>
        </w:rPr>
        <w:t xml:space="preserve"> beads </w:t>
      </w:r>
      <w:r w:rsidRPr="008B0A97">
        <w:rPr>
          <w:strike/>
          <w:lang w:val="en-IE"/>
        </w:rPr>
        <w:t>(Luminex corp.,</w:t>
      </w:r>
      <w:r w:rsidRPr="008B0A97">
        <w:rPr>
          <w:lang w:val="en-IE"/>
        </w:rPr>
        <w:t xml:space="preserve"> supplied as 1.25 × 10</w:t>
      </w:r>
      <w:r w:rsidRPr="008B0A97">
        <w:rPr>
          <w:szCs w:val="14"/>
          <w:vertAlign w:val="superscript"/>
          <w:lang w:val="en-IE"/>
        </w:rPr>
        <w:t>7</w:t>
      </w:r>
      <w:r w:rsidRPr="008B0A97">
        <w:rPr>
          <w:lang w:val="en-IE"/>
        </w:rPr>
        <w:t> beads/ml</w:t>
      </w:r>
      <w:r w:rsidRPr="008B0A97">
        <w:rPr>
          <w:strike/>
          <w:lang w:val="en-IE"/>
        </w:rPr>
        <w:t>)</w:t>
      </w:r>
      <w:r w:rsidRPr="008B0A97">
        <w:rPr>
          <w:lang w:val="en-IE"/>
        </w:rPr>
        <w:t xml:space="preserve"> for the protein coupling reaction </w:t>
      </w:r>
      <w:r w:rsidRPr="008B0A97">
        <w:rPr>
          <w:strike/>
          <w:lang w:val="en-IE"/>
        </w:rPr>
        <w:t xml:space="preserve">(usually </w:t>
      </w:r>
      <w:proofErr w:type="spellStart"/>
      <w:r w:rsidRPr="008B0A97">
        <w:rPr>
          <w:strike/>
          <w:lang w:val="en-IE"/>
        </w:rPr>
        <w:t>HeV</w:t>
      </w:r>
      <w:proofErr w:type="spellEnd"/>
      <w:r w:rsidRPr="008B0A97">
        <w:rPr>
          <w:strike/>
          <w:lang w:val="en-IE"/>
        </w:rPr>
        <w:t xml:space="preserve">: Bead#29 &amp; </w:t>
      </w:r>
      <w:proofErr w:type="spellStart"/>
      <w:r w:rsidRPr="008B0A97">
        <w:rPr>
          <w:strike/>
          <w:lang w:val="en-IE"/>
        </w:rPr>
        <w:t>NiV</w:t>
      </w:r>
      <w:proofErr w:type="spellEnd"/>
      <w:r w:rsidRPr="008B0A97">
        <w:rPr>
          <w:strike/>
          <w:lang w:val="en-IE"/>
        </w:rPr>
        <w:t>: Bead#30)</w:t>
      </w:r>
      <w:r w:rsidR="008D4889" w:rsidRPr="008B0A97">
        <w:rPr>
          <w:strike/>
          <w:lang w:val="en-IE"/>
        </w:rPr>
        <w:t xml:space="preserve"> </w:t>
      </w:r>
      <w:r w:rsidR="008D4889" w:rsidRPr="008B0A97">
        <w:rPr>
          <w:u w:val="double"/>
          <w:lang w:val="en-IE"/>
        </w:rPr>
        <w:t>for the relevant virus (</w:t>
      </w:r>
      <w:proofErr w:type="spellStart"/>
      <w:r w:rsidR="008D4889" w:rsidRPr="008B0A97">
        <w:rPr>
          <w:u w:val="double"/>
          <w:lang w:val="en-IE"/>
        </w:rPr>
        <w:t>HeV</w:t>
      </w:r>
      <w:proofErr w:type="spellEnd"/>
      <w:r w:rsidR="008D4889" w:rsidRPr="008B0A97">
        <w:rPr>
          <w:u w:val="double"/>
          <w:lang w:val="en-IE"/>
        </w:rPr>
        <w:t xml:space="preserve"> or </w:t>
      </w:r>
      <w:proofErr w:type="spellStart"/>
      <w:r w:rsidR="008D4889" w:rsidRPr="008B0A97">
        <w:rPr>
          <w:u w:val="double"/>
          <w:lang w:val="en-IE"/>
        </w:rPr>
        <w:t>NiV</w:t>
      </w:r>
      <w:proofErr w:type="spellEnd"/>
      <w:r w:rsidR="008D4889" w:rsidRPr="008B0A97">
        <w:rPr>
          <w:u w:val="double"/>
          <w:lang w:val="en-IE"/>
        </w:rPr>
        <w:t>)</w:t>
      </w:r>
      <w:r w:rsidRPr="008B0A97">
        <w:rPr>
          <w:lang w:val="en-IE"/>
        </w:rPr>
        <w:t>.</w:t>
      </w:r>
      <w:r w:rsidRPr="006F5C75">
        <w:rPr>
          <w:lang w:val="en-IE"/>
        </w:rPr>
        <w:t xml:space="preserve"> Vortex the beads for 30 seconds at medium speed, then sonicate the beads by bath sonication for ~30–60 seconds. It is important that the beads are completely resuspended as single monodisperse particles. </w:t>
      </w:r>
    </w:p>
    <w:p w14:paraId="3A19335C" w14:textId="678507C5" w:rsidR="00682ECF" w:rsidRPr="006F5C75" w:rsidRDefault="00964ED2">
      <w:pPr>
        <w:pStyle w:val="ififthlevellist"/>
        <w:rPr>
          <w:lang w:val="en-IE"/>
        </w:rPr>
      </w:pPr>
      <w:r w:rsidRPr="006F5C75">
        <w:rPr>
          <w:lang w:val="en-IE"/>
        </w:rPr>
        <w:t>c)</w:t>
      </w:r>
      <w:r w:rsidRPr="006F5C75">
        <w:rPr>
          <w:lang w:val="en-IE"/>
        </w:rPr>
        <w:tab/>
      </w:r>
      <w:r w:rsidRPr="005B393C">
        <w:rPr>
          <w:lang w:val="en-IE"/>
        </w:rPr>
        <w:t xml:space="preserve">Transfer 300 µl of </w:t>
      </w:r>
      <w:proofErr w:type="spellStart"/>
      <w:r w:rsidRPr="005B393C">
        <w:rPr>
          <w:strike/>
          <w:lang w:val="en-IE"/>
        </w:rPr>
        <w:t>MagPlex</w:t>
      </w:r>
      <w:proofErr w:type="spellEnd"/>
      <w:r w:rsidRPr="005B393C">
        <w:rPr>
          <w:strike/>
          <w:lang w:val="en-IE"/>
        </w:rPr>
        <w:t xml:space="preserve"> </w:t>
      </w:r>
      <w:r w:rsidR="008858E8" w:rsidRPr="005B393C">
        <w:rPr>
          <w:u w:val="double"/>
          <w:lang w:val="en-IE"/>
        </w:rPr>
        <w:t>magnetic</w:t>
      </w:r>
      <w:r w:rsidR="008858E8" w:rsidRPr="005B393C">
        <w:rPr>
          <w:lang w:val="en-IE"/>
        </w:rPr>
        <w:t xml:space="preserve"> </w:t>
      </w:r>
      <w:proofErr w:type="spellStart"/>
      <w:r w:rsidRPr="005B393C">
        <w:rPr>
          <w:lang w:val="en-IE"/>
        </w:rPr>
        <w:t>carboxylated</w:t>
      </w:r>
      <w:proofErr w:type="spellEnd"/>
      <w:r w:rsidRPr="005B393C">
        <w:rPr>
          <w:lang w:val="en-IE"/>
        </w:rPr>
        <w:t xml:space="preserve"> beads </w:t>
      </w:r>
      <w:r w:rsidRPr="005B393C">
        <w:rPr>
          <w:strike/>
          <w:lang w:val="en-IE"/>
        </w:rPr>
        <w:t xml:space="preserve">#28 &amp; #30 </w:t>
      </w:r>
      <w:r w:rsidRPr="005B393C">
        <w:rPr>
          <w:lang w:val="en-IE"/>
        </w:rPr>
        <w:t>(3.75 × 10</w:t>
      </w:r>
      <w:r w:rsidRPr="005B393C">
        <w:rPr>
          <w:szCs w:val="14"/>
          <w:vertAlign w:val="superscript"/>
          <w:lang w:val="en-IE"/>
        </w:rPr>
        <w:t>6</w:t>
      </w:r>
      <w:r w:rsidRPr="005B393C">
        <w:rPr>
          <w:lang w:val="en-IE"/>
        </w:rPr>
        <w:t xml:space="preserve"> beads) into 2 ml </w:t>
      </w:r>
      <w:proofErr w:type="spellStart"/>
      <w:r w:rsidR="002A5D11" w:rsidRPr="005B393C">
        <w:rPr>
          <w:strike/>
          <w:lang w:val="en-IE"/>
        </w:rPr>
        <w:t>S</w:t>
      </w:r>
      <w:r w:rsidRPr="005B393C">
        <w:rPr>
          <w:strike/>
          <w:lang w:val="en-IE"/>
        </w:rPr>
        <w:t>arstedt</w:t>
      </w:r>
      <w:proofErr w:type="spellEnd"/>
      <w:r w:rsidRPr="005B393C">
        <w:rPr>
          <w:strike/>
          <w:lang w:val="en-IE"/>
        </w:rPr>
        <w:t xml:space="preserve"> </w:t>
      </w:r>
      <w:r w:rsidR="008858E8" w:rsidRPr="005B393C">
        <w:rPr>
          <w:u w:val="double"/>
          <w:lang w:val="en-IE"/>
        </w:rPr>
        <w:t>screw capped micro</w:t>
      </w:r>
      <w:r w:rsidRPr="005B393C">
        <w:rPr>
          <w:lang w:val="en-IE"/>
        </w:rPr>
        <w:t>tubes. Place the tubes into a magnetic separator and allow separation</w:t>
      </w:r>
      <w:r w:rsidRPr="006F5C75">
        <w:rPr>
          <w:lang w:val="en-IE"/>
        </w:rPr>
        <w:t xml:space="preserve"> to occur for 30–60 seconds. With the tubes still positioned in the magnetic separator, remove the supernatant with a pipette; take care not to disturb the bead pellet.</w:t>
      </w:r>
    </w:p>
    <w:p w14:paraId="73D42131" w14:textId="1659C92B" w:rsidR="00682ECF" w:rsidRPr="006F5C75" w:rsidRDefault="00964ED2">
      <w:pPr>
        <w:pStyle w:val="ififthlevellist"/>
        <w:rPr>
          <w:lang w:val="en-IE"/>
        </w:rPr>
      </w:pPr>
      <w:r w:rsidRPr="006F5C75">
        <w:rPr>
          <w:lang w:val="en-IE"/>
        </w:rPr>
        <w:t>d)</w:t>
      </w:r>
      <w:r w:rsidRPr="006F5C75">
        <w:rPr>
          <w:lang w:val="en-IE"/>
        </w:rPr>
        <w:tab/>
        <w:t xml:space="preserve">Wash beads by adding 300µl of PBST to the tubes and </w:t>
      </w:r>
      <w:proofErr w:type="spellStart"/>
      <w:r w:rsidRPr="006F5C75">
        <w:rPr>
          <w:lang w:val="en-IE"/>
        </w:rPr>
        <w:t>vortexing</w:t>
      </w:r>
      <w:proofErr w:type="spellEnd"/>
      <w:r w:rsidRPr="006F5C75">
        <w:rPr>
          <w:lang w:val="en-IE"/>
        </w:rPr>
        <w:t xml:space="preserve">. Place the tubes into a magnetic separator and allow separation to occur for 30–60 seconds. With the tubes still positioned in the magnetic separator, remove the supernatant with a pipette; take care not to disturb the bead pellet. Repeat. </w:t>
      </w:r>
    </w:p>
    <w:p w14:paraId="2C0A4DA9" w14:textId="77777777" w:rsidR="00682ECF" w:rsidRPr="006F5C75" w:rsidRDefault="00964ED2">
      <w:pPr>
        <w:pStyle w:val="ififthlevellist"/>
        <w:rPr>
          <w:lang w:val="en-IE"/>
        </w:rPr>
      </w:pPr>
      <w:r w:rsidRPr="006F5C75">
        <w:rPr>
          <w:lang w:val="en-IE"/>
        </w:rPr>
        <w:t>e)</w:t>
      </w:r>
      <w:r w:rsidRPr="006F5C75">
        <w:rPr>
          <w:lang w:val="en-IE"/>
        </w:rPr>
        <w:tab/>
        <w:t xml:space="preserve">Add 600 µl of bead activation buffer to the tubes and vortex. Place the tubes into a magnetic separator and allow separation to occur for 30–60 seconds. With the tubes still positioned in the magnetic separator, remove the supernatant with a pipette; take care not to disturb the bead pellet. Repeat. </w:t>
      </w:r>
    </w:p>
    <w:p w14:paraId="225225C9" w14:textId="77777777" w:rsidR="00682ECF" w:rsidRPr="006F5C75" w:rsidRDefault="00964ED2">
      <w:pPr>
        <w:pStyle w:val="ififthlevellist"/>
        <w:rPr>
          <w:lang w:val="en-IE"/>
        </w:rPr>
      </w:pPr>
      <w:r w:rsidRPr="006F5C75">
        <w:rPr>
          <w:lang w:val="en-IE"/>
        </w:rPr>
        <w:t>f)</w:t>
      </w:r>
      <w:r w:rsidRPr="006F5C75">
        <w:rPr>
          <w:lang w:val="en-IE"/>
        </w:rPr>
        <w:tab/>
        <w:t>Add 240 µl of bead activation buffer to the tubes, cover with foil and shake for 3 minutes.</w:t>
      </w:r>
    </w:p>
    <w:p w14:paraId="44805E3F" w14:textId="11C15673" w:rsidR="00682ECF" w:rsidRPr="006F5C75" w:rsidRDefault="00964ED2">
      <w:pPr>
        <w:pStyle w:val="ififthlevellist"/>
        <w:rPr>
          <w:lang w:val="en-IE"/>
        </w:rPr>
      </w:pPr>
      <w:r w:rsidRPr="006F5C75">
        <w:rPr>
          <w:lang w:val="en-IE"/>
        </w:rPr>
        <w:t>g)</w:t>
      </w:r>
      <w:r w:rsidRPr="006F5C75">
        <w:rPr>
          <w:lang w:val="en-IE"/>
        </w:rPr>
        <w:tab/>
      </w:r>
      <w:bookmarkStart w:id="70" w:name="_Hlk83718557"/>
      <w:r w:rsidR="0099627E" w:rsidRPr="00686E9D">
        <w:rPr>
          <w:lang w:val="en-IE"/>
        </w:rPr>
        <w:t>Prepare</w:t>
      </w:r>
      <w:r w:rsidR="008B0A97">
        <w:rPr>
          <w:lang w:val="en-IE"/>
        </w:rPr>
        <w:t xml:space="preserve"> </w:t>
      </w:r>
      <w:r w:rsidR="008B0A97" w:rsidRPr="008B0A97">
        <w:rPr>
          <w:strike/>
          <w:lang w:val="en-IE"/>
        </w:rPr>
        <w:t xml:space="preserve">EDC (Pierce) and S-NHS (Pierce) </w:t>
      </w:r>
      <w:r w:rsidR="008858E8" w:rsidRPr="008B0A97">
        <w:rPr>
          <w:u w:val="double"/>
          <w:lang w:val="en-IE"/>
        </w:rPr>
        <w:t>crosslinkers (</w:t>
      </w:r>
      <w:r w:rsidR="004D0B63" w:rsidRPr="008B0A97">
        <w:rPr>
          <w:u w:val="double"/>
          <w:lang w:val="en-IE"/>
        </w:rPr>
        <w:t>1-</w:t>
      </w:r>
      <w:r w:rsidR="008B0A97" w:rsidRPr="008B0A97">
        <w:rPr>
          <w:u w:val="double"/>
          <w:lang w:val="en-IE"/>
        </w:rPr>
        <w:t>ethyl</w:t>
      </w:r>
      <w:r w:rsidR="004D0B63" w:rsidRPr="008B0A97">
        <w:rPr>
          <w:u w:val="double"/>
          <w:lang w:val="en-IE"/>
        </w:rPr>
        <w:t>-3-</w:t>
      </w:r>
      <w:r w:rsidR="008B0A97">
        <w:rPr>
          <w:u w:val="double"/>
          <w:lang w:val="en-IE"/>
        </w:rPr>
        <w:t>[</w:t>
      </w:r>
      <w:r w:rsidR="004D0B63" w:rsidRPr="008B0A97">
        <w:rPr>
          <w:u w:val="double"/>
          <w:lang w:val="en-IE"/>
        </w:rPr>
        <w:t>3-dimethylamino</w:t>
      </w:r>
      <w:r w:rsidR="008B0A97">
        <w:rPr>
          <w:u w:val="double"/>
          <w:lang w:val="en-IE"/>
        </w:rPr>
        <w:t>-</w:t>
      </w:r>
      <w:r w:rsidR="004D0B63" w:rsidRPr="008B0A97">
        <w:rPr>
          <w:u w:val="double"/>
          <w:lang w:val="en-IE"/>
        </w:rPr>
        <w:t>propyl</w:t>
      </w:r>
      <w:r w:rsidR="008B0A97">
        <w:rPr>
          <w:u w:val="double"/>
          <w:lang w:val="en-IE"/>
        </w:rPr>
        <w:t xml:space="preserve">] </w:t>
      </w:r>
      <w:r w:rsidR="004D0B63" w:rsidRPr="008B0A97">
        <w:rPr>
          <w:u w:val="double"/>
          <w:lang w:val="en-IE"/>
        </w:rPr>
        <w:t xml:space="preserve">carbodiimide </w:t>
      </w:r>
      <w:r w:rsidR="008B0A97">
        <w:rPr>
          <w:u w:val="double"/>
          <w:lang w:val="en-IE"/>
        </w:rPr>
        <w:t>[</w:t>
      </w:r>
      <w:r w:rsidR="004D0B63" w:rsidRPr="008B0A97">
        <w:rPr>
          <w:u w:val="double"/>
          <w:lang w:val="en-IE"/>
        </w:rPr>
        <w:t>EDC</w:t>
      </w:r>
      <w:r w:rsidR="008B0A97">
        <w:rPr>
          <w:u w:val="double"/>
          <w:lang w:val="en-IE"/>
        </w:rPr>
        <w:t>]</w:t>
      </w:r>
      <w:r w:rsidR="004D0B63" w:rsidRPr="008B0A97">
        <w:rPr>
          <w:u w:val="double"/>
          <w:lang w:val="en-IE"/>
        </w:rPr>
        <w:t xml:space="preserve"> = </w:t>
      </w:r>
      <w:r w:rsidR="008858E8" w:rsidRPr="008B0A97">
        <w:rPr>
          <w:u w:val="double"/>
          <w:lang w:val="en-IE"/>
        </w:rPr>
        <w:t xml:space="preserve">a carboxy- and amine-reactive zero-length crosslinker and </w:t>
      </w:r>
      <w:r w:rsidR="004D0B63" w:rsidRPr="008B0A97">
        <w:rPr>
          <w:u w:val="double"/>
          <w:lang w:val="en-IE"/>
        </w:rPr>
        <w:t xml:space="preserve">S-NHS = </w:t>
      </w:r>
      <w:proofErr w:type="spellStart"/>
      <w:r w:rsidR="008858E8" w:rsidRPr="008B0A97">
        <w:rPr>
          <w:u w:val="double"/>
          <w:lang w:val="en-IE"/>
        </w:rPr>
        <w:t>sulfo</w:t>
      </w:r>
      <w:proofErr w:type="spellEnd"/>
      <w:r w:rsidR="008858E8" w:rsidRPr="008B0A97">
        <w:rPr>
          <w:u w:val="double"/>
          <w:lang w:val="en-IE"/>
        </w:rPr>
        <w:t>-</w:t>
      </w:r>
      <w:r w:rsidR="000D092C" w:rsidRPr="008B0A97">
        <w:rPr>
          <w:u w:val="double"/>
          <w:lang w:val="en-IE"/>
        </w:rPr>
        <w:t>N-</w:t>
      </w:r>
      <w:proofErr w:type="spellStart"/>
      <w:r w:rsidR="000D092C" w:rsidRPr="008B0A97">
        <w:rPr>
          <w:u w:val="double"/>
          <w:lang w:val="en-IE"/>
        </w:rPr>
        <w:t>hydroxysulfosuccinimide</w:t>
      </w:r>
      <w:proofErr w:type="spellEnd"/>
      <w:r w:rsidR="008858E8" w:rsidRPr="008B0A97">
        <w:rPr>
          <w:u w:val="double"/>
          <w:lang w:val="en-IE"/>
        </w:rPr>
        <w:t>)</w:t>
      </w:r>
      <w:r w:rsidR="0099627E" w:rsidRPr="00686E9D">
        <w:rPr>
          <w:lang w:val="en-IE"/>
        </w:rPr>
        <w:t xml:space="preserve"> in </w:t>
      </w:r>
      <w:bookmarkEnd w:id="70"/>
      <w:r w:rsidR="0099627E" w:rsidRPr="00686E9D">
        <w:rPr>
          <w:lang w:val="en-IE"/>
        </w:rPr>
        <w:t xml:space="preserve">bead </w:t>
      </w:r>
      <w:r w:rsidRPr="006F5C75">
        <w:rPr>
          <w:lang w:val="en-IE"/>
        </w:rPr>
        <w:t xml:space="preserve">activation buffer immediately prior to use to a concentration of 50 mg/ml (20 µl buffer/mg powder). Add 30 µl of the freshly made 50 mg/ml EDC into the tubes, closely followed by 30 µl of the freshly made 50 mg/ml S-NHS into the tubes. NOTE: Discard unused portion and make fresh each time. </w:t>
      </w:r>
    </w:p>
    <w:p w14:paraId="0BAC62A5" w14:textId="00540A07" w:rsidR="00682ECF" w:rsidRPr="006F5C75" w:rsidRDefault="00964ED2">
      <w:pPr>
        <w:pStyle w:val="ififthlevellist"/>
        <w:rPr>
          <w:lang w:val="en-IE"/>
        </w:rPr>
      </w:pPr>
      <w:r w:rsidRPr="006F5C75">
        <w:rPr>
          <w:lang w:val="en-IE"/>
        </w:rPr>
        <w:t>h)</w:t>
      </w:r>
      <w:r w:rsidRPr="006F5C75">
        <w:rPr>
          <w:lang w:val="en-IE"/>
        </w:rPr>
        <w:tab/>
        <w:t xml:space="preserve">Cover the tubes with </w:t>
      </w:r>
      <w:r w:rsidR="002A5D11" w:rsidRPr="006F5C75">
        <w:rPr>
          <w:lang w:val="en-IE"/>
        </w:rPr>
        <w:t>aluminium</w:t>
      </w:r>
      <w:r w:rsidRPr="006F5C75">
        <w:rPr>
          <w:lang w:val="en-IE"/>
        </w:rPr>
        <w:t xml:space="preserve"> foil and shake the beads at room temperature for 20 minutes.</w:t>
      </w:r>
    </w:p>
    <w:p w14:paraId="6F50F98E" w14:textId="69AEE658" w:rsidR="00682ECF" w:rsidRPr="006F5C75" w:rsidRDefault="00964ED2">
      <w:pPr>
        <w:pStyle w:val="ififthlevellist"/>
        <w:rPr>
          <w:lang w:val="en-IE"/>
        </w:rPr>
      </w:pPr>
      <w:r w:rsidRPr="006F5C75">
        <w:rPr>
          <w:lang w:val="en-IE"/>
        </w:rPr>
        <w:t>i)</w:t>
      </w:r>
      <w:r w:rsidRPr="006F5C75">
        <w:rPr>
          <w:lang w:val="en-IE"/>
        </w:rPr>
        <w:tab/>
        <w:t xml:space="preserve">While beads are incubating, prepare </w:t>
      </w:r>
      <w:proofErr w:type="spellStart"/>
      <w:r w:rsidRPr="006F5C75">
        <w:rPr>
          <w:lang w:val="en-IE"/>
        </w:rPr>
        <w:t>sG</w:t>
      </w:r>
      <w:proofErr w:type="spellEnd"/>
      <w:r w:rsidRPr="006F5C75">
        <w:rPr>
          <w:lang w:val="en-IE"/>
        </w:rPr>
        <w:t xml:space="preserve"> proteins. Use 90 µg each of </w:t>
      </w:r>
      <w:proofErr w:type="spellStart"/>
      <w:r w:rsidRPr="006F5C75">
        <w:rPr>
          <w:lang w:val="en-IE"/>
        </w:rPr>
        <w:t>HeV</w:t>
      </w:r>
      <w:proofErr w:type="spellEnd"/>
      <w:r w:rsidRPr="006F5C75">
        <w:rPr>
          <w:lang w:val="en-IE"/>
        </w:rPr>
        <w:t xml:space="preserve"> </w:t>
      </w:r>
      <w:proofErr w:type="spellStart"/>
      <w:r w:rsidRPr="006F5C75">
        <w:rPr>
          <w:lang w:val="en-IE"/>
        </w:rPr>
        <w:t>sG</w:t>
      </w:r>
      <w:proofErr w:type="spellEnd"/>
      <w:r w:rsidRPr="006F5C75">
        <w:rPr>
          <w:lang w:val="en-IE"/>
        </w:rPr>
        <w:t xml:space="preserve"> &amp; </w:t>
      </w:r>
      <w:proofErr w:type="spellStart"/>
      <w:r w:rsidRPr="006F5C75">
        <w:rPr>
          <w:lang w:val="en-IE"/>
        </w:rPr>
        <w:t>NiV</w:t>
      </w:r>
      <w:proofErr w:type="spellEnd"/>
      <w:r w:rsidRPr="006F5C75">
        <w:rPr>
          <w:lang w:val="en-IE"/>
        </w:rPr>
        <w:t xml:space="preserve"> </w:t>
      </w:r>
      <w:proofErr w:type="spellStart"/>
      <w:r w:rsidRPr="006F5C75">
        <w:rPr>
          <w:lang w:val="en-IE"/>
        </w:rPr>
        <w:t>sG</w:t>
      </w:r>
      <w:proofErr w:type="spellEnd"/>
      <w:r w:rsidRPr="006F5C75">
        <w:rPr>
          <w:lang w:val="en-IE"/>
        </w:rPr>
        <w:t xml:space="preserve"> and use PBS (do not use </w:t>
      </w:r>
      <w:r w:rsidR="002269D5">
        <w:rPr>
          <w:lang w:val="en-IE"/>
        </w:rPr>
        <w:t>PBST</w:t>
      </w:r>
      <w:r w:rsidRPr="006F5C75">
        <w:rPr>
          <w:lang w:val="en-IE"/>
        </w:rPr>
        <w:t>, as it blocks carboxy groups) to bring proteins up to a final volume of 300 µl.</w:t>
      </w:r>
    </w:p>
    <w:p w14:paraId="10829D79" w14:textId="77777777" w:rsidR="00682ECF" w:rsidRPr="006F5C75" w:rsidRDefault="00964ED2">
      <w:pPr>
        <w:pStyle w:val="ififthlevellist"/>
        <w:spacing w:after="240"/>
        <w:rPr>
          <w:lang w:val="en-IE"/>
        </w:rPr>
      </w:pPr>
      <w:r w:rsidRPr="006F5C75">
        <w:rPr>
          <w:lang w:val="en-IE"/>
        </w:rPr>
        <w:t>j)</w:t>
      </w:r>
      <w:r w:rsidRPr="006F5C75">
        <w:rPr>
          <w:lang w:val="en-IE"/>
        </w:rPr>
        <w:tab/>
        <w:t xml:space="preserve">After incubation, the beads are now activated and ready for coupling. Place the tubes into a magnetic separator and allow separation to occur for 30–60 seconds. With the tubes still positioned in the magnetic separator, remove the supernatant with a pipette; take care not to disturb the bead pellet. </w:t>
      </w:r>
    </w:p>
    <w:p w14:paraId="7DDFD92F" w14:textId="77777777" w:rsidR="00682ECF" w:rsidRPr="006F5C75" w:rsidRDefault="00964ED2" w:rsidP="004A0FE2">
      <w:pPr>
        <w:pStyle w:val="i"/>
        <w:keepNext/>
        <w:rPr>
          <w:lang w:val="en-IE"/>
        </w:rPr>
      </w:pPr>
      <w:r w:rsidRPr="006F5C75">
        <w:rPr>
          <w:lang w:val="en-IE"/>
        </w:rPr>
        <w:t>ii)</w:t>
      </w:r>
      <w:r w:rsidRPr="006F5C75">
        <w:rPr>
          <w:lang w:val="en-IE"/>
        </w:rPr>
        <w:tab/>
        <w:t>Protein coupling</w:t>
      </w:r>
    </w:p>
    <w:p w14:paraId="0F9BE30D" w14:textId="2988512F" w:rsidR="00682ECF" w:rsidRPr="006F5C75" w:rsidRDefault="00964ED2">
      <w:pPr>
        <w:pStyle w:val="ififthlevellist"/>
        <w:rPr>
          <w:lang w:val="en-IE"/>
        </w:rPr>
      </w:pPr>
      <w:r w:rsidRPr="006F5C75">
        <w:rPr>
          <w:lang w:val="en-IE"/>
        </w:rPr>
        <w:t>a)</w:t>
      </w:r>
      <w:r w:rsidRPr="006F5C75">
        <w:rPr>
          <w:lang w:val="en-IE"/>
        </w:rPr>
        <w:tab/>
        <w:t xml:space="preserve">Wash beads by adding 300 µl of PBS to the tubes and </w:t>
      </w:r>
      <w:proofErr w:type="spellStart"/>
      <w:r w:rsidRPr="006F5C75">
        <w:rPr>
          <w:lang w:val="en-IE"/>
        </w:rPr>
        <w:t>vortexing</w:t>
      </w:r>
      <w:proofErr w:type="spellEnd"/>
      <w:r w:rsidRPr="006F5C75">
        <w:rPr>
          <w:lang w:val="en-IE"/>
        </w:rPr>
        <w:t xml:space="preserve"> (do not use </w:t>
      </w:r>
      <w:r w:rsidR="002269D5">
        <w:rPr>
          <w:lang w:val="en-IE"/>
        </w:rPr>
        <w:t>PBST</w:t>
      </w:r>
      <w:r w:rsidRPr="006F5C75">
        <w:rPr>
          <w:lang w:val="en-IE"/>
        </w:rPr>
        <w:t xml:space="preserve"> as it blocks carboxy groups). Place the tubes into a magnetic separator and allow separation to occur for 30–60 seconds. With the tubes still positioned in the magnetic separator, remove the supernatant with a pipette; take care not to disturb the bead pellet.</w:t>
      </w:r>
    </w:p>
    <w:p w14:paraId="6A6230AD" w14:textId="77777777" w:rsidR="00682ECF" w:rsidRPr="006F5C75" w:rsidRDefault="00964ED2">
      <w:pPr>
        <w:pStyle w:val="ififthlevellist"/>
        <w:rPr>
          <w:lang w:val="en-IE"/>
        </w:rPr>
      </w:pPr>
      <w:r w:rsidRPr="006F5C75">
        <w:rPr>
          <w:lang w:val="en-IE"/>
        </w:rPr>
        <w:lastRenderedPageBreak/>
        <w:t>b)</w:t>
      </w:r>
      <w:r w:rsidRPr="006F5C75">
        <w:rPr>
          <w:lang w:val="en-IE"/>
        </w:rPr>
        <w:tab/>
        <w:t xml:space="preserve">Add </w:t>
      </w:r>
      <w:proofErr w:type="gramStart"/>
      <w:r w:rsidRPr="006F5C75">
        <w:rPr>
          <w:lang w:val="en-IE"/>
        </w:rPr>
        <w:t>all of</w:t>
      </w:r>
      <w:proofErr w:type="gramEnd"/>
      <w:r w:rsidRPr="006F5C75">
        <w:rPr>
          <w:lang w:val="en-IE"/>
        </w:rPr>
        <w:t xml:space="preserve"> the 300 µl of prepared protein, above, to the activated beads.</w:t>
      </w:r>
    </w:p>
    <w:p w14:paraId="53F25D93" w14:textId="77777777" w:rsidR="00682ECF" w:rsidRPr="006F5C75" w:rsidRDefault="00964ED2">
      <w:pPr>
        <w:pStyle w:val="ififthlevellist"/>
        <w:rPr>
          <w:lang w:val="en-IE"/>
        </w:rPr>
      </w:pPr>
      <w:r w:rsidRPr="006F5C75">
        <w:rPr>
          <w:lang w:val="en-IE"/>
        </w:rPr>
        <w:t>c)</w:t>
      </w:r>
      <w:r w:rsidRPr="006F5C75">
        <w:rPr>
          <w:lang w:val="en-IE"/>
        </w:rPr>
        <w:tab/>
        <w:t xml:space="preserve">Cover the tubes with aluminium foil and shake the beads moderately at room temperature for 2 hours. </w:t>
      </w:r>
    </w:p>
    <w:p w14:paraId="13FCAC7E" w14:textId="77777777" w:rsidR="00682ECF" w:rsidRPr="006F5C75" w:rsidRDefault="00964ED2">
      <w:pPr>
        <w:pStyle w:val="ififthlevellist"/>
        <w:rPr>
          <w:lang w:val="en-IE"/>
        </w:rPr>
      </w:pPr>
      <w:r w:rsidRPr="006F5C75">
        <w:rPr>
          <w:lang w:val="en-IE"/>
        </w:rPr>
        <w:t>d)</w:t>
      </w:r>
      <w:r w:rsidRPr="006F5C75">
        <w:rPr>
          <w:lang w:val="en-IE"/>
        </w:rPr>
        <w:tab/>
        <w:t>The protein is now coupled to the beads. Place the tubes into a magnetic separator and allow separation to occur for 30–60 seconds. With the tubes still positioned in the magnetic separator, remove the supernatant with a pipette; take care not to disturb the bead pellet.</w:t>
      </w:r>
    </w:p>
    <w:p w14:paraId="5F721A50" w14:textId="7103A03F" w:rsidR="00682ECF" w:rsidRPr="006F5C75" w:rsidRDefault="00964ED2">
      <w:pPr>
        <w:pStyle w:val="ififthlevellist"/>
        <w:rPr>
          <w:lang w:val="en-IE"/>
        </w:rPr>
      </w:pPr>
      <w:r w:rsidRPr="006F5C75">
        <w:rPr>
          <w:lang w:val="en-IE"/>
        </w:rPr>
        <w:t>e)</w:t>
      </w:r>
      <w:r w:rsidRPr="006F5C75">
        <w:rPr>
          <w:lang w:val="en-IE"/>
        </w:rPr>
        <w:tab/>
        <w:t xml:space="preserve">Wash the beads twice with 300 µl of </w:t>
      </w:r>
      <w:r w:rsidR="002269D5">
        <w:rPr>
          <w:lang w:val="en-IE"/>
        </w:rPr>
        <w:t>PBST</w:t>
      </w:r>
      <w:r w:rsidRPr="006F5C75">
        <w:rPr>
          <w:lang w:val="en-IE"/>
        </w:rPr>
        <w:t xml:space="preserve"> as described above. Place the tubes into a magnetic separator and allow separation to occur for 30–60 seconds. With the tubes still positioned in the magnetic separator, remove the supernatant with a pipette; take care not to disturb the bead pellet.</w:t>
      </w:r>
    </w:p>
    <w:p w14:paraId="37686646" w14:textId="5A2501C6" w:rsidR="00682ECF" w:rsidRPr="008B0A97" w:rsidRDefault="00964ED2">
      <w:pPr>
        <w:pStyle w:val="ififthlevellist"/>
        <w:spacing w:after="240"/>
        <w:rPr>
          <w:lang w:val="en-IE"/>
        </w:rPr>
      </w:pPr>
      <w:r w:rsidRPr="006F5C75">
        <w:rPr>
          <w:lang w:val="en-IE"/>
        </w:rPr>
        <w:t>f)</w:t>
      </w:r>
      <w:r w:rsidRPr="006F5C75">
        <w:rPr>
          <w:lang w:val="en-IE"/>
        </w:rPr>
        <w:tab/>
      </w:r>
      <w:r w:rsidRPr="008B0A97">
        <w:rPr>
          <w:lang w:val="en-IE"/>
        </w:rPr>
        <w:t xml:space="preserve">Resuspend the coupled beads in 1.8 ml bead storage buffer (10 ml PBS, 1% </w:t>
      </w:r>
      <w:r w:rsidR="002A5D76" w:rsidRPr="008B0A97">
        <w:rPr>
          <w:lang w:val="en-IE"/>
        </w:rPr>
        <w:t xml:space="preserve">bovine </w:t>
      </w:r>
      <w:r w:rsidR="00C624ED" w:rsidRPr="008B0A97">
        <w:rPr>
          <w:lang w:val="en-IE"/>
        </w:rPr>
        <w:t xml:space="preserve">serum albumen </w:t>
      </w:r>
      <w:r w:rsidR="0094674C" w:rsidRPr="008B0A97">
        <w:rPr>
          <w:lang w:val="en-IE"/>
        </w:rPr>
        <w:t>[</w:t>
      </w:r>
      <w:r w:rsidRPr="008B0A97">
        <w:rPr>
          <w:lang w:val="en-IE"/>
        </w:rPr>
        <w:t>BSA</w:t>
      </w:r>
      <w:r w:rsidR="0094674C" w:rsidRPr="008B0A97">
        <w:rPr>
          <w:lang w:val="en-IE"/>
        </w:rPr>
        <w:t>]</w:t>
      </w:r>
      <w:r w:rsidRPr="008B0A97">
        <w:rPr>
          <w:lang w:val="en-IE"/>
        </w:rPr>
        <w:t xml:space="preserve">, 0.05% sodium </w:t>
      </w:r>
      <w:proofErr w:type="spellStart"/>
      <w:r w:rsidRPr="008B0A97">
        <w:rPr>
          <w:lang w:val="en-IE"/>
        </w:rPr>
        <w:t>azide</w:t>
      </w:r>
      <w:proofErr w:type="spellEnd"/>
      <w:r w:rsidRPr="008B0A97">
        <w:rPr>
          <w:lang w:val="en-IE"/>
        </w:rPr>
        <w:t xml:space="preserve"> and 1 protease inhibitor tablet </w:t>
      </w:r>
      <w:r w:rsidRPr="008B0A97">
        <w:rPr>
          <w:strike/>
          <w:lang w:val="en-IE"/>
        </w:rPr>
        <w:t xml:space="preserve">(Roche) </w:t>
      </w:r>
      <w:r w:rsidRPr="008B0A97">
        <w:rPr>
          <w:lang w:val="en-IE"/>
        </w:rPr>
        <w:t>and store at 4°C.</w:t>
      </w:r>
    </w:p>
    <w:p w14:paraId="3B2864E5" w14:textId="55C37C26" w:rsidR="00682ECF" w:rsidRPr="008B0A97" w:rsidRDefault="00964ED2">
      <w:pPr>
        <w:pStyle w:val="111Para"/>
        <w:rPr>
          <w:lang w:val="en-IE"/>
        </w:rPr>
      </w:pPr>
      <w:r w:rsidRPr="008B0A97">
        <w:rPr>
          <w:lang w:val="en-IE"/>
        </w:rPr>
        <w:t xml:space="preserve">NOTES: Check reactivity of </w:t>
      </w:r>
      <w:proofErr w:type="spellStart"/>
      <w:r w:rsidRPr="008B0A97">
        <w:rPr>
          <w:lang w:val="en-IE"/>
        </w:rPr>
        <w:t>sG</w:t>
      </w:r>
      <w:proofErr w:type="spellEnd"/>
      <w:r w:rsidRPr="008B0A97">
        <w:rPr>
          <w:lang w:val="en-IE"/>
        </w:rPr>
        <w:t xml:space="preserve"> with </w:t>
      </w:r>
      <w:r w:rsidRPr="008B0A97">
        <w:rPr>
          <w:strike/>
          <w:lang w:val="en-IE"/>
        </w:rPr>
        <w:t xml:space="preserve">panel of </w:t>
      </w:r>
      <w:proofErr w:type="spellStart"/>
      <w:r w:rsidRPr="008B0A97">
        <w:rPr>
          <w:lang w:val="en-IE"/>
        </w:rPr>
        <w:t>henipavirus</w:t>
      </w:r>
      <w:proofErr w:type="spellEnd"/>
      <w:r w:rsidRPr="008B0A97">
        <w:rPr>
          <w:lang w:val="en-IE"/>
        </w:rPr>
        <w:t xml:space="preserve"> sera before use. Use 1 µl of coupled beads per well for </w:t>
      </w:r>
      <w:proofErr w:type="spellStart"/>
      <w:r w:rsidRPr="008B0A97">
        <w:rPr>
          <w:lang w:val="en-IE"/>
        </w:rPr>
        <w:t>henipavirus</w:t>
      </w:r>
      <w:proofErr w:type="spellEnd"/>
      <w:r w:rsidRPr="008B0A97">
        <w:rPr>
          <w:lang w:val="en-IE"/>
        </w:rPr>
        <w:t xml:space="preserve"> binding and blocking serological assays (this procedure couples enough beads to test around 1800 sera). Coupled beads </w:t>
      </w:r>
      <w:proofErr w:type="gramStart"/>
      <w:r w:rsidRPr="008B0A97">
        <w:rPr>
          <w:lang w:val="en-IE"/>
        </w:rPr>
        <w:t>are able to</w:t>
      </w:r>
      <w:proofErr w:type="gramEnd"/>
      <w:r w:rsidRPr="008B0A97">
        <w:rPr>
          <w:lang w:val="en-IE"/>
        </w:rPr>
        <w:t xml:space="preserve"> be stored at 4°C for at least 1 year and maintain reactivity.</w:t>
      </w:r>
    </w:p>
    <w:p w14:paraId="17B37A63" w14:textId="59798C7A" w:rsidR="00682ECF" w:rsidRPr="006F5C75" w:rsidRDefault="0030088B">
      <w:pPr>
        <w:pStyle w:val="111"/>
        <w:rPr>
          <w:lang w:val="en-IE"/>
        </w:rPr>
      </w:pPr>
      <w:r w:rsidRPr="008B0A97">
        <w:rPr>
          <w:lang w:val="en-IE"/>
        </w:rPr>
        <w:t>4</w:t>
      </w:r>
      <w:r w:rsidR="00964ED2" w:rsidRPr="008B0A97">
        <w:rPr>
          <w:lang w:val="en-IE"/>
        </w:rPr>
        <w:t>.3.2.</w:t>
      </w:r>
      <w:r w:rsidR="00964ED2" w:rsidRPr="008B0A97">
        <w:rPr>
          <w:lang w:val="en-IE"/>
        </w:rPr>
        <w:tab/>
      </w:r>
      <w:proofErr w:type="spellStart"/>
      <w:r w:rsidR="00964ED2" w:rsidRPr="008B0A97">
        <w:rPr>
          <w:lang w:val="en-IE"/>
        </w:rPr>
        <w:t>Henipavirus</w:t>
      </w:r>
      <w:proofErr w:type="spellEnd"/>
      <w:r w:rsidR="00964ED2" w:rsidRPr="008B0A97">
        <w:rPr>
          <w:lang w:val="en-IE"/>
        </w:rPr>
        <w:t xml:space="preserve"> </w:t>
      </w:r>
      <w:r w:rsidR="002A5D11" w:rsidRPr="008B0A97">
        <w:rPr>
          <w:strike/>
          <w:lang w:val="en-IE"/>
        </w:rPr>
        <w:t>Luminex</w:t>
      </w:r>
      <w:r w:rsidR="00964ED2" w:rsidRPr="006F5C75">
        <w:rPr>
          <w:lang w:val="en-IE"/>
        </w:rPr>
        <w:t xml:space="preserve"> binding assay procedure</w:t>
      </w:r>
    </w:p>
    <w:p w14:paraId="5B6AEF98" w14:textId="66273467" w:rsidR="00682ECF" w:rsidRPr="006F5C75" w:rsidRDefault="00964ED2">
      <w:pPr>
        <w:pStyle w:val="i"/>
        <w:rPr>
          <w:lang w:val="en-IE"/>
        </w:rPr>
      </w:pPr>
      <w:r w:rsidRPr="006F5C75">
        <w:rPr>
          <w:lang w:val="en-IE"/>
        </w:rPr>
        <w:t>i)</w:t>
      </w:r>
      <w:r w:rsidRPr="006F5C75">
        <w:rPr>
          <w:lang w:val="en-IE"/>
        </w:rPr>
        <w:tab/>
        <w:t xml:space="preserve">Test </w:t>
      </w:r>
      <w:r w:rsidRPr="006F5C75">
        <w:rPr>
          <w:strike/>
          <w:lang w:val="en-IE"/>
        </w:rPr>
        <w:t>procedure</w:t>
      </w:r>
      <w:r w:rsidR="00A11043" w:rsidRPr="006F5C75">
        <w:rPr>
          <w:strike/>
          <w:lang w:val="en-IE"/>
        </w:rPr>
        <w:t xml:space="preserve"> </w:t>
      </w:r>
      <w:r w:rsidR="00857808" w:rsidRPr="006F5C75">
        <w:rPr>
          <w:u w:val="double"/>
          <w:lang w:val="en-IE"/>
        </w:rPr>
        <w:t>method</w:t>
      </w:r>
    </w:p>
    <w:p w14:paraId="30768CEF" w14:textId="1DBEF2E2" w:rsidR="00682ECF" w:rsidRPr="006F5C75" w:rsidRDefault="00964ED2">
      <w:pPr>
        <w:pStyle w:val="ififthlevellist"/>
        <w:rPr>
          <w:lang w:val="en-IE"/>
        </w:rPr>
      </w:pPr>
      <w:r w:rsidRPr="006F5C75">
        <w:rPr>
          <w:lang w:val="en-IE"/>
        </w:rPr>
        <w:t>a)</w:t>
      </w:r>
      <w:r w:rsidRPr="006F5C75">
        <w:rPr>
          <w:lang w:val="en-IE"/>
        </w:rPr>
        <w:tab/>
        <w:t xml:space="preserve">Select previously coupled </w:t>
      </w:r>
      <w:proofErr w:type="spellStart"/>
      <w:r w:rsidRPr="006F5C75">
        <w:rPr>
          <w:lang w:val="en-IE"/>
        </w:rPr>
        <w:t>HeV</w:t>
      </w:r>
      <w:proofErr w:type="spellEnd"/>
      <w:r w:rsidRPr="006F5C75">
        <w:rPr>
          <w:lang w:val="en-IE"/>
        </w:rPr>
        <w:t xml:space="preserve"> and </w:t>
      </w:r>
      <w:proofErr w:type="spellStart"/>
      <w:r w:rsidRPr="006F5C75">
        <w:rPr>
          <w:lang w:val="en-IE"/>
        </w:rPr>
        <w:t>NiV</w:t>
      </w:r>
      <w:proofErr w:type="spellEnd"/>
      <w:r w:rsidRPr="006F5C75">
        <w:rPr>
          <w:lang w:val="en-IE"/>
        </w:rPr>
        <w:t xml:space="preserve"> </w:t>
      </w:r>
      <w:proofErr w:type="spellStart"/>
      <w:r w:rsidRPr="006F5C75">
        <w:rPr>
          <w:lang w:val="en-IE"/>
        </w:rPr>
        <w:t>sG</w:t>
      </w:r>
      <w:proofErr w:type="spellEnd"/>
      <w:r w:rsidRPr="006F5C75">
        <w:rPr>
          <w:lang w:val="en-IE"/>
        </w:rPr>
        <w:t xml:space="preserve"> beads. Vortex the beads for 30 seconds at maximum speed, then sonicate the beads by bath sonication for ~30–60 seconds.</w:t>
      </w:r>
      <w:r w:rsidR="00342F90" w:rsidRPr="006F5C75">
        <w:rPr>
          <w:lang w:val="en-IE"/>
        </w:rPr>
        <w:t xml:space="preserve"> </w:t>
      </w:r>
    </w:p>
    <w:p w14:paraId="4F098A2F" w14:textId="67A2FB97" w:rsidR="00682ECF" w:rsidRPr="006F5C75" w:rsidRDefault="00964ED2">
      <w:pPr>
        <w:pStyle w:val="ififthlevellist"/>
        <w:rPr>
          <w:lang w:val="en-IE"/>
        </w:rPr>
      </w:pPr>
      <w:r w:rsidRPr="006F5C75">
        <w:rPr>
          <w:lang w:val="en-IE"/>
        </w:rPr>
        <w:t>b)</w:t>
      </w:r>
      <w:r w:rsidRPr="006F5C75">
        <w:rPr>
          <w:lang w:val="en-IE"/>
        </w:rPr>
        <w:tab/>
        <w:t xml:space="preserve">Dilute beads in blocker (2% skim milk in </w:t>
      </w:r>
      <w:r w:rsidR="002269D5">
        <w:rPr>
          <w:lang w:val="en-IE"/>
        </w:rPr>
        <w:t>PBST</w:t>
      </w:r>
      <w:r w:rsidRPr="006F5C75">
        <w:rPr>
          <w:lang w:val="en-IE"/>
        </w:rPr>
        <w:t>) at an appropriate concentration for the number of sera to be tested (1 µl of each bead set/well).</w:t>
      </w:r>
    </w:p>
    <w:p w14:paraId="3C07135A" w14:textId="3A20FB52" w:rsidR="00682ECF" w:rsidRPr="006F5C75" w:rsidRDefault="00964ED2">
      <w:pPr>
        <w:pStyle w:val="ififthlevellist"/>
        <w:rPr>
          <w:lang w:val="en-IE"/>
        </w:rPr>
      </w:pPr>
      <w:r w:rsidRPr="006F5C75">
        <w:rPr>
          <w:lang w:val="en-IE"/>
        </w:rPr>
        <w:t>c)</w:t>
      </w:r>
      <w:r w:rsidRPr="006F5C75">
        <w:rPr>
          <w:lang w:val="en-IE"/>
        </w:rPr>
        <w:tab/>
        <w:t xml:space="preserve">Add 100 µl of diluted beads to appropriate wells of a 96-well </w:t>
      </w:r>
      <w:r w:rsidRPr="0094674C">
        <w:rPr>
          <w:strike/>
          <w:lang w:val="en-IE"/>
        </w:rPr>
        <w:t xml:space="preserve">NUNC TC </w:t>
      </w:r>
      <w:r w:rsidRPr="006F5C75">
        <w:rPr>
          <w:lang w:val="en-IE"/>
        </w:rPr>
        <w:t>flat bottom plate.</w:t>
      </w:r>
    </w:p>
    <w:p w14:paraId="767E3B35" w14:textId="77777777" w:rsidR="00682ECF" w:rsidRPr="006F5C75" w:rsidRDefault="00964ED2">
      <w:pPr>
        <w:pStyle w:val="ififthlevellist"/>
        <w:rPr>
          <w:lang w:val="en-IE"/>
        </w:rPr>
      </w:pPr>
      <w:r w:rsidRPr="006F5C75">
        <w:rPr>
          <w:lang w:val="en-IE"/>
        </w:rPr>
        <w:t>d)</w:t>
      </w:r>
      <w:r w:rsidRPr="006F5C75">
        <w:rPr>
          <w:lang w:val="en-IE"/>
        </w:rPr>
        <w:tab/>
        <w:t xml:space="preserve">Cover plate in foil and shake at RT for 30 minutes on a plate shaker. </w:t>
      </w:r>
    </w:p>
    <w:p w14:paraId="63B26673" w14:textId="77777777" w:rsidR="00682ECF" w:rsidRPr="006F5C75" w:rsidRDefault="00964ED2">
      <w:pPr>
        <w:pStyle w:val="ififthlevellist"/>
        <w:rPr>
          <w:b/>
          <w:bCs/>
          <w:lang w:val="en-IE"/>
        </w:rPr>
      </w:pPr>
      <w:r w:rsidRPr="006F5C75">
        <w:rPr>
          <w:lang w:val="en-IE"/>
        </w:rPr>
        <w:t>e)</w:t>
      </w:r>
      <w:r w:rsidRPr="006F5C75">
        <w:rPr>
          <w:lang w:val="en-IE"/>
        </w:rPr>
        <w:tab/>
        <w:t xml:space="preserve">Place plate on magnetic holder and allow separation to occur for 30–60 seconds. With the plate still in the magnetic holder, flick contents into the sink and gently blot on paper towel, remove plate from magnetic holder. </w:t>
      </w:r>
    </w:p>
    <w:p w14:paraId="4E112FE7" w14:textId="77777777" w:rsidR="00682ECF" w:rsidRPr="006F5C75" w:rsidRDefault="00964ED2">
      <w:pPr>
        <w:pStyle w:val="ififthlevellist"/>
        <w:rPr>
          <w:b/>
          <w:bCs/>
          <w:lang w:val="en-IE"/>
        </w:rPr>
      </w:pPr>
      <w:r w:rsidRPr="006F5C75">
        <w:rPr>
          <w:bCs/>
          <w:lang w:val="en-IE"/>
        </w:rPr>
        <w:t>f)</w:t>
      </w:r>
      <w:r w:rsidRPr="006F5C75">
        <w:rPr>
          <w:bCs/>
          <w:lang w:val="en-IE"/>
        </w:rPr>
        <w:tab/>
        <w:t>Wash twice with PBST o</w:t>
      </w:r>
      <w:r w:rsidRPr="006F5C75">
        <w:rPr>
          <w:lang w:val="en-IE"/>
        </w:rPr>
        <w:t>r alternatively, use automated magnetic plate washer.</w:t>
      </w:r>
    </w:p>
    <w:p w14:paraId="0467A0DD" w14:textId="1F0362F7" w:rsidR="00682ECF" w:rsidRPr="006F5C75" w:rsidRDefault="00964ED2">
      <w:pPr>
        <w:pStyle w:val="ififthlevellist"/>
        <w:rPr>
          <w:lang w:val="en-IE"/>
        </w:rPr>
      </w:pPr>
      <w:r w:rsidRPr="006F5C75">
        <w:rPr>
          <w:lang w:val="en-IE"/>
        </w:rPr>
        <w:t>g)</w:t>
      </w:r>
      <w:r w:rsidRPr="006F5C75">
        <w:rPr>
          <w:lang w:val="en-IE"/>
        </w:rPr>
        <w:tab/>
        <w:t xml:space="preserve">Add 100 µl of control and test sera diluted 1/100 in </w:t>
      </w:r>
      <w:r w:rsidR="002269D5">
        <w:rPr>
          <w:lang w:val="en-IE"/>
        </w:rPr>
        <w:t>PBST</w:t>
      </w:r>
      <w:r w:rsidRPr="006F5C75">
        <w:rPr>
          <w:lang w:val="en-IE"/>
        </w:rPr>
        <w:t xml:space="preserve"> to the wells (bat sera dilute 1/50). </w:t>
      </w:r>
    </w:p>
    <w:p w14:paraId="16930000" w14:textId="77777777" w:rsidR="00682ECF" w:rsidRPr="006F5C75" w:rsidRDefault="00964ED2">
      <w:pPr>
        <w:pStyle w:val="dotsixthpara"/>
        <w:rPr>
          <w:lang w:val="en-IE"/>
        </w:rPr>
      </w:pPr>
      <w:r w:rsidRPr="006F5C75">
        <w:rPr>
          <w:lang w:val="en-IE"/>
        </w:rPr>
        <w:t>NOTE: All sera should be heat-inactivated for 35 minutes at 56°C before testing.</w:t>
      </w:r>
    </w:p>
    <w:p w14:paraId="2073BEF1" w14:textId="77777777" w:rsidR="00682ECF" w:rsidRPr="006F5C75" w:rsidRDefault="00964ED2">
      <w:pPr>
        <w:pStyle w:val="ififthlevellist"/>
        <w:rPr>
          <w:lang w:val="en-IE"/>
        </w:rPr>
      </w:pPr>
      <w:r w:rsidRPr="006F5C75">
        <w:rPr>
          <w:lang w:val="en-IE"/>
        </w:rPr>
        <w:t>h)</w:t>
      </w:r>
      <w:r w:rsidRPr="006F5C75">
        <w:rPr>
          <w:lang w:val="en-IE"/>
        </w:rPr>
        <w:tab/>
        <w:t xml:space="preserve">Cover plate in foil and shake at RT for 30 minutes on a plate shaker. </w:t>
      </w:r>
    </w:p>
    <w:p w14:paraId="1370ED35" w14:textId="77777777" w:rsidR="00682ECF" w:rsidRPr="006F5C75" w:rsidRDefault="00964ED2">
      <w:pPr>
        <w:pStyle w:val="ififthlevellist"/>
        <w:rPr>
          <w:b/>
          <w:bCs/>
          <w:lang w:val="en-IE"/>
        </w:rPr>
      </w:pPr>
      <w:r w:rsidRPr="006F5C75">
        <w:rPr>
          <w:lang w:val="en-IE"/>
        </w:rPr>
        <w:t>i)</w:t>
      </w:r>
      <w:r w:rsidRPr="006F5C75">
        <w:rPr>
          <w:lang w:val="en-IE"/>
        </w:rPr>
        <w:tab/>
        <w:t xml:space="preserve">Place plate on magnetic holder and allow separation to occur for 30–60 seconds. With the plate still in the magnetic holder, flick contents into the sink and gently blot on paper towel, remove plate from magnetic holder. </w:t>
      </w:r>
    </w:p>
    <w:p w14:paraId="6E48D2EF" w14:textId="77777777" w:rsidR="00682ECF" w:rsidRPr="008B0A97" w:rsidRDefault="00964ED2">
      <w:pPr>
        <w:pStyle w:val="ififthlevellist"/>
        <w:rPr>
          <w:lang w:val="en-IE"/>
        </w:rPr>
      </w:pPr>
      <w:r w:rsidRPr="006F5C75">
        <w:rPr>
          <w:lang w:val="en-IE"/>
        </w:rPr>
        <w:t>j)</w:t>
      </w:r>
      <w:r w:rsidRPr="006F5C75">
        <w:rPr>
          <w:lang w:val="en-IE"/>
        </w:rPr>
        <w:tab/>
        <w:t xml:space="preserve">Wash twice with </w:t>
      </w:r>
      <w:r w:rsidRPr="008B0A97">
        <w:rPr>
          <w:lang w:val="en-IE"/>
        </w:rPr>
        <w:t>PBST or alternatively, use automated magnetic plate washer.</w:t>
      </w:r>
    </w:p>
    <w:p w14:paraId="7AD0FC01" w14:textId="1D48EA34" w:rsidR="00682ECF" w:rsidRPr="008B0A97" w:rsidRDefault="00964ED2">
      <w:pPr>
        <w:pStyle w:val="ififthlevellist"/>
        <w:rPr>
          <w:lang w:val="en-IE"/>
        </w:rPr>
      </w:pPr>
      <w:r w:rsidRPr="008B0A97">
        <w:rPr>
          <w:lang w:val="en-IE"/>
        </w:rPr>
        <w:t>k)</w:t>
      </w:r>
      <w:r w:rsidRPr="008B0A97">
        <w:rPr>
          <w:lang w:val="en-IE"/>
        </w:rPr>
        <w:tab/>
        <w:t xml:space="preserve">Dilute biotinylated protein A </w:t>
      </w:r>
      <w:r w:rsidRPr="008B0A97">
        <w:rPr>
          <w:strike/>
          <w:lang w:val="en-IE"/>
        </w:rPr>
        <w:t xml:space="preserve">(Pierce) </w:t>
      </w:r>
      <w:r w:rsidRPr="008B0A97">
        <w:rPr>
          <w:lang w:val="en-IE"/>
        </w:rPr>
        <w:t xml:space="preserve">1/500 (2 ug/ml) and biotinylated protein G </w:t>
      </w:r>
      <w:r w:rsidRPr="008B0A97">
        <w:rPr>
          <w:strike/>
          <w:lang w:val="en-IE"/>
        </w:rPr>
        <w:t xml:space="preserve">(Pierce) </w:t>
      </w:r>
      <w:r w:rsidRPr="008B0A97">
        <w:rPr>
          <w:lang w:val="en-IE"/>
        </w:rPr>
        <w:t xml:space="preserve">1/250 (2 µg/ml) in the same tube in </w:t>
      </w:r>
      <w:r w:rsidR="002269D5" w:rsidRPr="008B0A97">
        <w:rPr>
          <w:lang w:val="en-IE"/>
        </w:rPr>
        <w:t>PBST</w:t>
      </w:r>
      <w:r w:rsidRPr="008B0A97">
        <w:rPr>
          <w:lang w:val="en-IE"/>
        </w:rPr>
        <w:t xml:space="preserve"> and add 100 µl to the wells.</w:t>
      </w:r>
    </w:p>
    <w:p w14:paraId="3E60A2D5" w14:textId="1999F7D3" w:rsidR="00682ECF" w:rsidRPr="008B0A97" w:rsidRDefault="00964ED2">
      <w:pPr>
        <w:pStyle w:val="ififthlevellist"/>
        <w:rPr>
          <w:lang w:val="en-IE"/>
        </w:rPr>
      </w:pPr>
      <w:r w:rsidRPr="008B0A97">
        <w:rPr>
          <w:lang w:val="en-IE"/>
        </w:rPr>
        <w:t>l)</w:t>
      </w:r>
      <w:r w:rsidRPr="008B0A97">
        <w:rPr>
          <w:lang w:val="en-IE"/>
        </w:rPr>
        <w:tab/>
        <w:t>Cover plate in foil and shake at RT for 30</w:t>
      </w:r>
      <w:r w:rsidR="00AF3F85" w:rsidRPr="008B0A97">
        <w:rPr>
          <w:lang w:val="en-IE"/>
        </w:rPr>
        <w:t> </w:t>
      </w:r>
      <w:r w:rsidRPr="008B0A97">
        <w:rPr>
          <w:lang w:val="en-IE"/>
        </w:rPr>
        <w:t>min</w:t>
      </w:r>
      <w:r w:rsidR="00AF3F85" w:rsidRPr="008B0A97">
        <w:rPr>
          <w:lang w:val="en-IE"/>
        </w:rPr>
        <w:t>utes</w:t>
      </w:r>
      <w:r w:rsidRPr="008B0A97">
        <w:rPr>
          <w:lang w:val="en-IE"/>
        </w:rPr>
        <w:t xml:space="preserve"> on a plate shaker. </w:t>
      </w:r>
    </w:p>
    <w:p w14:paraId="1C539195" w14:textId="77777777" w:rsidR="00682ECF" w:rsidRPr="008B0A97" w:rsidRDefault="00964ED2">
      <w:pPr>
        <w:pStyle w:val="ififthlevellist"/>
        <w:rPr>
          <w:b/>
          <w:bCs/>
          <w:lang w:val="en-IE"/>
        </w:rPr>
      </w:pPr>
      <w:r w:rsidRPr="008B0A97">
        <w:rPr>
          <w:lang w:val="en-IE"/>
        </w:rPr>
        <w:t>m)</w:t>
      </w:r>
      <w:r w:rsidRPr="008B0A97">
        <w:rPr>
          <w:lang w:val="en-IE"/>
        </w:rPr>
        <w:tab/>
        <w:t xml:space="preserve">Place plate on magnetic holder and allow separation to occur for 30–60 seconds. With the plate still in the magnetic holder, flick contents into the sink and gently blot on paper towel, remove plate from magnetic holder. </w:t>
      </w:r>
    </w:p>
    <w:p w14:paraId="4D04D08D" w14:textId="77777777" w:rsidR="00682ECF" w:rsidRPr="008B0A97" w:rsidRDefault="00964ED2">
      <w:pPr>
        <w:pStyle w:val="ififthlevellist"/>
        <w:rPr>
          <w:b/>
          <w:bCs/>
          <w:lang w:val="en-IE"/>
        </w:rPr>
      </w:pPr>
      <w:r w:rsidRPr="008B0A97">
        <w:rPr>
          <w:bCs/>
          <w:lang w:val="en-IE"/>
        </w:rPr>
        <w:t>n)</w:t>
      </w:r>
      <w:r w:rsidRPr="008B0A97">
        <w:rPr>
          <w:bCs/>
          <w:lang w:val="en-IE"/>
        </w:rPr>
        <w:tab/>
        <w:t>Wash twice with PBST or</w:t>
      </w:r>
      <w:r w:rsidRPr="008B0A97">
        <w:rPr>
          <w:lang w:val="en-IE"/>
        </w:rPr>
        <w:t xml:space="preserve"> alternatively, use automated magnetic plate washer.</w:t>
      </w:r>
    </w:p>
    <w:p w14:paraId="4CC19FBE" w14:textId="46FF16F3" w:rsidR="00682ECF" w:rsidRPr="006F5C75" w:rsidRDefault="00964ED2">
      <w:pPr>
        <w:pStyle w:val="ififthlevellist"/>
        <w:rPr>
          <w:lang w:val="en-IE"/>
        </w:rPr>
      </w:pPr>
      <w:r w:rsidRPr="008B0A97">
        <w:rPr>
          <w:lang w:val="en-IE"/>
        </w:rPr>
        <w:t>o)</w:t>
      </w:r>
      <w:r w:rsidRPr="008B0A97">
        <w:rPr>
          <w:lang w:val="en-IE"/>
        </w:rPr>
        <w:tab/>
        <w:t xml:space="preserve">Add 100 µl of Streptavidin R-PE </w:t>
      </w:r>
      <w:r w:rsidRPr="008B0A97">
        <w:rPr>
          <w:strike/>
          <w:lang w:val="en-IE"/>
        </w:rPr>
        <w:t xml:space="preserve">(QIAGEN) </w:t>
      </w:r>
      <w:r w:rsidRPr="008B0A97">
        <w:rPr>
          <w:lang w:val="en-IE"/>
        </w:rPr>
        <w:t xml:space="preserve">diluted 1/1000 (1 ug/ml) in </w:t>
      </w:r>
      <w:r w:rsidR="002269D5" w:rsidRPr="008B0A97">
        <w:rPr>
          <w:lang w:val="en-IE"/>
        </w:rPr>
        <w:t>PBST</w:t>
      </w:r>
      <w:r w:rsidRPr="008B0A97">
        <w:rPr>
          <w:lang w:val="en-IE"/>
        </w:rPr>
        <w:t xml:space="preserve"> to the wells.</w:t>
      </w:r>
    </w:p>
    <w:p w14:paraId="3B1A12CB" w14:textId="77777777" w:rsidR="00682ECF" w:rsidRPr="006F5C75" w:rsidRDefault="00964ED2">
      <w:pPr>
        <w:pStyle w:val="ififthlevellist"/>
        <w:rPr>
          <w:lang w:val="en-IE"/>
        </w:rPr>
      </w:pPr>
      <w:r w:rsidRPr="006F5C75">
        <w:rPr>
          <w:lang w:val="en-IE"/>
        </w:rPr>
        <w:t>p)</w:t>
      </w:r>
      <w:r w:rsidRPr="006F5C75">
        <w:rPr>
          <w:lang w:val="en-IE"/>
        </w:rPr>
        <w:tab/>
        <w:t xml:space="preserve">Cover plate in foil and shake at RT for 30 minutes on a plate shaker. </w:t>
      </w:r>
    </w:p>
    <w:p w14:paraId="724FB642" w14:textId="7CE21077" w:rsidR="00682ECF" w:rsidRPr="006F5C75" w:rsidRDefault="00964ED2">
      <w:pPr>
        <w:pStyle w:val="ififthlevellist"/>
        <w:spacing w:after="240"/>
        <w:rPr>
          <w:lang w:val="en-IE"/>
        </w:rPr>
      </w:pPr>
      <w:r w:rsidRPr="006F5C75">
        <w:rPr>
          <w:lang w:val="en-IE"/>
        </w:rPr>
        <w:t>q)</w:t>
      </w:r>
      <w:r w:rsidRPr="006F5C75">
        <w:rPr>
          <w:lang w:val="en-IE"/>
        </w:rPr>
        <w:tab/>
        <w:t xml:space="preserve">Read plate using an appropriate </w:t>
      </w:r>
      <w:r w:rsidRPr="0094674C">
        <w:rPr>
          <w:strike/>
          <w:lang w:val="en-IE"/>
        </w:rPr>
        <w:t xml:space="preserve">Luminex machine </w:t>
      </w:r>
      <w:r w:rsidR="00A97818" w:rsidRPr="008B0A97">
        <w:rPr>
          <w:u w:val="double"/>
          <w:lang w:val="en-IE"/>
        </w:rPr>
        <w:t>bead-based multiplexed immunoassay system</w:t>
      </w:r>
      <w:r w:rsidR="00A97818">
        <w:rPr>
          <w:lang w:val="en-IE"/>
        </w:rPr>
        <w:t xml:space="preserve"> </w:t>
      </w:r>
      <w:r w:rsidRPr="006F5C75">
        <w:rPr>
          <w:lang w:val="en-IE"/>
        </w:rPr>
        <w:t>and software.</w:t>
      </w:r>
    </w:p>
    <w:p w14:paraId="770FEAE0" w14:textId="25193724" w:rsidR="00682ECF" w:rsidRPr="006F5C75" w:rsidRDefault="00964ED2">
      <w:pPr>
        <w:pStyle w:val="i"/>
        <w:rPr>
          <w:lang w:val="en-IE"/>
        </w:rPr>
      </w:pPr>
      <w:r w:rsidRPr="006F5C75">
        <w:rPr>
          <w:lang w:val="en-IE"/>
        </w:rPr>
        <w:lastRenderedPageBreak/>
        <w:t>ii)</w:t>
      </w:r>
      <w:r w:rsidRPr="006F5C75">
        <w:rPr>
          <w:lang w:val="en-IE"/>
        </w:rPr>
        <w:tab/>
        <w:t>Interpretation of results</w:t>
      </w:r>
    </w:p>
    <w:p w14:paraId="38B2789B" w14:textId="52DDD88C" w:rsidR="00682ECF" w:rsidRPr="006F5C75" w:rsidRDefault="00964ED2" w:rsidP="004A0FE2">
      <w:pPr>
        <w:pStyle w:val="afourthpara"/>
        <w:spacing w:after="120"/>
        <w:rPr>
          <w:lang w:val="en-IE"/>
        </w:rPr>
      </w:pPr>
      <w:r w:rsidRPr="006F5C75">
        <w:rPr>
          <w:lang w:val="en-IE"/>
        </w:rPr>
        <w:t xml:space="preserve">The results can be interpreted from the </w:t>
      </w:r>
      <w:r w:rsidR="0094674C" w:rsidRPr="00686E9D">
        <w:rPr>
          <w:lang w:val="en-IE"/>
        </w:rPr>
        <w:t xml:space="preserve">raw </w:t>
      </w:r>
      <w:r w:rsidR="00981913" w:rsidRPr="008B0A97">
        <w:rPr>
          <w:u w:val="double"/>
          <w:lang w:val="en-IE"/>
        </w:rPr>
        <w:t>mean fluorescence intensity (</w:t>
      </w:r>
      <w:r w:rsidR="0094674C" w:rsidRPr="00686E9D">
        <w:rPr>
          <w:lang w:val="en-IE"/>
        </w:rPr>
        <w:t>MFI</w:t>
      </w:r>
      <w:r w:rsidR="00981913" w:rsidRPr="008B0A97">
        <w:rPr>
          <w:u w:val="double"/>
          <w:lang w:val="en-IE"/>
        </w:rPr>
        <w:t>)</w:t>
      </w:r>
      <w:r w:rsidR="0094674C" w:rsidRPr="00686E9D">
        <w:rPr>
          <w:lang w:val="en-IE"/>
        </w:rPr>
        <w:t xml:space="preserve"> values </w:t>
      </w:r>
      <w:r w:rsidRPr="006F5C75">
        <w:rPr>
          <w:lang w:val="en-IE"/>
        </w:rPr>
        <w:t>or can be transformed into a percentage relative to the MFI for the positive control (%P) using the following formula:</w:t>
      </w:r>
    </w:p>
    <w:p w14:paraId="31C99512" w14:textId="77777777" w:rsidR="00682ECF" w:rsidRPr="006F5C75" w:rsidRDefault="00964ED2" w:rsidP="004A0FE2">
      <w:pPr>
        <w:pStyle w:val="afourthpara"/>
        <w:spacing w:after="120"/>
        <w:rPr>
          <w:lang w:val="en-IE"/>
        </w:rPr>
      </w:pPr>
      <w:r w:rsidRPr="006F5C75">
        <w:rPr>
          <w:lang w:val="en-IE"/>
        </w:rPr>
        <w:t>(MFI test serum/MFI positive control) × 100</w:t>
      </w:r>
    </w:p>
    <w:p w14:paraId="1D68A750" w14:textId="752C52EA" w:rsidR="00682ECF" w:rsidRPr="006F5C75" w:rsidRDefault="00964ED2">
      <w:pPr>
        <w:pStyle w:val="afourthpara"/>
        <w:rPr>
          <w:lang w:val="en-IE"/>
        </w:rPr>
      </w:pPr>
      <w:bookmarkStart w:id="71" w:name="_Hlk83889150"/>
      <w:r w:rsidRPr="006F5C75">
        <w:rPr>
          <w:lang w:val="en-IE"/>
        </w:rPr>
        <w:t>A sample giving an MFI &gt;</w:t>
      </w:r>
      <w:r w:rsidR="008B0A97" w:rsidRPr="008B0A97">
        <w:rPr>
          <w:strike/>
          <w:lang w:val="en-IE"/>
        </w:rPr>
        <w:t xml:space="preserve">1000 </w:t>
      </w:r>
      <w:r w:rsidRPr="008B0A97">
        <w:rPr>
          <w:u w:val="double"/>
          <w:lang w:val="en-IE"/>
        </w:rPr>
        <w:t>1</w:t>
      </w:r>
      <w:r w:rsidR="00DA320F" w:rsidRPr="008B0A97">
        <w:rPr>
          <w:u w:val="double"/>
          <w:lang w:val="en-IE"/>
        </w:rPr>
        <w:t>5</w:t>
      </w:r>
      <w:r w:rsidRPr="008B0A97">
        <w:rPr>
          <w:u w:val="double"/>
          <w:lang w:val="en-IE"/>
        </w:rPr>
        <w:t>00</w:t>
      </w:r>
      <w:r w:rsidRPr="006F5C75">
        <w:rPr>
          <w:lang w:val="en-IE"/>
        </w:rPr>
        <w:t xml:space="preserve"> or %P &gt;5 should be first retested in the </w:t>
      </w:r>
      <w:r w:rsidR="0094674C" w:rsidRPr="006F5C75">
        <w:rPr>
          <w:lang w:val="en-IE"/>
        </w:rPr>
        <w:t xml:space="preserve">binding </w:t>
      </w:r>
      <w:r w:rsidRPr="006F5C75">
        <w:rPr>
          <w:lang w:val="en-IE"/>
        </w:rPr>
        <w:t>assay</w:t>
      </w:r>
      <w:r w:rsidRPr="008B0A97">
        <w:rPr>
          <w:strike/>
          <w:lang w:val="en-IE"/>
        </w:rPr>
        <w:t xml:space="preserve"> and </w:t>
      </w:r>
      <w:r w:rsidR="0094674C" w:rsidRPr="008B0A97">
        <w:rPr>
          <w:strike/>
          <w:lang w:val="en-IE"/>
        </w:rPr>
        <w:t xml:space="preserve">blocking </w:t>
      </w:r>
      <w:r w:rsidRPr="008B0A97">
        <w:rPr>
          <w:strike/>
          <w:lang w:val="en-IE"/>
        </w:rPr>
        <w:t>assay</w:t>
      </w:r>
      <w:r w:rsidRPr="006F5C75">
        <w:rPr>
          <w:lang w:val="en-IE"/>
        </w:rPr>
        <w:t xml:space="preserve">. If the sample is still </w:t>
      </w:r>
      <w:r w:rsidR="002A5D11" w:rsidRPr="006F5C75">
        <w:rPr>
          <w:lang w:val="en-IE"/>
        </w:rPr>
        <w:t>positive,</w:t>
      </w:r>
      <w:r w:rsidRPr="006F5C75">
        <w:rPr>
          <w:lang w:val="en-IE"/>
        </w:rPr>
        <w:t xml:space="preserve"> it should be tested further by VNT for confirmation. </w:t>
      </w:r>
    </w:p>
    <w:bookmarkEnd w:id="71"/>
    <w:p w14:paraId="52E75E62" w14:textId="35C85BE4" w:rsidR="00682ECF" w:rsidRPr="006F5C75" w:rsidRDefault="0030088B">
      <w:pPr>
        <w:pStyle w:val="111"/>
        <w:rPr>
          <w:lang w:val="en-IE"/>
        </w:rPr>
      </w:pPr>
      <w:r w:rsidRPr="006F5C75">
        <w:rPr>
          <w:lang w:val="en-IE"/>
        </w:rPr>
        <w:t>4</w:t>
      </w:r>
      <w:r w:rsidR="00964ED2" w:rsidRPr="006F5C75">
        <w:rPr>
          <w:lang w:val="en-IE"/>
        </w:rPr>
        <w:t>.3.3.</w:t>
      </w:r>
      <w:r w:rsidR="00964ED2" w:rsidRPr="006F5C75">
        <w:rPr>
          <w:lang w:val="en-IE"/>
        </w:rPr>
        <w:tab/>
      </w:r>
      <w:proofErr w:type="spellStart"/>
      <w:r w:rsidR="00964ED2" w:rsidRPr="008B0A97">
        <w:rPr>
          <w:lang w:val="en-IE"/>
        </w:rPr>
        <w:t>Henipavirus</w:t>
      </w:r>
      <w:proofErr w:type="spellEnd"/>
      <w:r w:rsidR="00964ED2" w:rsidRPr="008B0A97">
        <w:rPr>
          <w:lang w:val="en-IE"/>
        </w:rPr>
        <w:t xml:space="preserve"> </w:t>
      </w:r>
      <w:r w:rsidR="002A5D11" w:rsidRPr="008B0A97">
        <w:rPr>
          <w:strike/>
          <w:lang w:val="en-IE"/>
        </w:rPr>
        <w:t>Luminex</w:t>
      </w:r>
      <w:r w:rsidR="00964ED2" w:rsidRPr="008B0A97">
        <w:rPr>
          <w:strike/>
          <w:lang w:val="en-IE"/>
        </w:rPr>
        <w:t xml:space="preserve"> </w:t>
      </w:r>
      <w:r w:rsidR="00964ED2" w:rsidRPr="008B0A97">
        <w:rPr>
          <w:lang w:val="en-IE"/>
        </w:rPr>
        <w:t>blocking</w:t>
      </w:r>
      <w:r w:rsidR="00964ED2" w:rsidRPr="006F5C75">
        <w:rPr>
          <w:lang w:val="en-IE"/>
        </w:rPr>
        <w:t xml:space="preserve"> assay procedure</w:t>
      </w:r>
    </w:p>
    <w:p w14:paraId="111CC9E5" w14:textId="28C1DDEC" w:rsidR="00682ECF" w:rsidRPr="006F5C75" w:rsidRDefault="00964ED2">
      <w:pPr>
        <w:pStyle w:val="i"/>
        <w:rPr>
          <w:lang w:val="en-IE"/>
        </w:rPr>
      </w:pPr>
      <w:r w:rsidRPr="006F5C75">
        <w:rPr>
          <w:lang w:val="en-IE"/>
        </w:rPr>
        <w:t>i)</w:t>
      </w:r>
      <w:r w:rsidRPr="006F5C75">
        <w:rPr>
          <w:lang w:val="en-IE"/>
        </w:rPr>
        <w:tab/>
        <w:t xml:space="preserve">Test </w:t>
      </w:r>
      <w:r w:rsidR="00A11043" w:rsidRPr="006F5C75">
        <w:rPr>
          <w:strike/>
          <w:lang w:val="en-IE"/>
        </w:rPr>
        <w:t xml:space="preserve">procedure </w:t>
      </w:r>
      <w:r w:rsidR="00A11043" w:rsidRPr="006F5C75">
        <w:rPr>
          <w:u w:val="double"/>
          <w:lang w:val="en-IE"/>
        </w:rPr>
        <w:t>method</w:t>
      </w:r>
    </w:p>
    <w:p w14:paraId="187A0613" w14:textId="4654CC7F" w:rsidR="00682ECF" w:rsidRPr="006F5C75" w:rsidRDefault="00964ED2">
      <w:pPr>
        <w:pStyle w:val="ififthlevellist"/>
        <w:rPr>
          <w:lang w:val="en-IE"/>
        </w:rPr>
      </w:pPr>
      <w:r w:rsidRPr="006F5C75">
        <w:rPr>
          <w:lang w:val="en-IE"/>
        </w:rPr>
        <w:t>a)</w:t>
      </w:r>
      <w:r w:rsidRPr="006F5C75">
        <w:rPr>
          <w:lang w:val="en-IE"/>
        </w:rPr>
        <w:tab/>
        <w:t xml:space="preserve">Select previously coupled </w:t>
      </w:r>
      <w:proofErr w:type="spellStart"/>
      <w:r w:rsidRPr="006F5C75">
        <w:rPr>
          <w:lang w:val="en-IE"/>
        </w:rPr>
        <w:t>HeV</w:t>
      </w:r>
      <w:proofErr w:type="spellEnd"/>
      <w:r w:rsidRPr="006F5C75">
        <w:rPr>
          <w:lang w:val="en-IE"/>
        </w:rPr>
        <w:t xml:space="preserve"> and </w:t>
      </w:r>
      <w:proofErr w:type="spellStart"/>
      <w:r w:rsidRPr="006F5C75">
        <w:rPr>
          <w:lang w:val="en-IE"/>
        </w:rPr>
        <w:t>NiV</w:t>
      </w:r>
      <w:proofErr w:type="spellEnd"/>
      <w:r w:rsidRPr="006F5C75">
        <w:rPr>
          <w:lang w:val="en-IE"/>
        </w:rPr>
        <w:t xml:space="preserve"> </w:t>
      </w:r>
      <w:proofErr w:type="spellStart"/>
      <w:r w:rsidRPr="006F5C75">
        <w:rPr>
          <w:lang w:val="en-IE"/>
        </w:rPr>
        <w:t>sG</w:t>
      </w:r>
      <w:proofErr w:type="spellEnd"/>
      <w:r w:rsidRPr="006F5C75">
        <w:rPr>
          <w:lang w:val="en-IE"/>
        </w:rPr>
        <w:t xml:space="preserve"> beads. Vortex the beads for 30 seconds at max speed, then sonicate the beads by bath sonication for ~30–60 seconds.</w:t>
      </w:r>
      <w:r w:rsidR="00342F90" w:rsidRPr="006F5C75">
        <w:rPr>
          <w:lang w:val="en-IE"/>
        </w:rPr>
        <w:t xml:space="preserve"> </w:t>
      </w:r>
    </w:p>
    <w:p w14:paraId="1C47BD01" w14:textId="76866053" w:rsidR="00682ECF" w:rsidRPr="006F5C75" w:rsidRDefault="00964ED2">
      <w:pPr>
        <w:pStyle w:val="ififthlevellist"/>
        <w:rPr>
          <w:lang w:val="en-IE"/>
        </w:rPr>
      </w:pPr>
      <w:r w:rsidRPr="006F5C75">
        <w:rPr>
          <w:lang w:val="en-IE"/>
        </w:rPr>
        <w:t>b)</w:t>
      </w:r>
      <w:r w:rsidRPr="006F5C75">
        <w:rPr>
          <w:lang w:val="en-IE"/>
        </w:rPr>
        <w:tab/>
        <w:t xml:space="preserve">Dilute beads in blocker (2% skim milk in </w:t>
      </w:r>
      <w:r w:rsidR="002269D5">
        <w:rPr>
          <w:lang w:val="en-IE"/>
        </w:rPr>
        <w:t>PBST</w:t>
      </w:r>
      <w:r w:rsidRPr="006F5C75">
        <w:rPr>
          <w:lang w:val="en-IE"/>
        </w:rPr>
        <w:t>) at an appropriate concentration for the number of sera to be tested (1 µl of each bead set/well).</w:t>
      </w:r>
    </w:p>
    <w:p w14:paraId="072A8863" w14:textId="07765368" w:rsidR="00682ECF" w:rsidRPr="006F5C75" w:rsidRDefault="00964ED2">
      <w:pPr>
        <w:pStyle w:val="ififthlevellist"/>
        <w:rPr>
          <w:lang w:val="en-IE"/>
        </w:rPr>
      </w:pPr>
      <w:r w:rsidRPr="006F5C75">
        <w:rPr>
          <w:lang w:val="en-IE"/>
        </w:rPr>
        <w:t>c)</w:t>
      </w:r>
      <w:r w:rsidRPr="006F5C75">
        <w:rPr>
          <w:lang w:val="en-IE"/>
        </w:rPr>
        <w:tab/>
        <w:t xml:space="preserve">Add 100 µl of diluted beads to appropriate wells of a 96 well </w:t>
      </w:r>
      <w:r w:rsidRPr="006F5C75">
        <w:rPr>
          <w:strike/>
          <w:lang w:val="en-IE"/>
        </w:rPr>
        <w:t xml:space="preserve">NUNC </w:t>
      </w:r>
      <w:r w:rsidRPr="006F5C75">
        <w:rPr>
          <w:lang w:val="en-IE"/>
        </w:rPr>
        <w:t>TC flat-bottom plate.</w:t>
      </w:r>
    </w:p>
    <w:p w14:paraId="05BEFA36" w14:textId="77777777" w:rsidR="00682ECF" w:rsidRPr="006F5C75" w:rsidRDefault="00964ED2">
      <w:pPr>
        <w:pStyle w:val="ififthlevellist"/>
        <w:rPr>
          <w:lang w:val="en-IE"/>
        </w:rPr>
      </w:pPr>
      <w:r w:rsidRPr="006F5C75">
        <w:rPr>
          <w:lang w:val="en-IE"/>
        </w:rPr>
        <w:t>d)</w:t>
      </w:r>
      <w:r w:rsidRPr="006F5C75">
        <w:rPr>
          <w:lang w:val="en-IE"/>
        </w:rPr>
        <w:tab/>
        <w:t xml:space="preserve">Cover plate in foil and shake at RT for 30 minutes on a plate shaker. </w:t>
      </w:r>
    </w:p>
    <w:p w14:paraId="0A919E98" w14:textId="77777777" w:rsidR="00682ECF" w:rsidRPr="006F5C75" w:rsidRDefault="00964ED2">
      <w:pPr>
        <w:pStyle w:val="ififthlevellist"/>
        <w:rPr>
          <w:lang w:val="en-IE"/>
        </w:rPr>
      </w:pPr>
      <w:r w:rsidRPr="006F5C75">
        <w:rPr>
          <w:lang w:val="en-IE"/>
        </w:rPr>
        <w:t>e)</w:t>
      </w:r>
      <w:r w:rsidRPr="006F5C75">
        <w:rPr>
          <w:lang w:val="en-IE"/>
        </w:rPr>
        <w:tab/>
        <w:t xml:space="preserve">Place plate on magnetic holder and allow separation to occur for 30–60 seconds. With the plate still in the magnetic holder, flick contents into the sink and gently blot on paper towel, remove plate from magnetic holder. </w:t>
      </w:r>
    </w:p>
    <w:p w14:paraId="0F7DF0CF" w14:textId="77777777" w:rsidR="00682ECF" w:rsidRPr="006F5C75" w:rsidRDefault="00964ED2">
      <w:pPr>
        <w:pStyle w:val="ififthlevellist"/>
        <w:rPr>
          <w:lang w:val="en-IE"/>
        </w:rPr>
      </w:pPr>
      <w:r w:rsidRPr="006F5C75">
        <w:rPr>
          <w:lang w:val="en-IE"/>
        </w:rPr>
        <w:t>f)</w:t>
      </w:r>
      <w:r w:rsidRPr="006F5C75">
        <w:rPr>
          <w:lang w:val="en-IE"/>
        </w:rPr>
        <w:tab/>
        <w:t>Wash twice with PBST. Or, alternatively, use automated magnetic plate washer.</w:t>
      </w:r>
    </w:p>
    <w:p w14:paraId="6D8BE287" w14:textId="76E4A8BE" w:rsidR="00682ECF" w:rsidRPr="006F5C75" w:rsidRDefault="00964ED2">
      <w:pPr>
        <w:pStyle w:val="ififthlevellist"/>
        <w:rPr>
          <w:lang w:val="en-IE"/>
        </w:rPr>
      </w:pPr>
      <w:r w:rsidRPr="006F5C75">
        <w:rPr>
          <w:lang w:val="en-IE"/>
        </w:rPr>
        <w:t>g)</w:t>
      </w:r>
      <w:r w:rsidRPr="006F5C75">
        <w:rPr>
          <w:lang w:val="en-IE"/>
        </w:rPr>
        <w:tab/>
        <w:t xml:space="preserve">Add 100 µl of control and test sera diluted 1/50 in </w:t>
      </w:r>
      <w:r w:rsidR="002269D5">
        <w:rPr>
          <w:lang w:val="en-IE"/>
        </w:rPr>
        <w:t>PBST</w:t>
      </w:r>
      <w:r w:rsidRPr="006F5C75">
        <w:rPr>
          <w:lang w:val="en-IE"/>
        </w:rPr>
        <w:t xml:space="preserve"> to the wells (bat sera dilute 1/25). </w:t>
      </w:r>
    </w:p>
    <w:p w14:paraId="2A7E5120" w14:textId="77777777" w:rsidR="00682ECF" w:rsidRPr="006F5C75" w:rsidRDefault="00964ED2">
      <w:pPr>
        <w:pStyle w:val="dotsixthpara"/>
        <w:rPr>
          <w:lang w:val="en-IE"/>
        </w:rPr>
      </w:pPr>
      <w:r w:rsidRPr="006F5C75">
        <w:rPr>
          <w:lang w:val="en-IE"/>
        </w:rPr>
        <w:t>NOTE: All sera should be heat-inactivated for 35 minutes at 56°C before testing.</w:t>
      </w:r>
    </w:p>
    <w:p w14:paraId="4AFB0AAC" w14:textId="77777777" w:rsidR="00682ECF" w:rsidRPr="006F5C75" w:rsidRDefault="00964ED2">
      <w:pPr>
        <w:pStyle w:val="ififthlevellist"/>
        <w:rPr>
          <w:lang w:val="en-IE"/>
        </w:rPr>
      </w:pPr>
      <w:r w:rsidRPr="006F5C75">
        <w:rPr>
          <w:lang w:val="en-IE"/>
        </w:rPr>
        <w:t>h)</w:t>
      </w:r>
      <w:r w:rsidRPr="006F5C75">
        <w:rPr>
          <w:lang w:val="en-IE"/>
        </w:rPr>
        <w:tab/>
        <w:t xml:space="preserve">Cover plate in foil and shake at RT for 30 minutes on a plate shaker. </w:t>
      </w:r>
    </w:p>
    <w:p w14:paraId="1BD53E5B" w14:textId="77777777" w:rsidR="00682ECF" w:rsidRPr="006F5C75" w:rsidRDefault="00964ED2">
      <w:pPr>
        <w:pStyle w:val="ififthlevellist"/>
        <w:rPr>
          <w:lang w:val="en-IE"/>
        </w:rPr>
      </w:pPr>
      <w:r w:rsidRPr="006F5C75">
        <w:rPr>
          <w:lang w:val="en-IE"/>
        </w:rPr>
        <w:t>i)</w:t>
      </w:r>
      <w:r w:rsidRPr="006F5C75">
        <w:rPr>
          <w:lang w:val="en-IE"/>
        </w:rPr>
        <w:tab/>
        <w:t xml:space="preserve">Place plate on magnetic holder and allow separation to occur for 30–60 seconds. With the plate still in the magnetic holder, flick contents into the sink and gently blot on paper towel, remove plate from magnetic holder. </w:t>
      </w:r>
    </w:p>
    <w:p w14:paraId="5EC5E2AD" w14:textId="77777777" w:rsidR="00682ECF" w:rsidRPr="006F5C75" w:rsidRDefault="00964ED2">
      <w:pPr>
        <w:pStyle w:val="ififthlevellist"/>
        <w:rPr>
          <w:lang w:val="en-IE"/>
        </w:rPr>
      </w:pPr>
      <w:r w:rsidRPr="006F5C75">
        <w:rPr>
          <w:lang w:val="en-IE"/>
        </w:rPr>
        <w:t>j)</w:t>
      </w:r>
      <w:r w:rsidRPr="006F5C75">
        <w:rPr>
          <w:lang w:val="en-IE"/>
        </w:rPr>
        <w:tab/>
        <w:t>Wash twice with PBST or alternatively, use automated magnetic plate washer.</w:t>
      </w:r>
    </w:p>
    <w:p w14:paraId="6895FAD6" w14:textId="7A0F5A13" w:rsidR="00682ECF" w:rsidRPr="006F5C75" w:rsidRDefault="00964ED2">
      <w:pPr>
        <w:pStyle w:val="ififthlevellist"/>
        <w:rPr>
          <w:lang w:val="en-IE"/>
        </w:rPr>
      </w:pPr>
      <w:r w:rsidRPr="006F5C75">
        <w:rPr>
          <w:lang w:val="en-IE"/>
        </w:rPr>
        <w:t>k)</w:t>
      </w:r>
      <w:r w:rsidRPr="006F5C75">
        <w:rPr>
          <w:lang w:val="en-IE"/>
        </w:rPr>
        <w:tab/>
        <w:t xml:space="preserve">Dilute biotinylated </w:t>
      </w:r>
      <w:r w:rsidRPr="008B0A97">
        <w:rPr>
          <w:lang w:val="en-IE"/>
        </w:rPr>
        <w:t xml:space="preserve">ephrinB2 </w:t>
      </w:r>
      <w:r w:rsidRPr="008B0A97">
        <w:rPr>
          <w:strike/>
          <w:lang w:val="en-IE"/>
        </w:rPr>
        <w:t>(</w:t>
      </w:r>
      <w:proofErr w:type="spellStart"/>
      <w:r w:rsidRPr="008B0A97">
        <w:rPr>
          <w:strike/>
          <w:lang w:val="en-IE"/>
        </w:rPr>
        <w:t>RnD</w:t>
      </w:r>
      <w:proofErr w:type="spellEnd"/>
      <w:r w:rsidRPr="008B0A97">
        <w:rPr>
          <w:strike/>
          <w:lang w:val="en-IE"/>
        </w:rPr>
        <w:t xml:space="preserve"> Systems) </w:t>
      </w:r>
      <w:r w:rsidRPr="008B0A97">
        <w:rPr>
          <w:lang w:val="en-IE"/>
        </w:rPr>
        <w:t>1/1000</w:t>
      </w:r>
      <w:r w:rsidRPr="006F5C75">
        <w:rPr>
          <w:lang w:val="en-IE"/>
        </w:rPr>
        <w:t xml:space="preserve"> (50 ng/ml) in </w:t>
      </w:r>
      <w:r w:rsidR="002269D5">
        <w:rPr>
          <w:lang w:val="en-IE"/>
        </w:rPr>
        <w:t>PBST</w:t>
      </w:r>
      <w:r w:rsidRPr="006F5C75">
        <w:rPr>
          <w:lang w:val="en-IE"/>
        </w:rPr>
        <w:t xml:space="preserve"> and add 100 µl to the wells.</w:t>
      </w:r>
    </w:p>
    <w:p w14:paraId="5CC4C479" w14:textId="77777777" w:rsidR="00682ECF" w:rsidRPr="006F5C75" w:rsidRDefault="00964ED2">
      <w:pPr>
        <w:pStyle w:val="ififthlevellist"/>
        <w:rPr>
          <w:lang w:val="en-IE"/>
        </w:rPr>
      </w:pPr>
      <w:r w:rsidRPr="006F5C75">
        <w:rPr>
          <w:lang w:val="en-IE"/>
        </w:rPr>
        <w:t>l)</w:t>
      </w:r>
      <w:r w:rsidRPr="006F5C75">
        <w:rPr>
          <w:lang w:val="en-IE"/>
        </w:rPr>
        <w:tab/>
        <w:t xml:space="preserve">Cover plate in foil and shake at RT for 30 minutes on a plate shaker. </w:t>
      </w:r>
    </w:p>
    <w:p w14:paraId="03B242E8" w14:textId="77777777" w:rsidR="00682ECF" w:rsidRPr="006F5C75" w:rsidRDefault="00964ED2">
      <w:pPr>
        <w:pStyle w:val="ififthlevellist"/>
        <w:rPr>
          <w:lang w:val="en-IE"/>
        </w:rPr>
      </w:pPr>
      <w:r w:rsidRPr="006F5C75">
        <w:rPr>
          <w:lang w:val="en-IE"/>
        </w:rPr>
        <w:t>m)</w:t>
      </w:r>
      <w:r w:rsidRPr="006F5C75">
        <w:rPr>
          <w:lang w:val="en-IE"/>
        </w:rPr>
        <w:tab/>
        <w:t xml:space="preserve">Place plate on magnetic holder and allow separation to occur for 30–60 seconds. With the plate still in the magnetic holder, flick contents into the sink and gently blot on paper towel, remove plate from magnetic holder. </w:t>
      </w:r>
    </w:p>
    <w:p w14:paraId="68BD75CD" w14:textId="77777777" w:rsidR="00682ECF" w:rsidRPr="006F5C75" w:rsidRDefault="00964ED2">
      <w:pPr>
        <w:pStyle w:val="ififthlevellist"/>
        <w:rPr>
          <w:lang w:val="en-IE"/>
        </w:rPr>
      </w:pPr>
      <w:r w:rsidRPr="006F5C75">
        <w:rPr>
          <w:lang w:val="en-IE"/>
        </w:rPr>
        <w:t>n)</w:t>
      </w:r>
      <w:r w:rsidRPr="006F5C75">
        <w:rPr>
          <w:lang w:val="en-IE"/>
        </w:rPr>
        <w:tab/>
        <w:t>Wash twice with PBST or alternatively, use automated magnetic plate washer.</w:t>
      </w:r>
    </w:p>
    <w:p w14:paraId="475D2A2A" w14:textId="30082B86" w:rsidR="00682ECF" w:rsidRPr="006F5C75" w:rsidRDefault="00964ED2">
      <w:pPr>
        <w:pStyle w:val="ififthlevellist"/>
        <w:rPr>
          <w:lang w:val="en-IE"/>
        </w:rPr>
      </w:pPr>
      <w:r w:rsidRPr="006F5C75">
        <w:rPr>
          <w:lang w:val="en-IE"/>
        </w:rPr>
        <w:t>o)</w:t>
      </w:r>
      <w:r w:rsidRPr="006F5C75">
        <w:rPr>
          <w:lang w:val="en-IE"/>
        </w:rPr>
        <w:tab/>
        <w:t xml:space="preserve">Add 100 µl of streptavidin R-PE </w:t>
      </w:r>
      <w:r w:rsidRPr="006F5C75">
        <w:rPr>
          <w:strike/>
          <w:lang w:val="en-IE"/>
        </w:rPr>
        <w:t xml:space="preserve">(QIAGEN) </w:t>
      </w:r>
      <w:r w:rsidRPr="006F5C75">
        <w:rPr>
          <w:lang w:val="en-IE"/>
        </w:rPr>
        <w:t xml:space="preserve">diluted 1/1000 (1 ug/ml) in </w:t>
      </w:r>
      <w:r w:rsidR="002269D5">
        <w:rPr>
          <w:lang w:val="en-IE"/>
        </w:rPr>
        <w:t>PBST</w:t>
      </w:r>
      <w:r w:rsidRPr="006F5C75">
        <w:rPr>
          <w:lang w:val="en-IE"/>
        </w:rPr>
        <w:t xml:space="preserve"> to the wells.</w:t>
      </w:r>
    </w:p>
    <w:p w14:paraId="5C276E4A" w14:textId="77777777" w:rsidR="00682ECF" w:rsidRPr="006F5C75" w:rsidRDefault="00964ED2">
      <w:pPr>
        <w:pStyle w:val="ififthlevellist"/>
        <w:rPr>
          <w:lang w:val="en-IE"/>
        </w:rPr>
      </w:pPr>
      <w:r w:rsidRPr="006F5C75">
        <w:rPr>
          <w:lang w:val="en-IE"/>
        </w:rPr>
        <w:t>p)</w:t>
      </w:r>
      <w:r w:rsidRPr="006F5C75">
        <w:rPr>
          <w:lang w:val="en-IE"/>
        </w:rPr>
        <w:tab/>
        <w:t xml:space="preserve">Cover plate in foil and shake at RT for 30 minutes on a plate shaker. </w:t>
      </w:r>
    </w:p>
    <w:p w14:paraId="6FBEEF56" w14:textId="797CD7C0" w:rsidR="00682ECF" w:rsidRPr="006F5C75" w:rsidRDefault="00964ED2">
      <w:pPr>
        <w:pStyle w:val="ififthlevellist"/>
        <w:spacing w:after="240"/>
        <w:rPr>
          <w:lang w:val="en-IE"/>
        </w:rPr>
      </w:pPr>
      <w:r w:rsidRPr="006F5C75">
        <w:rPr>
          <w:lang w:val="en-IE"/>
        </w:rPr>
        <w:t>q)</w:t>
      </w:r>
      <w:r w:rsidRPr="006F5C75">
        <w:rPr>
          <w:lang w:val="en-IE"/>
        </w:rPr>
        <w:tab/>
        <w:t xml:space="preserve">Read plate using an appropriate </w:t>
      </w:r>
      <w:r w:rsidR="0094674C" w:rsidRPr="008B0A97">
        <w:rPr>
          <w:strike/>
          <w:lang w:val="en-IE"/>
        </w:rPr>
        <w:t xml:space="preserve">Luminex machine </w:t>
      </w:r>
      <w:r w:rsidR="00A97818" w:rsidRPr="008B0A97">
        <w:rPr>
          <w:u w:val="double"/>
          <w:lang w:val="en-IE"/>
        </w:rPr>
        <w:t>bead-based multiplexed immunoassay system</w:t>
      </w:r>
      <w:r w:rsidR="008B0A97">
        <w:rPr>
          <w:lang w:val="en-IE"/>
        </w:rPr>
        <w:t xml:space="preserve"> </w:t>
      </w:r>
      <w:r w:rsidRPr="006F5C75">
        <w:rPr>
          <w:lang w:val="en-IE"/>
        </w:rPr>
        <w:t>and software.</w:t>
      </w:r>
    </w:p>
    <w:p w14:paraId="0AF0AA03" w14:textId="77777777" w:rsidR="00682ECF" w:rsidRPr="006F5C75" w:rsidRDefault="00964ED2">
      <w:pPr>
        <w:pStyle w:val="i"/>
        <w:rPr>
          <w:lang w:val="en-IE"/>
        </w:rPr>
      </w:pPr>
      <w:r w:rsidRPr="006F5C75">
        <w:rPr>
          <w:lang w:val="en-IE"/>
        </w:rPr>
        <w:t>ii)</w:t>
      </w:r>
      <w:r w:rsidRPr="006F5C75">
        <w:rPr>
          <w:lang w:val="en-IE"/>
        </w:rPr>
        <w:tab/>
      </w:r>
      <w:bookmarkStart w:id="72" w:name="_Hlk83735719"/>
      <w:r w:rsidRPr="006F5C75">
        <w:rPr>
          <w:lang w:val="en-IE"/>
        </w:rPr>
        <w:t>Interpretation of results</w:t>
      </w:r>
    </w:p>
    <w:p w14:paraId="4DB6DAA1" w14:textId="0CCEECFD" w:rsidR="00682ECF" w:rsidRDefault="00964ED2">
      <w:pPr>
        <w:pStyle w:val="afourthpara"/>
        <w:rPr>
          <w:lang w:val="en-IE"/>
        </w:rPr>
      </w:pPr>
      <w:r w:rsidRPr="006F5C75">
        <w:rPr>
          <w:lang w:val="en-IE"/>
        </w:rPr>
        <w:t>For the blocking assay, the raw MFI readings are converted into</w:t>
      </w:r>
      <w:r w:rsidR="00DA320F">
        <w:rPr>
          <w:lang w:val="en-IE"/>
        </w:rPr>
        <w:t xml:space="preserve"> a</w:t>
      </w:r>
      <w:r w:rsidRPr="006F5C75">
        <w:rPr>
          <w:lang w:val="en-IE"/>
        </w:rPr>
        <w:t xml:space="preserve"> percentage inhibition (%I) using the following formula: (1 - [MFI test serum/MFI </w:t>
      </w:r>
      <w:r w:rsidRPr="008B0A97">
        <w:rPr>
          <w:strike/>
          <w:lang w:val="en-IE"/>
        </w:rPr>
        <w:t>NSC</w:t>
      </w:r>
      <w:r w:rsidR="008B0A97">
        <w:rPr>
          <w:strike/>
          <w:lang w:val="en-IE"/>
        </w:rPr>
        <w:t xml:space="preserve"> </w:t>
      </w:r>
      <w:r w:rsidR="00DA320F" w:rsidRPr="008B0A97">
        <w:rPr>
          <w:u w:val="double"/>
          <w:lang w:val="en-IE"/>
        </w:rPr>
        <w:t>negative serum</w:t>
      </w:r>
      <w:r w:rsidRPr="006F5C75">
        <w:rPr>
          <w:lang w:val="en-IE"/>
        </w:rPr>
        <w:t>]) × 100</w:t>
      </w:r>
    </w:p>
    <w:p w14:paraId="7AEE2C66" w14:textId="04A04F84" w:rsidR="00682ECF" w:rsidRPr="006F5C75" w:rsidRDefault="00964ED2">
      <w:pPr>
        <w:pStyle w:val="afourthpara"/>
        <w:rPr>
          <w:lang w:val="en-IE"/>
        </w:rPr>
      </w:pPr>
      <w:r w:rsidRPr="006F5C75">
        <w:rPr>
          <w:lang w:val="en-IE"/>
        </w:rPr>
        <w:t xml:space="preserve">A sample giving a %I &gt;15 should be first retested in the </w:t>
      </w:r>
      <w:r w:rsidRPr="008B0A97">
        <w:rPr>
          <w:strike/>
          <w:lang w:val="en-IE"/>
        </w:rPr>
        <w:t xml:space="preserve">binding assay and </w:t>
      </w:r>
      <w:r w:rsidRPr="006F5C75">
        <w:rPr>
          <w:lang w:val="en-IE"/>
        </w:rPr>
        <w:t xml:space="preserve">blocking assay. If the sample is still </w:t>
      </w:r>
      <w:r w:rsidR="002A5D11" w:rsidRPr="006F5C75">
        <w:rPr>
          <w:lang w:val="en-IE"/>
        </w:rPr>
        <w:t>positive,</w:t>
      </w:r>
      <w:r w:rsidRPr="006F5C75">
        <w:rPr>
          <w:lang w:val="en-IE"/>
        </w:rPr>
        <w:t xml:space="preserve"> it should be tested further by VNT for confirmation. </w:t>
      </w:r>
    </w:p>
    <w:bookmarkEnd w:id="72"/>
    <w:p w14:paraId="1E2A440F" w14:textId="4E7A40DB" w:rsidR="00682ECF" w:rsidRPr="006F5C75" w:rsidRDefault="0030088B">
      <w:pPr>
        <w:pStyle w:val="11"/>
        <w:rPr>
          <w:lang w:val="en-IE"/>
        </w:rPr>
      </w:pPr>
      <w:r w:rsidRPr="006F5C75">
        <w:rPr>
          <w:lang w:val="en-IE"/>
        </w:rPr>
        <w:t>4</w:t>
      </w:r>
      <w:r w:rsidR="00964ED2" w:rsidRPr="006F5C75">
        <w:rPr>
          <w:lang w:val="en-IE"/>
        </w:rPr>
        <w:t>.4.</w:t>
      </w:r>
      <w:r w:rsidR="00964ED2" w:rsidRPr="006F5C75">
        <w:rPr>
          <w:lang w:val="en-IE"/>
        </w:rPr>
        <w:tab/>
        <w:t>DIVA</w:t>
      </w:r>
    </w:p>
    <w:p w14:paraId="0928CA0B" w14:textId="77777777" w:rsidR="00A11043" w:rsidRPr="006F5C75" w:rsidRDefault="00964ED2" w:rsidP="00A11043">
      <w:pPr>
        <w:pStyle w:val="11Para"/>
        <w:rPr>
          <w:strike/>
          <w:lang w:val="en-IE"/>
        </w:rPr>
      </w:pPr>
      <w:r w:rsidRPr="006F5C75">
        <w:rPr>
          <w:strike/>
          <w:lang w:val="en-IE"/>
        </w:rPr>
        <w:lastRenderedPageBreak/>
        <w:t xml:space="preserve">Now that a vaccine exists for </w:t>
      </w:r>
      <w:proofErr w:type="spellStart"/>
      <w:r w:rsidRPr="006F5C75">
        <w:rPr>
          <w:strike/>
          <w:lang w:val="en-IE"/>
        </w:rPr>
        <w:t>HeV</w:t>
      </w:r>
      <w:proofErr w:type="spellEnd"/>
      <w:r w:rsidRPr="006F5C75">
        <w:rPr>
          <w:strike/>
          <w:lang w:val="en-IE"/>
        </w:rPr>
        <w:t xml:space="preserve"> for use in horses, the ability to differentiate vaccinated horses from unvaccinated naturally infected horses may seem desirable. Traditionally DIVAs have been applied on the premise that vaccinated animals will only have antibodies to the viral protein(s) used in the vaccine (in the case of </w:t>
      </w:r>
      <w:proofErr w:type="spellStart"/>
      <w:r w:rsidRPr="006F5C75">
        <w:rPr>
          <w:strike/>
          <w:lang w:val="en-IE"/>
        </w:rPr>
        <w:t>HeV</w:t>
      </w:r>
      <w:proofErr w:type="spellEnd"/>
      <w:r w:rsidRPr="006F5C75">
        <w:rPr>
          <w:strike/>
          <w:lang w:val="en-IE"/>
        </w:rPr>
        <w:t xml:space="preserve">, that is the G protein) whereas naturally infected animals will have antibodies to all viral proteins, both structural and non-structural. However, caution must be exerted when interpreting such serological results. Experimentally it has been shown in ferrets that not all individuals mount an immune response to </w:t>
      </w:r>
      <w:proofErr w:type="gramStart"/>
      <w:r w:rsidRPr="006F5C75">
        <w:rPr>
          <w:strike/>
          <w:lang w:val="en-IE"/>
        </w:rPr>
        <w:t>all of</w:t>
      </w:r>
      <w:proofErr w:type="gramEnd"/>
      <w:r w:rsidRPr="006F5C75">
        <w:rPr>
          <w:strike/>
          <w:lang w:val="en-IE"/>
        </w:rPr>
        <w:t xml:space="preserve"> the viral proteins of </w:t>
      </w:r>
      <w:proofErr w:type="spellStart"/>
      <w:r w:rsidRPr="006F5C75">
        <w:rPr>
          <w:strike/>
          <w:lang w:val="en-IE"/>
        </w:rPr>
        <w:t>HeV</w:t>
      </w:r>
      <w:proofErr w:type="spellEnd"/>
      <w:r w:rsidRPr="006F5C75">
        <w:rPr>
          <w:strike/>
          <w:lang w:val="en-IE"/>
        </w:rPr>
        <w:t xml:space="preserve"> that are detectable using conventional assay systems (Middleton D., unpublished data). </w:t>
      </w:r>
      <w:proofErr w:type="gramStart"/>
      <w:r w:rsidRPr="006F5C75">
        <w:rPr>
          <w:strike/>
          <w:lang w:val="en-IE"/>
        </w:rPr>
        <w:t>In particular, serological</w:t>
      </w:r>
      <w:proofErr w:type="gramEnd"/>
      <w:r w:rsidRPr="006F5C75">
        <w:rPr>
          <w:strike/>
          <w:lang w:val="en-IE"/>
        </w:rPr>
        <w:t xml:space="preserve"> profiles of unvaccinated infected animals may be indistinguishable from those that are vaccinated.</w:t>
      </w:r>
    </w:p>
    <w:p w14:paraId="5C12FB18" w14:textId="47D753C6" w:rsidR="007C22B3" w:rsidRPr="00686E9D" w:rsidRDefault="007C22B3" w:rsidP="00732D7E">
      <w:pPr>
        <w:pStyle w:val="11Para"/>
        <w:spacing w:after="480"/>
        <w:rPr>
          <w:u w:val="double"/>
          <w:lang w:val="en-IE"/>
        </w:rPr>
      </w:pPr>
      <w:r w:rsidRPr="006F5C75">
        <w:rPr>
          <w:u w:val="double"/>
          <w:lang w:val="en-IE"/>
        </w:rPr>
        <w:t xml:space="preserve">A </w:t>
      </w:r>
      <w:proofErr w:type="spellStart"/>
      <w:r w:rsidRPr="006F5C75">
        <w:rPr>
          <w:u w:val="double"/>
          <w:lang w:val="en-IE"/>
        </w:rPr>
        <w:t>HeV</w:t>
      </w:r>
      <w:proofErr w:type="spellEnd"/>
      <w:r w:rsidRPr="006F5C75">
        <w:rPr>
          <w:u w:val="double"/>
          <w:lang w:val="en-IE"/>
        </w:rPr>
        <w:t xml:space="preserve"> DIVA assay is used at the </w:t>
      </w:r>
      <w:r w:rsidR="00EB3039" w:rsidRPr="006F5C75">
        <w:rPr>
          <w:u w:val="double"/>
          <w:lang w:val="en-IE"/>
        </w:rPr>
        <w:t>Australian Centre for Disease Preparedness</w:t>
      </w:r>
      <w:r w:rsidRPr="006F5C75">
        <w:rPr>
          <w:u w:val="double"/>
          <w:lang w:val="en-IE"/>
        </w:rPr>
        <w:t xml:space="preserve"> to help distinguish between horses that are infected with Hendra virus and horses that have been vaccinated with the Hendra soluble G vaccine.</w:t>
      </w:r>
      <w:r w:rsidR="00873DD7" w:rsidRPr="006F5C75">
        <w:rPr>
          <w:u w:val="double"/>
          <w:lang w:val="en-IE"/>
        </w:rPr>
        <w:t xml:space="preserve"> It is currently undergoing validation</w:t>
      </w:r>
      <w:r w:rsidR="00187AAF" w:rsidRPr="006F5C75">
        <w:rPr>
          <w:u w:val="double"/>
          <w:lang w:val="en-IE"/>
        </w:rPr>
        <w:t xml:space="preserve"> (please contact the OIE Reference Laboratory for details).</w:t>
      </w:r>
    </w:p>
    <w:p w14:paraId="4C00E950" w14:textId="77777777" w:rsidR="00682ECF" w:rsidRPr="00686E9D" w:rsidRDefault="00964ED2">
      <w:pPr>
        <w:pStyle w:val="A"/>
        <w:spacing w:after="200"/>
        <w:rPr>
          <w:lang w:val="en-IE"/>
        </w:rPr>
      </w:pPr>
      <w:r w:rsidRPr="00686E9D">
        <w:rPr>
          <w:lang w:val="en-IE"/>
        </w:rPr>
        <w:t>c.  Requirements for vaccines</w:t>
      </w:r>
    </w:p>
    <w:p w14:paraId="5A038C89" w14:textId="396CF01E" w:rsidR="00682ECF" w:rsidRPr="00732D7E" w:rsidRDefault="00964ED2">
      <w:pPr>
        <w:pStyle w:val="1"/>
        <w:rPr>
          <w:strike/>
          <w:lang w:val="en-IE"/>
        </w:rPr>
      </w:pPr>
      <w:r w:rsidRPr="00732D7E">
        <w:rPr>
          <w:strike/>
          <w:lang w:val="en-IE"/>
        </w:rPr>
        <w:t xml:space="preserve">Veterinary vaccines for </w:t>
      </w:r>
      <w:proofErr w:type="spellStart"/>
      <w:r w:rsidRPr="00732D7E">
        <w:rPr>
          <w:strike/>
          <w:lang w:val="en-IE"/>
        </w:rPr>
        <w:t>henipaviruses</w:t>
      </w:r>
      <w:proofErr w:type="spellEnd"/>
    </w:p>
    <w:p w14:paraId="553341E1" w14:textId="77777777" w:rsidR="00682ECF" w:rsidRPr="00686E9D" w:rsidRDefault="00964ED2">
      <w:pPr>
        <w:pStyle w:val="1"/>
        <w:rPr>
          <w:lang w:val="en-IE"/>
        </w:rPr>
      </w:pPr>
      <w:r w:rsidRPr="00686E9D">
        <w:rPr>
          <w:lang w:val="en-IE"/>
        </w:rPr>
        <w:t>1.</w:t>
      </w:r>
      <w:r w:rsidRPr="00686E9D">
        <w:rPr>
          <w:lang w:val="en-IE"/>
        </w:rPr>
        <w:tab/>
        <w:t>Background</w:t>
      </w:r>
    </w:p>
    <w:p w14:paraId="209DAC21" w14:textId="7486C8BC" w:rsidR="00682ECF" w:rsidRPr="00686E9D" w:rsidRDefault="00964ED2" w:rsidP="0094469E">
      <w:pPr>
        <w:pStyle w:val="1Para"/>
        <w:rPr>
          <w:lang w:val="en-IE"/>
        </w:rPr>
      </w:pPr>
      <w:r w:rsidRPr="00686E9D">
        <w:rPr>
          <w:lang w:val="en-IE"/>
        </w:rPr>
        <w:t xml:space="preserve">The original outbreak of </w:t>
      </w:r>
      <w:proofErr w:type="spellStart"/>
      <w:r w:rsidRPr="00686E9D">
        <w:rPr>
          <w:lang w:val="en-IE"/>
        </w:rPr>
        <w:t>NiV</w:t>
      </w:r>
      <w:proofErr w:type="spellEnd"/>
      <w:r w:rsidRPr="00686E9D">
        <w:rPr>
          <w:lang w:val="en-IE"/>
        </w:rPr>
        <w:t xml:space="preserve"> in Malaysia and Singapore was linked to transmission of the virus from pigs to humans, and </w:t>
      </w:r>
      <w:proofErr w:type="gramStart"/>
      <w:r w:rsidRPr="00686E9D">
        <w:rPr>
          <w:lang w:val="en-IE"/>
        </w:rPr>
        <w:t>all of</w:t>
      </w:r>
      <w:proofErr w:type="gramEnd"/>
      <w:r w:rsidRPr="00686E9D">
        <w:rPr>
          <w:lang w:val="en-IE"/>
        </w:rPr>
        <w:t xml:space="preserve"> the human infections with Hendra virus in Australia have been linked to contact with sick horses. Development of veterinary vaccines against </w:t>
      </w:r>
      <w:proofErr w:type="spellStart"/>
      <w:r w:rsidRPr="00686E9D">
        <w:rPr>
          <w:lang w:val="en-IE"/>
        </w:rPr>
        <w:t>henipaviruses</w:t>
      </w:r>
      <w:proofErr w:type="spellEnd"/>
      <w:r w:rsidRPr="00686E9D">
        <w:rPr>
          <w:lang w:val="en-IE"/>
        </w:rPr>
        <w:t xml:space="preserve"> is important both to protect susceptible domestic animal species (</w:t>
      </w:r>
      <w:proofErr w:type="gramStart"/>
      <w:r w:rsidRPr="00686E9D">
        <w:rPr>
          <w:lang w:val="en-IE"/>
        </w:rPr>
        <w:t>i.e.</w:t>
      </w:r>
      <w:proofErr w:type="gramEnd"/>
      <w:r w:rsidRPr="00686E9D">
        <w:rPr>
          <w:lang w:val="en-IE"/>
        </w:rPr>
        <w:t xml:space="preserve"> porcine, equine, feline, and canine) and to reduce transmission from domestic animals to humans. This was the rationale for development of the vaccine for </w:t>
      </w:r>
      <w:proofErr w:type="spellStart"/>
      <w:r w:rsidRPr="00686E9D">
        <w:rPr>
          <w:lang w:val="en-IE"/>
        </w:rPr>
        <w:t>HeV</w:t>
      </w:r>
      <w:proofErr w:type="spellEnd"/>
      <w:r w:rsidRPr="00686E9D">
        <w:rPr>
          <w:lang w:val="en-IE"/>
        </w:rPr>
        <w:t xml:space="preserve"> which is currently available for use in horses in Australia. </w:t>
      </w:r>
      <w:bookmarkStart w:id="73" w:name="_Hlk95814852"/>
      <w:r w:rsidR="00CD7679" w:rsidRPr="0084084E">
        <w:rPr>
          <w:highlight w:val="yellow"/>
          <w:u w:val="double"/>
          <w:lang w:val="en-IE"/>
        </w:rPr>
        <w:t xml:space="preserve">There is no vaccine approved for the prevention of </w:t>
      </w:r>
      <w:proofErr w:type="spellStart"/>
      <w:r w:rsidR="00CD7679" w:rsidRPr="0084084E">
        <w:rPr>
          <w:highlight w:val="yellow"/>
          <w:u w:val="double"/>
          <w:lang w:val="en-IE"/>
        </w:rPr>
        <w:t>HeV</w:t>
      </w:r>
      <w:proofErr w:type="spellEnd"/>
      <w:r w:rsidR="00CD7679" w:rsidRPr="0084084E">
        <w:rPr>
          <w:highlight w:val="yellow"/>
          <w:u w:val="double"/>
          <w:lang w:val="en-IE"/>
        </w:rPr>
        <w:t xml:space="preserve"> in humans.</w:t>
      </w:r>
      <w:bookmarkEnd w:id="73"/>
    </w:p>
    <w:p w14:paraId="45BF23C3" w14:textId="2423F2BA" w:rsidR="00682ECF" w:rsidRPr="00686E9D" w:rsidRDefault="00964ED2">
      <w:pPr>
        <w:pStyle w:val="1"/>
        <w:rPr>
          <w:lang w:val="en-IE"/>
        </w:rPr>
      </w:pPr>
      <w:r w:rsidRPr="00686E9D">
        <w:rPr>
          <w:lang w:val="en-IE"/>
        </w:rPr>
        <w:t>2.</w:t>
      </w:r>
      <w:r w:rsidRPr="00686E9D">
        <w:rPr>
          <w:lang w:val="en-IE"/>
        </w:rPr>
        <w:tab/>
        <w:t xml:space="preserve">Soluble G </w:t>
      </w:r>
      <w:proofErr w:type="spellStart"/>
      <w:r w:rsidRPr="00686E9D">
        <w:rPr>
          <w:lang w:val="en-IE"/>
        </w:rPr>
        <w:t>henipavirus</w:t>
      </w:r>
      <w:proofErr w:type="spellEnd"/>
      <w:r w:rsidRPr="00686E9D">
        <w:rPr>
          <w:lang w:val="en-IE"/>
        </w:rPr>
        <w:t xml:space="preserve"> vaccine</w:t>
      </w:r>
    </w:p>
    <w:p w14:paraId="50CBCA6D" w14:textId="15475783" w:rsidR="00682ECF" w:rsidRPr="00686E9D" w:rsidRDefault="002055C5">
      <w:pPr>
        <w:pStyle w:val="para1"/>
        <w:rPr>
          <w:lang w:val="en-IE"/>
        </w:rPr>
      </w:pPr>
      <w:r w:rsidRPr="00686E9D">
        <w:rPr>
          <w:u w:val="double"/>
          <w:lang w:val="en-IE"/>
        </w:rPr>
        <w:t>A preliminary study</w:t>
      </w:r>
      <w:r w:rsidRPr="00686E9D">
        <w:rPr>
          <w:lang w:val="en-IE"/>
        </w:rPr>
        <w:t xml:space="preserve"> </w:t>
      </w:r>
      <w:r w:rsidR="00964ED2" w:rsidRPr="00686E9D">
        <w:rPr>
          <w:strike/>
          <w:lang w:val="en-IE"/>
        </w:rPr>
        <w:t xml:space="preserve">Studies </w:t>
      </w:r>
      <w:r w:rsidR="00964ED2" w:rsidRPr="00686E9D">
        <w:rPr>
          <w:lang w:val="en-IE"/>
        </w:rPr>
        <w:t xml:space="preserve">using </w:t>
      </w:r>
      <w:proofErr w:type="spellStart"/>
      <w:r w:rsidR="00964ED2" w:rsidRPr="00686E9D">
        <w:rPr>
          <w:strike/>
          <w:lang w:val="en-IE"/>
        </w:rPr>
        <w:t>NiV</w:t>
      </w:r>
      <w:proofErr w:type="spellEnd"/>
      <w:r w:rsidR="00964ED2" w:rsidRPr="00686E9D">
        <w:rPr>
          <w:strike/>
          <w:lang w:val="en-IE"/>
        </w:rPr>
        <w:t xml:space="preserve"> in cats (</w:t>
      </w:r>
      <w:proofErr w:type="spellStart"/>
      <w:r w:rsidR="00964ED2" w:rsidRPr="00686E9D">
        <w:rPr>
          <w:strike/>
          <w:lang w:val="en-IE"/>
        </w:rPr>
        <w:t>Mungall</w:t>
      </w:r>
      <w:proofErr w:type="spellEnd"/>
      <w:r w:rsidR="00964ED2" w:rsidRPr="00686E9D">
        <w:rPr>
          <w:strike/>
          <w:lang w:val="en-IE"/>
        </w:rPr>
        <w:t xml:space="preserve"> </w:t>
      </w:r>
      <w:r w:rsidR="00964ED2" w:rsidRPr="00686E9D">
        <w:rPr>
          <w:i/>
          <w:strike/>
          <w:lang w:val="en-IE"/>
        </w:rPr>
        <w:t>et al</w:t>
      </w:r>
      <w:r w:rsidR="00964ED2" w:rsidRPr="00686E9D">
        <w:rPr>
          <w:strike/>
          <w:lang w:val="en-IE"/>
        </w:rPr>
        <w:t>., 2006;) and monkeys (</w:t>
      </w:r>
      <w:proofErr w:type="spellStart"/>
      <w:r w:rsidR="00964ED2" w:rsidRPr="00686E9D">
        <w:rPr>
          <w:strike/>
          <w:lang w:val="en-IE"/>
        </w:rPr>
        <w:t>Bossart</w:t>
      </w:r>
      <w:proofErr w:type="spellEnd"/>
      <w:r w:rsidR="00964ED2" w:rsidRPr="00686E9D">
        <w:rPr>
          <w:strike/>
          <w:lang w:val="en-IE"/>
        </w:rPr>
        <w:t xml:space="preserve"> </w:t>
      </w:r>
      <w:r w:rsidR="00964ED2" w:rsidRPr="00686E9D">
        <w:rPr>
          <w:i/>
          <w:strike/>
          <w:lang w:val="en-IE"/>
        </w:rPr>
        <w:t>et al</w:t>
      </w:r>
      <w:r w:rsidR="00964ED2" w:rsidRPr="00686E9D">
        <w:rPr>
          <w:strike/>
          <w:lang w:val="en-IE"/>
        </w:rPr>
        <w:t xml:space="preserve">., 2012) and </w:t>
      </w:r>
      <w:proofErr w:type="spellStart"/>
      <w:r w:rsidR="00964ED2" w:rsidRPr="00686E9D">
        <w:rPr>
          <w:lang w:val="en-IE"/>
        </w:rPr>
        <w:t>HeV</w:t>
      </w:r>
      <w:proofErr w:type="spellEnd"/>
      <w:r w:rsidR="00964ED2" w:rsidRPr="00686E9D">
        <w:rPr>
          <w:lang w:val="en-IE"/>
        </w:rPr>
        <w:t xml:space="preserve"> in ferrets (Pallister </w:t>
      </w:r>
      <w:r w:rsidR="00964ED2" w:rsidRPr="00686E9D">
        <w:rPr>
          <w:i/>
          <w:lang w:val="en-IE"/>
        </w:rPr>
        <w:t>et al</w:t>
      </w:r>
      <w:r w:rsidR="00964ED2" w:rsidRPr="00686E9D">
        <w:rPr>
          <w:lang w:val="en-IE"/>
        </w:rPr>
        <w:t xml:space="preserve">., 2011) provided strong evidence that a </w:t>
      </w:r>
      <w:proofErr w:type="spellStart"/>
      <w:r w:rsidR="00964ED2" w:rsidRPr="00686E9D">
        <w:rPr>
          <w:lang w:val="en-IE"/>
        </w:rPr>
        <w:t>HeV</w:t>
      </w:r>
      <w:proofErr w:type="spellEnd"/>
      <w:r w:rsidR="00964ED2" w:rsidRPr="00686E9D">
        <w:rPr>
          <w:lang w:val="en-IE"/>
        </w:rPr>
        <w:t xml:space="preserve"> soluble G (</w:t>
      </w:r>
      <w:proofErr w:type="spellStart"/>
      <w:r w:rsidR="00964ED2" w:rsidRPr="00686E9D">
        <w:rPr>
          <w:lang w:val="en-IE"/>
        </w:rPr>
        <w:t>HeVsG</w:t>
      </w:r>
      <w:proofErr w:type="spellEnd"/>
      <w:r w:rsidR="00964ED2" w:rsidRPr="00686E9D">
        <w:rPr>
          <w:lang w:val="en-IE"/>
        </w:rPr>
        <w:t xml:space="preserve">) glycoprotein subunit–based vaccine could prevent </w:t>
      </w:r>
      <w:r w:rsidR="00964ED2" w:rsidRPr="00686E9D">
        <w:rPr>
          <w:strike/>
          <w:lang w:val="en-IE"/>
        </w:rPr>
        <w:t xml:space="preserve">not only </w:t>
      </w:r>
      <w:r w:rsidR="00964ED2" w:rsidRPr="00686E9D">
        <w:rPr>
          <w:lang w:val="en-IE"/>
        </w:rPr>
        <w:t xml:space="preserve">disease </w:t>
      </w:r>
      <w:r w:rsidR="00964ED2" w:rsidRPr="00686E9D">
        <w:rPr>
          <w:strike/>
          <w:lang w:val="en-IE"/>
        </w:rPr>
        <w:t xml:space="preserve">but often infection </w:t>
      </w:r>
      <w:r w:rsidR="00964ED2" w:rsidRPr="00686E9D">
        <w:rPr>
          <w:lang w:val="en-IE"/>
        </w:rPr>
        <w:t xml:space="preserve">in animals exposed to </w:t>
      </w:r>
      <w:r w:rsidRPr="00686E9D">
        <w:rPr>
          <w:u w:val="double"/>
          <w:lang w:val="en-IE"/>
        </w:rPr>
        <w:t>an</w:t>
      </w:r>
      <w:r w:rsidRPr="00686E9D">
        <w:rPr>
          <w:lang w:val="en-IE"/>
        </w:rPr>
        <w:t xml:space="preserve"> </w:t>
      </w:r>
      <w:proofErr w:type="gramStart"/>
      <w:r w:rsidR="00964ED2" w:rsidRPr="00686E9D">
        <w:rPr>
          <w:lang w:val="en-IE"/>
        </w:rPr>
        <w:t>otherwise lethal dose</w:t>
      </w:r>
      <w:r w:rsidR="00964ED2" w:rsidRPr="00686E9D">
        <w:rPr>
          <w:strike/>
          <w:lang w:val="en-IE"/>
        </w:rPr>
        <w:t>s</w:t>
      </w:r>
      <w:proofErr w:type="gramEnd"/>
      <w:r w:rsidR="00964ED2" w:rsidRPr="00686E9D">
        <w:rPr>
          <w:strike/>
          <w:lang w:val="en-IE"/>
        </w:rPr>
        <w:t xml:space="preserve"> of </w:t>
      </w:r>
      <w:proofErr w:type="spellStart"/>
      <w:r w:rsidR="00964ED2" w:rsidRPr="00686E9D">
        <w:rPr>
          <w:strike/>
          <w:lang w:val="en-IE"/>
        </w:rPr>
        <w:t>NiV</w:t>
      </w:r>
      <w:proofErr w:type="spellEnd"/>
      <w:r w:rsidR="00964ED2" w:rsidRPr="00686E9D">
        <w:rPr>
          <w:strike/>
          <w:lang w:val="en-IE"/>
        </w:rPr>
        <w:t xml:space="preserve"> or </w:t>
      </w:r>
      <w:r w:rsidRPr="00686E9D">
        <w:rPr>
          <w:u w:val="double"/>
          <w:lang w:val="en-IE"/>
        </w:rPr>
        <w:t>of</w:t>
      </w:r>
      <w:r w:rsidRPr="00686E9D">
        <w:rPr>
          <w:lang w:val="en-IE"/>
        </w:rPr>
        <w:t xml:space="preserve"> </w:t>
      </w:r>
      <w:proofErr w:type="spellStart"/>
      <w:r w:rsidR="00964ED2" w:rsidRPr="00686E9D">
        <w:rPr>
          <w:lang w:val="en-IE"/>
        </w:rPr>
        <w:t>HeV</w:t>
      </w:r>
      <w:proofErr w:type="spellEnd"/>
      <w:r w:rsidR="00964ED2" w:rsidRPr="00686E9D">
        <w:rPr>
          <w:lang w:val="en-IE"/>
        </w:rPr>
        <w:t xml:space="preserve">. </w:t>
      </w:r>
      <w:r w:rsidR="00FF2BE1" w:rsidRPr="00686E9D">
        <w:rPr>
          <w:u w:val="double"/>
          <w:lang w:val="en-IE"/>
        </w:rPr>
        <w:t xml:space="preserve">The </w:t>
      </w:r>
      <w:proofErr w:type="spellStart"/>
      <w:r w:rsidR="00FF2BE1" w:rsidRPr="00686E9D">
        <w:rPr>
          <w:u w:val="double"/>
          <w:lang w:val="en-IE"/>
        </w:rPr>
        <w:t>henipavirus</w:t>
      </w:r>
      <w:proofErr w:type="spellEnd"/>
      <w:r w:rsidR="00FF2BE1" w:rsidRPr="00686E9D">
        <w:rPr>
          <w:u w:val="double"/>
          <w:lang w:val="en-IE"/>
        </w:rPr>
        <w:t xml:space="preserve"> surface-expressed G glycoprotein has the critical role of initiating infection by binding to receptors on host cells, and antibodies directed against this protein can neutrali</w:t>
      </w:r>
      <w:r w:rsidR="00697698" w:rsidRPr="00686E9D">
        <w:rPr>
          <w:u w:val="double"/>
          <w:lang w:val="en-IE"/>
        </w:rPr>
        <w:t>s</w:t>
      </w:r>
      <w:r w:rsidR="00FF2BE1" w:rsidRPr="00686E9D">
        <w:rPr>
          <w:u w:val="double"/>
          <w:lang w:val="en-IE"/>
        </w:rPr>
        <w:t>e virus.</w:t>
      </w:r>
      <w:r w:rsidR="00FF2BE1" w:rsidRPr="00686E9D">
        <w:rPr>
          <w:lang w:val="en-IE"/>
        </w:rPr>
        <w:t xml:space="preserve"> </w:t>
      </w:r>
      <w:r w:rsidR="00964ED2" w:rsidRPr="00686E9D">
        <w:rPr>
          <w:strike/>
          <w:lang w:val="en-IE"/>
        </w:rPr>
        <w:t xml:space="preserve">The </w:t>
      </w:r>
      <w:r w:rsidR="00FF2BE1" w:rsidRPr="00686E9D">
        <w:rPr>
          <w:u w:val="double"/>
          <w:lang w:val="en-IE"/>
        </w:rPr>
        <w:t>A Hendra virus</w:t>
      </w:r>
      <w:r w:rsidR="00FF2BE1" w:rsidRPr="00686E9D">
        <w:rPr>
          <w:lang w:val="en-IE"/>
        </w:rPr>
        <w:t xml:space="preserve"> </w:t>
      </w:r>
      <w:r w:rsidR="00964ED2" w:rsidRPr="00686E9D">
        <w:rPr>
          <w:lang w:val="en-IE"/>
        </w:rPr>
        <w:t>horse vaccine has been formulated using</w:t>
      </w:r>
      <w:r w:rsidR="00FF2BE1" w:rsidRPr="00686E9D">
        <w:rPr>
          <w:lang w:val="en-IE"/>
        </w:rPr>
        <w:t xml:space="preserve"> </w:t>
      </w:r>
      <w:proofErr w:type="spellStart"/>
      <w:r w:rsidR="00FF2BE1" w:rsidRPr="00686E9D">
        <w:rPr>
          <w:u w:val="double"/>
          <w:lang w:val="en-IE"/>
        </w:rPr>
        <w:t>HeVsG</w:t>
      </w:r>
      <w:proofErr w:type="spellEnd"/>
      <w:r w:rsidR="00FF2BE1" w:rsidRPr="00686E9D">
        <w:rPr>
          <w:u w:val="double"/>
          <w:lang w:val="en-IE"/>
        </w:rPr>
        <w:t xml:space="preserve"> and</w:t>
      </w:r>
      <w:r w:rsidR="00964ED2" w:rsidRPr="00686E9D">
        <w:rPr>
          <w:lang w:val="en-IE"/>
        </w:rPr>
        <w:t xml:space="preserve"> a proprietary adjuvant</w:t>
      </w:r>
      <w:r w:rsidRPr="00686E9D">
        <w:rPr>
          <w:lang w:val="en-IE"/>
        </w:rPr>
        <w:t xml:space="preserve"> </w:t>
      </w:r>
      <w:r w:rsidRPr="00686E9D">
        <w:rPr>
          <w:u w:val="double"/>
          <w:lang w:val="en-IE"/>
        </w:rPr>
        <w:t>by the vaccine manuf</w:t>
      </w:r>
      <w:r w:rsidR="00FF2BE1" w:rsidRPr="00686E9D">
        <w:rPr>
          <w:u w:val="double"/>
          <w:lang w:val="en-IE"/>
        </w:rPr>
        <w:t>acturer</w:t>
      </w:r>
      <w:r w:rsidR="00964ED2" w:rsidRPr="00686E9D">
        <w:rPr>
          <w:strike/>
          <w:lang w:val="en-IE"/>
        </w:rPr>
        <w:t xml:space="preserve"> (Zoetis)</w:t>
      </w:r>
      <w:r w:rsidR="00964ED2" w:rsidRPr="00686E9D">
        <w:rPr>
          <w:lang w:val="en-IE"/>
        </w:rPr>
        <w:t xml:space="preserve">. </w:t>
      </w:r>
      <w:proofErr w:type="gramStart"/>
      <w:r w:rsidR="00964ED2" w:rsidRPr="00686E9D">
        <w:rPr>
          <w:lang w:val="en-IE"/>
        </w:rPr>
        <w:t>The vaccine</w:t>
      </w:r>
      <w:r w:rsidR="00C651E2" w:rsidRPr="00686E9D">
        <w:rPr>
          <w:u w:val="double"/>
          <w:lang w:val="en-IE"/>
        </w:rPr>
        <w:t>,</w:t>
      </w:r>
      <w:proofErr w:type="gramEnd"/>
      <w:r w:rsidR="00C651E2" w:rsidRPr="00686E9D">
        <w:rPr>
          <w:lang w:val="en-IE"/>
        </w:rPr>
        <w:t xml:space="preserve"> </w:t>
      </w:r>
      <w:r w:rsidR="00964ED2" w:rsidRPr="00686E9D">
        <w:rPr>
          <w:strike/>
          <w:lang w:val="en-IE"/>
        </w:rPr>
        <w:t xml:space="preserve">was </w:t>
      </w:r>
      <w:r w:rsidR="00964ED2" w:rsidRPr="00686E9D">
        <w:rPr>
          <w:lang w:val="en-IE"/>
        </w:rPr>
        <w:t xml:space="preserve">released </w:t>
      </w:r>
      <w:r w:rsidR="00964ED2" w:rsidRPr="00686E9D">
        <w:rPr>
          <w:strike/>
          <w:lang w:val="en-IE"/>
        </w:rPr>
        <w:t xml:space="preserve">under a Minor Use Permit for use </w:t>
      </w:r>
      <w:r w:rsidR="00964ED2" w:rsidRPr="00686E9D">
        <w:rPr>
          <w:lang w:val="en-IE"/>
        </w:rPr>
        <w:t xml:space="preserve">in Australia in November 2012, </w:t>
      </w:r>
      <w:r w:rsidR="00964ED2" w:rsidRPr="00686E9D">
        <w:rPr>
          <w:strike/>
          <w:lang w:val="en-IE"/>
        </w:rPr>
        <w:t xml:space="preserve">and </w:t>
      </w:r>
      <w:r w:rsidR="00964ED2" w:rsidRPr="00686E9D">
        <w:rPr>
          <w:lang w:val="en-IE"/>
        </w:rPr>
        <w:t xml:space="preserve">is only available for administration by </w:t>
      </w:r>
      <w:r w:rsidR="00964ED2" w:rsidRPr="0084084E">
        <w:rPr>
          <w:strike/>
          <w:highlight w:val="yellow"/>
          <w:lang w:val="en-IE"/>
        </w:rPr>
        <w:t xml:space="preserve">accredited </w:t>
      </w:r>
      <w:r w:rsidR="007F5DE9" w:rsidRPr="0084084E">
        <w:rPr>
          <w:highlight w:val="yellow"/>
          <w:u w:val="double"/>
          <w:lang w:val="en-IE"/>
        </w:rPr>
        <w:t>registered</w:t>
      </w:r>
      <w:r w:rsidR="007F5DE9">
        <w:rPr>
          <w:lang w:val="en-IE"/>
        </w:rPr>
        <w:t xml:space="preserve"> </w:t>
      </w:r>
      <w:r w:rsidR="00964ED2" w:rsidRPr="00686E9D">
        <w:rPr>
          <w:lang w:val="en-IE"/>
        </w:rPr>
        <w:t>veterinarians.</w:t>
      </w:r>
      <w:r w:rsidR="00964ED2" w:rsidRPr="00686E9D">
        <w:rPr>
          <w:color w:val="222222"/>
          <w:lang w:val="en-IE"/>
        </w:rPr>
        <w:t xml:space="preserve"> For primary immunisation two doses of vaccine should be administered 3</w:t>
      </w:r>
      <w:r w:rsidR="00697698" w:rsidRPr="00686E9D">
        <w:rPr>
          <w:color w:val="222222"/>
          <w:u w:val="double"/>
          <w:lang w:val="en-IE"/>
        </w:rPr>
        <w:t>–</w:t>
      </w:r>
      <w:r w:rsidR="0000394D" w:rsidRPr="00686E9D">
        <w:rPr>
          <w:color w:val="222222"/>
          <w:u w:val="double"/>
          <w:lang w:val="en-IE"/>
        </w:rPr>
        <w:t>6</w:t>
      </w:r>
      <w:r w:rsidR="00964ED2" w:rsidRPr="00686E9D">
        <w:rPr>
          <w:color w:val="222222"/>
          <w:lang w:val="en-IE"/>
        </w:rPr>
        <w:t xml:space="preserve"> weeks apart in horses four months of age or above</w:t>
      </w:r>
      <w:r w:rsidR="0000394D" w:rsidRPr="00686E9D">
        <w:rPr>
          <w:color w:val="222222"/>
          <w:u w:val="double"/>
          <w:lang w:val="en-IE"/>
        </w:rPr>
        <w:t>, followed by a third vaccine 6 months after the second dose</w:t>
      </w:r>
      <w:r w:rsidR="00964ED2" w:rsidRPr="00686E9D">
        <w:rPr>
          <w:color w:val="222222"/>
          <w:lang w:val="en-IE"/>
        </w:rPr>
        <w:t xml:space="preserve">. For continued effect, a booster dose every </w:t>
      </w:r>
      <w:r w:rsidR="00964ED2" w:rsidRPr="00686E9D">
        <w:rPr>
          <w:strike/>
          <w:color w:val="222222"/>
          <w:lang w:val="en-IE"/>
        </w:rPr>
        <w:t xml:space="preserve">6 </w:t>
      </w:r>
      <w:r w:rsidR="0000394D" w:rsidRPr="00686E9D">
        <w:rPr>
          <w:color w:val="222222"/>
          <w:u w:val="double"/>
          <w:lang w:val="en-IE"/>
        </w:rPr>
        <w:t>12</w:t>
      </w:r>
      <w:r w:rsidR="0000394D" w:rsidRPr="00686E9D">
        <w:rPr>
          <w:color w:val="222222"/>
          <w:lang w:val="en-IE"/>
        </w:rPr>
        <w:t xml:space="preserve"> </w:t>
      </w:r>
      <w:r w:rsidR="00964ED2" w:rsidRPr="00686E9D">
        <w:rPr>
          <w:color w:val="222222"/>
          <w:lang w:val="en-IE"/>
        </w:rPr>
        <w:t xml:space="preserve">months is </w:t>
      </w:r>
      <w:r w:rsidR="00964ED2" w:rsidRPr="00686E9D">
        <w:rPr>
          <w:strike/>
          <w:color w:val="222222"/>
          <w:lang w:val="en-IE"/>
        </w:rPr>
        <w:t xml:space="preserve">currently </w:t>
      </w:r>
      <w:r w:rsidR="00964ED2" w:rsidRPr="00686E9D">
        <w:rPr>
          <w:color w:val="222222"/>
          <w:lang w:val="en-IE"/>
        </w:rPr>
        <w:t>recommended by the manufacturer.</w:t>
      </w:r>
      <w:r w:rsidR="00964ED2" w:rsidRPr="00686E9D">
        <w:rPr>
          <w:lang w:val="en-IE"/>
        </w:rPr>
        <w:t xml:space="preserve"> </w:t>
      </w:r>
    </w:p>
    <w:p w14:paraId="3521A897" w14:textId="77777777" w:rsidR="00682ECF" w:rsidRPr="00686E9D" w:rsidRDefault="00964ED2">
      <w:pPr>
        <w:pStyle w:val="1"/>
        <w:rPr>
          <w:lang w:val="en-IE"/>
        </w:rPr>
      </w:pPr>
      <w:r w:rsidRPr="00686E9D">
        <w:rPr>
          <w:lang w:val="en-IE"/>
        </w:rPr>
        <w:t>3.</w:t>
      </w:r>
      <w:r w:rsidRPr="00686E9D">
        <w:rPr>
          <w:lang w:val="en-IE"/>
        </w:rPr>
        <w:tab/>
        <w:t>Experimental vaccines</w:t>
      </w:r>
    </w:p>
    <w:p w14:paraId="231D3E07" w14:textId="642D5CF3" w:rsidR="00682ECF" w:rsidRPr="00686E9D" w:rsidRDefault="003E6576" w:rsidP="003E6576">
      <w:pPr>
        <w:pStyle w:val="para1"/>
        <w:spacing w:after="480"/>
        <w:rPr>
          <w:b/>
          <w:lang w:val="en-IE"/>
        </w:rPr>
      </w:pPr>
      <w:r w:rsidRPr="00686E9D">
        <w:rPr>
          <w:u w:val="double"/>
          <w:lang w:val="en-IE"/>
        </w:rPr>
        <w:t xml:space="preserve">Recently WHO included </w:t>
      </w:r>
      <w:proofErr w:type="spellStart"/>
      <w:r w:rsidRPr="00686E9D">
        <w:rPr>
          <w:u w:val="double"/>
          <w:lang w:val="en-IE"/>
        </w:rPr>
        <w:t>Nipah</w:t>
      </w:r>
      <w:proofErr w:type="spellEnd"/>
      <w:r w:rsidRPr="00686E9D">
        <w:rPr>
          <w:u w:val="double"/>
          <w:lang w:val="en-IE"/>
        </w:rPr>
        <w:t xml:space="preserve"> virus as one of 11 prioritised pathogens most likely to cause severe outbreaks </w:t>
      </w:r>
      <w:proofErr w:type="gramStart"/>
      <w:r w:rsidRPr="00686E9D">
        <w:rPr>
          <w:u w:val="double"/>
          <w:lang w:val="en-IE"/>
        </w:rPr>
        <w:t>in the near future</w:t>
      </w:r>
      <w:proofErr w:type="gramEnd"/>
      <w:r w:rsidRPr="00686E9D">
        <w:rPr>
          <w:u w:val="double"/>
          <w:lang w:val="en-IE"/>
        </w:rPr>
        <w:t>. Alongside this has been the development of an R&amp;D Blueprint for Action to Prevent Epidemics</w:t>
      </w:r>
      <w:r w:rsidR="000C67D8" w:rsidRPr="00686E9D">
        <w:rPr>
          <w:u w:val="double"/>
          <w:lang w:val="en-IE"/>
        </w:rPr>
        <w:t>,</w:t>
      </w:r>
      <w:r w:rsidRPr="00686E9D">
        <w:rPr>
          <w:u w:val="double"/>
          <w:lang w:val="en-IE"/>
        </w:rPr>
        <w:t xml:space="preserve"> which establishes a platform for R&amp;D preparedness that is intended to accelerate research and product development in advance of and during epidemics (WHO</w:t>
      </w:r>
      <w:r w:rsidR="000C67D8" w:rsidRPr="00686E9D">
        <w:rPr>
          <w:u w:val="double"/>
          <w:lang w:val="en-IE"/>
        </w:rPr>
        <w:t>,</w:t>
      </w:r>
      <w:r w:rsidRPr="00686E9D">
        <w:rPr>
          <w:u w:val="double"/>
          <w:lang w:val="en-IE"/>
        </w:rPr>
        <w:t xml:space="preserve"> 2019). </w:t>
      </w:r>
      <w:r w:rsidR="0000394D" w:rsidRPr="00686E9D">
        <w:rPr>
          <w:u w:val="double"/>
          <w:lang w:val="en-IE"/>
        </w:rPr>
        <w:t xml:space="preserve">At least 13 </w:t>
      </w:r>
      <w:proofErr w:type="spellStart"/>
      <w:r w:rsidR="008155E9" w:rsidRPr="00686E9D">
        <w:rPr>
          <w:u w:val="double"/>
          <w:lang w:val="en-IE"/>
        </w:rPr>
        <w:t>Nipah</w:t>
      </w:r>
      <w:proofErr w:type="spellEnd"/>
      <w:r w:rsidR="008155E9" w:rsidRPr="00686E9D">
        <w:rPr>
          <w:u w:val="double"/>
          <w:lang w:val="en-IE"/>
        </w:rPr>
        <w:t xml:space="preserve"> virus </w:t>
      </w:r>
      <w:r w:rsidR="0000394D" w:rsidRPr="00686E9D">
        <w:rPr>
          <w:u w:val="double"/>
          <w:lang w:val="en-IE"/>
        </w:rPr>
        <w:t>vaccine candidates have been confirmed to be under development in preclinical stages</w:t>
      </w:r>
      <w:r w:rsidR="008155E9" w:rsidRPr="00686E9D">
        <w:rPr>
          <w:u w:val="double"/>
          <w:lang w:val="en-IE"/>
        </w:rPr>
        <w:t xml:space="preserve"> (</w:t>
      </w:r>
      <w:proofErr w:type="spellStart"/>
      <w:r w:rsidR="00C651E2" w:rsidRPr="00686E9D">
        <w:rPr>
          <w:u w:val="double"/>
          <w:lang w:val="en-IE"/>
        </w:rPr>
        <w:t>Gouglas</w:t>
      </w:r>
      <w:proofErr w:type="spellEnd"/>
      <w:r w:rsidR="008155E9" w:rsidRPr="00686E9D">
        <w:rPr>
          <w:u w:val="double"/>
          <w:lang w:val="en-IE"/>
        </w:rPr>
        <w:t xml:space="preserve"> </w:t>
      </w:r>
      <w:r w:rsidR="008155E9" w:rsidRPr="00686E9D">
        <w:rPr>
          <w:i/>
          <w:iCs/>
          <w:u w:val="double"/>
          <w:lang w:val="en-IE"/>
        </w:rPr>
        <w:t>et al.,</w:t>
      </w:r>
      <w:r w:rsidR="008155E9" w:rsidRPr="00686E9D">
        <w:rPr>
          <w:u w:val="double"/>
          <w:lang w:val="en-IE"/>
        </w:rPr>
        <w:t xml:space="preserve"> 20</w:t>
      </w:r>
      <w:r w:rsidR="00C651E2" w:rsidRPr="00686E9D">
        <w:rPr>
          <w:u w:val="double"/>
          <w:lang w:val="en-IE"/>
        </w:rPr>
        <w:t>19</w:t>
      </w:r>
      <w:r w:rsidR="008155E9" w:rsidRPr="00686E9D">
        <w:rPr>
          <w:u w:val="double"/>
          <w:lang w:val="en-IE"/>
        </w:rPr>
        <w:t>).</w:t>
      </w:r>
      <w:r w:rsidR="008155E9" w:rsidRPr="00686E9D">
        <w:rPr>
          <w:lang w:val="en-IE"/>
        </w:rPr>
        <w:t xml:space="preserve"> </w:t>
      </w:r>
      <w:r w:rsidR="00964ED2" w:rsidRPr="00686E9D">
        <w:rPr>
          <w:strike/>
          <w:lang w:val="en-IE"/>
        </w:rPr>
        <w:t xml:space="preserve">Current experimental vaccines for protection from </w:t>
      </w:r>
      <w:proofErr w:type="spellStart"/>
      <w:r w:rsidR="00964ED2" w:rsidRPr="00686E9D">
        <w:rPr>
          <w:strike/>
          <w:lang w:val="en-IE"/>
        </w:rPr>
        <w:t>NiV</w:t>
      </w:r>
      <w:proofErr w:type="spellEnd"/>
      <w:r w:rsidR="00964ED2" w:rsidRPr="00686E9D">
        <w:rPr>
          <w:strike/>
          <w:lang w:val="en-IE"/>
        </w:rPr>
        <w:t xml:space="preserve"> infection </w:t>
      </w:r>
      <w:r w:rsidR="005E788B" w:rsidRPr="00686E9D">
        <w:rPr>
          <w:u w:val="double"/>
          <w:lang w:val="en-IE"/>
        </w:rPr>
        <w:t>C</w:t>
      </w:r>
      <w:r w:rsidR="008155E9" w:rsidRPr="00686E9D">
        <w:rPr>
          <w:u w:val="double"/>
          <w:lang w:val="en-IE"/>
        </w:rPr>
        <w:t xml:space="preserve">andidates </w:t>
      </w:r>
      <w:r w:rsidR="00964ED2" w:rsidRPr="00686E9D">
        <w:rPr>
          <w:lang w:val="en-IE"/>
        </w:rPr>
        <w:t xml:space="preserve">have focused on the use of </w:t>
      </w:r>
      <w:proofErr w:type="spellStart"/>
      <w:r w:rsidR="00964ED2" w:rsidRPr="00686E9D">
        <w:rPr>
          <w:lang w:val="en-IE"/>
        </w:rPr>
        <w:t>NiV</w:t>
      </w:r>
      <w:proofErr w:type="spellEnd"/>
      <w:r w:rsidR="00964ED2" w:rsidRPr="00686E9D">
        <w:rPr>
          <w:lang w:val="en-IE"/>
        </w:rPr>
        <w:t xml:space="preserve"> glycoprotein (G) and/or fusion</w:t>
      </w:r>
      <w:r w:rsidR="002A5D11" w:rsidRPr="00686E9D">
        <w:rPr>
          <w:lang w:val="en-IE"/>
        </w:rPr>
        <w:t xml:space="preserve"> </w:t>
      </w:r>
      <w:r w:rsidR="00964ED2" w:rsidRPr="00686E9D">
        <w:rPr>
          <w:lang w:val="en-IE"/>
        </w:rPr>
        <w:t xml:space="preserve">protein (F) as immunogens in various platforms, including DNA vaccines, subunit vaccines, non-replicating vectors, as well as replicating vectors. </w:t>
      </w:r>
      <w:r w:rsidR="00C651E2" w:rsidRPr="00686E9D">
        <w:rPr>
          <w:u w:val="double"/>
          <w:lang w:val="en-IE"/>
        </w:rPr>
        <w:t xml:space="preserve">A vaccine based on </w:t>
      </w:r>
      <w:proofErr w:type="spellStart"/>
      <w:r w:rsidR="00C651E2" w:rsidRPr="00686E9D">
        <w:rPr>
          <w:u w:val="double"/>
          <w:lang w:val="en-IE"/>
        </w:rPr>
        <w:t>NiV</w:t>
      </w:r>
      <w:proofErr w:type="spellEnd"/>
      <w:r w:rsidR="000C67D8" w:rsidRPr="00686E9D">
        <w:rPr>
          <w:u w:val="double"/>
          <w:lang w:val="en-IE"/>
        </w:rPr>
        <w:t>-</w:t>
      </w:r>
      <w:r w:rsidR="00C651E2" w:rsidRPr="00686E9D">
        <w:rPr>
          <w:u w:val="double"/>
          <w:lang w:val="en-IE"/>
        </w:rPr>
        <w:t xml:space="preserve">B G protein in a replication-deficient simian adenovirus vector in Syrian hamsters (ChAdOx1 </w:t>
      </w:r>
      <w:proofErr w:type="spellStart"/>
      <w:r w:rsidR="00C651E2" w:rsidRPr="00686E9D">
        <w:rPr>
          <w:u w:val="double"/>
          <w:lang w:val="en-IE"/>
        </w:rPr>
        <w:t>NiVB</w:t>
      </w:r>
      <w:proofErr w:type="spellEnd"/>
      <w:r w:rsidR="00C651E2" w:rsidRPr="00686E9D">
        <w:rPr>
          <w:u w:val="double"/>
          <w:lang w:val="en-IE"/>
        </w:rPr>
        <w:t xml:space="preserve">) has shown promising results (Van </w:t>
      </w:r>
      <w:proofErr w:type="spellStart"/>
      <w:r w:rsidR="00C651E2" w:rsidRPr="00686E9D">
        <w:rPr>
          <w:u w:val="double"/>
          <w:lang w:val="en-IE"/>
        </w:rPr>
        <w:t>Doremalen</w:t>
      </w:r>
      <w:proofErr w:type="spellEnd"/>
      <w:r w:rsidR="00C651E2" w:rsidRPr="00686E9D">
        <w:rPr>
          <w:u w:val="double"/>
          <w:lang w:val="en-IE"/>
        </w:rPr>
        <w:t xml:space="preserve"> </w:t>
      </w:r>
      <w:r w:rsidR="00C651E2" w:rsidRPr="00686E9D">
        <w:rPr>
          <w:i/>
          <w:iCs/>
          <w:u w:val="double"/>
          <w:lang w:val="en-IE"/>
        </w:rPr>
        <w:t>et al.,</w:t>
      </w:r>
      <w:r w:rsidR="00C651E2" w:rsidRPr="00686E9D">
        <w:rPr>
          <w:u w:val="double"/>
          <w:lang w:val="en-IE"/>
        </w:rPr>
        <w:t xml:space="preserve"> 2019). A prime-only as well as a prime-boost regime protected Syrian hamsters against challenge with a lethal dose of </w:t>
      </w:r>
      <w:proofErr w:type="spellStart"/>
      <w:r w:rsidR="00C651E2" w:rsidRPr="00686E9D">
        <w:rPr>
          <w:u w:val="double"/>
          <w:lang w:val="en-IE"/>
        </w:rPr>
        <w:t>NiV</w:t>
      </w:r>
      <w:proofErr w:type="spellEnd"/>
      <w:r w:rsidR="00274821" w:rsidRPr="00686E9D">
        <w:rPr>
          <w:u w:val="double"/>
          <w:lang w:val="en-IE"/>
        </w:rPr>
        <w:t>-</w:t>
      </w:r>
      <w:r w:rsidR="00C651E2" w:rsidRPr="00686E9D">
        <w:rPr>
          <w:u w:val="double"/>
          <w:lang w:val="en-IE"/>
        </w:rPr>
        <w:t xml:space="preserve">B and </w:t>
      </w:r>
      <w:proofErr w:type="spellStart"/>
      <w:r w:rsidR="00C651E2" w:rsidRPr="00686E9D">
        <w:rPr>
          <w:u w:val="double"/>
          <w:lang w:val="en-IE"/>
        </w:rPr>
        <w:t>NiV</w:t>
      </w:r>
      <w:proofErr w:type="spellEnd"/>
      <w:r w:rsidR="00274821" w:rsidRPr="00686E9D">
        <w:rPr>
          <w:u w:val="double"/>
          <w:lang w:val="en-IE"/>
        </w:rPr>
        <w:t>-</w:t>
      </w:r>
      <w:r w:rsidR="00C651E2" w:rsidRPr="00686E9D">
        <w:rPr>
          <w:u w:val="double"/>
          <w:lang w:val="en-IE"/>
        </w:rPr>
        <w:t>M.</w:t>
      </w:r>
      <w:r w:rsidR="00697698" w:rsidRPr="00686E9D">
        <w:rPr>
          <w:lang w:val="en-IE"/>
        </w:rPr>
        <w:t xml:space="preserve"> </w:t>
      </w:r>
      <w:r w:rsidR="00964ED2" w:rsidRPr="00686E9D">
        <w:rPr>
          <w:strike/>
          <w:lang w:val="en-IE"/>
        </w:rPr>
        <w:t xml:space="preserve">Efficacy of most candidates required a prime/boost(s) approach, which would not favour their use in </w:t>
      </w:r>
      <w:proofErr w:type="gramStart"/>
      <w:r w:rsidR="00964ED2" w:rsidRPr="00686E9D">
        <w:rPr>
          <w:strike/>
          <w:lang w:val="en-IE"/>
        </w:rPr>
        <w:t>an emergency situation</w:t>
      </w:r>
      <w:proofErr w:type="gramEnd"/>
      <w:r w:rsidR="00964ED2" w:rsidRPr="00686E9D">
        <w:rPr>
          <w:strike/>
          <w:lang w:val="en-IE"/>
        </w:rPr>
        <w:t xml:space="preserve"> for rapid dissemination during an outbreak. A live-attenuated vaccine vector based on recombinant vesicular stomatitis viruses (</w:t>
      </w:r>
      <w:proofErr w:type="spellStart"/>
      <w:r w:rsidR="00964ED2" w:rsidRPr="00686E9D">
        <w:rPr>
          <w:strike/>
          <w:lang w:val="en-IE"/>
        </w:rPr>
        <w:t>rVSV</w:t>
      </w:r>
      <w:proofErr w:type="spellEnd"/>
      <w:r w:rsidR="00964ED2" w:rsidRPr="00686E9D">
        <w:rPr>
          <w:strike/>
          <w:lang w:val="en-IE"/>
        </w:rPr>
        <w:t xml:space="preserve">) expressing </w:t>
      </w:r>
      <w:proofErr w:type="spellStart"/>
      <w:r w:rsidR="00964ED2" w:rsidRPr="00686E9D">
        <w:rPr>
          <w:strike/>
          <w:lang w:val="en-IE"/>
        </w:rPr>
        <w:t>NiV</w:t>
      </w:r>
      <w:proofErr w:type="spellEnd"/>
      <w:r w:rsidR="00964ED2" w:rsidRPr="00686E9D">
        <w:rPr>
          <w:strike/>
          <w:lang w:val="en-IE"/>
        </w:rPr>
        <w:t xml:space="preserve"> glycoproteins (G or F) or nucleoprotein (N) has been evaluated. Vaccination of Syrian hamsters with a single dose of the </w:t>
      </w:r>
      <w:proofErr w:type="spellStart"/>
      <w:r w:rsidR="00964ED2" w:rsidRPr="00686E9D">
        <w:rPr>
          <w:strike/>
          <w:lang w:val="en-IE"/>
        </w:rPr>
        <w:t>rVSV</w:t>
      </w:r>
      <w:proofErr w:type="spellEnd"/>
      <w:r w:rsidR="00964ED2" w:rsidRPr="00686E9D">
        <w:rPr>
          <w:strike/>
          <w:lang w:val="en-IE"/>
        </w:rPr>
        <w:t xml:space="preserve"> vaccine vectors resulted in strong humoral immune responses with neutrali</w:t>
      </w:r>
      <w:r w:rsidR="005D4641" w:rsidRPr="00686E9D">
        <w:rPr>
          <w:strike/>
          <w:lang w:val="en-IE"/>
        </w:rPr>
        <w:t>s</w:t>
      </w:r>
      <w:r w:rsidR="00964ED2" w:rsidRPr="00686E9D">
        <w:rPr>
          <w:strike/>
          <w:lang w:val="en-IE"/>
        </w:rPr>
        <w:t xml:space="preserve">ing activities found only in those animals vaccinated with </w:t>
      </w:r>
      <w:proofErr w:type="spellStart"/>
      <w:r w:rsidR="00964ED2" w:rsidRPr="00686E9D">
        <w:rPr>
          <w:strike/>
          <w:lang w:val="en-IE"/>
        </w:rPr>
        <w:t>rVSV</w:t>
      </w:r>
      <w:proofErr w:type="spellEnd"/>
      <w:r w:rsidR="00964ED2" w:rsidRPr="00686E9D">
        <w:rPr>
          <w:strike/>
          <w:lang w:val="en-IE"/>
        </w:rPr>
        <w:t xml:space="preserve"> expressing </w:t>
      </w:r>
      <w:proofErr w:type="spellStart"/>
      <w:r w:rsidR="00964ED2" w:rsidRPr="00686E9D">
        <w:rPr>
          <w:strike/>
          <w:lang w:val="en-IE"/>
        </w:rPr>
        <w:t>NiV</w:t>
      </w:r>
      <w:proofErr w:type="spellEnd"/>
      <w:r w:rsidR="00964ED2" w:rsidRPr="00686E9D">
        <w:rPr>
          <w:strike/>
          <w:lang w:val="en-IE"/>
        </w:rPr>
        <w:t xml:space="preserve"> G or F proteins suggesting that these may be prime candidates for emergency vaccines to be utilised in </w:t>
      </w:r>
      <w:proofErr w:type="spellStart"/>
      <w:r w:rsidR="00964ED2" w:rsidRPr="00686E9D">
        <w:rPr>
          <w:strike/>
          <w:lang w:val="en-IE"/>
        </w:rPr>
        <w:t>NiV</w:t>
      </w:r>
      <w:proofErr w:type="spellEnd"/>
      <w:r w:rsidR="00964ED2" w:rsidRPr="00686E9D">
        <w:rPr>
          <w:strike/>
          <w:lang w:val="en-IE"/>
        </w:rPr>
        <w:t xml:space="preserve"> outbreak management. A similar construct consisting of a replication-defective vesicular stomatitis virus (VSV)-based vaccine vectors expressing either the </w:t>
      </w:r>
      <w:proofErr w:type="spellStart"/>
      <w:r w:rsidR="00964ED2" w:rsidRPr="00686E9D">
        <w:rPr>
          <w:strike/>
          <w:lang w:val="en-IE"/>
        </w:rPr>
        <w:t>NiV</w:t>
      </w:r>
      <w:proofErr w:type="spellEnd"/>
      <w:r w:rsidR="00964ED2" w:rsidRPr="00686E9D">
        <w:rPr>
          <w:strike/>
          <w:lang w:val="en-IE"/>
        </w:rPr>
        <w:t xml:space="preserve"> fusion (F) or attachment (G) glycoproteins protected hamsters from over 1000 times LD</w:t>
      </w:r>
      <w:r w:rsidR="00964ED2" w:rsidRPr="00686E9D">
        <w:rPr>
          <w:strike/>
          <w:vertAlign w:val="subscript"/>
          <w:lang w:val="en-IE"/>
        </w:rPr>
        <w:t>50</w:t>
      </w:r>
      <w:r w:rsidR="00964ED2" w:rsidRPr="00686E9D">
        <w:rPr>
          <w:strike/>
          <w:lang w:val="en-IE"/>
        </w:rPr>
        <w:t xml:space="preserve"> </w:t>
      </w:r>
      <w:proofErr w:type="spellStart"/>
      <w:r w:rsidR="00964ED2" w:rsidRPr="00686E9D">
        <w:rPr>
          <w:strike/>
          <w:lang w:val="en-IE"/>
        </w:rPr>
        <w:t>NiV</w:t>
      </w:r>
      <w:proofErr w:type="spellEnd"/>
      <w:r w:rsidR="00964ED2" w:rsidRPr="00686E9D">
        <w:rPr>
          <w:strike/>
          <w:lang w:val="en-IE"/>
        </w:rPr>
        <w:t xml:space="preserve"> challenge when vaccinated with a single dose</w:t>
      </w:r>
      <w:r w:rsidR="00964ED2" w:rsidRPr="00686E9D">
        <w:rPr>
          <w:lang w:val="en-IE"/>
        </w:rPr>
        <w:t xml:space="preserve">. </w:t>
      </w:r>
    </w:p>
    <w:p w14:paraId="33E16172" w14:textId="77777777" w:rsidR="00682ECF" w:rsidRPr="00686E9D" w:rsidRDefault="00964ED2" w:rsidP="00843236">
      <w:pPr>
        <w:pStyle w:val="Referencetitle"/>
        <w:tabs>
          <w:tab w:val="left" w:pos="-720"/>
        </w:tabs>
        <w:rPr>
          <w:lang w:val="en-IE"/>
        </w:rPr>
      </w:pPr>
      <w:r w:rsidRPr="00686E9D">
        <w:rPr>
          <w:lang w:val="en-IE"/>
        </w:rPr>
        <w:lastRenderedPageBreak/>
        <w:t>REFERENCES</w:t>
      </w:r>
    </w:p>
    <w:p w14:paraId="04B8BF1C" w14:textId="40D742D5" w:rsidR="0089148E" w:rsidRDefault="0089148E" w:rsidP="0089148E">
      <w:pPr>
        <w:pStyle w:val="Ref"/>
        <w:rPr>
          <w:u w:val="double"/>
          <w:lang w:val="en-IE"/>
        </w:rPr>
      </w:pPr>
      <w:r w:rsidRPr="0089148E">
        <w:rPr>
          <w:smallCaps/>
          <w:u w:val="double"/>
          <w:lang w:val="en-IE"/>
        </w:rPr>
        <w:t>Annand E</w:t>
      </w:r>
      <w:r>
        <w:rPr>
          <w:smallCaps/>
          <w:u w:val="double"/>
          <w:lang w:val="en-IE"/>
        </w:rPr>
        <w:t>.</w:t>
      </w:r>
      <w:r w:rsidRPr="0089148E">
        <w:rPr>
          <w:smallCaps/>
          <w:u w:val="double"/>
          <w:lang w:val="en-IE"/>
        </w:rPr>
        <w:t>J</w:t>
      </w:r>
      <w:r>
        <w:rPr>
          <w:smallCaps/>
          <w:u w:val="double"/>
          <w:lang w:val="en-IE"/>
        </w:rPr>
        <w:t>.</w:t>
      </w:r>
      <w:r w:rsidRPr="0089148E">
        <w:rPr>
          <w:smallCaps/>
          <w:u w:val="double"/>
          <w:lang w:val="en-IE"/>
        </w:rPr>
        <w:t>, Horsburgh B</w:t>
      </w:r>
      <w:r>
        <w:rPr>
          <w:smallCaps/>
          <w:u w:val="double"/>
          <w:lang w:val="en-IE"/>
        </w:rPr>
        <w:t>.</w:t>
      </w:r>
      <w:r w:rsidRPr="0089148E">
        <w:rPr>
          <w:smallCaps/>
          <w:u w:val="double"/>
          <w:lang w:val="en-IE"/>
        </w:rPr>
        <w:t>A</w:t>
      </w:r>
      <w:r>
        <w:rPr>
          <w:smallCaps/>
          <w:u w:val="double"/>
          <w:lang w:val="en-IE"/>
        </w:rPr>
        <w:t>.</w:t>
      </w:r>
      <w:r w:rsidRPr="0089148E">
        <w:rPr>
          <w:smallCaps/>
          <w:u w:val="double"/>
          <w:lang w:val="en-IE"/>
        </w:rPr>
        <w:t>, Xu K</w:t>
      </w:r>
      <w:r>
        <w:rPr>
          <w:smallCaps/>
          <w:u w:val="double"/>
          <w:lang w:val="en-IE"/>
        </w:rPr>
        <w:t>.</w:t>
      </w:r>
      <w:r w:rsidRPr="0089148E">
        <w:rPr>
          <w:smallCaps/>
          <w:u w:val="double"/>
          <w:lang w:val="en-IE"/>
        </w:rPr>
        <w:t>, Reid P</w:t>
      </w:r>
      <w:r>
        <w:rPr>
          <w:smallCaps/>
          <w:u w:val="double"/>
          <w:lang w:val="en-IE"/>
        </w:rPr>
        <w:t>.</w:t>
      </w:r>
      <w:r w:rsidRPr="0089148E">
        <w:rPr>
          <w:smallCaps/>
          <w:u w:val="double"/>
          <w:lang w:val="en-IE"/>
        </w:rPr>
        <w:t>A</w:t>
      </w:r>
      <w:r>
        <w:rPr>
          <w:smallCaps/>
          <w:u w:val="double"/>
          <w:lang w:val="en-IE"/>
        </w:rPr>
        <w:t>.</w:t>
      </w:r>
      <w:r w:rsidRPr="0089148E">
        <w:rPr>
          <w:smallCaps/>
          <w:u w:val="double"/>
          <w:lang w:val="en-IE"/>
        </w:rPr>
        <w:t>,</w:t>
      </w:r>
      <w:r w:rsidR="008B0A97">
        <w:rPr>
          <w:smallCaps/>
          <w:u w:val="double"/>
          <w:lang w:val="en-IE"/>
        </w:rPr>
        <w:t xml:space="preserve"> </w:t>
      </w:r>
      <w:r w:rsidRPr="0089148E">
        <w:rPr>
          <w:smallCaps/>
          <w:u w:val="double"/>
          <w:lang w:val="en-IE"/>
        </w:rPr>
        <w:t>Poole B</w:t>
      </w:r>
      <w:r>
        <w:rPr>
          <w:smallCaps/>
          <w:u w:val="double"/>
          <w:lang w:val="en-IE"/>
        </w:rPr>
        <w:t>.</w:t>
      </w:r>
      <w:r w:rsidRPr="0089148E">
        <w:rPr>
          <w:smallCaps/>
          <w:u w:val="double"/>
          <w:lang w:val="en-IE"/>
        </w:rPr>
        <w:t xml:space="preserve">, de </w:t>
      </w:r>
      <w:proofErr w:type="spellStart"/>
      <w:r w:rsidRPr="0089148E">
        <w:rPr>
          <w:smallCaps/>
          <w:u w:val="double"/>
          <w:lang w:val="en-IE"/>
        </w:rPr>
        <w:t>Kantzow</w:t>
      </w:r>
      <w:proofErr w:type="spellEnd"/>
      <w:r w:rsidRPr="0089148E">
        <w:rPr>
          <w:smallCaps/>
          <w:u w:val="double"/>
          <w:lang w:val="en-IE"/>
        </w:rPr>
        <w:t xml:space="preserve"> M</w:t>
      </w:r>
      <w:r>
        <w:rPr>
          <w:smallCaps/>
          <w:u w:val="double"/>
          <w:lang w:val="en-IE"/>
        </w:rPr>
        <w:t>.</w:t>
      </w:r>
      <w:r w:rsidRPr="0089148E">
        <w:rPr>
          <w:smallCaps/>
          <w:u w:val="double"/>
          <w:lang w:val="en-IE"/>
        </w:rPr>
        <w:t>C</w:t>
      </w:r>
      <w:r>
        <w:rPr>
          <w:smallCaps/>
          <w:u w:val="double"/>
          <w:lang w:val="en-IE"/>
        </w:rPr>
        <w:t>.</w:t>
      </w:r>
      <w:r w:rsidR="005B194D">
        <w:rPr>
          <w:smallCaps/>
          <w:u w:val="double"/>
          <w:lang w:val="en-IE"/>
        </w:rPr>
        <w:t>,</w:t>
      </w:r>
      <w:r w:rsidRPr="0089148E">
        <w:rPr>
          <w:smallCaps/>
          <w:u w:val="double"/>
          <w:lang w:val="en-IE"/>
        </w:rPr>
        <w:t xml:space="preserve"> </w:t>
      </w:r>
      <w:r w:rsidR="005B194D" w:rsidRPr="005B194D">
        <w:rPr>
          <w:smallCaps/>
          <w:highlight w:val="yellow"/>
          <w:u w:val="double"/>
        </w:rPr>
        <w:t xml:space="preserve">Brown N., Tweedie A., Michie M., </w:t>
      </w:r>
      <w:proofErr w:type="spellStart"/>
      <w:r w:rsidR="005B194D" w:rsidRPr="005B194D">
        <w:rPr>
          <w:smallCaps/>
          <w:highlight w:val="yellow"/>
          <w:u w:val="double"/>
        </w:rPr>
        <w:t>Grewar</w:t>
      </w:r>
      <w:proofErr w:type="spellEnd"/>
      <w:r w:rsidR="005B194D" w:rsidRPr="005B194D">
        <w:rPr>
          <w:smallCaps/>
          <w:highlight w:val="yellow"/>
          <w:u w:val="double"/>
        </w:rPr>
        <w:t xml:space="preserve"> J.D., Jackson A.E., </w:t>
      </w:r>
      <w:proofErr w:type="spellStart"/>
      <w:r w:rsidR="005B194D" w:rsidRPr="005B194D">
        <w:rPr>
          <w:smallCaps/>
          <w:highlight w:val="yellow"/>
          <w:u w:val="double"/>
        </w:rPr>
        <w:t>Singanallur</w:t>
      </w:r>
      <w:proofErr w:type="spellEnd"/>
      <w:r w:rsidR="005B194D" w:rsidRPr="005B194D">
        <w:rPr>
          <w:smallCaps/>
          <w:highlight w:val="yellow"/>
          <w:u w:val="double"/>
        </w:rPr>
        <w:t xml:space="preserve"> N.B., Plain K.M., Kim K., </w:t>
      </w:r>
      <w:proofErr w:type="spellStart"/>
      <w:r w:rsidR="005B194D" w:rsidRPr="005B194D">
        <w:rPr>
          <w:smallCaps/>
          <w:highlight w:val="yellow"/>
          <w:u w:val="double"/>
        </w:rPr>
        <w:t>Tachedjian</w:t>
      </w:r>
      <w:proofErr w:type="spellEnd"/>
      <w:r w:rsidR="005B194D" w:rsidRPr="005B194D">
        <w:rPr>
          <w:smallCaps/>
          <w:highlight w:val="yellow"/>
          <w:u w:val="double"/>
        </w:rPr>
        <w:t xml:space="preserve"> M., van der Heide B., </w:t>
      </w:r>
      <w:proofErr w:type="spellStart"/>
      <w:r w:rsidR="005B194D" w:rsidRPr="005B194D">
        <w:rPr>
          <w:smallCaps/>
          <w:highlight w:val="yellow"/>
          <w:u w:val="double"/>
        </w:rPr>
        <w:t>Crameri</w:t>
      </w:r>
      <w:proofErr w:type="spellEnd"/>
      <w:r w:rsidR="005B194D" w:rsidRPr="005B194D">
        <w:rPr>
          <w:smallCaps/>
          <w:highlight w:val="yellow"/>
          <w:u w:val="double"/>
        </w:rPr>
        <w:t xml:space="preserve"> S., Williams D.T., Secombe C., Laing E.D., Sterling S., Yan L., Jackson L., Jones C., Plowright R.K., Peel A.J., Breed A.C., Diallo I., </w:t>
      </w:r>
      <w:proofErr w:type="spellStart"/>
      <w:r w:rsidR="005B194D" w:rsidRPr="005B194D">
        <w:rPr>
          <w:smallCaps/>
          <w:highlight w:val="yellow"/>
          <w:u w:val="double"/>
        </w:rPr>
        <w:t>Dhand</w:t>
      </w:r>
      <w:proofErr w:type="spellEnd"/>
      <w:r w:rsidR="005B194D" w:rsidRPr="005B194D">
        <w:rPr>
          <w:smallCaps/>
          <w:highlight w:val="yellow"/>
          <w:u w:val="double"/>
        </w:rPr>
        <w:t xml:space="preserve"> N.K., Britton P.N., Broder C.C., Smith I. &amp; Eden J.-S.</w:t>
      </w:r>
      <w:r>
        <w:rPr>
          <w:smallCaps/>
          <w:u w:val="double"/>
          <w:lang w:val="en-IE"/>
        </w:rPr>
        <w:t xml:space="preserve"> (202</w:t>
      </w:r>
      <w:r w:rsidR="006773FA" w:rsidRPr="006773FA">
        <w:rPr>
          <w:smallCaps/>
          <w:highlight w:val="yellow"/>
          <w:u w:val="double"/>
          <w:lang w:val="en-IE"/>
        </w:rPr>
        <w:t>2</w:t>
      </w:r>
      <w:r>
        <w:rPr>
          <w:smallCaps/>
          <w:u w:val="double"/>
          <w:lang w:val="en-IE"/>
        </w:rPr>
        <w:t>)</w:t>
      </w:r>
      <w:r w:rsidR="008B0A97">
        <w:rPr>
          <w:smallCaps/>
          <w:u w:val="double"/>
          <w:lang w:val="en-IE"/>
        </w:rPr>
        <w:t>.</w:t>
      </w:r>
      <w:r>
        <w:rPr>
          <w:smallCaps/>
          <w:u w:val="double"/>
          <w:lang w:val="en-IE"/>
        </w:rPr>
        <w:t xml:space="preserve"> </w:t>
      </w:r>
      <w:r w:rsidRPr="008B0A97">
        <w:rPr>
          <w:u w:val="double"/>
          <w:lang w:val="en-IE"/>
        </w:rPr>
        <w:t xml:space="preserve">Novel Hendra </w:t>
      </w:r>
      <w:r w:rsidR="006773FA" w:rsidRPr="008B0A97">
        <w:rPr>
          <w:u w:val="double"/>
          <w:lang w:val="en-IE"/>
        </w:rPr>
        <w:t>Virus Variant Detected</w:t>
      </w:r>
      <w:r w:rsidRPr="008B0A97">
        <w:rPr>
          <w:u w:val="double"/>
          <w:lang w:val="en-IE"/>
        </w:rPr>
        <w:t xml:space="preserve"> by </w:t>
      </w:r>
      <w:r w:rsidR="006773FA" w:rsidRPr="008B0A97">
        <w:rPr>
          <w:u w:val="double"/>
          <w:lang w:val="en-IE"/>
        </w:rPr>
        <w:t xml:space="preserve">Sentinel Surveillance </w:t>
      </w:r>
      <w:r w:rsidRPr="008B0A97">
        <w:rPr>
          <w:u w:val="double"/>
          <w:lang w:val="en-IE"/>
        </w:rPr>
        <w:t xml:space="preserve">of </w:t>
      </w:r>
      <w:r w:rsidR="006773FA" w:rsidRPr="008B0A97">
        <w:rPr>
          <w:u w:val="double"/>
          <w:lang w:val="en-IE"/>
        </w:rPr>
        <w:t>Horses</w:t>
      </w:r>
      <w:r w:rsidR="006773FA">
        <w:rPr>
          <w:u w:val="double"/>
          <w:lang w:val="en-IE"/>
        </w:rPr>
        <w:t xml:space="preserve"> in</w:t>
      </w:r>
      <w:r w:rsidR="006773FA" w:rsidRPr="008B0A97">
        <w:rPr>
          <w:u w:val="double"/>
          <w:lang w:val="en-IE"/>
        </w:rPr>
        <w:t xml:space="preserve"> </w:t>
      </w:r>
      <w:r w:rsidRPr="008B0A97">
        <w:rPr>
          <w:u w:val="double"/>
          <w:lang w:val="en-IE"/>
        </w:rPr>
        <w:t>Australian</w:t>
      </w:r>
      <w:r>
        <w:rPr>
          <w:u w:val="double"/>
          <w:lang w:val="en-IE"/>
        </w:rPr>
        <w:t xml:space="preserve">. </w:t>
      </w:r>
      <w:proofErr w:type="spellStart"/>
      <w:r w:rsidR="006773FA" w:rsidRPr="00F8071F">
        <w:rPr>
          <w:i/>
          <w:iCs/>
          <w:highlight w:val="yellow"/>
          <w:u w:val="double"/>
          <w:lang w:val="en-IE"/>
        </w:rPr>
        <w:t>Emerg</w:t>
      </w:r>
      <w:proofErr w:type="spellEnd"/>
      <w:r w:rsidR="006773FA">
        <w:rPr>
          <w:i/>
          <w:iCs/>
          <w:highlight w:val="yellow"/>
          <w:u w:val="double"/>
          <w:lang w:val="en-IE"/>
        </w:rPr>
        <w:t>.</w:t>
      </w:r>
      <w:r w:rsidR="006773FA" w:rsidRPr="00F8071F">
        <w:rPr>
          <w:i/>
          <w:iCs/>
          <w:highlight w:val="yellow"/>
          <w:u w:val="double"/>
          <w:lang w:val="en-IE"/>
        </w:rPr>
        <w:t xml:space="preserve"> Infect</w:t>
      </w:r>
      <w:r w:rsidR="006773FA">
        <w:rPr>
          <w:i/>
          <w:iCs/>
          <w:highlight w:val="yellow"/>
          <w:u w:val="double"/>
          <w:lang w:val="en-IE"/>
        </w:rPr>
        <w:t>.</w:t>
      </w:r>
      <w:r w:rsidR="006773FA" w:rsidRPr="00F8071F">
        <w:rPr>
          <w:i/>
          <w:iCs/>
          <w:highlight w:val="yellow"/>
          <w:u w:val="double"/>
          <w:lang w:val="en-IE"/>
        </w:rPr>
        <w:t xml:space="preserve"> Dis.</w:t>
      </w:r>
      <w:r w:rsidR="006773FA">
        <w:rPr>
          <w:i/>
          <w:iCs/>
          <w:highlight w:val="yellow"/>
          <w:u w:val="double"/>
          <w:lang w:val="en-IE"/>
        </w:rPr>
        <w:t>,</w:t>
      </w:r>
      <w:r w:rsidR="006773FA">
        <w:rPr>
          <w:highlight w:val="yellow"/>
          <w:u w:val="double"/>
          <w:lang w:val="en-IE"/>
        </w:rPr>
        <w:t xml:space="preserve"> </w:t>
      </w:r>
      <w:r w:rsidR="006773FA" w:rsidRPr="006773FA">
        <w:rPr>
          <w:b/>
          <w:bCs/>
          <w:highlight w:val="yellow"/>
          <w:u w:val="double"/>
          <w:lang w:val="en-IE"/>
        </w:rPr>
        <w:t>28</w:t>
      </w:r>
      <w:r w:rsidR="006773FA" w:rsidRPr="00F8071F">
        <w:rPr>
          <w:i/>
          <w:iCs/>
          <w:highlight w:val="yellow"/>
          <w:u w:val="double"/>
          <w:lang w:val="en-IE"/>
        </w:rPr>
        <w:t xml:space="preserve"> </w:t>
      </w:r>
      <w:hyperlink r:id="rId8" w:history="1">
        <w:r w:rsidR="006773FA" w:rsidRPr="001536BF">
          <w:rPr>
            <w:rStyle w:val="Hyperlink"/>
            <w:highlight w:val="yellow"/>
            <w:lang w:val="en-IE"/>
          </w:rPr>
          <w:t>https://doi.org/10.3201/eid2803.211245</w:t>
        </w:r>
      </w:hyperlink>
    </w:p>
    <w:p w14:paraId="1B877322" w14:textId="7E0AF07C" w:rsidR="008155E9" w:rsidRPr="00686E9D" w:rsidRDefault="008155E9" w:rsidP="00843236">
      <w:pPr>
        <w:pStyle w:val="Ref"/>
        <w:rPr>
          <w:smallCaps/>
          <w:u w:val="double"/>
          <w:lang w:val="en-IE"/>
        </w:rPr>
      </w:pPr>
      <w:proofErr w:type="spellStart"/>
      <w:r w:rsidRPr="00686E9D">
        <w:rPr>
          <w:smallCaps/>
          <w:u w:val="double"/>
          <w:lang w:val="en-IE"/>
        </w:rPr>
        <w:t>Arunkumar</w:t>
      </w:r>
      <w:proofErr w:type="spellEnd"/>
      <w:r w:rsidRPr="00686E9D">
        <w:rPr>
          <w:smallCaps/>
          <w:u w:val="double"/>
          <w:lang w:val="en-IE"/>
        </w:rPr>
        <w:t xml:space="preserve"> G</w:t>
      </w:r>
      <w:r w:rsidR="00D91FBC" w:rsidRPr="00686E9D">
        <w:rPr>
          <w:smallCaps/>
          <w:u w:val="double"/>
          <w:lang w:val="en-IE"/>
        </w:rPr>
        <w:t>.</w:t>
      </w:r>
      <w:r w:rsidRPr="00686E9D">
        <w:rPr>
          <w:smallCaps/>
          <w:u w:val="double"/>
          <w:lang w:val="en-IE"/>
        </w:rPr>
        <w:t>, Chandni R</w:t>
      </w:r>
      <w:r w:rsidR="00D91FBC" w:rsidRPr="00686E9D">
        <w:rPr>
          <w:smallCaps/>
          <w:u w:val="double"/>
          <w:lang w:val="en-IE"/>
        </w:rPr>
        <w:t>.</w:t>
      </w:r>
      <w:r w:rsidRPr="00686E9D">
        <w:rPr>
          <w:smallCaps/>
          <w:u w:val="double"/>
          <w:lang w:val="en-IE"/>
        </w:rPr>
        <w:t xml:space="preserve">, </w:t>
      </w:r>
      <w:proofErr w:type="spellStart"/>
      <w:r w:rsidRPr="00686E9D">
        <w:rPr>
          <w:smallCaps/>
          <w:u w:val="double"/>
          <w:lang w:val="en-IE"/>
        </w:rPr>
        <w:t>Mourya</w:t>
      </w:r>
      <w:proofErr w:type="spellEnd"/>
      <w:r w:rsidRPr="00686E9D">
        <w:rPr>
          <w:smallCaps/>
          <w:u w:val="double"/>
          <w:lang w:val="en-IE"/>
        </w:rPr>
        <w:t xml:space="preserve"> D</w:t>
      </w:r>
      <w:r w:rsidR="00D91FBC" w:rsidRPr="00686E9D">
        <w:rPr>
          <w:smallCaps/>
          <w:u w:val="double"/>
          <w:lang w:val="en-IE"/>
        </w:rPr>
        <w:t>.</w:t>
      </w:r>
      <w:r w:rsidRPr="00686E9D">
        <w:rPr>
          <w:smallCaps/>
          <w:u w:val="double"/>
          <w:lang w:val="en-IE"/>
        </w:rPr>
        <w:t>T</w:t>
      </w:r>
      <w:r w:rsidR="00D91FBC" w:rsidRPr="00686E9D">
        <w:rPr>
          <w:smallCaps/>
          <w:u w:val="double"/>
          <w:lang w:val="en-IE"/>
        </w:rPr>
        <w:t>.</w:t>
      </w:r>
      <w:r w:rsidRPr="00686E9D">
        <w:rPr>
          <w:smallCaps/>
          <w:u w:val="double"/>
          <w:lang w:val="en-IE"/>
        </w:rPr>
        <w:t>, Singh S</w:t>
      </w:r>
      <w:r w:rsidR="00D91FBC" w:rsidRPr="00686E9D">
        <w:rPr>
          <w:smallCaps/>
          <w:u w:val="double"/>
          <w:lang w:val="en-IE"/>
        </w:rPr>
        <w:t>.</w:t>
      </w:r>
      <w:r w:rsidRPr="00686E9D">
        <w:rPr>
          <w:smallCaps/>
          <w:u w:val="double"/>
          <w:lang w:val="en-IE"/>
        </w:rPr>
        <w:t>K</w:t>
      </w:r>
      <w:r w:rsidR="00D91FBC" w:rsidRPr="00686E9D">
        <w:rPr>
          <w:smallCaps/>
          <w:u w:val="double"/>
          <w:lang w:val="en-IE"/>
        </w:rPr>
        <w:t>.</w:t>
      </w:r>
      <w:r w:rsidRPr="00686E9D">
        <w:rPr>
          <w:smallCaps/>
          <w:u w:val="double"/>
          <w:lang w:val="en-IE"/>
        </w:rPr>
        <w:t xml:space="preserve">, </w:t>
      </w:r>
      <w:proofErr w:type="spellStart"/>
      <w:r w:rsidRPr="00686E9D">
        <w:rPr>
          <w:smallCaps/>
          <w:u w:val="double"/>
          <w:lang w:val="en-IE"/>
        </w:rPr>
        <w:t>Sadanandan</w:t>
      </w:r>
      <w:proofErr w:type="spellEnd"/>
      <w:r w:rsidRPr="00686E9D">
        <w:rPr>
          <w:smallCaps/>
          <w:u w:val="double"/>
          <w:lang w:val="en-IE"/>
        </w:rPr>
        <w:t xml:space="preserve"> R</w:t>
      </w:r>
      <w:r w:rsidR="00D91FBC" w:rsidRPr="00686E9D">
        <w:rPr>
          <w:smallCaps/>
          <w:u w:val="double"/>
          <w:lang w:val="en-IE"/>
        </w:rPr>
        <w:t>.</w:t>
      </w:r>
      <w:r w:rsidRPr="00686E9D">
        <w:rPr>
          <w:smallCaps/>
          <w:u w:val="double"/>
          <w:lang w:val="en-IE"/>
        </w:rPr>
        <w:t>, Sudan P</w:t>
      </w:r>
      <w:r w:rsidR="00D91FBC" w:rsidRPr="00686E9D">
        <w:rPr>
          <w:smallCaps/>
          <w:u w:val="double"/>
          <w:lang w:val="en-IE"/>
        </w:rPr>
        <w:t>.</w:t>
      </w:r>
      <w:r w:rsidRPr="00686E9D">
        <w:rPr>
          <w:smallCaps/>
          <w:u w:val="double"/>
          <w:lang w:val="en-IE"/>
        </w:rPr>
        <w:t>, Bhargava B</w:t>
      </w:r>
      <w:r w:rsidR="00D91FBC" w:rsidRPr="00686E9D">
        <w:rPr>
          <w:smallCaps/>
          <w:u w:val="double"/>
          <w:lang w:val="en-IE"/>
        </w:rPr>
        <w:t>. &amp;</w:t>
      </w:r>
      <w:r w:rsidRPr="00686E9D">
        <w:rPr>
          <w:smallCaps/>
          <w:u w:val="double"/>
          <w:lang w:val="en-IE"/>
        </w:rPr>
        <w:t xml:space="preserve"> </w:t>
      </w:r>
      <w:proofErr w:type="spellStart"/>
      <w:r w:rsidRPr="00686E9D">
        <w:rPr>
          <w:smallCaps/>
          <w:u w:val="double"/>
          <w:lang w:val="en-IE"/>
        </w:rPr>
        <w:t>Nipah</w:t>
      </w:r>
      <w:proofErr w:type="spellEnd"/>
      <w:r w:rsidRPr="00686E9D">
        <w:rPr>
          <w:smallCaps/>
          <w:u w:val="double"/>
          <w:lang w:val="en-IE"/>
        </w:rPr>
        <w:t xml:space="preserve"> Investigators People and Health Study Group</w:t>
      </w:r>
      <w:r w:rsidRPr="00686E9D">
        <w:rPr>
          <w:u w:val="double"/>
          <w:lang w:val="en-IE"/>
        </w:rPr>
        <w:t xml:space="preserve"> (2019)</w:t>
      </w:r>
      <w:r w:rsidR="00D91FBC" w:rsidRPr="00686E9D">
        <w:rPr>
          <w:u w:val="double"/>
          <w:lang w:val="en-IE"/>
        </w:rPr>
        <w:t>.</w:t>
      </w:r>
      <w:r w:rsidRPr="00686E9D">
        <w:rPr>
          <w:u w:val="double"/>
          <w:lang w:val="en-IE"/>
        </w:rPr>
        <w:t xml:space="preserve"> Outbreak investigation of </w:t>
      </w:r>
      <w:proofErr w:type="spellStart"/>
      <w:r w:rsidRPr="00686E9D">
        <w:rPr>
          <w:u w:val="double"/>
          <w:lang w:val="en-IE"/>
        </w:rPr>
        <w:t>Nipah</w:t>
      </w:r>
      <w:proofErr w:type="spellEnd"/>
      <w:r w:rsidRPr="00686E9D">
        <w:rPr>
          <w:u w:val="double"/>
          <w:lang w:val="en-IE"/>
        </w:rPr>
        <w:t xml:space="preserve"> virus disease in Kerala, India, 2018</w:t>
      </w:r>
      <w:r w:rsidRPr="00686E9D">
        <w:rPr>
          <w:i/>
          <w:iCs/>
          <w:u w:val="double"/>
          <w:lang w:val="en-IE"/>
        </w:rPr>
        <w:t>. J</w:t>
      </w:r>
      <w:r w:rsidR="00D91FBC" w:rsidRPr="00686E9D">
        <w:rPr>
          <w:i/>
          <w:iCs/>
          <w:u w:val="double"/>
          <w:lang w:val="en-IE"/>
        </w:rPr>
        <w:t>.</w:t>
      </w:r>
      <w:r w:rsidRPr="00686E9D">
        <w:rPr>
          <w:i/>
          <w:iCs/>
          <w:u w:val="double"/>
          <w:lang w:val="en-IE"/>
        </w:rPr>
        <w:t xml:space="preserve"> Infect</w:t>
      </w:r>
      <w:r w:rsidR="00D91FBC" w:rsidRPr="00686E9D">
        <w:rPr>
          <w:i/>
          <w:iCs/>
          <w:u w:val="double"/>
          <w:lang w:val="en-IE"/>
        </w:rPr>
        <w:t>.</w:t>
      </w:r>
      <w:r w:rsidRPr="00686E9D">
        <w:rPr>
          <w:i/>
          <w:iCs/>
          <w:u w:val="double"/>
          <w:lang w:val="en-IE"/>
        </w:rPr>
        <w:t xml:space="preserve"> Dis</w:t>
      </w:r>
      <w:r w:rsidR="00D91FBC" w:rsidRPr="00686E9D">
        <w:rPr>
          <w:i/>
          <w:iCs/>
          <w:u w:val="double"/>
          <w:lang w:val="en-IE"/>
        </w:rPr>
        <w:t>.,</w:t>
      </w:r>
      <w:r w:rsidRPr="00686E9D">
        <w:rPr>
          <w:smallCaps/>
          <w:u w:val="double"/>
          <w:lang w:val="en-IE"/>
        </w:rPr>
        <w:t xml:space="preserve"> </w:t>
      </w:r>
      <w:r w:rsidRPr="00686E9D">
        <w:rPr>
          <w:b/>
          <w:bCs/>
          <w:smallCaps/>
          <w:u w:val="double"/>
          <w:lang w:val="en-IE"/>
        </w:rPr>
        <w:t>219</w:t>
      </w:r>
      <w:r w:rsidR="00D91FBC" w:rsidRPr="00686E9D">
        <w:rPr>
          <w:smallCaps/>
          <w:u w:val="double"/>
          <w:lang w:val="en-IE"/>
        </w:rPr>
        <w:t xml:space="preserve">, </w:t>
      </w:r>
      <w:r w:rsidRPr="00686E9D">
        <w:rPr>
          <w:smallCaps/>
          <w:u w:val="double"/>
          <w:lang w:val="en-IE"/>
        </w:rPr>
        <w:t>1867−1878</w:t>
      </w:r>
      <w:r w:rsidRPr="00686E9D">
        <w:rPr>
          <w:u w:val="double"/>
          <w:lang w:val="en-IE"/>
        </w:rPr>
        <w:t>. doi:10.1093/</w:t>
      </w:r>
      <w:proofErr w:type="spellStart"/>
      <w:r w:rsidRPr="00686E9D">
        <w:rPr>
          <w:u w:val="double"/>
          <w:lang w:val="en-IE"/>
        </w:rPr>
        <w:t>infdis</w:t>
      </w:r>
      <w:proofErr w:type="spellEnd"/>
      <w:r w:rsidRPr="00686E9D">
        <w:rPr>
          <w:u w:val="double"/>
          <w:lang w:val="en-IE"/>
        </w:rPr>
        <w:t>/jiy612</w:t>
      </w:r>
      <w:r w:rsidRPr="00686E9D">
        <w:rPr>
          <w:smallCaps/>
          <w:u w:val="double"/>
          <w:lang w:val="en-IE"/>
        </w:rPr>
        <w:t>.</w:t>
      </w:r>
    </w:p>
    <w:p w14:paraId="61CC9BC8" w14:textId="5ED13913" w:rsidR="00682ECF" w:rsidRPr="00686E9D" w:rsidRDefault="00964ED2" w:rsidP="00843236">
      <w:pPr>
        <w:pStyle w:val="Ref"/>
        <w:rPr>
          <w:lang w:val="en-IE"/>
        </w:rPr>
      </w:pPr>
      <w:proofErr w:type="spellStart"/>
      <w:r w:rsidRPr="00686E9D">
        <w:rPr>
          <w:smallCaps/>
          <w:lang w:val="en-IE"/>
        </w:rPr>
        <w:t>Bossart</w:t>
      </w:r>
      <w:proofErr w:type="spellEnd"/>
      <w:r w:rsidRPr="00686E9D">
        <w:rPr>
          <w:smallCaps/>
          <w:lang w:val="en-IE"/>
        </w:rPr>
        <w:t xml:space="preserve"> K.N., </w:t>
      </w:r>
      <w:proofErr w:type="spellStart"/>
      <w:r w:rsidRPr="00686E9D">
        <w:rPr>
          <w:smallCaps/>
          <w:lang w:val="en-IE"/>
        </w:rPr>
        <w:t>Crameri</w:t>
      </w:r>
      <w:proofErr w:type="spellEnd"/>
      <w:r w:rsidRPr="00686E9D">
        <w:rPr>
          <w:smallCaps/>
          <w:lang w:val="en-IE"/>
        </w:rPr>
        <w:t xml:space="preserve"> G., Dimitrov A.S., </w:t>
      </w:r>
      <w:proofErr w:type="spellStart"/>
      <w:r w:rsidRPr="00686E9D">
        <w:rPr>
          <w:smallCaps/>
          <w:lang w:val="en-IE"/>
        </w:rPr>
        <w:t>Mungall</w:t>
      </w:r>
      <w:proofErr w:type="spellEnd"/>
      <w:r w:rsidRPr="00686E9D">
        <w:rPr>
          <w:smallCaps/>
          <w:lang w:val="en-IE"/>
        </w:rPr>
        <w:t xml:space="preserve"> B.A., Feng Y.R., Patch J.R., Choudhary A., Wang L.F., Eaton B.T. &amp; Broder C.C.</w:t>
      </w:r>
      <w:r w:rsidRPr="00686E9D">
        <w:rPr>
          <w:lang w:val="en-IE"/>
        </w:rPr>
        <w:t xml:space="preserve"> (2005). Receptor binding, fusion inhibition, and induction of cross-reactive neutralizing antibodies by a soluble G glycoprotein of Hendra virus. </w:t>
      </w:r>
      <w:r w:rsidRPr="00686E9D">
        <w:rPr>
          <w:i/>
          <w:lang w:val="en-IE"/>
        </w:rPr>
        <w:t xml:space="preserve">J. </w:t>
      </w:r>
      <w:proofErr w:type="spellStart"/>
      <w:r w:rsidRPr="00686E9D">
        <w:rPr>
          <w:i/>
          <w:lang w:val="en-IE"/>
        </w:rPr>
        <w:t>Virol</w:t>
      </w:r>
      <w:proofErr w:type="spellEnd"/>
      <w:r w:rsidRPr="00686E9D">
        <w:rPr>
          <w:lang w:val="en-IE"/>
        </w:rPr>
        <w:t xml:space="preserve">., </w:t>
      </w:r>
      <w:r w:rsidRPr="00686E9D">
        <w:rPr>
          <w:b/>
          <w:lang w:val="en-IE"/>
        </w:rPr>
        <w:t>79</w:t>
      </w:r>
      <w:r w:rsidRPr="00686E9D">
        <w:rPr>
          <w:lang w:val="en-IE"/>
        </w:rPr>
        <w:t>, 6690–6702.</w:t>
      </w:r>
    </w:p>
    <w:p w14:paraId="01812BEA" w14:textId="14B623B0" w:rsidR="00682ECF" w:rsidRPr="00686E9D" w:rsidRDefault="00964ED2" w:rsidP="00843236">
      <w:pPr>
        <w:pStyle w:val="Ref"/>
        <w:rPr>
          <w:smallCaps/>
          <w:strike/>
          <w:lang w:val="en-IE"/>
        </w:rPr>
      </w:pPr>
      <w:proofErr w:type="spellStart"/>
      <w:r w:rsidRPr="00686E9D">
        <w:rPr>
          <w:smallCaps/>
          <w:strike/>
          <w:lang w:val="en-IE" w:eastAsia="en-US"/>
        </w:rPr>
        <w:t>Bossart</w:t>
      </w:r>
      <w:proofErr w:type="spellEnd"/>
      <w:r w:rsidRPr="00686E9D">
        <w:rPr>
          <w:smallCaps/>
          <w:strike/>
          <w:lang w:val="en-IE" w:eastAsia="en-US"/>
        </w:rPr>
        <w:t xml:space="preserve"> K.N., McEachern J.A., Hickey A.C., Choudhry V., Dimitrov D.S., Eaton B.T. &amp; Wang L.F.</w:t>
      </w:r>
      <w:r w:rsidRPr="00686E9D">
        <w:rPr>
          <w:strike/>
          <w:lang w:val="en-IE" w:eastAsia="en-US"/>
        </w:rPr>
        <w:t xml:space="preserve"> (2007). Neutralization assays for differential </w:t>
      </w:r>
      <w:proofErr w:type="spellStart"/>
      <w:r w:rsidRPr="00686E9D">
        <w:rPr>
          <w:strike/>
          <w:lang w:val="en-IE" w:eastAsia="en-US"/>
        </w:rPr>
        <w:t>henipavirus</w:t>
      </w:r>
      <w:proofErr w:type="spellEnd"/>
      <w:r w:rsidRPr="00686E9D">
        <w:rPr>
          <w:strike/>
          <w:lang w:val="en-IE" w:eastAsia="en-US"/>
        </w:rPr>
        <w:t xml:space="preserve"> serology using Bio-Plex protein array systems. </w:t>
      </w:r>
      <w:r w:rsidRPr="00686E9D">
        <w:rPr>
          <w:i/>
          <w:iCs/>
          <w:strike/>
          <w:lang w:val="en-IE" w:eastAsia="en-US"/>
        </w:rPr>
        <w:t xml:space="preserve">J. </w:t>
      </w:r>
      <w:proofErr w:type="spellStart"/>
      <w:r w:rsidRPr="00686E9D">
        <w:rPr>
          <w:i/>
          <w:iCs/>
          <w:strike/>
          <w:lang w:val="en-IE" w:eastAsia="en-US"/>
        </w:rPr>
        <w:t>Virol</w:t>
      </w:r>
      <w:proofErr w:type="spellEnd"/>
      <w:r w:rsidRPr="00686E9D">
        <w:rPr>
          <w:i/>
          <w:iCs/>
          <w:strike/>
          <w:lang w:val="en-IE" w:eastAsia="en-US"/>
        </w:rPr>
        <w:t>. Methods</w:t>
      </w:r>
      <w:r w:rsidRPr="00686E9D">
        <w:rPr>
          <w:strike/>
          <w:lang w:val="en-IE" w:eastAsia="en-US"/>
        </w:rPr>
        <w:t xml:space="preserve">, </w:t>
      </w:r>
      <w:r w:rsidRPr="00686E9D">
        <w:rPr>
          <w:b/>
          <w:bCs/>
          <w:strike/>
          <w:lang w:val="en-IE" w:eastAsia="en-US"/>
        </w:rPr>
        <w:t>142</w:t>
      </w:r>
      <w:r w:rsidRPr="00686E9D">
        <w:rPr>
          <w:strike/>
          <w:lang w:val="en-IE" w:eastAsia="en-US"/>
        </w:rPr>
        <w:t>, 29–40.</w:t>
      </w:r>
    </w:p>
    <w:p w14:paraId="537E64D5" w14:textId="5E76EA93" w:rsidR="00682ECF" w:rsidRPr="00686E9D" w:rsidRDefault="00964ED2" w:rsidP="00843236">
      <w:pPr>
        <w:pStyle w:val="Ref"/>
        <w:rPr>
          <w:strike/>
          <w:lang w:val="en-IE"/>
        </w:rPr>
      </w:pPr>
      <w:proofErr w:type="spellStart"/>
      <w:r w:rsidRPr="00686E9D">
        <w:rPr>
          <w:smallCaps/>
          <w:strike/>
          <w:lang w:val="en-IE"/>
        </w:rPr>
        <w:t>Bossart</w:t>
      </w:r>
      <w:proofErr w:type="spellEnd"/>
      <w:r w:rsidRPr="00686E9D">
        <w:rPr>
          <w:smallCaps/>
          <w:strike/>
          <w:lang w:val="en-IE"/>
        </w:rPr>
        <w:t xml:space="preserve"> K.N., </w:t>
      </w:r>
      <w:proofErr w:type="spellStart"/>
      <w:r w:rsidRPr="00686E9D">
        <w:rPr>
          <w:smallCaps/>
          <w:strike/>
          <w:lang w:val="en-IE"/>
        </w:rPr>
        <w:t>Rockx</w:t>
      </w:r>
      <w:proofErr w:type="spellEnd"/>
      <w:r w:rsidRPr="00686E9D">
        <w:rPr>
          <w:smallCaps/>
          <w:strike/>
          <w:lang w:val="en-IE"/>
        </w:rPr>
        <w:t xml:space="preserve"> B., Feldmann F., Brining D., Scott D., LaCasse R., </w:t>
      </w:r>
      <w:proofErr w:type="spellStart"/>
      <w:r w:rsidRPr="00686E9D">
        <w:rPr>
          <w:smallCaps/>
          <w:strike/>
          <w:lang w:val="en-IE"/>
        </w:rPr>
        <w:t>Geisbert</w:t>
      </w:r>
      <w:proofErr w:type="spellEnd"/>
      <w:r w:rsidRPr="00686E9D">
        <w:rPr>
          <w:smallCaps/>
          <w:strike/>
          <w:lang w:val="en-IE"/>
        </w:rPr>
        <w:t xml:space="preserve"> J.B., Feng Y.R., Chan Y.P., Hickey A.C., Broder C.C., Feldmann H. &amp; </w:t>
      </w:r>
      <w:proofErr w:type="spellStart"/>
      <w:r w:rsidRPr="00686E9D">
        <w:rPr>
          <w:smallCaps/>
          <w:strike/>
          <w:lang w:val="en-IE"/>
        </w:rPr>
        <w:t>Geisbert</w:t>
      </w:r>
      <w:proofErr w:type="spellEnd"/>
      <w:r w:rsidRPr="00686E9D">
        <w:rPr>
          <w:smallCaps/>
          <w:strike/>
          <w:lang w:val="en-IE"/>
        </w:rPr>
        <w:t xml:space="preserve"> T.W.</w:t>
      </w:r>
      <w:r w:rsidRPr="00686E9D">
        <w:rPr>
          <w:strike/>
          <w:lang w:val="en-IE"/>
        </w:rPr>
        <w:t xml:space="preserve"> (2012). A Hendra virus G glycoprotein subunit vaccine protects African green monkeys from </w:t>
      </w:r>
      <w:proofErr w:type="spellStart"/>
      <w:r w:rsidRPr="00686E9D">
        <w:rPr>
          <w:strike/>
          <w:lang w:val="en-IE"/>
        </w:rPr>
        <w:t>Nipah</w:t>
      </w:r>
      <w:proofErr w:type="spellEnd"/>
      <w:r w:rsidRPr="00686E9D">
        <w:rPr>
          <w:strike/>
          <w:lang w:val="en-IE"/>
        </w:rPr>
        <w:t xml:space="preserve"> virus challenge. </w:t>
      </w:r>
      <w:r w:rsidRPr="00686E9D">
        <w:rPr>
          <w:i/>
          <w:strike/>
          <w:lang w:val="en-IE"/>
        </w:rPr>
        <w:t>Sci. Transl. Med</w:t>
      </w:r>
      <w:r w:rsidRPr="00686E9D">
        <w:rPr>
          <w:strike/>
          <w:lang w:val="en-IE"/>
        </w:rPr>
        <w:t xml:space="preserve">., </w:t>
      </w:r>
      <w:r w:rsidRPr="00686E9D">
        <w:rPr>
          <w:b/>
          <w:strike/>
          <w:lang w:val="en-IE"/>
        </w:rPr>
        <w:t>4</w:t>
      </w:r>
      <w:r w:rsidRPr="00686E9D">
        <w:rPr>
          <w:strike/>
          <w:lang w:val="en-IE"/>
        </w:rPr>
        <w:t xml:space="preserve"> (146).</w:t>
      </w:r>
    </w:p>
    <w:p w14:paraId="32EF1B65" w14:textId="33B102EA" w:rsidR="000250D7" w:rsidRPr="00686E9D" w:rsidRDefault="000250D7" w:rsidP="00843236">
      <w:pPr>
        <w:pStyle w:val="Ref"/>
        <w:rPr>
          <w:lang w:val="en-IE"/>
        </w:rPr>
      </w:pPr>
      <w:r w:rsidRPr="00686E9D">
        <w:rPr>
          <w:smallCaps/>
          <w:lang w:val="en-IE"/>
        </w:rPr>
        <w:t xml:space="preserve">Ching P.K.G., de los Reyes V.C., </w:t>
      </w:r>
      <w:proofErr w:type="spellStart"/>
      <w:r w:rsidRPr="00686E9D">
        <w:rPr>
          <w:smallCaps/>
          <w:lang w:val="en-IE"/>
        </w:rPr>
        <w:t>Sucaldito</w:t>
      </w:r>
      <w:proofErr w:type="spellEnd"/>
      <w:r w:rsidRPr="00686E9D">
        <w:rPr>
          <w:smallCaps/>
          <w:lang w:val="en-IE"/>
        </w:rPr>
        <w:t xml:space="preserve"> M.N., </w:t>
      </w:r>
      <w:proofErr w:type="spellStart"/>
      <w:r w:rsidRPr="00686E9D">
        <w:rPr>
          <w:smallCaps/>
          <w:lang w:val="en-IE"/>
        </w:rPr>
        <w:t>Tayag</w:t>
      </w:r>
      <w:proofErr w:type="spellEnd"/>
      <w:r w:rsidRPr="00686E9D">
        <w:rPr>
          <w:smallCaps/>
          <w:lang w:val="en-IE"/>
        </w:rPr>
        <w:t xml:space="preserve"> E., </w:t>
      </w:r>
      <w:proofErr w:type="spellStart"/>
      <w:r w:rsidRPr="00686E9D">
        <w:rPr>
          <w:smallCaps/>
          <w:lang w:val="en-IE"/>
        </w:rPr>
        <w:t>Columna-Vingno</w:t>
      </w:r>
      <w:proofErr w:type="spellEnd"/>
      <w:r w:rsidRPr="00686E9D">
        <w:rPr>
          <w:smallCaps/>
          <w:lang w:val="en-IE"/>
        </w:rPr>
        <w:t xml:space="preserve"> A.B., </w:t>
      </w:r>
      <w:proofErr w:type="spellStart"/>
      <w:r w:rsidRPr="00686E9D">
        <w:rPr>
          <w:smallCaps/>
          <w:lang w:val="en-IE"/>
        </w:rPr>
        <w:t>Malbas</w:t>
      </w:r>
      <w:proofErr w:type="spellEnd"/>
      <w:r w:rsidRPr="00686E9D">
        <w:rPr>
          <w:smallCaps/>
          <w:lang w:val="en-IE"/>
        </w:rPr>
        <w:t xml:space="preserve"> F.F., Bolo G.C., </w:t>
      </w:r>
      <w:proofErr w:type="spellStart"/>
      <w:r w:rsidRPr="00686E9D">
        <w:rPr>
          <w:smallCaps/>
          <w:lang w:val="en-IE"/>
        </w:rPr>
        <w:t>Sejvar</w:t>
      </w:r>
      <w:proofErr w:type="spellEnd"/>
      <w:r w:rsidRPr="00686E9D">
        <w:rPr>
          <w:smallCaps/>
          <w:lang w:val="en-IE"/>
        </w:rPr>
        <w:t xml:space="preserve"> J.J., Eagles D., Playford G., </w:t>
      </w:r>
      <w:proofErr w:type="spellStart"/>
      <w:r w:rsidRPr="00686E9D">
        <w:rPr>
          <w:smallCaps/>
          <w:lang w:val="en-IE"/>
        </w:rPr>
        <w:t>Dueger</w:t>
      </w:r>
      <w:proofErr w:type="spellEnd"/>
      <w:r w:rsidRPr="00686E9D">
        <w:rPr>
          <w:smallCaps/>
          <w:lang w:val="en-IE"/>
        </w:rPr>
        <w:t xml:space="preserve"> E., Kaku Y., Morikawa S., Kuroda M., Marsh G.A., McCullough S. &amp; </w:t>
      </w:r>
      <w:proofErr w:type="spellStart"/>
      <w:r w:rsidRPr="00686E9D">
        <w:rPr>
          <w:smallCaps/>
          <w:lang w:val="en-IE"/>
        </w:rPr>
        <w:t>Foxwell</w:t>
      </w:r>
      <w:proofErr w:type="spellEnd"/>
      <w:r w:rsidRPr="00686E9D">
        <w:rPr>
          <w:smallCaps/>
          <w:lang w:val="en-IE"/>
        </w:rPr>
        <w:t xml:space="preserve"> R. (2015). </w:t>
      </w:r>
      <w:r w:rsidRPr="00686E9D">
        <w:rPr>
          <w:lang w:val="en-IE"/>
        </w:rPr>
        <w:t xml:space="preserve">Outbreak of </w:t>
      </w:r>
      <w:proofErr w:type="spellStart"/>
      <w:r w:rsidRPr="00686E9D">
        <w:rPr>
          <w:lang w:val="en-IE"/>
        </w:rPr>
        <w:t>henipavirus</w:t>
      </w:r>
      <w:proofErr w:type="spellEnd"/>
      <w:r w:rsidRPr="00686E9D">
        <w:rPr>
          <w:lang w:val="en-IE"/>
        </w:rPr>
        <w:t xml:space="preserve"> infection, Philippines, 2014. </w:t>
      </w:r>
      <w:proofErr w:type="spellStart"/>
      <w:r w:rsidRPr="00686E9D">
        <w:rPr>
          <w:i/>
          <w:lang w:val="en-IE"/>
        </w:rPr>
        <w:t>Emerg</w:t>
      </w:r>
      <w:proofErr w:type="spellEnd"/>
      <w:r w:rsidRPr="00686E9D">
        <w:rPr>
          <w:i/>
          <w:lang w:val="en-IE"/>
        </w:rPr>
        <w:t>. Infect. Dis</w:t>
      </w:r>
      <w:r w:rsidR="00CF1F76" w:rsidRPr="00686E9D">
        <w:rPr>
          <w:lang w:val="en-IE"/>
        </w:rPr>
        <w:t>.,</w:t>
      </w:r>
      <w:r w:rsidRPr="00686E9D">
        <w:rPr>
          <w:lang w:val="en-IE"/>
        </w:rPr>
        <w:t xml:space="preserve"> </w:t>
      </w:r>
      <w:r w:rsidRPr="00686E9D">
        <w:rPr>
          <w:b/>
          <w:lang w:val="en-IE"/>
        </w:rPr>
        <w:t>21</w:t>
      </w:r>
      <w:r w:rsidRPr="00686E9D">
        <w:rPr>
          <w:lang w:val="en-IE"/>
        </w:rPr>
        <w:t>, 328</w:t>
      </w:r>
      <w:r w:rsidR="00CF1F76" w:rsidRPr="00686E9D">
        <w:rPr>
          <w:lang w:val="en-IE"/>
        </w:rPr>
        <w:t>–</w:t>
      </w:r>
      <w:r w:rsidRPr="00686E9D">
        <w:rPr>
          <w:lang w:val="en-IE"/>
        </w:rPr>
        <w:t>331.</w:t>
      </w:r>
    </w:p>
    <w:p w14:paraId="19FAB2BB" w14:textId="77777777" w:rsidR="00682ECF" w:rsidRPr="00686E9D" w:rsidRDefault="00964ED2" w:rsidP="00843236">
      <w:pPr>
        <w:pStyle w:val="Ref"/>
        <w:rPr>
          <w:lang w:val="en-IE"/>
        </w:rPr>
      </w:pPr>
      <w:r w:rsidRPr="00686E9D">
        <w:rPr>
          <w:smallCaps/>
          <w:lang w:val="en-IE"/>
        </w:rPr>
        <w:t xml:space="preserve">Chua K.B., Bellini W.J., Rota P.A., Harcourt B.H., </w:t>
      </w:r>
      <w:proofErr w:type="spellStart"/>
      <w:r w:rsidRPr="00686E9D">
        <w:rPr>
          <w:smallCaps/>
          <w:lang w:val="en-IE"/>
        </w:rPr>
        <w:t>Tamin</w:t>
      </w:r>
      <w:proofErr w:type="spellEnd"/>
      <w:r w:rsidRPr="00686E9D">
        <w:rPr>
          <w:smallCaps/>
          <w:lang w:val="en-IE"/>
        </w:rPr>
        <w:t xml:space="preserve"> A., Lam S.K., </w:t>
      </w:r>
      <w:proofErr w:type="spellStart"/>
      <w:r w:rsidRPr="00686E9D">
        <w:rPr>
          <w:smallCaps/>
          <w:lang w:val="en-IE"/>
        </w:rPr>
        <w:t>Ksiazek</w:t>
      </w:r>
      <w:proofErr w:type="spellEnd"/>
      <w:r w:rsidRPr="00686E9D">
        <w:rPr>
          <w:smallCaps/>
          <w:lang w:val="en-IE"/>
        </w:rPr>
        <w:t xml:space="preserve"> T.G., Rollin P.E., </w:t>
      </w:r>
      <w:proofErr w:type="spellStart"/>
      <w:r w:rsidRPr="00686E9D">
        <w:rPr>
          <w:smallCaps/>
          <w:lang w:val="en-IE"/>
        </w:rPr>
        <w:t>Zaki</w:t>
      </w:r>
      <w:proofErr w:type="spellEnd"/>
      <w:r w:rsidRPr="00686E9D">
        <w:rPr>
          <w:smallCaps/>
          <w:lang w:val="en-IE"/>
        </w:rPr>
        <w:t xml:space="preserve"> S.R., Shieh W.J., Goldsmith C.S., </w:t>
      </w:r>
      <w:proofErr w:type="spellStart"/>
      <w:r w:rsidRPr="00686E9D">
        <w:rPr>
          <w:smallCaps/>
          <w:lang w:val="en-IE"/>
        </w:rPr>
        <w:t>Gubler</w:t>
      </w:r>
      <w:proofErr w:type="spellEnd"/>
      <w:r w:rsidRPr="00686E9D">
        <w:rPr>
          <w:smallCaps/>
          <w:lang w:val="en-IE"/>
        </w:rPr>
        <w:t xml:space="preserve"> D.J., </w:t>
      </w:r>
      <w:proofErr w:type="spellStart"/>
      <w:r w:rsidRPr="00686E9D">
        <w:rPr>
          <w:smallCaps/>
          <w:lang w:val="en-IE"/>
        </w:rPr>
        <w:t>Roehrig</w:t>
      </w:r>
      <w:proofErr w:type="spellEnd"/>
      <w:r w:rsidRPr="00686E9D">
        <w:rPr>
          <w:smallCaps/>
          <w:lang w:val="en-IE"/>
        </w:rPr>
        <w:t xml:space="preserve"> J.T., Eaton B., Gould A.R., Olson J., Field H., Daniels P., Ling A.E., Peters C.J., Anderson L.J. &amp; </w:t>
      </w:r>
      <w:proofErr w:type="spellStart"/>
      <w:r w:rsidRPr="00686E9D">
        <w:rPr>
          <w:smallCaps/>
          <w:lang w:val="en-IE"/>
        </w:rPr>
        <w:t>Mahy</w:t>
      </w:r>
      <w:proofErr w:type="spellEnd"/>
      <w:r w:rsidRPr="00686E9D">
        <w:rPr>
          <w:smallCaps/>
          <w:lang w:val="en-IE"/>
        </w:rPr>
        <w:t xml:space="preserve"> B.W.J.</w:t>
      </w:r>
      <w:r w:rsidRPr="00686E9D">
        <w:rPr>
          <w:lang w:val="en-IE"/>
        </w:rPr>
        <w:t xml:space="preserve"> (2000). </w:t>
      </w:r>
      <w:proofErr w:type="spellStart"/>
      <w:r w:rsidRPr="00686E9D">
        <w:rPr>
          <w:lang w:val="en-IE"/>
        </w:rPr>
        <w:t>Nipah</w:t>
      </w:r>
      <w:proofErr w:type="spellEnd"/>
      <w:r w:rsidRPr="00686E9D">
        <w:rPr>
          <w:lang w:val="en-IE"/>
        </w:rPr>
        <w:t xml:space="preserve"> virus: A recently emergent deadly paramyxovirus. </w:t>
      </w:r>
      <w:r w:rsidRPr="00686E9D">
        <w:rPr>
          <w:i/>
          <w:iCs/>
          <w:lang w:val="en-IE"/>
        </w:rPr>
        <w:t>Science,</w:t>
      </w:r>
      <w:r w:rsidRPr="00686E9D">
        <w:rPr>
          <w:lang w:val="en-IE"/>
        </w:rPr>
        <w:t xml:space="preserve"> </w:t>
      </w:r>
      <w:r w:rsidRPr="00686E9D">
        <w:rPr>
          <w:b/>
          <w:lang w:val="en-IE"/>
        </w:rPr>
        <w:t>288</w:t>
      </w:r>
      <w:r w:rsidRPr="00686E9D">
        <w:rPr>
          <w:lang w:val="en-IE"/>
        </w:rPr>
        <w:t>, 1432–1435.</w:t>
      </w:r>
    </w:p>
    <w:p w14:paraId="41A77CE3" w14:textId="1DD1B32F" w:rsidR="00682ECF" w:rsidRPr="00686E9D" w:rsidRDefault="00964ED2" w:rsidP="00843236">
      <w:pPr>
        <w:pStyle w:val="Ref"/>
        <w:rPr>
          <w:u w:val="double"/>
          <w:lang w:val="en-IE"/>
        </w:rPr>
      </w:pPr>
      <w:r w:rsidRPr="00686E9D">
        <w:rPr>
          <w:smallCaps/>
          <w:lang w:val="en-IE"/>
        </w:rPr>
        <w:t xml:space="preserve">Chua K.B., Koh C.L., </w:t>
      </w:r>
      <w:proofErr w:type="spellStart"/>
      <w:r w:rsidRPr="00686E9D">
        <w:rPr>
          <w:smallCaps/>
          <w:lang w:val="en-IE"/>
        </w:rPr>
        <w:t>Hooi</w:t>
      </w:r>
      <w:proofErr w:type="spellEnd"/>
      <w:r w:rsidRPr="00686E9D">
        <w:rPr>
          <w:smallCaps/>
          <w:lang w:val="en-IE"/>
        </w:rPr>
        <w:t xml:space="preserve"> P.S., Kong, F.W., Khong J.H., Chua B.H., Chan Y.P, Lim M.E. &amp; Lam S.K.</w:t>
      </w:r>
      <w:r w:rsidRPr="00686E9D">
        <w:rPr>
          <w:lang w:val="en-IE"/>
        </w:rPr>
        <w:t xml:space="preserve"> (2002). Isolation of </w:t>
      </w:r>
      <w:proofErr w:type="spellStart"/>
      <w:r w:rsidRPr="00686E9D">
        <w:rPr>
          <w:lang w:val="en-IE"/>
        </w:rPr>
        <w:t>Nipah</w:t>
      </w:r>
      <w:proofErr w:type="spellEnd"/>
      <w:r w:rsidRPr="00686E9D">
        <w:rPr>
          <w:lang w:val="en-IE"/>
        </w:rPr>
        <w:t xml:space="preserve"> virus from Malaysian Island flying foxes. </w:t>
      </w:r>
      <w:r w:rsidRPr="00686E9D">
        <w:rPr>
          <w:i/>
          <w:lang w:val="en-IE"/>
        </w:rPr>
        <w:t>Microbes and Infection</w:t>
      </w:r>
      <w:r w:rsidRPr="00686E9D">
        <w:rPr>
          <w:lang w:val="en-IE"/>
        </w:rPr>
        <w:t xml:space="preserve">, </w:t>
      </w:r>
      <w:r w:rsidRPr="00686E9D">
        <w:rPr>
          <w:b/>
          <w:lang w:val="en-IE"/>
        </w:rPr>
        <w:t>4</w:t>
      </w:r>
      <w:r w:rsidRPr="00686E9D">
        <w:rPr>
          <w:lang w:val="en-IE"/>
        </w:rPr>
        <w:t>, 145–151.</w:t>
      </w:r>
    </w:p>
    <w:p w14:paraId="10D3CBFF" w14:textId="63A0D84D" w:rsidR="00261C2B" w:rsidRDefault="00261C2B" w:rsidP="00843236">
      <w:pPr>
        <w:pStyle w:val="Ref"/>
        <w:rPr>
          <w:u w:val="double"/>
          <w:lang w:val="en-IE"/>
        </w:rPr>
      </w:pPr>
      <w:r w:rsidRPr="00686E9D">
        <w:rPr>
          <w:smallCaps/>
          <w:u w:val="double"/>
          <w:lang w:val="en-IE"/>
        </w:rPr>
        <w:t xml:space="preserve">Colling A., Lunt R., </w:t>
      </w:r>
      <w:proofErr w:type="spellStart"/>
      <w:r w:rsidRPr="00686E9D">
        <w:rPr>
          <w:smallCaps/>
          <w:u w:val="double"/>
          <w:lang w:val="en-IE"/>
        </w:rPr>
        <w:t>Bergfeld</w:t>
      </w:r>
      <w:proofErr w:type="spellEnd"/>
      <w:r w:rsidRPr="00686E9D">
        <w:rPr>
          <w:smallCaps/>
          <w:u w:val="double"/>
          <w:lang w:val="en-IE"/>
        </w:rPr>
        <w:t xml:space="preserve"> J., McNabb L., Halpin K., </w:t>
      </w:r>
      <w:proofErr w:type="spellStart"/>
      <w:r w:rsidRPr="00686E9D">
        <w:rPr>
          <w:smallCaps/>
          <w:u w:val="double"/>
          <w:lang w:val="en-IE"/>
        </w:rPr>
        <w:t>Juzva</w:t>
      </w:r>
      <w:proofErr w:type="spellEnd"/>
      <w:r w:rsidRPr="00686E9D">
        <w:rPr>
          <w:smallCaps/>
          <w:u w:val="double"/>
          <w:lang w:val="en-IE"/>
        </w:rPr>
        <w:t xml:space="preserve"> S., Newberry K., </w:t>
      </w:r>
      <w:proofErr w:type="spellStart"/>
      <w:r w:rsidRPr="00686E9D">
        <w:rPr>
          <w:smallCaps/>
          <w:u w:val="double"/>
          <w:lang w:val="en-IE"/>
        </w:rPr>
        <w:t>Morrissy</w:t>
      </w:r>
      <w:proofErr w:type="spellEnd"/>
      <w:r w:rsidRPr="00686E9D">
        <w:rPr>
          <w:smallCaps/>
          <w:u w:val="double"/>
          <w:lang w:val="en-IE"/>
        </w:rPr>
        <w:t xml:space="preserve"> C., </w:t>
      </w:r>
      <w:proofErr w:type="spellStart"/>
      <w:r w:rsidRPr="00686E9D">
        <w:rPr>
          <w:smallCaps/>
          <w:u w:val="double"/>
          <w:lang w:val="en-IE"/>
        </w:rPr>
        <w:t>Loomes</w:t>
      </w:r>
      <w:proofErr w:type="spellEnd"/>
      <w:r w:rsidRPr="00686E9D">
        <w:rPr>
          <w:smallCaps/>
          <w:u w:val="double"/>
          <w:lang w:val="en-IE"/>
        </w:rPr>
        <w:t xml:space="preserve"> C., Warner S., Diallo I., Kirkland P., Broder C.C., </w:t>
      </w:r>
      <w:proofErr w:type="spellStart"/>
      <w:r w:rsidRPr="00686E9D">
        <w:rPr>
          <w:smallCaps/>
          <w:u w:val="double"/>
          <w:lang w:val="en-IE"/>
        </w:rPr>
        <w:t>Carlile</w:t>
      </w:r>
      <w:proofErr w:type="spellEnd"/>
      <w:r w:rsidRPr="00686E9D">
        <w:rPr>
          <w:smallCaps/>
          <w:u w:val="double"/>
          <w:lang w:val="en-IE"/>
        </w:rPr>
        <w:t xml:space="preserve"> G., </w:t>
      </w:r>
      <w:proofErr w:type="spellStart"/>
      <w:r w:rsidRPr="00686E9D">
        <w:rPr>
          <w:smallCaps/>
          <w:u w:val="double"/>
          <w:lang w:val="en-IE"/>
        </w:rPr>
        <w:t>Loh</w:t>
      </w:r>
      <w:proofErr w:type="spellEnd"/>
      <w:r w:rsidRPr="00686E9D">
        <w:rPr>
          <w:smallCaps/>
          <w:u w:val="double"/>
          <w:lang w:val="en-IE"/>
        </w:rPr>
        <w:t xml:space="preserve"> M-H., Waugh C., Wright L., Watson J., Eagles D., </w:t>
      </w:r>
      <w:proofErr w:type="spellStart"/>
      <w:r w:rsidRPr="00686E9D">
        <w:rPr>
          <w:smallCaps/>
          <w:u w:val="double"/>
          <w:lang w:val="en-IE"/>
        </w:rPr>
        <w:t>Zuelke</w:t>
      </w:r>
      <w:proofErr w:type="spellEnd"/>
      <w:r w:rsidRPr="00686E9D">
        <w:rPr>
          <w:smallCaps/>
          <w:u w:val="double"/>
          <w:lang w:val="en-IE"/>
        </w:rPr>
        <w:t xml:space="preserve"> K., McCullough S.</w:t>
      </w:r>
      <w:r w:rsidR="00D91FBC" w:rsidRPr="00686E9D">
        <w:rPr>
          <w:smallCaps/>
          <w:u w:val="double"/>
          <w:lang w:val="en-IE"/>
        </w:rPr>
        <w:t xml:space="preserve"> &amp;</w:t>
      </w:r>
      <w:r w:rsidRPr="00686E9D">
        <w:rPr>
          <w:smallCaps/>
          <w:u w:val="double"/>
          <w:lang w:val="en-IE"/>
        </w:rPr>
        <w:t xml:space="preserve"> Daniels P. </w:t>
      </w:r>
      <w:r w:rsidRPr="00686E9D">
        <w:rPr>
          <w:u w:val="double"/>
          <w:lang w:val="en-IE"/>
        </w:rPr>
        <w:t xml:space="preserve">(2018). A network approach for provisional assay recognition of a Hendra virus antibody ELISA: test validation with low sample numbers from infected horses. </w:t>
      </w:r>
      <w:r w:rsidRPr="00686E9D">
        <w:rPr>
          <w:i/>
          <w:iCs/>
          <w:u w:val="double"/>
          <w:lang w:val="en-IE"/>
        </w:rPr>
        <w:t>J</w:t>
      </w:r>
      <w:r w:rsidR="00D91FBC" w:rsidRPr="00686E9D">
        <w:rPr>
          <w:i/>
          <w:iCs/>
          <w:u w:val="double"/>
          <w:lang w:val="en-IE"/>
        </w:rPr>
        <w:t>.</w:t>
      </w:r>
      <w:r w:rsidRPr="00686E9D">
        <w:rPr>
          <w:i/>
          <w:iCs/>
          <w:u w:val="double"/>
          <w:lang w:val="en-IE"/>
        </w:rPr>
        <w:t xml:space="preserve"> Vet</w:t>
      </w:r>
      <w:r w:rsidR="00D91FBC" w:rsidRPr="00686E9D">
        <w:rPr>
          <w:i/>
          <w:iCs/>
          <w:u w:val="double"/>
          <w:lang w:val="en-IE"/>
        </w:rPr>
        <w:t>.</w:t>
      </w:r>
      <w:r w:rsidRPr="00686E9D">
        <w:rPr>
          <w:i/>
          <w:iCs/>
          <w:u w:val="double"/>
          <w:lang w:val="en-IE"/>
        </w:rPr>
        <w:t xml:space="preserve"> Diagn</w:t>
      </w:r>
      <w:r w:rsidR="00D91FBC" w:rsidRPr="00686E9D">
        <w:rPr>
          <w:i/>
          <w:iCs/>
          <w:u w:val="double"/>
          <w:lang w:val="en-IE"/>
        </w:rPr>
        <w:t>.</w:t>
      </w:r>
      <w:r w:rsidRPr="00686E9D">
        <w:rPr>
          <w:i/>
          <w:iCs/>
          <w:u w:val="double"/>
          <w:lang w:val="en-IE"/>
        </w:rPr>
        <w:t xml:space="preserve"> Invest</w:t>
      </w:r>
      <w:r w:rsidR="00D91FBC" w:rsidRPr="00686E9D">
        <w:rPr>
          <w:i/>
          <w:iCs/>
          <w:u w:val="double"/>
          <w:lang w:val="en-IE"/>
        </w:rPr>
        <w:t>.,</w:t>
      </w:r>
      <w:r w:rsidRPr="00686E9D">
        <w:rPr>
          <w:u w:val="double"/>
          <w:lang w:val="en-IE"/>
        </w:rPr>
        <w:t xml:space="preserve"> </w:t>
      </w:r>
      <w:r w:rsidRPr="00686E9D">
        <w:rPr>
          <w:b/>
          <w:bCs/>
          <w:u w:val="double"/>
          <w:lang w:val="en-IE"/>
        </w:rPr>
        <w:t>30</w:t>
      </w:r>
      <w:r w:rsidR="00D91FBC" w:rsidRPr="00686E9D">
        <w:rPr>
          <w:u w:val="double"/>
          <w:lang w:val="en-IE"/>
        </w:rPr>
        <w:t xml:space="preserve">, </w:t>
      </w:r>
      <w:r w:rsidRPr="00686E9D">
        <w:rPr>
          <w:u w:val="double"/>
          <w:lang w:val="en-IE"/>
        </w:rPr>
        <w:t>362</w:t>
      </w:r>
      <w:r w:rsidR="00D91FBC" w:rsidRPr="00686E9D">
        <w:rPr>
          <w:u w:val="double"/>
          <w:lang w:val="en-IE"/>
        </w:rPr>
        <w:t>–</w:t>
      </w:r>
      <w:r w:rsidRPr="00686E9D">
        <w:rPr>
          <w:u w:val="double"/>
          <w:lang w:val="en-IE"/>
        </w:rPr>
        <w:t>369. doi:10.1177/1040638718760102</w:t>
      </w:r>
    </w:p>
    <w:p w14:paraId="2C9700FA" w14:textId="7107E87C" w:rsidR="00175319" w:rsidRPr="00136F54" w:rsidRDefault="00136F54" w:rsidP="00843236">
      <w:pPr>
        <w:pStyle w:val="Ref"/>
        <w:rPr>
          <w:u w:val="double"/>
          <w:lang w:val="en-IE"/>
        </w:rPr>
      </w:pPr>
      <w:proofErr w:type="spellStart"/>
      <w:r w:rsidRPr="00136F54">
        <w:rPr>
          <w:smallCaps/>
          <w:u w:val="double"/>
          <w:lang w:val="en-IE"/>
        </w:rPr>
        <w:t>Crameri</w:t>
      </w:r>
      <w:proofErr w:type="spellEnd"/>
      <w:r w:rsidRPr="00136F54">
        <w:rPr>
          <w:smallCaps/>
          <w:u w:val="double"/>
          <w:lang w:val="en-IE"/>
        </w:rPr>
        <w:t xml:space="preserve"> G., Wang L.F., </w:t>
      </w:r>
      <w:proofErr w:type="spellStart"/>
      <w:r w:rsidRPr="00136F54">
        <w:rPr>
          <w:smallCaps/>
          <w:u w:val="double"/>
          <w:lang w:val="en-IE"/>
        </w:rPr>
        <w:t>Morrissy</w:t>
      </w:r>
      <w:proofErr w:type="spellEnd"/>
      <w:r w:rsidRPr="00136F54">
        <w:rPr>
          <w:smallCaps/>
          <w:u w:val="double"/>
          <w:lang w:val="en-IE"/>
        </w:rPr>
        <w:t xml:space="preserve"> C., White J. &amp; Eaton B.T.</w:t>
      </w:r>
      <w:r w:rsidR="00175319" w:rsidRPr="00136F54">
        <w:rPr>
          <w:u w:val="double"/>
          <w:lang w:val="en-IE"/>
        </w:rPr>
        <w:t xml:space="preserve"> (2002). A rapid immune plaque assay for the detection of Hendra and </w:t>
      </w:r>
      <w:proofErr w:type="spellStart"/>
      <w:r w:rsidR="00175319" w:rsidRPr="00136F54">
        <w:rPr>
          <w:u w:val="double"/>
          <w:lang w:val="en-IE"/>
        </w:rPr>
        <w:t>Nipah</w:t>
      </w:r>
      <w:proofErr w:type="spellEnd"/>
      <w:r w:rsidR="00175319" w:rsidRPr="00136F54">
        <w:rPr>
          <w:u w:val="double"/>
          <w:lang w:val="en-IE"/>
        </w:rPr>
        <w:t xml:space="preserve"> viruses and anti-virus antibodies. </w:t>
      </w:r>
      <w:r w:rsidR="00175319" w:rsidRPr="00136F54">
        <w:rPr>
          <w:i/>
          <w:iCs/>
          <w:u w:val="double"/>
          <w:lang w:val="en-IE"/>
        </w:rPr>
        <w:t xml:space="preserve">J. </w:t>
      </w:r>
      <w:proofErr w:type="spellStart"/>
      <w:r w:rsidR="00175319" w:rsidRPr="00136F54">
        <w:rPr>
          <w:i/>
          <w:iCs/>
          <w:u w:val="double"/>
          <w:lang w:val="en-IE"/>
        </w:rPr>
        <w:t>Virol</w:t>
      </w:r>
      <w:proofErr w:type="spellEnd"/>
      <w:r w:rsidR="00175319" w:rsidRPr="00136F54">
        <w:rPr>
          <w:i/>
          <w:iCs/>
          <w:u w:val="double"/>
          <w:lang w:val="en-IE"/>
        </w:rPr>
        <w:t>. Methods</w:t>
      </w:r>
      <w:r w:rsidR="00175319" w:rsidRPr="00136F54">
        <w:rPr>
          <w:u w:val="double"/>
          <w:lang w:val="en-IE"/>
        </w:rPr>
        <w:t xml:space="preserve">, </w:t>
      </w:r>
      <w:r w:rsidR="00175319" w:rsidRPr="00136F54">
        <w:rPr>
          <w:b/>
          <w:bCs/>
          <w:u w:val="double"/>
          <w:lang w:val="en-IE"/>
        </w:rPr>
        <w:t>99</w:t>
      </w:r>
      <w:r>
        <w:rPr>
          <w:u w:val="double"/>
          <w:lang w:val="en-IE"/>
        </w:rPr>
        <w:t xml:space="preserve">, </w:t>
      </w:r>
      <w:r w:rsidR="00175319" w:rsidRPr="00136F54">
        <w:rPr>
          <w:u w:val="double"/>
          <w:lang w:val="en-IE"/>
        </w:rPr>
        <w:t>41</w:t>
      </w:r>
      <w:r>
        <w:rPr>
          <w:u w:val="double"/>
          <w:lang w:val="en-IE"/>
        </w:rPr>
        <w:t>–</w:t>
      </w:r>
      <w:r w:rsidR="00175319" w:rsidRPr="00136F54">
        <w:rPr>
          <w:u w:val="double"/>
          <w:lang w:val="en-IE"/>
        </w:rPr>
        <w:t>51.</w:t>
      </w:r>
    </w:p>
    <w:p w14:paraId="2481C225" w14:textId="585F7615" w:rsidR="00682ECF" w:rsidRPr="00686E9D" w:rsidRDefault="00964ED2" w:rsidP="00843236">
      <w:pPr>
        <w:pStyle w:val="Ref"/>
        <w:rPr>
          <w:strike/>
          <w:lang w:val="en-IE"/>
        </w:rPr>
      </w:pPr>
      <w:r w:rsidRPr="00686E9D">
        <w:rPr>
          <w:smallCaps/>
          <w:strike/>
          <w:lang w:val="en-IE"/>
        </w:rPr>
        <w:t xml:space="preserve">Daniels P., Aziz J., </w:t>
      </w:r>
      <w:proofErr w:type="spellStart"/>
      <w:r w:rsidRPr="00686E9D">
        <w:rPr>
          <w:smallCaps/>
          <w:strike/>
          <w:lang w:val="en-IE"/>
        </w:rPr>
        <w:t>Ksiazek</w:t>
      </w:r>
      <w:proofErr w:type="spellEnd"/>
      <w:r w:rsidRPr="00686E9D">
        <w:rPr>
          <w:smallCaps/>
          <w:strike/>
          <w:lang w:val="en-IE"/>
        </w:rPr>
        <w:t xml:space="preserve"> T.G., Ong B.L., Bunning M.J.B., Field H., Olson J., Hoffman D., </w:t>
      </w:r>
      <w:proofErr w:type="spellStart"/>
      <w:r w:rsidRPr="00686E9D">
        <w:rPr>
          <w:smallCaps/>
          <w:strike/>
          <w:lang w:val="en-IE"/>
        </w:rPr>
        <w:t>Bolou</w:t>
      </w:r>
      <w:proofErr w:type="spellEnd"/>
      <w:r w:rsidRPr="00686E9D">
        <w:rPr>
          <w:smallCaps/>
          <w:strike/>
          <w:lang w:val="en-IE"/>
        </w:rPr>
        <w:t xml:space="preserve"> J. &amp; Ozawa Y.</w:t>
      </w:r>
      <w:r w:rsidRPr="00686E9D">
        <w:rPr>
          <w:strike/>
          <w:lang w:val="en-IE"/>
        </w:rPr>
        <w:t xml:space="preserve"> (2000). </w:t>
      </w:r>
      <w:proofErr w:type="spellStart"/>
      <w:r w:rsidRPr="00686E9D">
        <w:rPr>
          <w:strike/>
          <w:lang w:val="en-IE"/>
        </w:rPr>
        <w:t>Nipah</w:t>
      </w:r>
      <w:proofErr w:type="spellEnd"/>
      <w:r w:rsidRPr="00686E9D">
        <w:rPr>
          <w:strike/>
          <w:lang w:val="en-IE"/>
        </w:rPr>
        <w:t xml:space="preserve"> virus – developing a regional approach. </w:t>
      </w:r>
      <w:r w:rsidRPr="00686E9D">
        <w:rPr>
          <w:i/>
          <w:iCs/>
          <w:strike/>
          <w:lang w:val="en-IE"/>
        </w:rPr>
        <w:t>In:</w:t>
      </w:r>
      <w:r w:rsidRPr="00686E9D">
        <w:rPr>
          <w:strike/>
          <w:lang w:val="en-IE"/>
        </w:rPr>
        <w:t xml:space="preserve"> Comprehensive Reports on Technical Items presented to the International Committee or Regional Commissions. OIE, Paris, France, 2207–2217.</w:t>
      </w:r>
    </w:p>
    <w:p w14:paraId="2101B998" w14:textId="0C8E1496" w:rsidR="00682ECF" w:rsidRPr="00686E9D" w:rsidRDefault="00964ED2" w:rsidP="00843236">
      <w:pPr>
        <w:pStyle w:val="Ref"/>
        <w:rPr>
          <w:strike/>
          <w:lang w:val="en-IE"/>
        </w:rPr>
      </w:pPr>
      <w:r w:rsidRPr="00686E9D">
        <w:rPr>
          <w:smallCaps/>
          <w:strike/>
          <w:lang w:val="en-IE"/>
        </w:rPr>
        <w:t xml:space="preserve">Daniels P., Halpin K., Hyatt A. &amp; Middleton D. </w:t>
      </w:r>
      <w:r w:rsidRPr="00686E9D">
        <w:rPr>
          <w:strike/>
          <w:lang w:val="en-IE"/>
        </w:rPr>
        <w:t xml:space="preserve">(2007). Infection and disease in reservoir and </w:t>
      </w:r>
      <w:proofErr w:type="spellStart"/>
      <w:r w:rsidRPr="00686E9D">
        <w:rPr>
          <w:strike/>
          <w:lang w:val="en-IE"/>
        </w:rPr>
        <w:t>spillover</w:t>
      </w:r>
      <w:proofErr w:type="spellEnd"/>
      <w:r w:rsidRPr="00686E9D">
        <w:rPr>
          <w:strike/>
          <w:lang w:val="en-IE"/>
        </w:rPr>
        <w:t xml:space="preserve"> hosts: determinants of pathogen emergence. </w:t>
      </w:r>
      <w:proofErr w:type="spellStart"/>
      <w:r w:rsidRPr="00686E9D">
        <w:rPr>
          <w:i/>
          <w:strike/>
          <w:lang w:val="en-IE"/>
        </w:rPr>
        <w:t>Curr</w:t>
      </w:r>
      <w:proofErr w:type="spellEnd"/>
      <w:r w:rsidRPr="00686E9D">
        <w:rPr>
          <w:i/>
          <w:strike/>
          <w:lang w:val="en-IE"/>
        </w:rPr>
        <w:t xml:space="preserve">. Top. Immunol. </w:t>
      </w:r>
      <w:proofErr w:type="spellStart"/>
      <w:r w:rsidRPr="00686E9D">
        <w:rPr>
          <w:i/>
          <w:strike/>
          <w:lang w:val="en-IE"/>
        </w:rPr>
        <w:t>Microbiol</w:t>
      </w:r>
      <w:proofErr w:type="spellEnd"/>
      <w:r w:rsidRPr="00686E9D">
        <w:rPr>
          <w:i/>
          <w:strike/>
          <w:lang w:val="en-IE"/>
        </w:rPr>
        <w:t>.</w:t>
      </w:r>
      <w:r w:rsidRPr="00686E9D">
        <w:rPr>
          <w:strike/>
          <w:lang w:val="en-IE"/>
        </w:rPr>
        <w:t xml:space="preserve">, </w:t>
      </w:r>
      <w:r w:rsidRPr="00686E9D">
        <w:rPr>
          <w:b/>
          <w:bCs/>
          <w:strike/>
          <w:lang w:val="en-IE"/>
        </w:rPr>
        <w:t>315</w:t>
      </w:r>
      <w:r w:rsidRPr="00686E9D">
        <w:rPr>
          <w:strike/>
          <w:lang w:val="en-IE"/>
        </w:rPr>
        <w:t>, 113–131.</w:t>
      </w:r>
    </w:p>
    <w:p w14:paraId="5A39BFE1" w14:textId="38C51731" w:rsidR="00682ECF" w:rsidRPr="00686E9D" w:rsidRDefault="00964ED2" w:rsidP="00843236">
      <w:pPr>
        <w:pStyle w:val="Ref"/>
        <w:rPr>
          <w:u w:val="double"/>
          <w:lang w:val="en-IE"/>
        </w:rPr>
      </w:pPr>
      <w:r w:rsidRPr="00686E9D">
        <w:rPr>
          <w:smallCaps/>
          <w:lang w:val="en-IE"/>
        </w:rPr>
        <w:t xml:space="preserve">Daniels P., </w:t>
      </w:r>
      <w:proofErr w:type="spellStart"/>
      <w:r w:rsidRPr="00686E9D">
        <w:rPr>
          <w:smallCaps/>
          <w:lang w:val="en-IE"/>
        </w:rPr>
        <w:t>Ksiazek</w:t>
      </w:r>
      <w:proofErr w:type="spellEnd"/>
      <w:r w:rsidRPr="00686E9D">
        <w:rPr>
          <w:smallCaps/>
          <w:lang w:val="en-IE"/>
        </w:rPr>
        <w:t xml:space="preserve"> T. &amp; Eaton B.T</w:t>
      </w:r>
      <w:r w:rsidRPr="00686E9D">
        <w:rPr>
          <w:lang w:val="en-IE"/>
        </w:rPr>
        <w:t xml:space="preserve">. (2001). Laboratory diagnosis of </w:t>
      </w:r>
      <w:proofErr w:type="spellStart"/>
      <w:r w:rsidRPr="00686E9D">
        <w:rPr>
          <w:lang w:val="en-IE"/>
        </w:rPr>
        <w:t>Nipah</w:t>
      </w:r>
      <w:proofErr w:type="spellEnd"/>
      <w:r w:rsidRPr="00686E9D">
        <w:rPr>
          <w:lang w:val="en-IE"/>
        </w:rPr>
        <w:t xml:space="preserve"> and Hendra virus infections. </w:t>
      </w:r>
      <w:r w:rsidRPr="00686E9D">
        <w:rPr>
          <w:i/>
          <w:iCs/>
          <w:lang w:val="en-IE"/>
        </w:rPr>
        <w:t>Microbes Infect.,</w:t>
      </w:r>
      <w:r w:rsidRPr="00686E9D">
        <w:rPr>
          <w:lang w:val="en-IE"/>
        </w:rPr>
        <w:t xml:space="preserve"> </w:t>
      </w:r>
      <w:r w:rsidRPr="00686E9D">
        <w:rPr>
          <w:b/>
          <w:lang w:val="en-IE"/>
        </w:rPr>
        <w:t>3</w:t>
      </w:r>
      <w:r w:rsidRPr="00686E9D">
        <w:rPr>
          <w:lang w:val="en-IE"/>
        </w:rPr>
        <w:t>, 289–295.</w:t>
      </w:r>
    </w:p>
    <w:p w14:paraId="7C177FE6" w14:textId="754A3D85" w:rsidR="00261C2B" w:rsidRPr="00686E9D" w:rsidRDefault="00261C2B" w:rsidP="00843236">
      <w:pPr>
        <w:pStyle w:val="Ref"/>
        <w:rPr>
          <w:lang w:val="en-IE"/>
        </w:rPr>
      </w:pPr>
      <w:r w:rsidRPr="00686E9D">
        <w:rPr>
          <w:smallCaps/>
          <w:u w:val="double"/>
          <w:lang w:val="en-IE"/>
        </w:rPr>
        <w:t xml:space="preserve">Di </w:t>
      </w:r>
      <w:proofErr w:type="spellStart"/>
      <w:r w:rsidRPr="00686E9D">
        <w:rPr>
          <w:smallCaps/>
          <w:u w:val="double"/>
          <w:lang w:val="en-IE"/>
        </w:rPr>
        <w:t>Rubbo</w:t>
      </w:r>
      <w:proofErr w:type="spellEnd"/>
      <w:r w:rsidRPr="00686E9D">
        <w:rPr>
          <w:smallCaps/>
          <w:u w:val="double"/>
          <w:lang w:val="en-IE"/>
        </w:rPr>
        <w:t xml:space="preserve"> A., McNabb L., Klein R., White J.R., Colling A., Dimitrov D.S., Broder C.C, Middleton D.</w:t>
      </w:r>
      <w:r w:rsidR="00D91FBC" w:rsidRPr="00686E9D">
        <w:rPr>
          <w:smallCaps/>
          <w:u w:val="double"/>
          <w:lang w:val="en-IE"/>
        </w:rPr>
        <w:t xml:space="preserve"> &amp;</w:t>
      </w:r>
      <w:r w:rsidRPr="00686E9D">
        <w:rPr>
          <w:smallCaps/>
          <w:u w:val="double"/>
          <w:lang w:val="en-IE"/>
        </w:rPr>
        <w:t xml:space="preserve"> Lunt R.A.</w:t>
      </w:r>
      <w:r w:rsidRPr="00686E9D">
        <w:rPr>
          <w:u w:val="double"/>
          <w:lang w:val="en-IE"/>
        </w:rPr>
        <w:t xml:space="preserve"> (2019). Optimization and diagnostic evaluation of monoclonal antibody-based blocking ELISA formats for detection of neutralizing antibodies to Hendra virus in mammalian sera. </w:t>
      </w:r>
      <w:r w:rsidRPr="00686E9D">
        <w:rPr>
          <w:i/>
          <w:iCs/>
          <w:u w:val="double"/>
          <w:lang w:val="en-IE"/>
        </w:rPr>
        <w:t>J</w:t>
      </w:r>
      <w:r w:rsidR="00D91FBC" w:rsidRPr="00686E9D">
        <w:rPr>
          <w:i/>
          <w:iCs/>
          <w:u w:val="double"/>
          <w:lang w:val="en-IE"/>
        </w:rPr>
        <w:t>.</w:t>
      </w:r>
      <w:r w:rsidRPr="00686E9D">
        <w:rPr>
          <w:i/>
          <w:iCs/>
          <w:u w:val="double"/>
          <w:lang w:val="en-IE"/>
        </w:rPr>
        <w:t xml:space="preserve"> </w:t>
      </w:r>
      <w:proofErr w:type="spellStart"/>
      <w:r w:rsidRPr="00686E9D">
        <w:rPr>
          <w:i/>
          <w:iCs/>
          <w:u w:val="double"/>
          <w:lang w:val="en-IE"/>
        </w:rPr>
        <w:t>Virol</w:t>
      </w:r>
      <w:proofErr w:type="spellEnd"/>
      <w:r w:rsidR="00D91FBC" w:rsidRPr="00686E9D">
        <w:rPr>
          <w:i/>
          <w:iCs/>
          <w:u w:val="double"/>
          <w:lang w:val="en-IE"/>
        </w:rPr>
        <w:t>.</w:t>
      </w:r>
      <w:r w:rsidRPr="00686E9D">
        <w:rPr>
          <w:i/>
          <w:iCs/>
          <w:u w:val="double"/>
          <w:lang w:val="en-IE"/>
        </w:rPr>
        <w:t xml:space="preserve"> Methods</w:t>
      </w:r>
      <w:r w:rsidR="00D91FBC" w:rsidRPr="00686E9D">
        <w:rPr>
          <w:i/>
          <w:iCs/>
          <w:u w:val="double"/>
          <w:lang w:val="en-IE"/>
        </w:rPr>
        <w:t>,</w:t>
      </w:r>
      <w:r w:rsidRPr="00686E9D">
        <w:rPr>
          <w:u w:val="double"/>
          <w:lang w:val="en-IE"/>
        </w:rPr>
        <w:t xml:space="preserve"> </w:t>
      </w:r>
      <w:r w:rsidRPr="00686E9D">
        <w:rPr>
          <w:b/>
          <w:bCs/>
          <w:u w:val="double"/>
          <w:lang w:val="en-IE"/>
        </w:rPr>
        <w:t>274</w:t>
      </w:r>
      <w:r w:rsidR="00D91FBC" w:rsidRPr="00686E9D">
        <w:rPr>
          <w:u w:val="double"/>
          <w:lang w:val="en-IE"/>
        </w:rPr>
        <w:t xml:space="preserve">, </w:t>
      </w:r>
      <w:r w:rsidRPr="00686E9D">
        <w:rPr>
          <w:u w:val="double"/>
          <w:lang w:val="en-IE"/>
        </w:rPr>
        <w:t>113731.</w:t>
      </w:r>
    </w:p>
    <w:p w14:paraId="1AAA65F4" w14:textId="5207250D" w:rsidR="00682ECF" w:rsidRPr="00686E9D" w:rsidRDefault="00964ED2" w:rsidP="00843236">
      <w:pPr>
        <w:pStyle w:val="Ref"/>
        <w:rPr>
          <w:u w:val="double"/>
          <w:lang w:val="en-IE"/>
        </w:rPr>
      </w:pPr>
      <w:r w:rsidRPr="00686E9D">
        <w:rPr>
          <w:smallCaps/>
          <w:lang w:val="en-IE"/>
        </w:rPr>
        <w:t xml:space="preserve">Feldman K.S., </w:t>
      </w:r>
      <w:proofErr w:type="spellStart"/>
      <w:r w:rsidRPr="00686E9D">
        <w:rPr>
          <w:smallCaps/>
          <w:lang w:val="en-IE"/>
        </w:rPr>
        <w:t>Foord</w:t>
      </w:r>
      <w:proofErr w:type="spellEnd"/>
      <w:r w:rsidRPr="00686E9D">
        <w:rPr>
          <w:smallCaps/>
          <w:lang w:val="en-IE"/>
        </w:rPr>
        <w:t xml:space="preserve"> A., Heine H.G., Smith I.L., Boyd V., Marsh G.A., Wood J.L.N., Cunningham A.A. &amp; Wang L.F.</w:t>
      </w:r>
      <w:r w:rsidRPr="00686E9D">
        <w:rPr>
          <w:lang w:val="en-IE"/>
        </w:rPr>
        <w:t xml:space="preserve"> (2009). Design and evaluation of consensus PCR assays for </w:t>
      </w:r>
      <w:proofErr w:type="spellStart"/>
      <w:r w:rsidRPr="00686E9D">
        <w:rPr>
          <w:lang w:val="en-IE"/>
        </w:rPr>
        <w:t>henipaviruses</w:t>
      </w:r>
      <w:proofErr w:type="spellEnd"/>
      <w:r w:rsidRPr="00686E9D">
        <w:rPr>
          <w:lang w:val="en-IE"/>
        </w:rPr>
        <w:t xml:space="preserve">. </w:t>
      </w:r>
      <w:r w:rsidRPr="00686E9D">
        <w:rPr>
          <w:i/>
          <w:lang w:val="en-IE"/>
        </w:rPr>
        <w:t xml:space="preserve">J. </w:t>
      </w:r>
      <w:proofErr w:type="spellStart"/>
      <w:r w:rsidRPr="00686E9D">
        <w:rPr>
          <w:i/>
          <w:lang w:val="en-IE"/>
        </w:rPr>
        <w:t>Virol</w:t>
      </w:r>
      <w:proofErr w:type="spellEnd"/>
      <w:r w:rsidRPr="00686E9D">
        <w:rPr>
          <w:i/>
          <w:lang w:val="en-IE"/>
        </w:rPr>
        <w:t>. Methods</w:t>
      </w:r>
      <w:r w:rsidRPr="00686E9D">
        <w:rPr>
          <w:lang w:val="en-IE"/>
        </w:rPr>
        <w:t xml:space="preserve">, </w:t>
      </w:r>
      <w:r w:rsidRPr="00686E9D">
        <w:rPr>
          <w:b/>
          <w:lang w:val="en-IE"/>
        </w:rPr>
        <w:t>161</w:t>
      </w:r>
      <w:r w:rsidRPr="00686E9D">
        <w:rPr>
          <w:lang w:val="en-IE"/>
        </w:rPr>
        <w:t>, 52–57.</w:t>
      </w:r>
    </w:p>
    <w:p w14:paraId="7725389D" w14:textId="77C6B00D" w:rsidR="00C651E2" w:rsidRPr="00686E9D" w:rsidRDefault="00C651E2" w:rsidP="00843236">
      <w:pPr>
        <w:pStyle w:val="Ref"/>
        <w:rPr>
          <w:lang w:val="en-IE"/>
        </w:rPr>
      </w:pPr>
      <w:proofErr w:type="spellStart"/>
      <w:r w:rsidRPr="00686E9D">
        <w:rPr>
          <w:smallCaps/>
          <w:u w:val="double"/>
          <w:lang w:val="en-IE"/>
        </w:rPr>
        <w:lastRenderedPageBreak/>
        <w:t>Gouglas</w:t>
      </w:r>
      <w:proofErr w:type="spellEnd"/>
      <w:r w:rsidRPr="00686E9D">
        <w:rPr>
          <w:smallCaps/>
          <w:u w:val="double"/>
          <w:lang w:val="en-IE"/>
        </w:rPr>
        <w:t xml:space="preserve"> D</w:t>
      </w:r>
      <w:r w:rsidR="00D91FBC" w:rsidRPr="00686E9D">
        <w:rPr>
          <w:smallCaps/>
          <w:u w:val="double"/>
          <w:lang w:val="en-IE"/>
        </w:rPr>
        <w:t>.</w:t>
      </w:r>
      <w:r w:rsidRPr="00686E9D">
        <w:rPr>
          <w:smallCaps/>
          <w:u w:val="double"/>
          <w:lang w:val="en-IE"/>
        </w:rPr>
        <w:t>, Le T</w:t>
      </w:r>
      <w:r w:rsidR="00D91FBC" w:rsidRPr="00686E9D">
        <w:rPr>
          <w:smallCaps/>
          <w:u w:val="double"/>
          <w:lang w:val="en-IE"/>
        </w:rPr>
        <w:t>.</w:t>
      </w:r>
      <w:r w:rsidRPr="00686E9D">
        <w:rPr>
          <w:smallCaps/>
          <w:u w:val="double"/>
          <w:lang w:val="en-IE"/>
        </w:rPr>
        <w:t>T</w:t>
      </w:r>
      <w:r w:rsidR="00D91FBC" w:rsidRPr="00686E9D">
        <w:rPr>
          <w:smallCaps/>
          <w:u w:val="double"/>
          <w:lang w:val="en-IE"/>
        </w:rPr>
        <w:t>.</w:t>
      </w:r>
      <w:r w:rsidRPr="00686E9D">
        <w:rPr>
          <w:smallCaps/>
          <w:u w:val="double"/>
          <w:lang w:val="en-IE"/>
        </w:rPr>
        <w:t>, Henderson K</w:t>
      </w:r>
      <w:r w:rsidR="00D91FBC" w:rsidRPr="00686E9D">
        <w:rPr>
          <w:smallCaps/>
          <w:u w:val="double"/>
          <w:lang w:val="en-IE"/>
        </w:rPr>
        <w:t>.</w:t>
      </w:r>
      <w:r w:rsidRPr="00686E9D">
        <w:rPr>
          <w:smallCaps/>
          <w:u w:val="double"/>
          <w:lang w:val="en-IE"/>
        </w:rPr>
        <w:t xml:space="preserve">, </w:t>
      </w:r>
      <w:proofErr w:type="spellStart"/>
      <w:r w:rsidRPr="00686E9D">
        <w:rPr>
          <w:smallCaps/>
          <w:u w:val="double"/>
          <w:lang w:val="en-IE"/>
        </w:rPr>
        <w:t>Kaloudis</w:t>
      </w:r>
      <w:proofErr w:type="spellEnd"/>
      <w:r w:rsidRPr="00686E9D">
        <w:rPr>
          <w:smallCaps/>
          <w:u w:val="double"/>
          <w:lang w:val="en-IE"/>
        </w:rPr>
        <w:t xml:space="preserve"> A</w:t>
      </w:r>
      <w:r w:rsidR="00D91FBC" w:rsidRPr="00686E9D">
        <w:rPr>
          <w:smallCaps/>
          <w:u w:val="double"/>
          <w:lang w:val="en-IE"/>
        </w:rPr>
        <w:t>.</w:t>
      </w:r>
      <w:r w:rsidRPr="00686E9D">
        <w:rPr>
          <w:smallCaps/>
          <w:u w:val="double"/>
          <w:lang w:val="en-IE"/>
        </w:rPr>
        <w:t>, Danielsen T</w:t>
      </w:r>
      <w:r w:rsidR="00D91FBC" w:rsidRPr="00686E9D">
        <w:rPr>
          <w:smallCaps/>
          <w:u w:val="double"/>
          <w:lang w:val="en-IE"/>
        </w:rPr>
        <w:t>.</w:t>
      </w:r>
      <w:r w:rsidRPr="00686E9D">
        <w:rPr>
          <w:smallCaps/>
          <w:u w:val="double"/>
          <w:lang w:val="en-IE"/>
        </w:rPr>
        <w:t xml:space="preserve">, </w:t>
      </w:r>
      <w:proofErr w:type="spellStart"/>
      <w:r w:rsidRPr="00686E9D">
        <w:rPr>
          <w:smallCaps/>
          <w:u w:val="double"/>
          <w:lang w:val="en-IE"/>
        </w:rPr>
        <w:t>Hammersland</w:t>
      </w:r>
      <w:proofErr w:type="spellEnd"/>
      <w:r w:rsidRPr="00686E9D">
        <w:rPr>
          <w:smallCaps/>
          <w:u w:val="double"/>
          <w:lang w:val="en-IE"/>
        </w:rPr>
        <w:t xml:space="preserve"> N</w:t>
      </w:r>
      <w:r w:rsidR="00D91FBC" w:rsidRPr="00686E9D">
        <w:rPr>
          <w:smallCaps/>
          <w:u w:val="double"/>
          <w:lang w:val="en-IE"/>
        </w:rPr>
        <w:t>.</w:t>
      </w:r>
      <w:r w:rsidRPr="00686E9D">
        <w:rPr>
          <w:smallCaps/>
          <w:u w:val="double"/>
          <w:lang w:val="en-IE"/>
        </w:rPr>
        <w:t>C</w:t>
      </w:r>
      <w:r w:rsidR="00D91FBC" w:rsidRPr="00686E9D">
        <w:rPr>
          <w:smallCaps/>
          <w:u w:val="double"/>
          <w:lang w:val="en-IE"/>
        </w:rPr>
        <w:t>.</w:t>
      </w:r>
      <w:r w:rsidRPr="00686E9D">
        <w:rPr>
          <w:smallCaps/>
          <w:u w:val="double"/>
          <w:lang w:val="en-IE"/>
        </w:rPr>
        <w:t>, Robinson J</w:t>
      </w:r>
      <w:r w:rsidR="00D91FBC" w:rsidRPr="00686E9D">
        <w:rPr>
          <w:smallCaps/>
          <w:u w:val="double"/>
          <w:lang w:val="en-IE"/>
        </w:rPr>
        <w:t>.</w:t>
      </w:r>
      <w:r w:rsidRPr="00686E9D">
        <w:rPr>
          <w:smallCaps/>
          <w:u w:val="double"/>
          <w:lang w:val="en-IE"/>
        </w:rPr>
        <w:t>M</w:t>
      </w:r>
      <w:r w:rsidR="00D91FBC" w:rsidRPr="00686E9D">
        <w:rPr>
          <w:smallCaps/>
          <w:u w:val="double"/>
          <w:lang w:val="en-IE"/>
        </w:rPr>
        <w:t>.</w:t>
      </w:r>
      <w:r w:rsidRPr="00686E9D">
        <w:rPr>
          <w:smallCaps/>
          <w:u w:val="double"/>
          <w:lang w:val="en-IE"/>
        </w:rPr>
        <w:t>, Heaton P</w:t>
      </w:r>
      <w:r w:rsidR="00D91FBC" w:rsidRPr="00686E9D">
        <w:rPr>
          <w:smallCaps/>
          <w:u w:val="double"/>
          <w:lang w:val="en-IE"/>
        </w:rPr>
        <w:t>.</w:t>
      </w:r>
      <w:r w:rsidRPr="00686E9D">
        <w:rPr>
          <w:smallCaps/>
          <w:u w:val="double"/>
          <w:lang w:val="en-IE"/>
        </w:rPr>
        <w:t>M</w:t>
      </w:r>
      <w:r w:rsidR="00D91FBC" w:rsidRPr="00686E9D">
        <w:rPr>
          <w:smallCaps/>
          <w:u w:val="double"/>
          <w:lang w:val="en-IE"/>
        </w:rPr>
        <w:t>. &amp;</w:t>
      </w:r>
      <w:r w:rsidRPr="00686E9D">
        <w:rPr>
          <w:smallCaps/>
          <w:u w:val="double"/>
          <w:lang w:val="en-IE"/>
        </w:rPr>
        <w:t xml:space="preserve"> </w:t>
      </w:r>
      <w:proofErr w:type="spellStart"/>
      <w:r w:rsidRPr="00686E9D">
        <w:rPr>
          <w:smallCaps/>
          <w:u w:val="double"/>
          <w:lang w:val="en-IE"/>
        </w:rPr>
        <w:t>Røttingen</w:t>
      </w:r>
      <w:proofErr w:type="spellEnd"/>
      <w:r w:rsidRPr="00686E9D">
        <w:rPr>
          <w:smallCaps/>
          <w:u w:val="double"/>
          <w:lang w:val="en-IE"/>
        </w:rPr>
        <w:t xml:space="preserve"> J-A</w:t>
      </w:r>
      <w:r w:rsidRPr="00686E9D">
        <w:rPr>
          <w:u w:val="double"/>
          <w:lang w:val="en-IE"/>
        </w:rPr>
        <w:t xml:space="preserve">. (2018). Estimating the cost of vaccine development against epidemic infectious diseases: a cost minimisation study. </w:t>
      </w:r>
      <w:r w:rsidRPr="00686E9D">
        <w:rPr>
          <w:i/>
          <w:iCs/>
          <w:u w:val="double"/>
          <w:lang w:val="en-IE"/>
        </w:rPr>
        <w:t>Lancet Glob</w:t>
      </w:r>
      <w:r w:rsidR="00D91FBC" w:rsidRPr="00686E9D">
        <w:rPr>
          <w:i/>
          <w:iCs/>
          <w:u w:val="double"/>
          <w:lang w:val="en-IE"/>
        </w:rPr>
        <w:t>.</w:t>
      </w:r>
      <w:r w:rsidRPr="00686E9D">
        <w:rPr>
          <w:i/>
          <w:iCs/>
          <w:u w:val="double"/>
          <w:lang w:val="en-IE"/>
        </w:rPr>
        <w:t xml:space="preserve"> Health</w:t>
      </w:r>
      <w:r w:rsidR="00D91FBC" w:rsidRPr="00686E9D">
        <w:rPr>
          <w:i/>
          <w:iCs/>
          <w:u w:val="double"/>
          <w:lang w:val="en-IE"/>
        </w:rPr>
        <w:t>,</w:t>
      </w:r>
      <w:r w:rsidRPr="00686E9D">
        <w:rPr>
          <w:u w:val="double"/>
          <w:lang w:val="en-IE"/>
        </w:rPr>
        <w:t xml:space="preserve"> </w:t>
      </w:r>
      <w:proofErr w:type="gramStart"/>
      <w:r w:rsidRPr="00686E9D">
        <w:rPr>
          <w:u w:val="double"/>
          <w:lang w:val="en-IE"/>
        </w:rPr>
        <w:t>6:e</w:t>
      </w:r>
      <w:proofErr w:type="gramEnd"/>
      <w:r w:rsidRPr="00686E9D">
        <w:rPr>
          <w:u w:val="double"/>
          <w:lang w:val="en-IE"/>
        </w:rPr>
        <w:t>1386−e1396. doi:10.1016/S2214-109</w:t>
      </w:r>
      <w:proofErr w:type="gramStart"/>
      <w:r w:rsidRPr="00686E9D">
        <w:rPr>
          <w:u w:val="double"/>
          <w:lang w:val="en-IE"/>
        </w:rPr>
        <w:t>X(</w:t>
      </w:r>
      <w:proofErr w:type="gramEnd"/>
      <w:r w:rsidRPr="00686E9D">
        <w:rPr>
          <w:u w:val="double"/>
          <w:lang w:val="en-IE"/>
        </w:rPr>
        <w:t>18)30346-2.</w:t>
      </w:r>
    </w:p>
    <w:p w14:paraId="523A9A9B" w14:textId="77777777" w:rsidR="00682ECF" w:rsidRPr="00686E9D" w:rsidRDefault="00964ED2" w:rsidP="00843236">
      <w:pPr>
        <w:pStyle w:val="Ref"/>
        <w:rPr>
          <w:lang w:val="en-IE"/>
        </w:rPr>
      </w:pPr>
      <w:r w:rsidRPr="00686E9D">
        <w:rPr>
          <w:smallCaps/>
          <w:lang w:val="en-IE"/>
        </w:rPr>
        <w:t>Halpin K., Young P.L., Field H.E. &amp; Mackenzie J.S.</w:t>
      </w:r>
      <w:r w:rsidRPr="00686E9D">
        <w:rPr>
          <w:lang w:val="en-IE"/>
        </w:rPr>
        <w:t xml:space="preserve"> (2000). Isolation of Hendra virus from </w:t>
      </w:r>
      <w:proofErr w:type="spellStart"/>
      <w:r w:rsidRPr="00686E9D">
        <w:rPr>
          <w:lang w:val="en-IE"/>
        </w:rPr>
        <w:t>pteropid</w:t>
      </w:r>
      <w:proofErr w:type="spellEnd"/>
      <w:r w:rsidRPr="00686E9D">
        <w:rPr>
          <w:lang w:val="en-IE"/>
        </w:rPr>
        <w:t xml:space="preserve"> bats: a natural reservoir of Hendra virus. </w:t>
      </w:r>
      <w:r w:rsidRPr="00686E9D">
        <w:rPr>
          <w:i/>
          <w:iCs/>
          <w:lang w:val="en-IE"/>
        </w:rPr>
        <w:t xml:space="preserve">J. Gen. </w:t>
      </w:r>
      <w:proofErr w:type="spellStart"/>
      <w:r w:rsidRPr="00686E9D">
        <w:rPr>
          <w:i/>
          <w:iCs/>
          <w:lang w:val="en-IE"/>
        </w:rPr>
        <w:t>Virol</w:t>
      </w:r>
      <w:proofErr w:type="spellEnd"/>
      <w:r w:rsidRPr="00686E9D">
        <w:rPr>
          <w:i/>
          <w:iCs/>
          <w:lang w:val="en-IE"/>
        </w:rPr>
        <w:t xml:space="preserve">., </w:t>
      </w:r>
      <w:r w:rsidRPr="00686E9D">
        <w:rPr>
          <w:b/>
          <w:lang w:val="en-IE"/>
        </w:rPr>
        <w:t>81</w:t>
      </w:r>
      <w:r w:rsidRPr="00686E9D">
        <w:rPr>
          <w:lang w:val="en-IE"/>
        </w:rPr>
        <w:t>, 1927–1932.</w:t>
      </w:r>
    </w:p>
    <w:p w14:paraId="2D4A156F" w14:textId="77777777" w:rsidR="00682ECF" w:rsidRPr="00686E9D" w:rsidRDefault="00964ED2" w:rsidP="00843236">
      <w:pPr>
        <w:pStyle w:val="Ref"/>
        <w:rPr>
          <w:lang w:val="en-IE"/>
        </w:rPr>
      </w:pPr>
      <w:r w:rsidRPr="00686E9D">
        <w:rPr>
          <w:smallCaps/>
          <w:lang w:val="en-IE"/>
        </w:rPr>
        <w:t>Hanna, J.N., McBride W.J., Brookes D.L., Shield J., Taylor C.T., Smith I.L., Craig S.B. &amp; Smith G.A.</w:t>
      </w:r>
      <w:r w:rsidRPr="00686E9D">
        <w:rPr>
          <w:lang w:val="en-IE"/>
        </w:rPr>
        <w:t xml:space="preserve"> (2006). Hendra virus infection in a veterinarian. </w:t>
      </w:r>
      <w:r w:rsidRPr="00686E9D">
        <w:rPr>
          <w:i/>
          <w:iCs/>
          <w:lang w:val="en-IE"/>
        </w:rPr>
        <w:t>MJA</w:t>
      </w:r>
      <w:r w:rsidRPr="00686E9D">
        <w:rPr>
          <w:lang w:val="en-IE"/>
        </w:rPr>
        <w:t xml:space="preserve">, </w:t>
      </w:r>
      <w:r w:rsidRPr="00686E9D">
        <w:rPr>
          <w:b/>
          <w:bCs/>
          <w:lang w:val="en-IE"/>
        </w:rPr>
        <w:t>185</w:t>
      </w:r>
      <w:r w:rsidRPr="00686E9D">
        <w:rPr>
          <w:lang w:val="en-IE"/>
        </w:rPr>
        <w:t>, 562–564.</w:t>
      </w:r>
    </w:p>
    <w:p w14:paraId="0E251719" w14:textId="77777777" w:rsidR="00682ECF" w:rsidRPr="00686E9D" w:rsidRDefault="00964ED2" w:rsidP="00843236">
      <w:pPr>
        <w:pStyle w:val="Ref"/>
        <w:rPr>
          <w:lang w:val="en-IE"/>
        </w:rPr>
      </w:pPr>
      <w:r w:rsidRPr="00686E9D">
        <w:rPr>
          <w:smallCaps/>
          <w:lang w:val="en-IE"/>
        </w:rPr>
        <w:t xml:space="preserve">Hayman D.T., Suu-Ire R., Breed A.C., McEachern J.A., Wang L., Wood J.L. &amp; Cunningham A.A. </w:t>
      </w:r>
      <w:r w:rsidRPr="00686E9D">
        <w:rPr>
          <w:lang w:val="en-IE"/>
        </w:rPr>
        <w:t xml:space="preserve">(2008). Evidence of </w:t>
      </w:r>
      <w:proofErr w:type="spellStart"/>
      <w:r w:rsidRPr="00686E9D">
        <w:rPr>
          <w:lang w:val="en-IE"/>
        </w:rPr>
        <w:t>henipavirus</w:t>
      </w:r>
      <w:proofErr w:type="spellEnd"/>
      <w:r w:rsidRPr="00686E9D">
        <w:rPr>
          <w:lang w:val="en-IE"/>
        </w:rPr>
        <w:t xml:space="preserve"> infection in West African fruit bats. </w:t>
      </w:r>
      <w:proofErr w:type="spellStart"/>
      <w:r w:rsidRPr="00686E9D">
        <w:rPr>
          <w:i/>
          <w:lang w:val="en-IE"/>
        </w:rPr>
        <w:t>PLoS</w:t>
      </w:r>
      <w:proofErr w:type="spellEnd"/>
      <w:r w:rsidRPr="00686E9D">
        <w:rPr>
          <w:i/>
          <w:lang w:val="en-IE"/>
        </w:rPr>
        <w:t xml:space="preserve"> ONE</w:t>
      </w:r>
      <w:r w:rsidRPr="00686E9D">
        <w:rPr>
          <w:lang w:val="en-IE"/>
        </w:rPr>
        <w:t xml:space="preserve">, </w:t>
      </w:r>
      <w:r w:rsidRPr="00686E9D">
        <w:rPr>
          <w:b/>
          <w:lang w:val="en-IE"/>
        </w:rPr>
        <w:t>3</w:t>
      </w:r>
      <w:r w:rsidRPr="00686E9D">
        <w:rPr>
          <w:lang w:val="en-IE"/>
        </w:rPr>
        <w:t>, e2739.</w:t>
      </w:r>
    </w:p>
    <w:p w14:paraId="3FF3D068" w14:textId="65DF70EB" w:rsidR="00682ECF" w:rsidRPr="00686E9D" w:rsidRDefault="00964ED2" w:rsidP="00843236">
      <w:pPr>
        <w:pStyle w:val="Ref"/>
        <w:rPr>
          <w:lang w:val="en-IE"/>
        </w:rPr>
      </w:pPr>
      <w:r w:rsidRPr="00EC3CB9">
        <w:rPr>
          <w:smallCaps/>
          <w:lang w:val="nl-NL"/>
        </w:rPr>
        <w:t>Hooper P., Zaki S., Daniels P. &amp; Middleton D</w:t>
      </w:r>
      <w:r w:rsidRPr="00EC3CB9">
        <w:rPr>
          <w:lang w:val="nl-NL"/>
        </w:rPr>
        <w:t xml:space="preserve">. (2001). </w:t>
      </w:r>
      <w:r w:rsidRPr="00686E9D">
        <w:rPr>
          <w:lang w:val="en-IE"/>
        </w:rPr>
        <w:t xml:space="preserve">Comparative pathology of the diseases caused </w:t>
      </w:r>
      <w:r w:rsidR="00F45392" w:rsidRPr="00686E9D">
        <w:rPr>
          <w:lang w:val="en-IE"/>
        </w:rPr>
        <w:t xml:space="preserve">by </w:t>
      </w:r>
      <w:r w:rsidRPr="00686E9D">
        <w:rPr>
          <w:lang w:val="en-IE"/>
        </w:rPr>
        <w:t xml:space="preserve">Hendra and </w:t>
      </w:r>
      <w:proofErr w:type="spellStart"/>
      <w:r w:rsidRPr="00686E9D">
        <w:rPr>
          <w:lang w:val="en-IE"/>
        </w:rPr>
        <w:t>Nipah</w:t>
      </w:r>
      <w:proofErr w:type="spellEnd"/>
      <w:r w:rsidRPr="00686E9D">
        <w:rPr>
          <w:lang w:val="en-IE"/>
        </w:rPr>
        <w:t xml:space="preserve"> viruses. </w:t>
      </w:r>
      <w:r w:rsidRPr="00686E9D">
        <w:rPr>
          <w:i/>
          <w:iCs/>
          <w:lang w:val="en-IE"/>
        </w:rPr>
        <w:t>Microbes Infect.,</w:t>
      </w:r>
      <w:r w:rsidRPr="00686E9D">
        <w:rPr>
          <w:lang w:val="en-IE"/>
        </w:rPr>
        <w:t xml:space="preserve"> </w:t>
      </w:r>
      <w:r w:rsidRPr="00686E9D">
        <w:rPr>
          <w:b/>
          <w:lang w:val="en-IE"/>
        </w:rPr>
        <w:t>3</w:t>
      </w:r>
      <w:r w:rsidRPr="00686E9D">
        <w:rPr>
          <w:lang w:val="en-IE"/>
        </w:rPr>
        <w:t>, 315–322.</w:t>
      </w:r>
    </w:p>
    <w:p w14:paraId="12283D00" w14:textId="09411F72" w:rsidR="00682ECF" w:rsidRPr="00686E9D" w:rsidRDefault="00964ED2" w:rsidP="00843236">
      <w:pPr>
        <w:pStyle w:val="Ref"/>
        <w:rPr>
          <w:lang w:val="en-IE"/>
        </w:rPr>
      </w:pPr>
      <w:r w:rsidRPr="00686E9D">
        <w:rPr>
          <w:smallCaps/>
          <w:lang w:val="en-IE"/>
        </w:rPr>
        <w:t xml:space="preserve">Hyatt A.D., </w:t>
      </w:r>
      <w:proofErr w:type="spellStart"/>
      <w:r w:rsidRPr="00686E9D">
        <w:rPr>
          <w:smallCaps/>
          <w:lang w:val="en-IE"/>
        </w:rPr>
        <w:t>Zaki</w:t>
      </w:r>
      <w:proofErr w:type="spellEnd"/>
      <w:r w:rsidRPr="00686E9D">
        <w:rPr>
          <w:smallCaps/>
          <w:lang w:val="en-IE"/>
        </w:rPr>
        <w:t xml:space="preserve"> S.R., Goldsmith C.S., Wise T.G. &amp; </w:t>
      </w:r>
      <w:proofErr w:type="spellStart"/>
      <w:r w:rsidRPr="00686E9D">
        <w:rPr>
          <w:smallCaps/>
          <w:lang w:val="en-IE"/>
        </w:rPr>
        <w:t>Hengstberger</w:t>
      </w:r>
      <w:proofErr w:type="spellEnd"/>
      <w:r w:rsidRPr="00686E9D">
        <w:rPr>
          <w:smallCaps/>
          <w:lang w:val="en-IE"/>
        </w:rPr>
        <w:t xml:space="preserve"> S.G. (</w:t>
      </w:r>
      <w:r w:rsidRPr="00686E9D">
        <w:rPr>
          <w:lang w:val="en-IE"/>
        </w:rPr>
        <w:t xml:space="preserve">2001). Ultrastructure of Hendra virus and </w:t>
      </w:r>
      <w:proofErr w:type="spellStart"/>
      <w:r w:rsidRPr="00686E9D">
        <w:rPr>
          <w:lang w:val="en-IE"/>
        </w:rPr>
        <w:t>Nipah</w:t>
      </w:r>
      <w:proofErr w:type="spellEnd"/>
      <w:r w:rsidRPr="00686E9D">
        <w:rPr>
          <w:lang w:val="en-IE"/>
        </w:rPr>
        <w:t xml:space="preserve"> virus within cultured cells and host animals. </w:t>
      </w:r>
      <w:r w:rsidRPr="00686E9D">
        <w:rPr>
          <w:i/>
          <w:iCs/>
          <w:lang w:val="en-IE"/>
        </w:rPr>
        <w:t>Microbes Infect.,</w:t>
      </w:r>
      <w:r w:rsidRPr="00686E9D">
        <w:rPr>
          <w:lang w:val="en-IE"/>
        </w:rPr>
        <w:t xml:space="preserve"> </w:t>
      </w:r>
      <w:r w:rsidRPr="00686E9D">
        <w:rPr>
          <w:b/>
          <w:lang w:val="en-IE"/>
        </w:rPr>
        <w:t>3</w:t>
      </w:r>
      <w:r w:rsidRPr="00686E9D">
        <w:rPr>
          <w:lang w:val="en-IE"/>
        </w:rPr>
        <w:t>, 297–306.</w:t>
      </w:r>
    </w:p>
    <w:p w14:paraId="2CB8DF1A" w14:textId="1EB4DDD5" w:rsidR="00682ECF" w:rsidRPr="00686E9D" w:rsidRDefault="00964ED2" w:rsidP="00843236">
      <w:pPr>
        <w:pStyle w:val="Ref"/>
        <w:rPr>
          <w:strike/>
          <w:lang w:val="en-IE"/>
        </w:rPr>
      </w:pPr>
      <w:proofErr w:type="spellStart"/>
      <w:r w:rsidRPr="00686E9D">
        <w:rPr>
          <w:smallCaps/>
          <w:strike/>
          <w:lang w:val="en-IE"/>
        </w:rPr>
        <w:t>Iehle</w:t>
      </w:r>
      <w:proofErr w:type="spellEnd"/>
      <w:r w:rsidRPr="00686E9D">
        <w:rPr>
          <w:smallCaps/>
          <w:strike/>
          <w:lang w:val="en-IE"/>
        </w:rPr>
        <w:t xml:space="preserve"> C., </w:t>
      </w:r>
      <w:proofErr w:type="spellStart"/>
      <w:r w:rsidRPr="00686E9D">
        <w:rPr>
          <w:smallCaps/>
          <w:strike/>
          <w:lang w:val="en-IE"/>
        </w:rPr>
        <w:t>Razafitrimo</w:t>
      </w:r>
      <w:proofErr w:type="spellEnd"/>
      <w:r w:rsidRPr="00686E9D">
        <w:rPr>
          <w:smallCaps/>
          <w:strike/>
          <w:lang w:val="en-IE"/>
        </w:rPr>
        <w:t xml:space="preserve"> G., </w:t>
      </w:r>
      <w:proofErr w:type="spellStart"/>
      <w:r w:rsidRPr="00686E9D">
        <w:rPr>
          <w:smallCaps/>
          <w:strike/>
          <w:lang w:val="en-IE"/>
        </w:rPr>
        <w:t>Razainirina</w:t>
      </w:r>
      <w:proofErr w:type="spellEnd"/>
      <w:r w:rsidRPr="00686E9D">
        <w:rPr>
          <w:smallCaps/>
          <w:strike/>
          <w:lang w:val="en-IE"/>
        </w:rPr>
        <w:t xml:space="preserve"> J., </w:t>
      </w:r>
      <w:proofErr w:type="spellStart"/>
      <w:r w:rsidRPr="00686E9D">
        <w:rPr>
          <w:smallCaps/>
          <w:strike/>
          <w:lang w:val="en-IE"/>
        </w:rPr>
        <w:t>Andriaholinirina</w:t>
      </w:r>
      <w:proofErr w:type="spellEnd"/>
      <w:r w:rsidRPr="00686E9D">
        <w:rPr>
          <w:smallCaps/>
          <w:strike/>
          <w:lang w:val="en-IE"/>
        </w:rPr>
        <w:t xml:space="preserve"> N., Goodman S.M., Faure C., Georges-</w:t>
      </w:r>
      <w:proofErr w:type="spellStart"/>
      <w:r w:rsidRPr="00686E9D">
        <w:rPr>
          <w:smallCaps/>
          <w:strike/>
          <w:lang w:val="en-IE"/>
        </w:rPr>
        <w:t>Corbot</w:t>
      </w:r>
      <w:proofErr w:type="spellEnd"/>
      <w:r w:rsidRPr="00686E9D">
        <w:rPr>
          <w:smallCaps/>
          <w:strike/>
          <w:lang w:val="en-IE"/>
        </w:rPr>
        <w:t xml:space="preserve"> M-C., </w:t>
      </w:r>
      <w:proofErr w:type="spellStart"/>
      <w:r w:rsidRPr="00686E9D">
        <w:rPr>
          <w:smallCaps/>
          <w:strike/>
          <w:lang w:val="en-IE"/>
        </w:rPr>
        <w:t>Rousset</w:t>
      </w:r>
      <w:proofErr w:type="spellEnd"/>
      <w:r w:rsidRPr="00686E9D">
        <w:rPr>
          <w:smallCaps/>
          <w:strike/>
          <w:lang w:val="en-IE"/>
        </w:rPr>
        <w:t xml:space="preserve"> D. &amp; </w:t>
      </w:r>
      <w:proofErr w:type="spellStart"/>
      <w:r w:rsidRPr="00686E9D">
        <w:rPr>
          <w:smallCaps/>
          <w:strike/>
          <w:lang w:val="en-IE"/>
        </w:rPr>
        <w:t>Reynes</w:t>
      </w:r>
      <w:proofErr w:type="spellEnd"/>
      <w:r w:rsidRPr="00686E9D">
        <w:rPr>
          <w:smallCaps/>
          <w:strike/>
          <w:lang w:val="en-IE"/>
        </w:rPr>
        <w:t xml:space="preserve"> J-M</w:t>
      </w:r>
      <w:r w:rsidRPr="00686E9D">
        <w:rPr>
          <w:strike/>
          <w:lang w:val="en-IE"/>
        </w:rPr>
        <w:t xml:space="preserve">. (2007). </w:t>
      </w:r>
      <w:proofErr w:type="spellStart"/>
      <w:r w:rsidRPr="00686E9D">
        <w:rPr>
          <w:strike/>
          <w:lang w:val="en-IE"/>
        </w:rPr>
        <w:t>Henipavirus</w:t>
      </w:r>
      <w:proofErr w:type="spellEnd"/>
      <w:r w:rsidRPr="00686E9D">
        <w:rPr>
          <w:strike/>
          <w:lang w:val="en-IE"/>
        </w:rPr>
        <w:t xml:space="preserve"> and </w:t>
      </w:r>
      <w:proofErr w:type="spellStart"/>
      <w:r w:rsidRPr="00686E9D">
        <w:rPr>
          <w:strike/>
          <w:lang w:val="en-IE"/>
        </w:rPr>
        <w:t>Tioman</w:t>
      </w:r>
      <w:proofErr w:type="spellEnd"/>
      <w:r w:rsidRPr="00686E9D">
        <w:rPr>
          <w:strike/>
          <w:lang w:val="en-IE"/>
        </w:rPr>
        <w:t xml:space="preserve"> virus antibodies in </w:t>
      </w:r>
      <w:proofErr w:type="spellStart"/>
      <w:r w:rsidRPr="00686E9D">
        <w:rPr>
          <w:strike/>
          <w:lang w:val="en-IE"/>
        </w:rPr>
        <w:t>pteropid</w:t>
      </w:r>
      <w:proofErr w:type="spellEnd"/>
      <w:r w:rsidRPr="00686E9D">
        <w:rPr>
          <w:strike/>
          <w:lang w:val="en-IE"/>
        </w:rPr>
        <w:t xml:space="preserve"> bats, Madagascar. </w:t>
      </w:r>
      <w:proofErr w:type="spellStart"/>
      <w:r w:rsidRPr="00686E9D">
        <w:rPr>
          <w:i/>
          <w:iCs/>
          <w:strike/>
          <w:lang w:val="en-IE"/>
        </w:rPr>
        <w:t>Emerg</w:t>
      </w:r>
      <w:proofErr w:type="spellEnd"/>
      <w:r w:rsidRPr="00686E9D">
        <w:rPr>
          <w:i/>
          <w:iCs/>
          <w:strike/>
          <w:lang w:val="en-IE"/>
        </w:rPr>
        <w:t>. Infect Dis.,</w:t>
      </w:r>
      <w:r w:rsidRPr="00686E9D">
        <w:rPr>
          <w:strike/>
          <w:lang w:val="en-IE"/>
        </w:rPr>
        <w:t xml:space="preserve"> </w:t>
      </w:r>
      <w:r w:rsidRPr="00686E9D">
        <w:rPr>
          <w:b/>
          <w:bCs/>
          <w:strike/>
          <w:lang w:val="en-IE"/>
        </w:rPr>
        <w:t>13</w:t>
      </w:r>
      <w:r w:rsidRPr="00686E9D">
        <w:rPr>
          <w:strike/>
          <w:lang w:val="en-IE"/>
        </w:rPr>
        <w:t>, 159–161.</w:t>
      </w:r>
    </w:p>
    <w:p w14:paraId="0605D115" w14:textId="77777777" w:rsidR="00682ECF" w:rsidRPr="00686E9D" w:rsidRDefault="00964ED2" w:rsidP="00843236">
      <w:pPr>
        <w:pStyle w:val="Ref"/>
        <w:rPr>
          <w:lang w:val="en-IE"/>
        </w:rPr>
      </w:pPr>
      <w:r w:rsidRPr="00686E9D">
        <w:rPr>
          <w:smallCaps/>
          <w:lang w:val="en-IE"/>
        </w:rPr>
        <w:t xml:space="preserve">Kaku Y., Noguchi A., Marsh G.A., McEachern J.A., </w:t>
      </w:r>
      <w:proofErr w:type="spellStart"/>
      <w:r w:rsidRPr="00686E9D">
        <w:rPr>
          <w:smallCaps/>
          <w:lang w:val="en-IE"/>
        </w:rPr>
        <w:t>Okutani</w:t>
      </w:r>
      <w:proofErr w:type="spellEnd"/>
      <w:r w:rsidRPr="00686E9D">
        <w:rPr>
          <w:smallCaps/>
          <w:lang w:val="en-IE"/>
        </w:rPr>
        <w:t xml:space="preserve"> A., </w:t>
      </w:r>
      <w:proofErr w:type="spellStart"/>
      <w:r w:rsidRPr="00686E9D">
        <w:rPr>
          <w:smallCaps/>
          <w:lang w:val="en-IE"/>
        </w:rPr>
        <w:t>Hotta</w:t>
      </w:r>
      <w:proofErr w:type="spellEnd"/>
      <w:r w:rsidRPr="00686E9D">
        <w:rPr>
          <w:smallCaps/>
          <w:lang w:val="en-IE"/>
        </w:rPr>
        <w:t xml:space="preserve"> K., </w:t>
      </w:r>
      <w:proofErr w:type="spellStart"/>
      <w:r w:rsidRPr="00686E9D">
        <w:rPr>
          <w:smallCaps/>
          <w:lang w:val="en-IE"/>
        </w:rPr>
        <w:t>Bazartseren</w:t>
      </w:r>
      <w:proofErr w:type="spellEnd"/>
      <w:r w:rsidRPr="00686E9D">
        <w:rPr>
          <w:smallCaps/>
          <w:lang w:val="en-IE"/>
        </w:rPr>
        <w:t xml:space="preserve"> B., </w:t>
      </w:r>
      <w:proofErr w:type="spellStart"/>
      <w:r w:rsidRPr="00686E9D">
        <w:rPr>
          <w:smallCaps/>
          <w:lang w:val="en-IE"/>
        </w:rPr>
        <w:t>Fukushi</w:t>
      </w:r>
      <w:proofErr w:type="spellEnd"/>
      <w:r w:rsidRPr="00686E9D">
        <w:rPr>
          <w:smallCaps/>
          <w:lang w:val="en-IE"/>
        </w:rPr>
        <w:t xml:space="preserve"> S., Broder C.C., Yamada A., Inoue S., Wang L.F. (2009).</w:t>
      </w:r>
      <w:r w:rsidRPr="00686E9D">
        <w:rPr>
          <w:lang w:val="en-IE"/>
        </w:rPr>
        <w:t xml:space="preserve"> </w:t>
      </w:r>
      <w:bookmarkStart w:id="74" w:name="_Hlk62205251"/>
      <w:r w:rsidRPr="00686E9D">
        <w:rPr>
          <w:lang w:val="en-IE"/>
        </w:rPr>
        <w:t xml:space="preserve">A neutralization test for specific detection of </w:t>
      </w:r>
      <w:proofErr w:type="spellStart"/>
      <w:r w:rsidRPr="00686E9D">
        <w:rPr>
          <w:lang w:val="en-IE"/>
        </w:rPr>
        <w:t>Nipah</w:t>
      </w:r>
      <w:proofErr w:type="spellEnd"/>
      <w:r w:rsidRPr="00686E9D">
        <w:rPr>
          <w:lang w:val="en-IE"/>
        </w:rPr>
        <w:t xml:space="preserve"> virus antibodies using </w:t>
      </w:r>
      <w:proofErr w:type="spellStart"/>
      <w:r w:rsidRPr="00686E9D">
        <w:rPr>
          <w:lang w:val="en-IE"/>
        </w:rPr>
        <w:t>pseudotyped</w:t>
      </w:r>
      <w:proofErr w:type="spellEnd"/>
      <w:r w:rsidRPr="00686E9D">
        <w:rPr>
          <w:lang w:val="en-IE"/>
        </w:rPr>
        <w:t xml:space="preserve"> vesicular stomatitis virus expressing green fluorescent protein</w:t>
      </w:r>
      <w:bookmarkEnd w:id="74"/>
      <w:r w:rsidRPr="00686E9D">
        <w:rPr>
          <w:lang w:val="en-IE"/>
        </w:rPr>
        <w:t xml:space="preserve">. </w:t>
      </w:r>
      <w:r w:rsidRPr="00686E9D">
        <w:rPr>
          <w:i/>
          <w:lang w:val="en-IE"/>
        </w:rPr>
        <w:t xml:space="preserve">J. </w:t>
      </w:r>
      <w:proofErr w:type="spellStart"/>
      <w:r w:rsidRPr="00686E9D">
        <w:rPr>
          <w:i/>
          <w:lang w:val="en-IE"/>
        </w:rPr>
        <w:t>Virol</w:t>
      </w:r>
      <w:proofErr w:type="spellEnd"/>
      <w:r w:rsidRPr="00686E9D">
        <w:rPr>
          <w:i/>
          <w:lang w:val="en-IE"/>
        </w:rPr>
        <w:t>. Methods</w:t>
      </w:r>
      <w:r w:rsidRPr="00686E9D">
        <w:rPr>
          <w:lang w:val="en-IE"/>
        </w:rPr>
        <w:t xml:space="preserve">, </w:t>
      </w:r>
      <w:r w:rsidRPr="00686E9D">
        <w:rPr>
          <w:b/>
          <w:lang w:val="en-IE"/>
        </w:rPr>
        <w:t>160</w:t>
      </w:r>
      <w:r w:rsidRPr="00686E9D">
        <w:rPr>
          <w:lang w:val="en-IE"/>
        </w:rPr>
        <w:t>, 7–13.</w:t>
      </w:r>
    </w:p>
    <w:p w14:paraId="1DEC9938" w14:textId="430E0C95" w:rsidR="00F746DE" w:rsidRPr="0084084E" w:rsidRDefault="00F746DE" w:rsidP="009A0536">
      <w:pPr>
        <w:pStyle w:val="Ref"/>
        <w:rPr>
          <w:u w:val="double"/>
        </w:rPr>
      </w:pPr>
      <w:r w:rsidRPr="0084084E">
        <w:rPr>
          <w:smallCaps/>
          <w:highlight w:val="yellow"/>
          <w:u w:val="double"/>
          <w:lang w:val="en-IE"/>
        </w:rPr>
        <w:t xml:space="preserve">Lee S-H., Kim K., Kim J., No J.S., Park K., </w:t>
      </w:r>
      <w:proofErr w:type="spellStart"/>
      <w:r w:rsidRPr="0084084E">
        <w:rPr>
          <w:smallCaps/>
          <w:highlight w:val="yellow"/>
          <w:u w:val="double"/>
          <w:lang w:val="en-IE"/>
        </w:rPr>
        <w:t>Budhathoki</w:t>
      </w:r>
      <w:proofErr w:type="spellEnd"/>
      <w:r w:rsidRPr="0084084E">
        <w:rPr>
          <w:smallCaps/>
          <w:highlight w:val="yellow"/>
          <w:u w:val="double"/>
          <w:lang w:val="en-IE"/>
        </w:rPr>
        <w:t xml:space="preserve"> S., Lee S.H., Lee J., Cho S.H., Cho S., Lee G-Y., Hwang J., Kim H-C., Klein T.A., Uhm C-S., Kim W-K., Song J-W.</w:t>
      </w:r>
      <w:r w:rsidRPr="0084084E">
        <w:rPr>
          <w:highlight w:val="yellow"/>
          <w:u w:val="double"/>
          <w:lang w:val="en-IE"/>
        </w:rPr>
        <w:t xml:space="preserve"> (2021) Discovery and Genetic Characterization of Novel Paramyxoviruses Related to the Genus </w:t>
      </w:r>
      <w:proofErr w:type="spellStart"/>
      <w:r w:rsidRPr="0084084E">
        <w:rPr>
          <w:highlight w:val="yellow"/>
          <w:u w:val="double"/>
          <w:lang w:val="en-IE"/>
        </w:rPr>
        <w:t>Henipavirus</w:t>
      </w:r>
      <w:proofErr w:type="spellEnd"/>
      <w:r w:rsidRPr="0084084E">
        <w:rPr>
          <w:highlight w:val="yellow"/>
          <w:u w:val="double"/>
          <w:lang w:val="en-IE"/>
        </w:rPr>
        <w:t xml:space="preserve"> in </w:t>
      </w:r>
      <w:proofErr w:type="spellStart"/>
      <w:r w:rsidRPr="0084084E">
        <w:rPr>
          <w:highlight w:val="yellow"/>
          <w:u w:val="double"/>
          <w:lang w:val="en-IE"/>
        </w:rPr>
        <w:t>Crocidura</w:t>
      </w:r>
      <w:proofErr w:type="spellEnd"/>
      <w:r w:rsidRPr="0084084E">
        <w:rPr>
          <w:highlight w:val="yellow"/>
          <w:u w:val="double"/>
          <w:lang w:val="en-IE"/>
        </w:rPr>
        <w:t xml:space="preserve"> Species in the Republic of Korea. </w:t>
      </w:r>
      <w:r w:rsidRPr="0084084E">
        <w:rPr>
          <w:i/>
          <w:iCs/>
          <w:highlight w:val="yellow"/>
          <w:u w:val="double"/>
          <w:lang w:val="en-IE"/>
        </w:rPr>
        <w:t>Viruses</w:t>
      </w:r>
      <w:r w:rsidRPr="0084084E">
        <w:rPr>
          <w:highlight w:val="yellow"/>
          <w:u w:val="double"/>
          <w:lang w:val="en-IE"/>
        </w:rPr>
        <w:t xml:space="preserve">. </w:t>
      </w:r>
      <w:r w:rsidRPr="0084084E">
        <w:rPr>
          <w:b/>
          <w:bCs/>
          <w:highlight w:val="yellow"/>
          <w:u w:val="double"/>
          <w:lang w:val="en-IE"/>
        </w:rPr>
        <w:t>13</w:t>
      </w:r>
      <w:r w:rsidRPr="0084084E">
        <w:rPr>
          <w:highlight w:val="yellow"/>
          <w:u w:val="double"/>
          <w:lang w:val="en-IE"/>
        </w:rPr>
        <w:t>, 2020.</w:t>
      </w:r>
    </w:p>
    <w:p w14:paraId="2832D637" w14:textId="1C9F14C5" w:rsidR="00682ECF" w:rsidRPr="00686E9D" w:rsidRDefault="00964ED2" w:rsidP="00843236">
      <w:pPr>
        <w:pStyle w:val="Ref"/>
        <w:rPr>
          <w:lang w:val="en-IE"/>
        </w:rPr>
      </w:pPr>
      <w:proofErr w:type="spellStart"/>
      <w:r w:rsidRPr="00686E9D">
        <w:rPr>
          <w:smallCaps/>
          <w:lang w:val="en-IE" w:eastAsia="en-US"/>
        </w:rPr>
        <w:t>Luby</w:t>
      </w:r>
      <w:proofErr w:type="spellEnd"/>
      <w:r w:rsidRPr="00686E9D">
        <w:rPr>
          <w:smallCaps/>
          <w:lang w:val="en-IE" w:eastAsia="en-US"/>
        </w:rPr>
        <w:t xml:space="preserve"> S.P., Rahman M., Hossain M.J., Blum L.S., Husain M.M., Gurley E., Khan R., Ahmed B.N., Rahman S., Nahar N., </w:t>
      </w:r>
      <w:proofErr w:type="spellStart"/>
      <w:r w:rsidRPr="00686E9D">
        <w:rPr>
          <w:smallCaps/>
          <w:lang w:val="en-IE" w:eastAsia="en-US"/>
        </w:rPr>
        <w:t>Kenah</w:t>
      </w:r>
      <w:proofErr w:type="spellEnd"/>
      <w:r w:rsidRPr="00686E9D">
        <w:rPr>
          <w:smallCaps/>
          <w:lang w:val="en-IE" w:eastAsia="en-US"/>
        </w:rPr>
        <w:t xml:space="preserve"> E., Comer J.A. &amp; </w:t>
      </w:r>
      <w:proofErr w:type="spellStart"/>
      <w:r w:rsidRPr="00686E9D">
        <w:rPr>
          <w:smallCaps/>
          <w:lang w:val="en-IE" w:eastAsia="en-US"/>
        </w:rPr>
        <w:t>Ksiazek</w:t>
      </w:r>
      <w:proofErr w:type="spellEnd"/>
      <w:r w:rsidRPr="00686E9D">
        <w:rPr>
          <w:smallCaps/>
          <w:lang w:val="en-IE" w:eastAsia="en-US"/>
        </w:rPr>
        <w:t xml:space="preserve"> T.G. </w:t>
      </w:r>
      <w:r w:rsidRPr="00686E9D">
        <w:rPr>
          <w:lang w:val="en-IE" w:eastAsia="en-US"/>
        </w:rPr>
        <w:t xml:space="preserve">(2006). Foodborne transmission of </w:t>
      </w:r>
      <w:proofErr w:type="spellStart"/>
      <w:r w:rsidRPr="00686E9D">
        <w:rPr>
          <w:lang w:val="en-IE" w:eastAsia="en-US"/>
        </w:rPr>
        <w:t>Nipah</w:t>
      </w:r>
      <w:proofErr w:type="spellEnd"/>
      <w:r w:rsidRPr="00686E9D">
        <w:rPr>
          <w:lang w:val="en-IE" w:eastAsia="en-US"/>
        </w:rPr>
        <w:t xml:space="preserve"> virus, Bangladesh. </w:t>
      </w:r>
      <w:proofErr w:type="spellStart"/>
      <w:r w:rsidRPr="00686E9D">
        <w:rPr>
          <w:i/>
          <w:iCs/>
          <w:lang w:val="en-IE"/>
        </w:rPr>
        <w:t>Emerg</w:t>
      </w:r>
      <w:proofErr w:type="spellEnd"/>
      <w:r w:rsidRPr="00686E9D">
        <w:rPr>
          <w:i/>
          <w:iCs/>
          <w:lang w:val="en-IE"/>
        </w:rPr>
        <w:t>. Infect. Dis.,</w:t>
      </w:r>
      <w:r w:rsidRPr="00686E9D">
        <w:rPr>
          <w:lang w:val="en-IE"/>
        </w:rPr>
        <w:t xml:space="preserve"> </w:t>
      </w:r>
      <w:r w:rsidRPr="00686E9D">
        <w:rPr>
          <w:b/>
          <w:bCs/>
          <w:lang w:val="en-IE" w:eastAsia="en-US"/>
        </w:rPr>
        <w:t>12</w:t>
      </w:r>
      <w:r w:rsidRPr="00686E9D">
        <w:rPr>
          <w:lang w:val="en-IE" w:eastAsia="en-US"/>
        </w:rPr>
        <w:t>, 1888–1894.</w:t>
      </w:r>
    </w:p>
    <w:p w14:paraId="543BF591" w14:textId="77777777" w:rsidR="00682ECF" w:rsidRPr="00686E9D" w:rsidRDefault="00964ED2" w:rsidP="00843236">
      <w:pPr>
        <w:pStyle w:val="Ref"/>
        <w:rPr>
          <w:lang w:val="en-IE"/>
        </w:rPr>
      </w:pPr>
      <w:r w:rsidRPr="00686E9D">
        <w:rPr>
          <w:smallCaps/>
          <w:lang w:val="en-IE"/>
        </w:rPr>
        <w:t xml:space="preserve">Marsh G.A., </w:t>
      </w:r>
      <w:proofErr w:type="spellStart"/>
      <w:r w:rsidRPr="00686E9D">
        <w:rPr>
          <w:smallCaps/>
          <w:lang w:val="en-IE"/>
        </w:rPr>
        <w:t>Haining</w:t>
      </w:r>
      <w:proofErr w:type="spellEnd"/>
      <w:r w:rsidRPr="00686E9D">
        <w:rPr>
          <w:smallCaps/>
          <w:lang w:val="en-IE"/>
        </w:rPr>
        <w:t xml:space="preserve"> J., Hancock T.J., Robinson R., </w:t>
      </w:r>
      <w:proofErr w:type="spellStart"/>
      <w:r w:rsidRPr="00686E9D">
        <w:rPr>
          <w:smallCaps/>
          <w:lang w:val="en-IE"/>
        </w:rPr>
        <w:t>Foord</w:t>
      </w:r>
      <w:proofErr w:type="spellEnd"/>
      <w:r w:rsidRPr="00686E9D">
        <w:rPr>
          <w:smallCaps/>
          <w:lang w:val="en-IE"/>
        </w:rPr>
        <w:t xml:space="preserve"> A.J., Barr J.A., Riddell S., Heine H.G., White J.R., </w:t>
      </w:r>
      <w:proofErr w:type="spellStart"/>
      <w:r w:rsidRPr="00686E9D">
        <w:rPr>
          <w:smallCaps/>
          <w:lang w:val="en-IE"/>
        </w:rPr>
        <w:t>Crameri</w:t>
      </w:r>
      <w:proofErr w:type="spellEnd"/>
      <w:r w:rsidRPr="00686E9D">
        <w:rPr>
          <w:smallCaps/>
          <w:lang w:val="en-IE"/>
        </w:rPr>
        <w:t xml:space="preserve"> G., Field H.E., Wang L.F. &amp; Middleton D.</w:t>
      </w:r>
      <w:r w:rsidRPr="00686E9D">
        <w:rPr>
          <w:lang w:val="en-IE"/>
        </w:rPr>
        <w:t xml:space="preserve"> (2011). Experimental infection of horses with Hendra virus/Australia/horse/2008/Redlands. </w:t>
      </w:r>
      <w:proofErr w:type="spellStart"/>
      <w:r w:rsidRPr="00686E9D">
        <w:rPr>
          <w:i/>
          <w:lang w:val="en-IE"/>
        </w:rPr>
        <w:t>Emerg</w:t>
      </w:r>
      <w:proofErr w:type="spellEnd"/>
      <w:r w:rsidRPr="00686E9D">
        <w:rPr>
          <w:i/>
          <w:lang w:val="en-IE"/>
        </w:rPr>
        <w:t>. Infect. Dis</w:t>
      </w:r>
      <w:r w:rsidRPr="00686E9D">
        <w:rPr>
          <w:lang w:val="en-IE"/>
        </w:rPr>
        <w:t xml:space="preserve">., </w:t>
      </w:r>
      <w:r w:rsidRPr="00686E9D">
        <w:rPr>
          <w:b/>
          <w:lang w:val="en-IE"/>
        </w:rPr>
        <w:t>7</w:t>
      </w:r>
      <w:r w:rsidRPr="00686E9D">
        <w:rPr>
          <w:lang w:val="en-IE"/>
        </w:rPr>
        <w:t>, 2232–2238.</w:t>
      </w:r>
    </w:p>
    <w:p w14:paraId="1B488DBA" w14:textId="7F5C59DA" w:rsidR="00682ECF" w:rsidRDefault="00964ED2" w:rsidP="00843236">
      <w:pPr>
        <w:pStyle w:val="Ref"/>
        <w:rPr>
          <w:lang w:val="en-IE"/>
        </w:rPr>
      </w:pPr>
      <w:r w:rsidRPr="00686E9D">
        <w:rPr>
          <w:smallCaps/>
          <w:lang w:val="en-IE"/>
        </w:rPr>
        <w:t xml:space="preserve">Marsh G.A., de Jong C., Barr J.A., </w:t>
      </w:r>
      <w:proofErr w:type="spellStart"/>
      <w:r w:rsidRPr="00686E9D">
        <w:rPr>
          <w:smallCaps/>
          <w:lang w:val="en-IE"/>
        </w:rPr>
        <w:t>Tachedjian</w:t>
      </w:r>
      <w:proofErr w:type="spellEnd"/>
      <w:r w:rsidRPr="00686E9D">
        <w:rPr>
          <w:smallCaps/>
          <w:lang w:val="en-IE"/>
        </w:rPr>
        <w:t xml:space="preserve"> M., Smith C., Middleton D., Yu M., Todd S., </w:t>
      </w:r>
      <w:proofErr w:type="spellStart"/>
      <w:r w:rsidRPr="00686E9D">
        <w:rPr>
          <w:smallCaps/>
          <w:lang w:val="en-IE"/>
        </w:rPr>
        <w:t>Foord</w:t>
      </w:r>
      <w:proofErr w:type="spellEnd"/>
      <w:r w:rsidRPr="00686E9D">
        <w:rPr>
          <w:smallCaps/>
          <w:lang w:val="en-IE"/>
        </w:rPr>
        <w:t xml:space="preserve"> A.J., Haring V., Payne J., Robinson R., Broz I., </w:t>
      </w:r>
      <w:proofErr w:type="spellStart"/>
      <w:r w:rsidRPr="00686E9D">
        <w:rPr>
          <w:smallCaps/>
          <w:lang w:val="en-IE"/>
        </w:rPr>
        <w:t>Crameri</w:t>
      </w:r>
      <w:proofErr w:type="spellEnd"/>
      <w:r w:rsidRPr="00686E9D">
        <w:rPr>
          <w:smallCaps/>
          <w:lang w:val="en-IE"/>
        </w:rPr>
        <w:t xml:space="preserve"> G., Field H.E. &amp; Wang LF.</w:t>
      </w:r>
      <w:r w:rsidRPr="00686E9D">
        <w:rPr>
          <w:lang w:val="en-IE"/>
        </w:rPr>
        <w:t xml:space="preserve"> (2012). Cedar virus: a novel </w:t>
      </w:r>
      <w:proofErr w:type="spellStart"/>
      <w:r w:rsidRPr="00686E9D">
        <w:rPr>
          <w:lang w:val="en-IE"/>
        </w:rPr>
        <w:t>Henipavirus</w:t>
      </w:r>
      <w:proofErr w:type="spellEnd"/>
      <w:r w:rsidRPr="00686E9D">
        <w:rPr>
          <w:lang w:val="en-IE"/>
        </w:rPr>
        <w:t xml:space="preserve"> isolated from Australian bats. </w:t>
      </w:r>
      <w:proofErr w:type="spellStart"/>
      <w:r w:rsidRPr="00686E9D">
        <w:rPr>
          <w:i/>
          <w:lang w:val="en-IE"/>
        </w:rPr>
        <w:t>PLoS</w:t>
      </w:r>
      <w:proofErr w:type="spellEnd"/>
      <w:r w:rsidRPr="00686E9D">
        <w:rPr>
          <w:i/>
          <w:lang w:val="en-IE"/>
        </w:rPr>
        <w:t xml:space="preserve"> </w:t>
      </w:r>
      <w:proofErr w:type="spellStart"/>
      <w:r w:rsidRPr="00686E9D">
        <w:rPr>
          <w:i/>
          <w:lang w:val="en-IE"/>
        </w:rPr>
        <w:t>Pathog</w:t>
      </w:r>
      <w:proofErr w:type="spellEnd"/>
      <w:r w:rsidRPr="00686E9D">
        <w:rPr>
          <w:lang w:val="en-IE"/>
        </w:rPr>
        <w:t xml:space="preserve">, </w:t>
      </w:r>
      <w:r w:rsidRPr="00686E9D">
        <w:rPr>
          <w:b/>
          <w:lang w:val="en-IE"/>
        </w:rPr>
        <w:t>8</w:t>
      </w:r>
      <w:r w:rsidRPr="00686E9D">
        <w:rPr>
          <w:lang w:val="en-IE"/>
        </w:rPr>
        <w:t>, e1002836.</w:t>
      </w:r>
    </w:p>
    <w:p w14:paraId="14EFF72F" w14:textId="29C1B1E2" w:rsidR="00175319" w:rsidRPr="00136F54" w:rsidRDefault="00136F54" w:rsidP="00843236">
      <w:pPr>
        <w:pStyle w:val="Ref"/>
        <w:rPr>
          <w:u w:val="double"/>
          <w:lang w:val="en-IE"/>
        </w:rPr>
      </w:pPr>
      <w:r w:rsidRPr="00136F54">
        <w:rPr>
          <w:smallCaps/>
          <w:u w:val="double"/>
          <w:lang w:val="en-IE"/>
        </w:rPr>
        <w:t>Mc</w:t>
      </w:r>
      <w:r>
        <w:rPr>
          <w:smallCaps/>
          <w:u w:val="double"/>
          <w:lang w:val="en-IE"/>
        </w:rPr>
        <w:t>N</w:t>
      </w:r>
      <w:r w:rsidRPr="00136F54">
        <w:rPr>
          <w:smallCaps/>
          <w:u w:val="double"/>
          <w:lang w:val="en-IE"/>
        </w:rPr>
        <w:t xml:space="preserve">abb L., </w:t>
      </w:r>
      <w:proofErr w:type="spellStart"/>
      <w:r w:rsidRPr="00136F54">
        <w:rPr>
          <w:smallCaps/>
          <w:u w:val="double"/>
          <w:lang w:val="en-IE"/>
        </w:rPr>
        <w:t>Andiani</w:t>
      </w:r>
      <w:proofErr w:type="spellEnd"/>
      <w:r w:rsidRPr="00136F54">
        <w:rPr>
          <w:smallCaps/>
          <w:u w:val="double"/>
          <w:lang w:val="en-IE"/>
        </w:rPr>
        <w:t xml:space="preserve"> A., </w:t>
      </w:r>
      <w:proofErr w:type="spellStart"/>
      <w:r w:rsidRPr="00136F54">
        <w:rPr>
          <w:smallCaps/>
          <w:u w:val="double"/>
          <w:lang w:val="en-IE"/>
        </w:rPr>
        <w:t>Bulavaite</w:t>
      </w:r>
      <w:proofErr w:type="spellEnd"/>
      <w:r w:rsidRPr="00136F54">
        <w:rPr>
          <w:smallCaps/>
          <w:u w:val="double"/>
          <w:lang w:val="en-IE"/>
        </w:rPr>
        <w:t xml:space="preserve"> A., </w:t>
      </w:r>
      <w:proofErr w:type="spellStart"/>
      <w:r w:rsidRPr="00136F54">
        <w:rPr>
          <w:smallCaps/>
          <w:u w:val="double"/>
          <w:lang w:val="en-IE"/>
        </w:rPr>
        <w:t>Zvirbliene</w:t>
      </w:r>
      <w:proofErr w:type="spellEnd"/>
      <w:r w:rsidRPr="00136F54">
        <w:rPr>
          <w:smallCaps/>
          <w:u w:val="double"/>
          <w:lang w:val="en-IE"/>
        </w:rPr>
        <w:t xml:space="preserve"> A., </w:t>
      </w:r>
      <w:proofErr w:type="spellStart"/>
      <w:r w:rsidRPr="00136F54">
        <w:rPr>
          <w:smallCaps/>
          <w:u w:val="double"/>
          <w:lang w:val="en-IE"/>
        </w:rPr>
        <w:t>Sasnauskas</w:t>
      </w:r>
      <w:proofErr w:type="spellEnd"/>
      <w:r w:rsidRPr="00136F54">
        <w:rPr>
          <w:smallCaps/>
          <w:u w:val="double"/>
          <w:lang w:val="en-IE"/>
        </w:rPr>
        <w:t xml:space="preserve"> K.</w:t>
      </w:r>
      <w:r>
        <w:rPr>
          <w:smallCaps/>
          <w:u w:val="double"/>
          <w:lang w:val="en-IE"/>
        </w:rPr>
        <w:t xml:space="preserve"> &amp;</w:t>
      </w:r>
      <w:r w:rsidRPr="00136F54">
        <w:rPr>
          <w:smallCaps/>
          <w:u w:val="double"/>
          <w:lang w:val="en-IE"/>
        </w:rPr>
        <w:t xml:space="preserve"> Lunt R.</w:t>
      </w:r>
      <w:r w:rsidR="00175319" w:rsidRPr="00136F54">
        <w:rPr>
          <w:u w:val="double"/>
          <w:lang w:val="en-IE"/>
        </w:rPr>
        <w:t xml:space="preserve"> (2021) Development and validation of an IgM antibody capture ELISA for early detection of Hendra virus. </w:t>
      </w:r>
      <w:r w:rsidR="00175319" w:rsidRPr="00136F54">
        <w:rPr>
          <w:i/>
          <w:iCs/>
          <w:u w:val="double"/>
          <w:lang w:val="en-IE"/>
        </w:rPr>
        <w:t xml:space="preserve">J. </w:t>
      </w:r>
      <w:proofErr w:type="spellStart"/>
      <w:r w:rsidR="00175319" w:rsidRPr="00136F54">
        <w:rPr>
          <w:i/>
          <w:iCs/>
          <w:u w:val="double"/>
          <w:lang w:val="en-IE"/>
        </w:rPr>
        <w:t>Virol</w:t>
      </w:r>
      <w:proofErr w:type="spellEnd"/>
      <w:r w:rsidR="00175319" w:rsidRPr="00136F54">
        <w:rPr>
          <w:i/>
          <w:iCs/>
          <w:u w:val="double"/>
          <w:lang w:val="en-IE"/>
        </w:rPr>
        <w:t>. Methods</w:t>
      </w:r>
      <w:r w:rsidR="00175319" w:rsidRPr="00136F54">
        <w:rPr>
          <w:u w:val="double"/>
          <w:lang w:val="en-IE"/>
        </w:rPr>
        <w:t xml:space="preserve">, </w:t>
      </w:r>
      <w:r w:rsidR="00175319" w:rsidRPr="00136F54">
        <w:rPr>
          <w:b/>
          <w:bCs/>
          <w:u w:val="double"/>
          <w:lang w:val="en-IE"/>
        </w:rPr>
        <w:t>298</w:t>
      </w:r>
      <w:r>
        <w:rPr>
          <w:u w:val="double"/>
          <w:lang w:val="en-IE"/>
        </w:rPr>
        <w:t xml:space="preserve">, </w:t>
      </w:r>
      <w:r w:rsidR="00175319" w:rsidRPr="00136F54">
        <w:rPr>
          <w:u w:val="double"/>
          <w:lang w:val="en-IE"/>
        </w:rPr>
        <w:t>114296.</w:t>
      </w:r>
    </w:p>
    <w:p w14:paraId="2D1560E3" w14:textId="77777777" w:rsidR="00682ECF" w:rsidRPr="00686E9D" w:rsidRDefault="00964ED2" w:rsidP="00843236">
      <w:pPr>
        <w:pStyle w:val="Ref"/>
        <w:rPr>
          <w:lang w:val="en-IE"/>
        </w:rPr>
      </w:pPr>
      <w:r w:rsidRPr="00686E9D">
        <w:rPr>
          <w:smallCaps/>
          <w:lang w:val="en-IE"/>
        </w:rPr>
        <w:t xml:space="preserve">McNabb L., Barr J., </w:t>
      </w:r>
      <w:proofErr w:type="spellStart"/>
      <w:r w:rsidRPr="00686E9D">
        <w:rPr>
          <w:smallCaps/>
          <w:lang w:val="en-IE"/>
        </w:rPr>
        <w:t>Crameri</w:t>
      </w:r>
      <w:proofErr w:type="spellEnd"/>
      <w:r w:rsidRPr="00686E9D">
        <w:rPr>
          <w:smallCaps/>
          <w:lang w:val="en-IE"/>
        </w:rPr>
        <w:t xml:space="preserve"> G., </w:t>
      </w:r>
      <w:proofErr w:type="spellStart"/>
      <w:r w:rsidRPr="00686E9D">
        <w:rPr>
          <w:smallCaps/>
          <w:lang w:val="en-IE"/>
        </w:rPr>
        <w:t>Juzva</w:t>
      </w:r>
      <w:proofErr w:type="spellEnd"/>
      <w:r w:rsidRPr="00686E9D">
        <w:rPr>
          <w:smallCaps/>
          <w:lang w:val="en-IE"/>
        </w:rPr>
        <w:t xml:space="preserve"> S., Riddell S., Colling A., Boyd V., Broder C., Wang L.F. &amp; Lunt R.</w:t>
      </w:r>
      <w:r w:rsidRPr="00686E9D">
        <w:rPr>
          <w:caps/>
          <w:lang w:val="en-IE"/>
        </w:rPr>
        <w:t xml:space="preserve"> (2014).</w:t>
      </w:r>
      <w:r w:rsidRPr="00686E9D">
        <w:rPr>
          <w:lang w:val="en-IE"/>
        </w:rPr>
        <w:t xml:space="preserve"> </w:t>
      </w:r>
      <w:proofErr w:type="spellStart"/>
      <w:r w:rsidRPr="00686E9D">
        <w:rPr>
          <w:lang w:val="en-IE"/>
        </w:rPr>
        <w:t>Henipavirus</w:t>
      </w:r>
      <w:proofErr w:type="spellEnd"/>
      <w:r w:rsidRPr="00686E9D">
        <w:rPr>
          <w:lang w:val="en-IE"/>
        </w:rPr>
        <w:t xml:space="preserve"> microsphere immuno-assays for detection of antibodies against Hendra virus. </w:t>
      </w:r>
      <w:r w:rsidRPr="00686E9D">
        <w:rPr>
          <w:i/>
          <w:lang w:val="en-IE"/>
        </w:rPr>
        <w:t xml:space="preserve">J. </w:t>
      </w:r>
      <w:proofErr w:type="spellStart"/>
      <w:r w:rsidRPr="00686E9D">
        <w:rPr>
          <w:i/>
          <w:lang w:val="en-IE"/>
        </w:rPr>
        <w:t>Virol</w:t>
      </w:r>
      <w:proofErr w:type="spellEnd"/>
      <w:r w:rsidRPr="00686E9D">
        <w:rPr>
          <w:i/>
          <w:lang w:val="en-IE"/>
        </w:rPr>
        <w:t>. Methods</w:t>
      </w:r>
      <w:r w:rsidRPr="00686E9D">
        <w:rPr>
          <w:lang w:val="en-IE"/>
        </w:rPr>
        <w:t xml:space="preserve">, </w:t>
      </w:r>
      <w:r w:rsidRPr="00686E9D">
        <w:rPr>
          <w:b/>
          <w:lang w:val="en-IE"/>
        </w:rPr>
        <w:t>200</w:t>
      </w:r>
      <w:r w:rsidRPr="00686E9D">
        <w:rPr>
          <w:lang w:val="en-IE"/>
        </w:rPr>
        <w:t>, 22–28.</w:t>
      </w:r>
    </w:p>
    <w:p w14:paraId="2832B218" w14:textId="23F73F6D" w:rsidR="00682ECF" w:rsidRPr="00686E9D" w:rsidRDefault="00964ED2" w:rsidP="00843236">
      <w:pPr>
        <w:pStyle w:val="Ref"/>
        <w:rPr>
          <w:strike/>
          <w:lang w:val="en-IE"/>
        </w:rPr>
      </w:pPr>
      <w:r w:rsidRPr="00686E9D">
        <w:rPr>
          <w:smallCaps/>
          <w:strike/>
          <w:lang w:val="en-IE"/>
        </w:rPr>
        <w:t xml:space="preserve">Middleton D.J., Westbury H.A., </w:t>
      </w:r>
      <w:proofErr w:type="spellStart"/>
      <w:r w:rsidRPr="00686E9D">
        <w:rPr>
          <w:smallCaps/>
          <w:strike/>
          <w:lang w:val="en-IE"/>
        </w:rPr>
        <w:t>Morrissy</w:t>
      </w:r>
      <w:proofErr w:type="spellEnd"/>
      <w:r w:rsidRPr="00686E9D">
        <w:rPr>
          <w:smallCaps/>
          <w:strike/>
          <w:lang w:val="en-IE"/>
        </w:rPr>
        <w:t xml:space="preserve"> C.J., van der Heide B.M., Russell G.M., Braun M.A. &amp; Hyatt A.D.</w:t>
      </w:r>
      <w:r w:rsidRPr="00686E9D">
        <w:rPr>
          <w:strike/>
          <w:lang w:val="en-IE"/>
        </w:rPr>
        <w:t xml:space="preserve"> (2002). Experimental </w:t>
      </w:r>
      <w:proofErr w:type="spellStart"/>
      <w:r w:rsidRPr="00686E9D">
        <w:rPr>
          <w:strike/>
          <w:lang w:val="en-IE"/>
        </w:rPr>
        <w:t>Nipah</w:t>
      </w:r>
      <w:proofErr w:type="spellEnd"/>
      <w:r w:rsidRPr="00686E9D">
        <w:rPr>
          <w:strike/>
          <w:lang w:val="en-IE"/>
        </w:rPr>
        <w:t xml:space="preserve"> virus infection in pigs and cats. </w:t>
      </w:r>
      <w:r w:rsidRPr="00686E9D">
        <w:rPr>
          <w:i/>
          <w:strike/>
          <w:lang w:val="en-IE"/>
        </w:rPr>
        <w:t xml:space="preserve">J. Comp. </w:t>
      </w:r>
      <w:proofErr w:type="spellStart"/>
      <w:r w:rsidRPr="00686E9D">
        <w:rPr>
          <w:i/>
          <w:strike/>
          <w:lang w:val="en-IE"/>
        </w:rPr>
        <w:t>Pathol</w:t>
      </w:r>
      <w:proofErr w:type="spellEnd"/>
      <w:r w:rsidRPr="00686E9D">
        <w:rPr>
          <w:strike/>
          <w:lang w:val="en-IE"/>
        </w:rPr>
        <w:t xml:space="preserve">., </w:t>
      </w:r>
      <w:r w:rsidRPr="00686E9D">
        <w:rPr>
          <w:b/>
          <w:strike/>
          <w:lang w:val="en-IE"/>
        </w:rPr>
        <w:t>126</w:t>
      </w:r>
      <w:r w:rsidRPr="00686E9D">
        <w:rPr>
          <w:strike/>
          <w:lang w:val="en-IE"/>
        </w:rPr>
        <w:t>, 124–136.</w:t>
      </w:r>
    </w:p>
    <w:p w14:paraId="278821F1" w14:textId="50A3DCA9" w:rsidR="00682ECF" w:rsidRPr="00686E9D" w:rsidRDefault="00964ED2" w:rsidP="00843236">
      <w:pPr>
        <w:pStyle w:val="Ref"/>
        <w:rPr>
          <w:strike/>
          <w:lang w:val="en-IE"/>
        </w:rPr>
      </w:pPr>
      <w:proofErr w:type="spellStart"/>
      <w:r w:rsidRPr="00686E9D">
        <w:rPr>
          <w:smallCaps/>
          <w:strike/>
          <w:lang w:val="en-IE"/>
        </w:rPr>
        <w:t>Mungall</w:t>
      </w:r>
      <w:proofErr w:type="spellEnd"/>
      <w:r w:rsidRPr="00686E9D">
        <w:rPr>
          <w:smallCaps/>
          <w:strike/>
          <w:lang w:val="en-IE"/>
        </w:rPr>
        <w:t xml:space="preserve"> B.A., Middleton D., </w:t>
      </w:r>
      <w:proofErr w:type="spellStart"/>
      <w:r w:rsidRPr="00686E9D">
        <w:rPr>
          <w:smallCaps/>
          <w:strike/>
          <w:lang w:val="en-IE"/>
        </w:rPr>
        <w:t>Crameri</w:t>
      </w:r>
      <w:proofErr w:type="spellEnd"/>
      <w:r w:rsidRPr="00686E9D">
        <w:rPr>
          <w:smallCaps/>
          <w:strike/>
          <w:lang w:val="en-IE"/>
        </w:rPr>
        <w:t xml:space="preserve"> G., Bingham J., Halpin K., Russell G., Green D., McEachern J., Pritchard L.I., Eaton B.T., Wang L.F., </w:t>
      </w:r>
      <w:proofErr w:type="spellStart"/>
      <w:r w:rsidRPr="00686E9D">
        <w:rPr>
          <w:smallCaps/>
          <w:strike/>
          <w:lang w:val="en-IE"/>
        </w:rPr>
        <w:t>Bossart</w:t>
      </w:r>
      <w:proofErr w:type="spellEnd"/>
      <w:r w:rsidRPr="00686E9D">
        <w:rPr>
          <w:smallCaps/>
          <w:strike/>
          <w:lang w:val="en-IE"/>
        </w:rPr>
        <w:t xml:space="preserve"> K.N. &amp; Broder C.C.</w:t>
      </w:r>
      <w:r w:rsidRPr="00686E9D">
        <w:rPr>
          <w:strike/>
          <w:lang w:val="en-IE"/>
        </w:rPr>
        <w:t xml:space="preserve"> (2006). Feline model of acute </w:t>
      </w:r>
      <w:proofErr w:type="spellStart"/>
      <w:r w:rsidRPr="00686E9D">
        <w:rPr>
          <w:strike/>
          <w:lang w:val="en-IE"/>
        </w:rPr>
        <w:t>nipah</w:t>
      </w:r>
      <w:proofErr w:type="spellEnd"/>
      <w:r w:rsidRPr="00686E9D">
        <w:rPr>
          <w:strike/>
          <w:lang w:val="en-IE"/>
        </w:rPr>
        <w:t xml:space="preserve"> virus infection and protection with a soluble glycoprotein-based subunit </w:t>
      </w:r>
      <w:proofErr w:type="spellStart"/>
      <w:r w:rsidRPr="00686E9D">
        <w:rPr>
          <w:strike/>
          <w:lang w:val="en-IE"/>
        </w:rPr>
        <w:t>vaccine.</w:t>
      </w:r>
      <w:r w:rsidRPr="00686E9D">
        <w:rPr>
          <w:i/>
          <w:strike/>
          <w:lang w:val="en-IE"/>
        </w:rPr>
        <w:t>J</w:t>
      </w:r>
      <w:proofErr w:type="spellEnd"/>
      <w:r w:rsidRPr="00686E9D">
        <w:rPr>
          <w:i/>
          <w:strike/>
          <w:lang w:val="en-IE"/>
        </w:rPr>
        <w:t xml:space="preserve">. </w:t>
      </w:r>
      <w:proofErr w:type="spellStart"/>
      <w:r w:rsidRPr="00686E9D">
        <w:rPr>
          <w:i/>
          <w:strike/>
          <w:lang w:val="en-IE"/>
        </w:rPr>
        <w:t>Virol</w:t>
      </w:r>
      <w:proofErr w:type="spellEnd"/>
      <w:r w:rsidRPr="00686E9D">
        <w:rPr>
          <w:strike/>
          <w:lang w:val="en-IE"/>
        </w:rPr>
        <w:t xml:space="preserve">., </w:t>
      </w:r>
      <w:r w:rsidRPr="00686E9D">
        <w:rPr>
          <w:b/>
          <w:strike/>
          <w:lang w:val="en-IE"/>
        </w:rPr>
        <w:t>80</w:t>
      </w:r>
      <w:r w:rsidRPr="00686E9D">
        <w:rPr>
          <w:strike/>
          <w:lang w:val="en-IE"/>
        </w:rPr>
        <w:t>, 12293–12302.</w:t>
      </w:r>
    </w:p>
    <w:p w14:paraId="2C8AD213" w14:textId="77777777" w:rsidR="00682ECF" w:rsidRPr="00686E9D" w:rsidRDefault="00964ED2" w:rsidP="00843236">
      <w:pPr>
        <w:pStyle w:val="Ref"/>
        <w:rPr>
          <w:lang w:val="en-IE"/>
        </w:rPr>
      </w:pPr>
      <w:r w:rsidRPr="00686E9D">
        <w:rPr>
          <w:smallCaps/>
          <w:lang w:val="en-IE"/>
        </w:rPr>
        <w:t xml:space="preserve">Murray K., Selleck P., Hooper P., Hyatt A., Gould A., Gleeson L., Westbury H., </w:t>
      </w:r>
      <w:proofErr w:type="spellStart"/>
      <w:r w:rsidRPr="00686E9D">
        <w:rPr>
          <w:smallCaps/>
          <w:lang w:val="en-IE"/>
        </w:rPr>
        <w:t>Hiley</w:t>
      </w:r>
      <w:proofErr w:type="spellEnd"/>
      <w:r w:rsidRPr="00686E9D">
        <w:rPr>
          <w:smallCaps/>
          <w:lang w:val="en-IE"/>
        </w:rPr>
        <w:t xml:space="preserve"> L., </w:t>
      </w:r>
      <w:proofErr w:type="spellStart"/>
      <w:r w:rsidRPr="00686E9D">
        <w:rPr>
          <w:smallCaps/>
          <w:lang w:val="en-IE"/>
        </w:rPr>
        <w:t>Selvey</w:t>
      </w:r>
      <w:proofErr w:type="spellEnd"/>
      <w:r w:rsidRPr="00686E9D">
        <w:rPr>
          <w:smallCaps/>
          <w:lang w:val="en-IE"/>
        </w:rPr>
        <w:t xml:space="preserve"> L. &amp; Rodwell B.</w:t>
      </w:r>
      <w:r w:rsidRPr="00686E9D">
        <w:rPr>
          <w:lang w:val="en-IE"/>
        </w:rPr>
        <w:t xml:space="preserve"> (1995). A morbillivirus that caused fatal disease in horses and humans. </w:t>
      </w:r>
      <w:r w:rsidRPr="00686E9D">
        <w:rPr>
          <w:i/>
          <w:iCs/>
          <w:lang w:val="en-IE"/>
        </w:rPr>
        <w:t>Science,</w:t>
      </w:r>
      <w:r w:rsidRPr="00686E9D">
        <w:rPr>
          <w:lang w:val="en-IE"/>
        </w:rPr>
        <w:t xml:space="preserve"> </w:t>
      </w:r>
      <w:r w:rsidRPr="00686E9D">
        <w:rPr>
          <w:b/>
          <w:lang w:val="en-IE"/>
        </w:rPr>
        <w:t>268</w:t>
      </w:r>
      <w:r w:rsidRPr="00686E9D">
        <w:rPr>
          <w:lang w:val="en-IE"/>
        </w:rPr>
        <w:t>, 94–97.</w:t>
      </w:r>
    </w:p>
    <w:p w14:paraId="64A9ED3B" w14:textId="77777777" w:rsidR="00682ECF" w:rsidRPr="00686E9D" w:rsidRDefault="00964ED2" w:rsidP="00843236">
      <w:pPr>
        <w:pStyle w:val="Ref"/>
        <w:rPr>
          <w:lang w:val="en-IE"/>
        </w:rPr>
      </w:pPr>
      <w:r w:rsidRPr="00686E9D">
        <w:rPr>
          <w:lang w:val="en-IE"/>
        </w:rPr>
        <w:t>N</w:t>
      </w:r>
      <w:r w:rsidRPr="00686E9D">
        <w:rPr>
          <w:smallCaps/>
          <w:lang w:val="en-IE"/>
        </w:rPr>
        <w:t>or M.N.M., Gan C.H. &amp; Ong B.L.</w:t>
      </w:r>
      <w:r w:rsidRPr="00686E9D">
        <w:rPr>
          <w:lang w:val="en-IE"/>
        </w:rPr>
        <w:t xml:space="preserve"> (2000). </w:t>
      </w:r>
      <w:proofErr w:type="spellStart"/>
      <w:r w:rsidRPr="00686E9D">
        <w:rPr>
          <w:lang w:val="en-IE"/>
        </w:rPr>
        <w:t>Nipah</w:t>
      </w:r>
      <w:proofErr w:type="spellEnd"/>
      <w:r w:rsidRPr="00686E9D">
        <w:rPr>
          <w:lang w:val="en-IE"/>
        </w:rPr>
        <w:t xml:space="preserve"> virus infection of pigs in peninsular Malaysia. </w:t>
      </w:r>
      <w:r w:rsidRPr="00686E9D">
        <w:rPr>
          <w:i/>
          <w:iCs/>
          <w:lang w:val="en-IE"/>
        </w:rPr>
        <w:t xml:space="preserve">Rev. sci. tech. Off. int. </w:t>
      </w:r>
      <w:proofErr w:type="spellStart"/>
      <w:r w:rsidRPr="00686E9D">
        <w:rPr>
          <w:i/>
          <w:iCs/>
          <w:lang w:val="en-IE"/>
        </w:rPr>
        <w:t>Epiz</w:t>
      </w:r>
      <w:proofErr w:type="spellEnd"/>
      <w:r w:rsidRPr="00686E9D">
        <w:rPr>
          <w:i/>
          <w:iCs/>
          <w:lang w:val="en-IE"/>
        </w:rPr>
        <w:t>.,</w:t>
      </w:r>
      <w:r w:rsidRPr="00686E9D">
        <w:rPr>
          <w:lang w:val="en-IE"/>
        </w:rPr>
        <w:t xml:space="preserve"> </w:t>
      </w:r>
      <w:r w:rsidRPr="00686E9D">
        <w:rPr>
          <w:b/>
          <w:lang w:val="en-IE"/>
        </w:rPr>
        <w:t>19</w:t>
      </w:r>
      <w:r w:rsidRPr="00686E9D">
        <w:rPr>
          <w:lang w:val="en-IE"/>
        </w:rPr>
        <w:t>, 160–165.</w:t>
      </w:r>
    </w:p>
    <w:p w14:paraId="65FED177" w14:textId="408A77FA" w:rsidR="00682ECF" w:rsidRPr="00686E9D" w:rsidRDefault="00964ED2" w:rsidP="00843236">
      <w:pPr>
        <w:pStyle w:val="Ref"/>
        <w:rPr>
          <w:strike/>
          <w:lang w:val="en-IE"/>
        </w:rPr>
      </w:pPr>
      <w:r w:rsidRPr="00686E9D">
        <w:rPr>
          <w:smallCaps/>
          <w:strike/>
          <w:lang w:val="en-IE"/>
        </w:rPr>
        <w:lastRenderedPageBreak/>
        <w:t xml:space="preserve">Olson J.G., </w:t>
      </w:r>
      <w:proofErr w:type="spellStart"/>
      <w:r w:rsidRPr="00686E9D">
        <w:rPr>
          <w:smallCaps/>
          <w:strike/>
          <w:lang w:val="en-IE"/>
        </w:rPr>
        <w:t>Rupprecht</w:t>
      </w:r>
      <w:proofErr w:type="spellEnd"/>
      <w:r w:rsidRPr="00686E9D">
        <w:rPr>
          <w:smallCaps/>
          <w:strike/>
          <w:lang w:val="en-IE"/>
        </w:rPr>
        <w:t xml:space="preserve"> C., Rollin P.E., Ung S.A., </w:t>
      </w:r>
      <w:proofErr w:type="spellStart"/>
      <w:r w:rsidRPr="00686E9D">
        <w:rPr>
          <w:smallCaps/>
          <w:strike/>
          <w:lang w:val="en-IE"/>
        </w:rPr>
        <w:t>Niezgoda</w:t>
      </w:r>
      <w:proofErr w:type="spellEnd"/>
      <w:r w:rsidRPr="00686E9D">
        <w:rPr>
          <w:smallCaps/>
          <w:strike/>
          <w:lang w:val="en-IE"/>
        </w:rPr>
        <w:t xml:space="preserve"> M., </w:t>
      </w:r>
      <w:proofErr w:type="spellStart"/>
      <w:r w:rsidRPr="00686E9D">
        <w:rPr>
          <w:smallCaps/>
          <w:strike/>
          <w:lang w:val="en-IE"/>
        </w:rPr>
        <w:t>Clemins</w:t>
      </w:r>
      <w:proofErr w:type="spellEnd"/>
      <w:r w:rsidRPr="00686E9D">
        <w:rPr>
          <w:smallCaps/>
          <w:strike/>
          <w:lang w:val="en-IE"/>
        </w:rPr>
        <w:t xml:space="preserve"> T., Walston J. &amp; </w:t>
      </w:r>
      <w:proofErr w:type="spellStart"/>
      <w:r w:rsidRPr="00686E9D">
        <w:rPr>
          <w:smallCaps/>
          <w:strike/>
          <w:lang w:val="en-IE"/>
        </w:rPr>
        <w:t>Ksiazek</w:t>
      </w:r>
      <w:proofErr w:type="spellEnd"/>
      <w:r w:rsidRPr="00686E9D">
        <w:rPr>
          <w:strike/>
          <w:lang w:val="en-IE"/>
        </w:rPr>
        <w:t xml:space="preserve"> T.G. (2002). Antibodies to </w:t>
      </w:r>
      <w:proofErr w:type="spellStart"/>
      <w:r w:rsidRPr="00686E9D">
        <w:rPr>
          <w:strike/>
          <w:lang w:val="en-IE"/>
        </w:rPr>
        <w:t>Nipah</w:t>
      </w:r>
      <w:proofErr w:type="spellEnd"/>
      <w:r w:rsidRPr="00686E9D">
        <w:rPr>
          <w:strike/>
          <w:lang w:val="en-IE"/>
        </w:rPr>
        <w:t>-like virus in bats (</w:t>
      </w:r>
      <w:proofErr w:type="spellStart"/>
      <w:r w:rsidRPr="00686E9D">
        <w:rPr>
          <w:strike/>
          <w:lang w:val="en-IE"/>
        </w:rPr>
        <w:t>Pteropus</w:t>
      </w:r>
      <w:proofErr w:type="spellEnd"/>
      <w:r w:rsidRPr="00686E9D">
        <w:rPr>
          <w:strike/>
          <w:lang w:val="en-IE"/>
        </w:rPr>
        <w:t xml:space="preserve"> </w:t>
      </w:r>
      <w:proofErr w:type="spellStart"/>
      <w:r w:rsidRPr="00686E9D">
        <w:rPr>
          <w:strike/>
          <w:lang w:val="en-IE"/>
        </w:rPr>
        <w:t>lylei</w:t>
      </w:r>
      <w:proofErr w:type="spellEnd"/>
      <w:r w:rsidRPr="00686E9D">
        <w:rPr>
          <w:strike/>
          <w:lang w:val="en-IE"/>
        </w:rPr>
        <w:t xml:space="preserve">), Cambodia. </w:t>
      </w:r>
      <w:proofErr w:type="spellStart"/>
      <w:r w:rsidRPr="00686E9D">
        <w:rPr>
          <w:i/>
          <w:iCs/>
          <w:strike/>
          <w:lang w:val="en-IE"/>
        </w:rPr>
        <w:t>Emerg</w:t>
      </w:r>
      <w:proofErr w:type="spellEnd"/>
      <w:r w:rsidRPr="00686E9D">
        <w:rPr>
          <w:i/>
          <w:iCs/>
          <w:strike/>
          <w:lang w:val="en-IE"/>
        </w:rPr>
        <w:t xml:space="preserve">. Infect. Dis., </w:t>
      </w:r>
      <w:r w:rsidRPr="00686E9D">
        <w:rPr>
          <w:b/>
          <w:bCs/>
          <w:strike/>
          <w:lang w:val="en-IE"/>
        </w:rPr>
        <w:t>8</w:t>
      </w:r>
      <w:r w:rsidRPr="00686E9D">
        <w:rPr>
          <w:strike/>
          <w:lang w:val="en-IE"/>
        </w:rPr>
        <w:t>, 987–988.</w:t>
      </w:r>
    </w:p>
    <w:p w14:paraId="7BB6A4AF" w14:textId="51FFE891" w:rsidR="00682ECF" w:rsidRPr="00686E9D" w:rsidRDefault="00964ED2" w:rsidP="00843236">
      <w:pPr>
        <w:pStyle w:val="Ref"/>
        <w:rPr>
          <w:strike/>
          <w:lang w:val="en-IE"/>
        </w:rPr>
      </w:pPr>
      <w:r w:rsidRPr="00686E9D">
        <w:rPr>
          <w:smallCaps/>
          <w:strike/>
          <w:lang w:val="en-IE"/>
        </w:rPr>
        <w:t xml:space="preserve">Ong B.L., Daniels P.W., Bunning M., Aziz J., White J., </w:t>
      </w:r>
      <w:proofErr w:type="spellStart"/>
      <w:r w:rsidRPr="00686E9D">
        <w:rPr>
          <w:smallCaps/>
          <w:strike/>
          <w:lang w:val="en-IE"/>
        </w:rPr>
        <w:t>Muniandy</w:t>
      </w:r>
      <w:proofErr w:type="spellEnd"/>
      <w:r w:rsidRPr="00686E9D">
        <w:rPr>
          <w:smallCaps/>
          <w:strike/>
          <w:lang w:val="en-IE"/>
        </w:rPr>
        <w:t xml:space="preserve"> M., Olson J., Chang K.W., </w:t>
      </w:r>
      <w:proofErr w:type="spellStart"/>
      <w:r w:rsidRPr="00686E9D">
        <w:rPr>
          <w:smallCaps/>
          <w:strike/>
          <w:lang w:val="en-IE"/>
        </w:rPr>
        <w:t>Morrissy</w:t>
      </w:r>
      <w:proofErr w:type="spellEnd"/>
      <w:r w:rsidRPr="00686E9D">
        <w:rPr>
          <w:smallCaps/>
          <w:strike/>
          <w:lang w:val="en-IE"/>
        </w:rPr>
        <w:t xml:space="preserve"> C., Lim Y.S., </w:t>
      </w:r>
      <w:proofErr w:type="spellStart"/>
      <w:r w:rsidRPr="00686E9D">
        <w:rPr>
          <w:smallCaps/>
          <w:strike/>
          <w:lang w:val="en-IE"/>
        </w:rPr>
        <w:t>Ksiazek</w:t>
      </w:r>
      <w:proofErr w:type="spellEnd"/>
      <w:r w:rsidRPr="00686E9D">
        <w:rPr>
          <w:smallCaps/>
          <w:strike/>
          <w:lang w:val="en-IE"/>
        </w:rPr>
        <w:t xml:space="preserve"> T. &amp; </w:t>
      </w:r>
      <w:proofErr w:type="spellStart"/>
      <w:r w:rsidRPr="00686E9D">
        <w:rPr>
          <w:smallCaps/>
          <w:strike/>
          <w:lang w:val="en-IE"/>
        </w:rPr>
        <w:t>Nordin</w:t>
      </w:r>
      <w:proofErr w:type="spellEnd"/>
      <w:r w:rsidRPr="00686E9D">
        <w:rPr>
          <w:smallCaps/>
          <w:strike/>
          <w:lang w:val="en-IE"/>
        </w:rPr>
        <w:t xml:space="preserve"> M.N.</w:t>
      </w:r>
      <w:r w:rsidRPr="00686E9D">
        <w:rPr>
          <w:strike/>
          <w:lang w:val="en-IE"/>
        </w:rPr>
        <w:t xml:space="preserve"> (2000). A surveillance program for the detection of pig herds exposed to </w:t>
      </w:r>
      <w:proofErr w:type="spellStart"/>
      <w:r w:rsidRPr="00686E9D">
        <w:rPr>
          <w:strike/>
          <w:lang w:val="en-IE"/>
        </w:rPr>
        <w:t>Nipah</w:t>
      </w:r>
      <w:proofErr w:type="spellEnd"/>
      <w:r w:rsidRPr="00686E9D">
        <w:rPr>
          <w:strike/>
          <w:lang w:val="en-IE"/>
        </w:rPr>
        <w:t xml:space="preserve"> virus infections in peninsular Malaysia. </w:t>
      </w:r>
      <w:r w:rsidRPr="00686E9D">
        <w:rPr>
          <w:i/>
          <w:iCs/>
          <w:strike/>
          <w:lang w:val="en-IE"/>
        </w:rPr>
        <w:t>In:</w:t>
      </w:r>
      <w:r w:rsidRPr="00686E9D">
        <w:rPr>
          <w:strike/>
          <w:lang w:val="en-IE"/>
        </w:rPr>
        <w:t xml:space="preserve"> Proceedings of the 9th International Symposium on Veterinary Epidemiology and Economics (ISVEE). Abstract ID 63. Colorado, USA.</w:t>
      </w:r>
    </w:p>
    <w:p w14:paraId="1E7DF283" w14:textId="77777777" w:rsidR="00682ECF" w:rsidRPr="00686E9D" w:rsidRDefault="00964ED2" w:rsidP="00843236">
      <w:pPr>
        <w:pStyle w:val="Ref"/>
        <w:rPr>
          <w:lang w:val="en-IE"/>
        </w:rPr>
      </w:pPr>
      <w:r w:rsidRPr="00686E9D">
        <w:rPr>
          <w:smallCaps/>
          <w:lang w:val="en-IE"/>
        </w:rPr>
        <w:t xml:space="preserve">Pallister J., Middleton D., Wang L.F., Klein R., </w:t>
      </w:r>
      <w:proofErr w:type="spellStart"/>
      <w:r w:rsidRPr="00686E9D">
        <w:rPr>
          <w:smallCaps/>
          <w:lang w:val="en-IE"/>
        </w:rPr>
        <w:t>Haining</w:t>
      </w:r>
      <w:proofErr w:type="spellEnd"/>
      <w:r w:rsidRPr="00686E9D">
        <w:rPr>
          <w:smallCaps/>
          <w:lang w:val="en-IE"/>
        </w:rPr>
        <w:t xml:space="preserve"> J., Robinson R., Yamada M., White J., Payne J., Feng Y.R., Chan Y.P. &amp; Broder C.C. </w:t>
      </w:r>
      <w:r w:rsidRPr="00686E9D">
        <w:rPr>
          <w:lang w:val="en-IE"/>
        </w:rPr>
        <w:t xml:space="preserve">(2011). A recombinant Hendra virus G glycoprotein-based subunit vaccine protects ferrets from lethal Hendra virus challenge. </w:t>
      </w:r>
      <w:r w:rsidRPr="00686E9D">
        <w:rPr>
          <w:i/>
          <w:lang w:val="en-IE"/>
        </w:rPr>
        <w:t>Vaccine</w:t>
      </w:r>
      <w:r w:rsidRPr="00686E9D">
        <w:rPr>
          <w:lang w:val="en-IE"/>
        </w:rPr>
        <w:t xml:space="preserve">, </w:t>
      </w:r>
      <w:r w:rsidRPr="00686E9D">
        <w:rPr>
          <w:b/>
          <w:lang w:val="en-IE"/>
        </w:rPr>
        <w:t>29</w:t>
      </w:r>
      <w:r w:rsidRPr="00686E9D">
        <w:rPr>
          <w:lang w:val="en-IE"/>
        </w:rPr>
        <w:t>, 5623–56230.</w:t>
      </w:r>
    </w:p>
    <w:p w14:paraId="3CFC20B8" w14:textId="09FE955C" w:rsidR="00682ECF" w:rsidRPr="00686E9D" w:rsidRDefault="00964ED2" w:rsidP="00843236">
      <w:pPr>
        <w:pStyle w:val="Ref"/>
        <w:rPr>
          <w:strike/>
          <w:lang w:val="en-IE"/>
        </w:rPr>
      </w:pPr>
      <w:r w:rsidRPr="00686E9D">
        <w:rPr>
          <w:smallCaps/>
          <w:strike/>
          <w:lang w:val="en-IE"/>
        </w:rPr>
        <w:t xml:space="preserve">Paton N.I., Leo Y.S., </w:t>
      </w:r>
      <w:proofErr w:type="spellStart"/>
      <w:r w:rsidRPr="00686E9D">
        <w:rPr>
          <w:smallCaps/>
          <w:strike/>
          <w:lang w:val="en-IE"/>
        </w:rPr>
        <w:t>Zaki</w:t>
      </w:r>
      <w:proofErr w:type="spellEnd"/>
      <w:r w:rsidRPr="00686E9D">
        <w:rPr>
          <w:smallCaps/>
          <w:strike/>
          <w:lang w:val="en-IE"/>
        </w:rPr>
        <w:t xml:space="preserve"> S.R., </w:t>
      </w:r>
      <w:proofErr w:type="spellStart"/>
      <w:r w:rsidRPr="00686E9D">
        <w:rPr>
          <w:smallCaps/>
          <w:strike/>
          <w:lang w:val="en-IE"/>
        </w:rPr>
        <w:t>Auchus</w:t>
      </w:r>
      <w:proofErr w:type="spellEnd"/>
      <w:r w:rsidRPr="00686E9D">
        <w:rPr>
          <w:smallCaps/>
          <w:strike/>
          <w:lang w:val="en-IE"/>
        </w:rPr>
        <w:t xml:space="preserve"> A.P., Lee K.E., Ling A.E., Chew S.K., Ang B., Rollin P.E., </w:t>
      </w:r>
      <w:proofErr w:type="spellStart"/>
      <w:r w:rsidRPr="00686E9D">
        <w:rPr>
          <w:smallCaps/>
          <w:strike/>
          <w:lang w:val="en-IE"/>
        </w:rPr>
        <w:t>Umapathi</w:t>
      </w:r>
      <w:proofErr w:type="spellEnd"/>
      <w:r w:rsidRPr="00686E9D">
        <w:rPr>
          <w:smallCaps/>
          <w:strike/>
          <w:lang w:val="en-IE"/>
        </w:rPr>
        <w:t xml:space="preserve"> T., </w:t>
      </w:r>
      <w:proofErr w:type="spellStart"/>
      <w:r w:rsidRPr="00686E9D">
        <w:rPr>
          <w:smallCaps/>
          <w:strike/>
          <w:lang w:val="en-IE"/>
        </w:rPr>
        <w:t>Sng</w:t>
      </w:r>
      <w:proofErr w:type="spellEnd"/>
      <w:r w:rsidRPr="00686E9D">
        <w:rPr>
          <w:smallCaps/>
          <w:strike/>
          <w:lang w:val="en-IE"/>
        </w:rPr>
        <w:t xml:space="preserve"> I., Lee C.C., Lim E. &amp; </w:t>
      </w:r>
      <w:proofErr w:type="spellStart"/>
      <w:r w:rsidRPr="00686E9D">
        <w:rPr>
          <w:smallCaps/>
          <w:strike/>
          <w:lang w:val="en-IE"/>
        </w:rPr>
        <w:t>Ksiazek</w:t>
      </w:r>
      <w:proofErr w:type="spellEnd"/>
      <w:r w:rsidRPr="00686E9D">
        <w:rPr>
          <w:smallCaps/>
          <w:strike/>
          <w:lang w:val="en-IE"/>
        </w:rPr>
        <w:t xml:space="preserve"> T.G.</w:t>
      </w:r>
      <w:r w:rsidRPr="00686E9D">
        <w:rPr>
          <w:strike/>
          <w:lang w:val="en-IE"/>
        </w:rPr>
        <w:t xml:space="preserve"> (1999). Outbreak of </w:t>
      </w:r>
      <w:proofErr w:type="spellStart"/>
      <w:r w:rsidRPr="00686E9D">
        <w:rPr>
          <w:strike/>
          <w:lang w:val="en-IE"/>
        </w:rPr>
        <w:t>Nipah</w:t>
      </w:r>
      <w:proofErr w:type="spellEnd"/>
      <w:r w:rsidRPr="00686E9D">
        <w:rPr>
          <w:strike/>
          <w:lang w:val="en-IE"/>
        </w:rPr>
        <w:t xml:space="preserve">-virus infection among abattoir workers in Singapore. </w:t>
      </w:r>
      <w:r w:rsidRPr="00686E9D">
        <w:rPr>
          <w:i/>
          <w:iCs/>
          <w:strike/>
          <w:lang w:val="en-IE"/>
        </w:rPr>
        <w:t>Lancet,</w:t>
      </w:r>
      <w:r w:rsidRPr="00686E9D">
        <w:rPr>
          <w:strike/>
          <w:lang w:val="en-IE"/>
        </w:rPr>
        <w:t xml:space="preserve"> </w:t>
      </w:r>
      <w:r w:rsidRPr="00686E9D">
        <w:rPr>
          <w:b/>
          <w:strike/>
          <w:lang w:val="en-IE"/>
        </w:rPr>
        <w:t>354</w:t>
      </w:r>
      <w:r w:rsidRPr="00686E9D">
        <w:rPr>
          <w:strike/>
          <w:lang w:val="en-IE"/>
        </w:rPr>
        <w:t>, 1253–1256.</w:t>
      </w:r>
    </w:p>
    <w:p w14:paraId="3A0D4F3E" w14:textId="3D407A74" w:rsidR="005A7BE3" w:rsidRDefault="005A7BE3" w:rsidP="00843236">
      <w:pPr>
        <w:pStyle w:val="Ref"/>
        <w:rPr>
          <w:rStyle w:val="Hyperlink"/>
          <w:rFonts w:eastAsiaTheme="minorEastAsia"/>
          <w:u w:val="double"/>
          <w:lang w:val="en-IE"/>
        </w:rPr>
      </w:pPr>
      <w:r w:rsidRPr="0084084E">
        <w:rPr>
          <w:rFonts w:eastAsiaTheme="minorEastAsia"/>
          <w:smallCaps/>
          <w:color w:val="000000" w:themeColor="text1"/>
          <w:highlight w:val="yellow"/>
          <w:u w:val="double"/>
          <w:lang w:val="en-IE"/>
        </w:rPr>
        <w:t>Rahman M.Z., Islam M</w:t>
      </w:r>
      <w:r w:rsidR="00246510">
        <w:rPr>
          <w:rFonts w:eastAsiaTheme="minorEastAsia"/>
          <w:smallCaps/>
          <w:color w:val="000000" w:themeColor="text1"/>
          <w:highlight w:val="yellow"/>
          <w:u w:val="double"/>
          <w:lang w:val="en-IE"/>
        </w:rPr>
        <w:t>.</w:t>
      </w:r>
      <w:r w:rsidRPr="0084084E">
        <w:rPr>
          <w:rFonts w:eastAsiaTheme="minorEastAsia"/>
          <w:smallCaps/>
          <w:color w:val="000000" w:themeColor="text1"/>
          <w:highlight w:val="yellow"/>
          <w:u w:val="double"/>
          <w:lang w:val="en-IE"/>
        </w:rPr>
        <w:t xml:space="preserve">M., Hossain M.E., Rahman M.M., Islam A., </w:t>
      </w:r>
      <w:proofErr w:type="spellStart"/>
      <w:r w:rsidRPr="0084084E">
        <w:rPr>
          <w:rFonts w:eastAsiaTheme="minorEastAsia"/>
          <w:smallCaps/>
          <w:color w:val="000000" w:themeColor="text1"/>
          <w:highlight w:val="yellow"/>
          <w:u w:val="double"/>
          <w:lang w:val="en-IE"/>
        </w:rPr>
        <w:t>Siddika</w:t>
      </w:r>
      <w:proofErr w:type="spellEnd"/>
      <w:r w:rsidRPr="0084084E">
        <w:rPr>
          <w:rFonts w:eastAsiaTheme="minorEastAsia"/>
          <w:smallCaps/>
          <w:color w:val="000000" w:themeColor="text1"/>
          <w:highlight w:val="yellow"/>
          <w:u w:val="double"/>
          <w:lang w:val="en-IE"/>
        </w:rPr>
        <w:t xml:space="preserve"> A., Hossain M.S.S., Sultana S., Rahman M., </w:t>
      </w:r>
      <w:proofErr w:type="spellStart"/>
      <w:r w:rsidRPr="0084084E">
        <w:rPr>
          <w:rFonts w:eastAsiaTheme="minorEastAsia"/>
          <w:smallCaps/>
          <w:color w:val="000000" w:themeColor="text1"/>
          <w:highlight w:val="yellow"/>
          <w:u w:val="double"/>
          <w:lang w:val="en-IE"/>
        </w:rPr>
        <w:t>Klena</w:t>
      </w:r>
      <w:proofErr w:type="spellEnd"/>
      <w:r w:rsidRPr="0084084E">
        <w:rPr>
          <w:rFonts w:eastAsiaTheme="minorEastAsia"/>
          <w:smallCaps/>
          <w:color w:val="000000" w:themeColor="text1"/>
          <w:highlight w:val="yellow"/>
          <w:u w:val="double"/>
          <w:lang w:val="en-IE"/>
        </w:rPr>
        <w:t xml:space="preserve"> J.D., Flora M S., </w:t>
      </w:r>
      <w:proofErr w:type="spellStart"/>
      <w:r w:rsidRPr="0084084E">
        <w:rPr>
          <w:rFonts w:eastAsiaTheme="minorEastAsia"/>
          <w:smallCaps/>
          <w:color w:val="000000" w:themeColor="text1"/>
          <w:highlight w:val="yellow"/>
          <w:u w:val="double"/>
          <w:lang w:val="en-IE"/>
        </w:rPr>
        <w:t>Daszak</w:t>
      </w:r>
      <w:proofErr w:type="spellEnd"/>
      <w:r w:rsidRPr="0084084E">
        <w:rPr>
          <w:rFonts w:eastAsiaTheme="minorEastAsia"/>
          <w:smallCaps/>
          <w:color w:val="000000" w:themeColor="text1"/>
          <w:highlight w:val="yellow"/>
          <w:u w:val="double"/>
          <w:lang w:val="en-IE"/>
        </w:rPr>
        <w:t xml:space="preserve"> P., Epstein J.H., </w:t>
      </w:r>
      <w:proofErr w:type="spellStart"/>
      <w:r w:rsidRPr="0084084E">
        <w:rPr>
          <w:rFonts w:eastAsiaTheme="minorEastAsia"/>
          <w:smallCaps/>
          <w:color w:val="000000" w:themeColor="text1"/>
          <w:highlight w:val="yellow"/>
          <w:u w:val="double"/>
          <w:lang w:val="en-IE"/>
        </w:rPr>
        <w:t>Luby</w:t>
      </w:r>
      <w:proofErr w:type="spellEnd"/>
      <w:r w:rsidRPr="0084084E">
        <w:rPr>
          <w:rFonts w:eastAsiaTheme="minorEastAsia"/>
          <w:smallCaps/>
          <w:color w:val="000000" w:themeColor="text1"/>
          <w:highlight w:val="yellow"/>
          <w:u w:val="double"/>
          <w:lang w:val="en-IE"/>
        </w:rPr>
        <w:t xml:space="preserve"> S. P. &amp; Gurley E. S.</w:t>
      </w:r>
      <w:r w:rsidR="00246510" w:rsidRPr="0084084E">
        <w:rPr>
          <w:rFonts w:eastAsiaTheme="minorEastAsia"/>
          <w:color w:val="000000" w:themeColor="text1"/>
          <w:highlight w:val="yellow"/>
          <w:u w:val="double"/>
          <w:lang w:val="en-IE"/>
        </w:rPr>
        <w:t xml:space="preserve"> </w:t>
      </w:r>
      <w:r w:rsidRPr="0084084E">
        <w:rPr>
          <w:rFonts w:eastAsiaTheme="minorEastAsia"/>
          <w:color w:val="000000" w:themeColor="text1"/>
          <w:highlight w:val="yellow"/>
          <w:u w:val="double"/>
          <w:lang w:val="en-IE"/>
        </w:rPr>
        <w:t>(2021).</w:t>
      </w:r>
      <w:r w:rsidR="00246510" w:rsidRPr="0084084E">
        <w:rPr>
          <w:rFonts w:eastAsiaTheme="minorEastAsia"/>
          <w:color w:val="000000" w:themeColor="text1"/>
          <w:highlight w:val="yellow"/>
          <w:u w:val="double"/>
          <w:lang w:val="en-IE"/>
        </w:rPr>
        <w:t xml:space="preserve"> </w:t>
      </w:r>
      <w:r w:rsidRPr="0084084E">
        <w:rPr>
          <w:rFonts w:eastAsiaTheme="minorEastAsia"/>
          <w:color w:val="000000" w:themeColor="text1"/>
          <w:highlight w:val="yellow"/>
          <w:u w:val="double"/>
          <w:lang w:val="en-IE"/>
        </w:rPr>
        <w:t xml:space="preserve">Genetic diversity of </w:t>
      </w:r>
      <w:proofErr w:type="spellStart"/>
      <w:r w:rsidRPr="0084084E">
        <w:rPr>
          <w:rFonts w:eastAsiaTheme="minorEastAsia"/>
          <w:color w:val="000000" w:themeColor="text1"/>
          <w:highlight w:val="yellow"/>
          <w:u w:val="double"/>
          <w:lang w:val="en-IE"/>
        </w:rPr>
        <w:t>Nipah</w:t>
      </w:r>
      <w:proofErr w:type="spellEnd"/>
      <w:r w:rsidRPr="0084084E">
        <w:rPr>
          <w:rFonts w:eastAsiaTheme="minorEastAsia"/>
          <w:color w:val="000000" w:themeColor="text1"/>
          <w:highlight w:val="yellow"/>
          <w:u w:val="double"/>
          <w:lang w:val="en-IE"/>
        </w:rPr>
        <w:t xml:space="preserve"> virus in Bangladesh.</w:t>
      </w:r>
      <w:r w:rsidR="00246510" w:rsidRPr="0084084E">
        <w:rPr>
          <w:rStyle w:val="Emphasis"/>
          <w:rFonts w:eastAsiaTheme="minorEastAsia"/>
          <w:color w:val="000000" w:themeColor="text1"/>
          <w:highlight w:val="yellow"/>
          <w:u w:val="double"/>
          <w:lang w:val="en-IE"/>
        </w:rPr>
        <w:t xml:space="preserve"> </w:t>
      </w:r>
      <w:r w:rsidRPr="0084084E">
        <w:rPr>
          <w:rStyle w:val="Emphasis"/>
          <w:rFonts w:eastAsiaTheme="minorEastAsia"/>
          <w:color w:val="000000" w:themeColor="text1"/>
          <w:highlight w:val="yellow"/>
          <w:u w:val="double"/>
          <w:lang w:val="en-IE"/>
        </w:rPr>
        <w:t>Int</w:t>
      </w:r>
      <w:r w:rsidR="00246510">
        <w:rPr>
          <w:rStyle w:val="Emphasis"/>
          <w:rFonts w:eastAsiaTheme="minorEastAsia"/>
          <w:color w:val="000000" w:themeColor="text1"/>
          <w:highlight w:val="yellow"/>
          <w:u w:val="double"/>
          <w:lang w:val="en-IE"/>
        </w:rPr>
        <w:t>.</w:t>
      </w:r>
      <w:r w:rsidRPr="0084084E">
        <w:rPr>
          <w:rStyle w:val="Emphasis"/>
          <w:rFonts w:eastAsiaTheme="minorEastAsia"/>
          <w:color w:val="000000" w:themeColor="text1"/>
          <w:highlight w:val="yellow"/>
          <w:u w:val="double"/>
          <w:lang w:val="en-IE"/>
        </w:rPr>
        <w:t xml:space="preserve"> J</w:t>
      </w:r>
      <w:r w:rsidR="00246510">
        <w:rPr>
          <w:rStyle w:val="Emphasis"/>
          <w:rFonts w:eastAsiaTheme="minorEastAsia"/>
          <w:color w:val="000000" w:themeColor="text1"/>
          <w:highlight w:val="yellow"/>
          <w:u w:val="double"/>
          <w:lang w:val="en-IE"/>
        </w:rPr>
        <w:t>.</w:t>
      </w:r>
      <w:r w:rsidRPr="0084084E">
        <w:rPr>
          <w:rStyle w:val="Emphasis"/>
          <w:rFonts w:eastAsiaTheme="minorEastAsia"/>
          <w:color w:val="000000" w:themeColor="text1"/>
          <w:highlight w:val="yellow"/>
          <w:u w:val="double"/>
          <w:lang w:val="en-IE"/>
        </w:rPr>
        <w:t xml:space="preserve"> Infect</w:t>
      </w:r>
      <w:r w:rsidR="00246510">
        <w:rPr>
          <w:rStyle w:val="Emphasis"/>
          <w:rFonts w:eastAsiaTheme="minorEastAsia"/>
          <w:color w:val="000000" w:themeColor="text1"/>
          <w:highlight w:val="yellow"/>
          <w:u w:val="double"/>
          <w:lang w:val="en-IE"/>
        </w:rPr>
        <w:t>.</w:t>
      </w:r>
      <w:r w:rsidRPr="0084084E">
        <w:rPr>
          <w:rStyle w:val="Emphasis"/>
          <w:rFonts w:eastAsiaTheme="minorEastAsia"/>
          <w:color w:val="000000" w:themeColor="text1"/>
          <w:highlight w:val="yellow"/>
          <w:u w:val="double"/>
          <w:lang w:val="en-IE"/>
        </w:rPr>
        <w:t xml:space="preserve"> Dis</w:t>
      </w:r>
      <w:r w:rsidR="00246510">
        <w:rPr>
          <w:rStyle w:val="Emphasis"/>
          <w:rFonts w:eastAsiaTheme="minorEastAsia"/>
          <w:color w:val="000000" w:themeColor="text1"/>
          <w:highlight w:val="yellow"/>
          <w:u w:val="double"/>
          <w:lang w:val="en-IE"/>
        </w:rPr>
        <w:t>.</w:t>
      </w:r>
      <w:r w:rsidRPr="0084084E">
        <w:rPr>
          <w:rFonts w:eastAsiaTheme="minorEastAsia"/>
          <w:color w:val="000000" w:themeColor="text1"/>
          <w:highlight w:val="yellow"/>
          <w:u w:val="double"/>
          <w:lang w:val="en-IE"/>
        </w:rPr>
        <w:t>,</w:t>
      </w:r>
      <w:r w:rsidR="00246510">
        <w:rPr>
          <w:rFonts w:eastAsiaTheme="minorEastAsia"/>
          <w:color w:val="000000" w:themeColor="text1"/>
          <w:highlight w:val="yellow"/>
          <w:u w:val="double"/>
          <w:lang w:val="en-IE"/>
        </w:rPr>
        <w:t xml:space="preserve"> </w:t>
      </w:r>
      <w:r w:rsidRPr="00246510">
        <w:rPr>
          <w:rStyle w:val="Emphasis"/>
          <w:rFonts w:eastAsiaTheme="minorEastAsia"/>
          <w:i w:val="0"/>
          <w:iCs w:val="0"/>
          <w:color w:val="000000" w:themeColor="text1"/>
          <w:highlight w:val="yellow"/>
          <w:u w:val="double"/>
          <w:lang w:val="en-IE"/>
        </w:rPr>
        <w:t>102</w:t>
      </w:r>
      <w:r w:rsidRPr="0084084E">
        <w:rPr>
          <w:rFonts w:eastAsiaTheme="minorEastAsia"/>
          <w:color w:val="000000" w:themeColor="text1"/>
          <w:highlight w:val="yellow"/>
          <w:u w:val="double"/>
          <w:lang w:val="en-IE"/>
        </w:rPr>
        <w:t>, 144</w:t>
      </w:r>
      <w:r w:rsidR="00246510">
        <w:rPr>
          <w:rFonts w:eastAsiaTheme="minorEastAsia"/>
          <w:color w:val="000000" w:themeColor="text1"/>
          <w:highlight w:val="yellow"/>
          <w:u w:val="double"/>
          <w:lang w:val="en-IE"/>
        </w:rPr>
        <w:t>–</w:t>
      </w:r>
      <w:r w:rsidRPr="0084084E">
        <w:rPr>
          <w:rFonts w:eastAsiaTheme="minorEastAsia"/>
          <w:color w:val="000000" w:themeColor="text1"/>
          <w:highlight w:val="yellow"/>
          <w:u w:val="double"/>
          <w:lang w:val="en-IE"/>
        </w:rPr>
        <w:t>151. </w:t>
      </w:r>
      <w:hyperlink r:id="rId9" w:history="1">
        <w:r w:rsidR="005B194D" w:rsidRPr="001536BF">
          <w:rPr>
            <w:rStyle w:val="Hyperlink"/>
            <w:rFonts w:eastAsiaTheme="minorEastAsia"/>
            <w:highlight w:val="yellow"/>
            <w:lang w:val="en-IE"/>
          </w:rPr>
          <w:t>https://doi.org/10.1016/j.ijid.2020.10.041</w:t>
        </w:r>
      </w:hyperlink>
    </w:p>
    <w:p w14:paraId="5DC40F22" w14:textId="6794299D" w:rsidR="00682ECF" w:rsidRPr="00686E9D" w:rsidRDefault="00964ED2" w:rsidP="00843236">
      <w:pPr>
        <w:pStyle w:val="Ref"/>
        <w:rPr>
          <w:lang w:val="en-IE"/>
        </w:rPr>
      </w:pPr>
      <w:proofErr w:type="spellStart"/>
      <w:r w:rsidRPr="00686E9D">
        <w:rPr>
          <w:smallCaps/>
          <w:lang w:val="en-IE"/>
        </w:rPr>
        <w:t>Reynes</w:t>
      </w:r>
      <w:proofErr w:type="spellEnd"/>
      <w:r w:rsidRPr="00686E9D">
        <w:rPr>
          <w:smallCaps/>
          <w:lang w:val="en-IE"/>
        </w:rPr>
        <w:t xml:space="preserve"> J., </w:t>
      </w:r>
      <w:proofErr w:type="spellStart"/>
      <w:r w:rsidRPr="00686E9D">
        <w:rPr>
          <w:smallCaps/>
          <w:lang w:val="en-IE"/>
        </w:rPr>
        <w:t>Counor</w:t>
      </w:r>
      <w:proofErr w:type="spellEnd"/>
      <w:r w:rsidRPr="00686E9D">
        <w:rPr>
          <w:smallCaps/>
          <w:lang w:val="en-IE"/>
        </w:rPr>
        <w:t xml:space="preserve"> D., Ong S., Faure C., Seng V., </w:t>
      </w:r>
      <w:proofErr w:type="spellStart"/>
      <w:r w:rsidRPr="00686E9D">
        <w:rPr>
          <w:smallCaps/>
          <w:lang w:val="en-IE"/>
        </w:rPr>
        <w:t>Molia</w:t>
      </w:r>
      <w:proofErr w:type="spellEnd"/>
      <w:r w:rsidRPr="00686E9D">
        <w:rPr>
          <w:smallCaps/>
          <w:lang w:val="en-IE"/>
        </w:rPr>
        <w:t xml:space="preserve"> S., Walston J., Georges-</w:t>
      </w:r>
      <w:proofErr w:type="spellStart"/>
      <w:r w:rsidRPr="00686E9D">
        <w:rPr>
          <w:smallCaps/>
          <w:lang w:val="en-IE"/>
        </w:rPr>
        <w:t>Courbot</w:t>
      </w:r>
      <w:proofErr w:type="spellEnd"/>
      <w:r w:rsidRPr="00686E9D">
        <w:rPr>
          <w:smallCaps/>
          <w:lang w:val="en-IE"/>
        </w:rPr>
        <w:t xml:space="preserve"> M.C., </w:t>
      </w:r>
      <w:proofErr w:type="spellStart"/>
      <w:r w:rsidRPr="00686E9D">
        <w:rPr>
          <w:smallCaps/>
          <w:lang w:val="en-IE"/>
        </w:rPr>
        <w:t>Deubel</w:t>
      </w:r>
      <w:proofErr w:type="spellEnd"/>
      <w:r w:rsidRPr="00686E9D">
        <w:rPr>
          <w:smallCaps/>
          <w:lang w:val="en-IE"/>
        </w:rPr>
        <w:t xml:space="preserve"> V. &amp; </w:t>
      </w:r>
      <w:proofErr w:type="spellStart"/>
      <w:r w:rsidRPr="00686E9D">
        <w:rPr>
          <w:smallCaps/>
          <w:lang w:val="en-IE"/>
        </w:rPr>
        <w:t>Sarthou</w:t>
      </w:r>
      <w:proofErr w:type="spellEnd"/>
      <w:r w:rsidRPr="00686E9D">
        <w:rPr>
          <w:smallCaps/>
          <w:lang w:val="en-IE"/>
        </w:rPr>
        <w:t xml:space="preserve"> J</w:t>
      </w:r>
      <w:r w:rsidRPr="00686E9D">
        <w:rPr>
          <w:lang w:val="en-IE"/>
        </w:rPr>
        <w:t xml:space="preserve">. (2005). </w:t>
      </w:r>
      <w:proofErr w:type="spellStart"/>
      <w:r w:rsidRPr="00686E9D">
        <w:rPr>
          <w:lang w:val="en-IE"/>
        </w:rPr>
        <w:t>Nipah</w:t>
      </w:r>
      <w:proofErr w:type="spellEnd"/>
      <w:r w:rsidRPr="00686E9D">
        <w:rPr>
          <w:lang w:val="en-IE"/>
        </w:rPr>
        <w:t xml:space="preserve"> virus in Lyle’s flying foxes, Cambodia. </w:t>
      </w:r>
      <w:proofErr w:type="spellStart"/>
      <w:r w:rsidRPr="00686E9D">
        <w:rPr>
          <w:i/>
          <w:iCs/>
          <w:lang w:val="en-IE"/>
        </w:rPr>
        <w:t>Emerg</w:t>
      </w:r>
      <w:proofErr w:type="spellEnd"/>
      <w:r w:rsidRPr="00686E9D">
        <w:rPr>
          <w:i/>
          <w:iCs/>
          <w:lang w:val="en-IE"/>
        </w:rPr>
        <w:t xml:space="preserve">. Infect. Dis., </w:t>
      </w:r>
      <w:r w:rsidRPr="00686E9D">
        <w:rPr>
          <w:b/>
          <w:bCs/>
          <w:lang w:val="en-IE"/>
        </w:rPr>
        <w:t>11</w:t>
      </w:r>
      <w:r w:rsidRPr="00686E9D">
        <w:rPr>
          <w:lang w:val="en-IE"/>
        </w:rPr>
        <w:t>, 1042–1047.</w:t>
      </w:r>
    </w:p>
    <w:p w14:paraId="458579F2" w14:textId="20E43440" w:rsidR="00682ECF" w:rsidRPr="00686E9D" w:rsidRDefault="00964ED2" w:rsidP="00843236">
      <w:pPr>
        <w:pStyle w:val="Ref"/>
        <w:rPr>
          <w:strike/>
          <w:lang w:val="en-IE"/>
        </w:rPr>
      </w:pPr>
      <w:r w:rsidRPr="00686E9D">
        <w:rPr>
          <w:smallCaps/>
          <w:strike/>
          <w:lang w:val="en-IE"/>
        </w:rPr>
        <w:t xml:space="preserve">Rogers R.J., Douglas I.C., Baldock F.C., Glanville R.J., </w:t>
      </w:r>
      <w:proofErr w:type="spellStart"/>
      <w:r w:rsidRPr="00686E9D">
        <w:rPr>
          <w:smallCaps/>
          <w:strike/>
          <w:lang w:val="en-IE"/>
        </w:rPr>
        <w:t>Seppanen</w:t>
      </w:r>
      <w:proofErr w:type="spellEnd"/>
      <w:r w:rsidRPr="00686E9D">
        <w:rPr>
          <w:smallCaps/>
          <w:strike/>
          <w:lang w:val="en-IE"/>
        </w:rPr>
        <w:t xml:space="preserve"> K.T., Gleeson L.J., Selleck P.N. &amp; Dunn K.J.</w:t>
      </w:r>
      <w:r w:rsidRPr="00686E9D">
        <w:rPr>
          <w:strike/>
          <w:lang w:val="en-IE"/>
        </w:rPr>
        <w:t xml:space="preserve"> (1996). Investigation of a second focus of equine morbillivirus infection in coastal Queensland. </w:t>
      </w:r>
      <w:r w:rsidRPr="00686E9D">
        <w:rPr>
          <w:i/>
          <w:iCs/>
          <w:strike/>
          <w:lang w:val="en-IE"/>
        </w:rPr>
        <w:t>Aust. Vet. J.,</w:t>
      </w:r>
      <w:r w:rsidRPr="00686E9D">
        <w:rPr>
          <w:strike/>
          <w:lang w:val="en-IE"/>
        </w:rPr>
        <w:t xml:space="preserve"> </w:t>
      </w:r>
      <w:r w:rsidRPr="00686E9D">
        <w:rPr>
          <w:b/>
          <w:strike/>
          <w:lang w:val="en-IE"/>
        </w:rPr>
        <w:t>74</w:t>
      </w:r>
      <w:r w:rsidRPr="00686E9D">
        <w:rPr>
          <w:strike/>
          <w:lang w:val="en-IE"/>
        </w:rPr>
        <w:t>, 243–244.</w:t>
      </w:r>
    </w:p>
    <w:p w14:paraId="2E05C110" w14:textId="406F7765" w:rsidR="00682ECF" w:rsidRPr="00686E9D" w:rsidRDefault="00964ED2" w:rsidP="00843236">
      <w:pPr>
        <w:pStyle w:val="Ref"/>
        <w:rPr>
          <w:smallCaps/>
          <w:strike/>
          <w:lang w:val="en-IE"/>
        </w:rPr>
      </w:pPr>
      <w:proofErr w:type="spellStart"/>
      <w:r w:rsidRPr="00686E9D">
        <w:rPr>
          <w:smallCaps/>
          <w:strike/>
          <w:lang w:val="en-IE"/>
        </w:rPr>
        <w:t>Sendow</w:t>
      </w:r>
      <w:proofErr w:type="spellEnd"/>
      <w:r w:rsidRPr="00686E9D">
        <w:rPr>
          <w:smallCaps/>
          <w:strike/>
          <w:lang w:val="en-IE"/>
        </w:rPr>
        <w:t xml:space="preserve"> I., Field H.E., Curran J., </w:t>
      </w:r>
      <w:proofErr w:type="spellStart"/>
      <w:r w:rsidRPr="00686E9D">
        <w:rPr>
          <w:smallCaps/>
          <w:strike/>
          <w:lang w:val="en-IE"/>
        </w:rPr>
        <w:t>Darminto</w:t>
      </w:r>
      <w:proofErr w:type="spellEnd"/>
      <w:r w:rsidRPr="00686E9D">
        <w:rPr>
          <w:smallCaps/>
          <w:strike/>
          <w:lang w:val="en-IE"/>
        </w:rPr>
        <w:t xml:space="preserve">, </w:t>
      </w:r>
      <w:proofErr w:type="spellStart"/>
      <w:r w:rsidRPr="00686E9D">
        <w:rPr>
          <w:smallCaps/>
          <w:strike/>
          <w:lang w:val="en-IE"/>
        </w:rPr>
        <w:t>Morrissy</w:t>
      </w:r>
      <w:proofErr w:type="spellEnd"/>
      <w:r w:rsidRPr="00686E9D">
        <w:rPr>
          <w:smallCaps/>
          <w:strike/>
          <w:lang w:val="en-IE"/>
        </w:rPr>
        <w:t xml:space="preserve"> C.J., Meehan G., Buick T. &amp; Daniels P.W.</w:t>
      </w:r>
      <w:r w:rsidRPr="00686E9D">
        <w:rPr>
          <w:strike/>
          <w:lang w:val="en-IE"/>
        </w:rPr>
        <w:t xml:space="preserve"> (2006). </w:t>
      </w:r>
      <w:proofErr w:type="spellStart"/>
      <w:r w:rsidRPr="00686E9D">
        <w:rPr>
          <w:strike/>
          <w:lang w:val="en-IE"/>
        </w:rPr>
        <w:t>Henipavirus</w:t>
      </w:r>
      <w:proofErr w:type="spellEnd"/>
      <w:r w:rsidRPr="00686E9D">
        <w:rPr>
          <w:strike/>
          <w:lang w:val="en-IE"/>
        </w:rPr>
        <w:t xml:space="preserve"> in </w:t>
      </w:r>
      <w:proofErr w:type="spellStart"/>
      <w:r w:rsidRPr="00686E9D">
        <w:rPr>
          <w:i/>
          <w:strike/>
          <w:lang w:val="en-IE"/>
        </w:rPr>
        <w:t>Pteropus</w:t>
      </w:r>
      <w:proofErr w:type="spellEnd"/>
      <w:r w:rsidRPr="00686E9D">
        <w:rPr>
          <w:i/>
          <w:strike/>
          <w:lang w:val="en-IE"/>
        </w:rPr>
        <w:t xml:space="preserve"> </w:t>
      </w:r>
      <w:proofErr w:type="spellStart"/>
      <w:r w:rsidRPr="00686E9D">
        <w:rPr>
          <w:i/>
          <w:strike/>
          <w:lang w:val="en-IE"/>
        </w:rPr>
        <w:t>vampyrus</w:t>
      </w:r>
      <w:proofErr w:type="spellEnd"/>
      <w:r w:rsidRPr="00686E9D">
        <w:rPr>
          <w:strike/>
          <w:lang w:val="en-IE"/>
        </w:rPr>
        <w:t xml:space="preserve"> bats, Indonesia. </w:t>
      </w:r>
      <w:proofErr w:type="spellStart"/>
      <w:r w:rsidRPr="00686E9D">
        <w:rPr>
          <w:i/>
          <w:strike/>
          <w:lang w:val="en-IE"/>
        </w:rPr>
        <w:t>Emerg</w:t>
      </w:r>
      <w:proofErr w:type="spellEnd"/>
      <w:r w:rsidRPr="00686E9D">
        <w:rPr>
          <w:i/>
          <w:strike/>
          <w:lang w:val="en-IE"/>
        </w:rPr>
        <w:t>. Infect. Dis</w:t>
      </w:r>
      <w:r w:rsidRPr="00686E9D">
        <w:rPr>
          <w:strike/>
          <w:lang w:val="en-IE"/>
        </w:rPr>
        <w:t xml:space="preserve">., </w:t>
      </w:r>
      <w:r w:rsidRPr="00686E9D">
        <w:rPr>
          <w:b/>
          <w:strike/>
          <w:lang w:val="en-IE"/>
        </w:rPr>
        <w:t>12</w:t>
      </w:r>
      <w:r w:rsidRPr="00686E9D">
        <w:rPr>
          <w:strike/>
          <w:lang w:val="en-IE"/>
        </w:rPr>
        <w:t>, 711–712.</w:t>
      </w:r>
    </w:p>
    <w:p w14:paraId="2DCC45BA" w14:textId="77777777" w:rsidR="00682ECF" w:rsidRPr="00686E9D" w:rsidRDefault="00964ED2" w:rsidP="00843236">
      <w:pPr>
        <w:pStyle w:val="Ref"/>
        <w:rPr>
          <w:lang w:val="en-IE"/>
        </w:rPr>
      </w:pPr>
      <w:r w:rsidRPr="00686E9D">
        <w:rPr>
          <w:smallCaps/>
          <w:lang w:val="en-IE"/>
        </w:rPr>
        <w:t xml:space="preserve">Smith I.L., Halpin K., </w:t>
      </w:r>
      <w:proofErr w:type="spellStart"/>
      <w:r w:rsidRPr="00686E9D">
        <w:rPr>
          <w:smallCaps/>
          <w:lang w:val="en-IE"/>
        </w:rPr>
        <w:t>Warrilow</w:t>
      </w:r>
      <w:proofErr w:type="spellEnd"/>
      <w:r w:rsidRPr="00686E9D">
        <w:rPr>
          <w:smallCaps/>
          <w:lang w:val="en-IE"/>
        </w:rPr>
        <w:t xml:space="preserve"> D. &amp; Smith G.A.</w:t>
      </w:r>
      <w:r w:rsidRPr="00686E9D">
        <w:rPr>
          <w:caps/>
          <w:lang w:val="en-IE"/>
        </w:rPr>
        <w:t xml:space="preserve"> (2001). </w:t>
      </w:r>
      <w:r w:rsidRPr="00686E9D">
        <w:rPr>
          <w:lang w:val="en-IE"/>
        </w:rPr>
        <w:t xml:space="preserve">Development of a fluorogenic RT-PCR assay (TaqMan) for the detection of Hendra virus. </w:t>
      </w:r>
      <w:r w:rsidRPr="00686E9D">
        <w:rPr>
          <w:i/>
          <w:lang w:val="en-IE"/>
        </w:rPr>
        <w:t xml:space="preserve">J. </w:t>
      </w:r>
      <w:proofErr w:type="spellStart"/>
      <w:r w:rsidRPr="00686E9D">
        <w:rPr>
          <w:i/>
          <w:lang w:val="en-IE"/>
        </w:rPr>
        <w:t>Virol</w:t>
      </w:r>
      <w:proofErr w:type="spellEnd"/>
      <w:r w:rsidRPr="00686E9D">
        <w:rPr>
          <w:i/>
          <w:lang w:val="en-IE"/>
        </w:rPr>
        <w:t>. Methods</w:t>
      </w:r>
      <w:r w:rsidRPr="00686E9D">
        <w:rPr>
          <w:lang w:val="en-IE"/>
        </w:rPr>
        <w:t xml:space="preserve">, </w:t>
      </w:r>
      <w:r w:rsidRPr="00686E9D">
        <w:rPr>
          <w:b/>
          <w:lang w:val="en-IE"/>
        </w:rPr>
        <w:t>98</w:t>
      </w:r>
      <w:r w:rsidRPr="00686E9D">
        <w:rPr>
          <w:lang w:val="en-IE"/>
        </w:rPr>
        <w:t>, 33-40.</w:t>
      </w:r>
    </w:p>
    <w:p w14:paraId="109BABEB" w14:textId="60AEC841" w:rsidR="00C3398B" w:rsidRPr="00686E9D" w:rsidRDefault="00C3398B" w:rsidP="00843236">
      <w:pPr>
        <w:pStyle w:val="Ref"/>
        <w:rPr>
          <w:smallCaps/>
          <w:strike/>
          <w:lang w:val="en-IE"/>
        </w:rPr>
      </w:pPr>
      <w:proofErr w:type="spellStart"/>
      <w:r w:rsidRPr="00686E9D">
        <w:rPr>
          <w:smallCaps/>
          <w:strike/>
          <w:lang w:val="en-IE"/>
        </w:rPr>
        <w:t>Sohayati</w:t>
      </w:r>
      <w:proofErr w:type="spellEnd"/>
      <w:r w:rsidRPr="00686E9D">
        <w:rPr>
          <w:smallCaps/>
          <w:strike/>
          <w:lang w:val="en-IE"/>
        </w:rPr>
        <w:t xml:space="preserve"> A.R., Hassan L., Epstein J.H., </w:t>
      </w:r>
      <w:proofErr w:type="spellStart"/>
      <w:r w:rsidRPr="00686E9D">
        <w:rPr>
          <w:smallCaps/>
          <w:strike/>
          <w:lang w:val="en-IE"/>
        </w:rPr>
        <w:t>Zaini</w:t>
      </w:r>
      <w:proofErr w:type="spellEnd"/>
      <w:r w:rsidRPr="00686E9D">
        <w:rPr>
          <w:smallCaps/>
          <w:strike/>
          <w:lang w:val="en-IE"/>
        </w:rPr>
        <w:t xml:space="preserve"> C.M., Azizi M.Y., Sharifah S.H., Field H.E., Tom H., Justin W., </w:t>
      </w:r>
      <w:proofErr w:type="spellStart"/>
      <w:r w:rsidRPr="00686E9D">
        <w:rPr>
          <w:smallCaps/>
          <w:strike/>
          <w:lang w:val="en-IE"/>
        </w:rPr>
        <w:t>Naim</w:t>
      </w:r>
      <w:proofErr w:type="spellEnd"/>
      <w:r w:rsidRPr="00686E9D">
        <w:rPr>
          <w:smallCaps/>
          <w:strike/>
          <w:lang w:val="en-IE"/>
        </w:rPr>
        <w:t xml:space="preserve"> S.N., Arshad S.S.,</w:t>
      </w:r>
      <w:r w:rsidR="00342F90" w:rsidRPr="00686E9D">
        <w:rPr>
          <w:smallCaps/>
          <w:strike/>
          <w:lang w:val="en-IE"/>
        </w:rPr>
        <w:t xml:space="preserve"> </w:t>
      </w:r>
      <w:r w:rsidRPr="00686E9D">
        <w:rPr>
          <w:smallCaps/>
          <w:strike/>
          <w:lang w:val="en-IE"/>
        </w:rPr>
        <w:t xml:space="preserve">Aziz Jamaluddin A., </w:t>
      </w:r>
      <w:proofErr w:type="spellStart"/>
      <w:r w:rsidRPr="00686E9D">
        <w:rPr>
          <w:smallCaps/>
          <w:strike/>
          <w:lang w:val="en-IE"/>
        </w:rPr>
        <w:t>Daszak</w:t>
      </w:r>
      <w:proofErr w:type="spellEnd"/>
      <w:r w:rsidRPr="00686E9D">
        <w:rPr>
          <w:smallCaps/>
          <w:strike/>
          <w:lang w:val="en-IE"/>
        </w:rPr>
        <w:t xml:space="preserve"> P. &amp; </w:t>
      </w:r>
      <w:proofErr w:type="spellStart"/>
      <w:r w:rsidRPr="00686E9D">
        <w:rPr>
          <w:smallCaps/>
          <w:strike/>
          <w:lang w:val="en-IE"/>
        </w:rPr>
        <w:t>Henipavirus</w:t>
      </w:r>
      <w:proofErr w:type="spellEnd"/>
      <w:r w:rsidRPr="00686E9D">
        <w:rPr>
          <w:smallCaps/>
          <w:strike/>
          <w:lang w:val="en-IE"/>
        </w:rPr>
        <w:t xml:space="preserve"> Ecology Research Group (2013). R</w:t>
      </w:r>
      <w:r w:rsidRPr="00686E9D">
        <w:rPr>
          <w:strike/>
          <w:lang w:val="en-IE"/>
        </w:rPr>
        <w:t xml:space="preserve">isk factors for </w:t>
      </w:r>
      <w:proofErr w:type="spellStart"/>
      <w:r w:rsidRPr="00686E9D">
        <w:rPr>
          <w:strike/>
          <w:lang w:val="en-IE"/>
        </w:rPr>
        <w:t>Nipah</w:t>
      </w:r>
      <w:proofErr w:type="spellEnd"/>
      <w:r w:rsidRPr="00686E9D">
        <w:rPr>
          <w:strike/>
          <w:lang w:val="en-IE"/>
        </w:rPr>
        <w:t xml:space="preserve"> virus infections among </w:t>
      </w:r>
      <w:proofErr w:type="spellStart"/>
      <w:r w:rsidRPr="00686E9D">
        <w:rPr>
          <w:strike/>
          <w:lang w:val="en-IE"/>
        </w:rPr>
        <w:t>pteropid</w:t>
      </w:r>
      <w:proofErr w:type="spellEnd"/>
      <w:r w:rsidRPr="00686E9D">
        <w:rPr>
          <w:strike/>
          <w:lang w:val="en-IE"/>
        </w:rPr>
        <w:t xml:space="preserve"> bats, Peninsular Malaysia. </w:t>
      </w:r>
      <w:proofErr w:type="spellStart"/>
      <w:r w:rsidRPr="00686E9D">
        <w:rPr>
          <w:i/>
          <w:strike/>
          <w:lang w:val="en-IE"/>
        </w:rPr>
        <w:t>Emerg</w:t>
      </w:r>
      <w:proofErr w:type="spellEnd"/>
      <w:r w:rsidRPr="00686E9D">
        <w:rPr>
          <w:i/>
          <w:strike/>
          <w:lang w:val="en-IE"/>
        </w:rPr>
        <w:t>. Infect. Dis.</w:t>
      </w:r>
      <w:r w:rsidRPr="00686E9D">
        <w:rPr>
          <w:strike/>
          <w:lang w:val="en-IE"/>
        </w:rPr>
        <w:t xml:space="preserve">, </w:t>
      </w:r>
      <w:r w:rsidRPr="00686E9D">
        <w:rPr>
          <w:b/>
          <w:strike/>
          <w:lang w:val="en-IE"/>
        </w:rPr>
        <w:t>1</w:t>
      </w:r>
      <w:r w:rsidRPr="00686E9D">
        <w:rPr>
          <w:strike/>
          <w:lang w:val="en-IE"/>
        </w:rPr>
        <w:t xml:space="preserve">, 51–60. </w:t>
      </w:r>
    </w:p>
    <w:p w14:paraId="3F1F0474" w14:textId="4814F258" w:rsidR="00682ECF" w:rsidRPr="00686E9D" w:rsidRDefault="00964ED2" w:rsidP="00843236">
      <w:pPr>
        <w:pStyle w:val="Ref"/>
        <w:rPr>
          <w:strike/>
          <w:lang w:val="en-IE"/>
        </w:rPr>
      </w:pPr>
      <w:proofErr w:type="spellStart"/>
      <w:r w:rsidRPr="00686E9D">
        <w:rPr>
          <w:smallCaps/>
          <w:strike/>
          <w:lang w:val="en-IE"/>
        </w:rPr>
        <w:t>Sohayati</w:t>
      </w:r>
      <w:proofErr w:type="spellEnd"/>
      <w:r w:rsidRPr="00686E9D">
        <w:rPr>
          <w:smallCaps/>
          <w:strike/>
          <w:lang w:val="en-IE"/>
        </w:rPr>
        <w:t xml:space="preserve"> A.R., Hassan L., Sharifah S.H., Lazarus K., </w:t>
      </w:r>
      <w:proofErr w:type="spellStart"/>
      <w:r w:rsidRPr="00686E9D">
        <w:rPr>
          <w:smallCaps/>
          <w:strike/>
          <w:lang w:val="en-IE"/>
        </w:rPr>
        <w:t>Zaini</w:t>
      </w:r>
      <w:proofErr w:type="spellEnd"/>
      <w:r w:rsidRPr="00686E9D">
        <w:rPr>
          <w:smallCaps/>
          <w:strike/>
          <w:lang w:val="en-IE"/>
        </w:rPr>
        <w:t xml:space="preserve"> C.M., Epstein J.H., </w:t>
      </w:r>
      <w:proofErr w:type="spellStart"/>
      <w:r w:rsidRPr="00686E9D">
        <w:rPr>
          <w:smallCaps/>
          <w:strike/>
          <w:lang w:val="en-IE"/>
        </w:rPr>
        <w:t>Shamsyul</w:t>
      </w:r>
      <w:proofErr w:type="spellEnd"/>
      <w:r w:rsidRPr="00686E9D">
        <w:rPr>
          <w:smallCaps/>
          <w:strike/>
          <w:lang w:val="en-IE"/>
        </w:rPr>
        <w:t xml:space="preserve"> </w:t>
      </w:r>
      <w:proofErr w:type="spellStart"/>
      <w:r w:rsidRPr="00686E9D">
        <w:rPr>
          <w:smallCaps/>
          <w:strike/>
          <w:lang w:val="en-IE"/>
        </w:rPr>
        <w:t>Naim</w:t>
      </w:r>
      <w:proofErr w:type="spellEnd"/>
      <w:r w:rsidRPr="00686E9D">
        <w:rPr>
          <w:smallCaps/>
          <w:strike/>
          <w:lang w:val="en-IE"/>
        </w:rPr>
        <w:t xml:space="preserve"> N., Field H.E., Arshad S.S., Abdul Aziz J., </w:t>
      </w:r>
      <w:proofErr w:type="spellStart"/>
      <w:r w:rsidRPr="00686E9D">
        <w:rPr>
          <w:smallCaps/>
          <w:strike/>
          <w:lang w:val="en-IE"/>
        </w:rPr>
        <w:t>Daszak</w:t>
      </w:r>
      <w:proofErr w:type="spellEnd"/>
      <w:r w:rsidRPr="00686E9D">
        <w:rPr>
          <w:smallCaps/>
          <w:strike/>
          <w:lang w:val="en-IE"/>
        </w:rPr>
        <w:t xml:space="preserve"> P. &amp; </w:t>
      </w:r>
      <w:proofErr w:type="spellStart"/>
      <w:r w:rsidRPr="00686E9D">
        <w:rPr>
          <w:smallCaps/>
          <w:strike/>
          <w:lang w:val="en-IE"/>
        </w:rPr>
        <w:t>Henipavirus</w:t>
      </w:r>
      <w:proofErr w:type="spellEnd"/>
      <w:r w:rsidRPr="00686E9D">
        <w:rPr>
          <w:smallCaps/>
          <w:strike/>
          <w:lang w:val="en-IE"/>
        </w:rPr>
        <w:t xml:space="preserve"> Ecology Research Group (2011). </w:t>
      </w:r>
      <w:r w:rsidRPr="00686E9D">
        <w:rPr>
          <w:strike/>
          <w:lang w:val="en-IE"/>
        </w:rPr>
        <w:t xml:space="preserve">Evidence of </w:t>
      </w:r>
      <w:proofErr w:type="spellStart"/>
      <w:r w:rsidRPr="00686E9D">
        <w:rPr>
          <w:strike/>
          <w:lang w:val="en-IE"/>
        </w:rPr>
        <w:t>Nipah</w:t>
      </w:r>
      <w:proofErr w:type="spellEnd"/>
      <w:r w:rsidRPr="00686E9D">
        <w:rPr>
          <w:strike/>
          <w:lang w:val="en-IE"/>
        </w:rPr>
        <w:t xml:space="preserve"> virus recrudescence and serological pattern of captive </w:t>
      </w:r>
      <w:proofErr w:type="spellStart"/>
      <w:r w:rsidRPr="00686E9D">
        <w:rPr>
          <w:i/>
          <w:strike/>
          <w:lang w:val="en-IE"/>
        </w:rPr>
        <w:t>Pteropus</w:t>
      </w:r>
      <w:proofErr w:type="spellEnd"/>
      <w:r w:rsidRPr="00686E9D">
        <w:rPr>
          <w:i/>
          <w:strike/>
          <w:lang w:val="en-IE"/>
        </w:rPr>
        <w:t xml:space="preserve"> </w:t>
      </w:r>
      <w:proofErr w:type="spellStart"/>
      <w:r w:rsidRPr="00686E9D">
        <w:rPr>
          <w:i/>
          <w:strike/>
          <w:lang w:val="en-IE"/>
        </w:rPr>
        <w:t>vampyrus</w:t>
      </w:r>
      <w:proofErr w:type="spellEnd"/>
      <w:r w:rsidRPr="00686E9D">
        <w:rPr>
          <w:strike/>
          <w:lang w:val="en-IE"/>
        </w:rPr>
        <w:t xml:space="preserve">. </w:t>
      </w:r>
      <w:proofErr w:type="spellStart"/>
      <w:r w:rsidRPr="00686E9D">
        <w:rPr>
          <w:i/>
          <w:strike/>
          <w:lang w:val="en-IE"/>
        </w:rPr>
        <w:t>Epidemiol</w:t>
      </w:r>
      <w:proofErr w:type="spellEnd"/>
      <w:r w:rsidR="00C3398B" w:rsidRPr="00686E9D">
        <w:rPr>
          <w:i/>
          <w:strike/>
          <w:lang w:val="en-IE"/>
        </w:rPr>
        <w:t>.</w:t>
      </w:r>
      <w:r w:rsidRPr="00686E9D">
        <w:rPr>
          <w:i/>
          <w:strike/>
          <w:lang w:val="en-IE"/>
        </w:rPr>
        <w:t xml:space="preserve"> Infect</w:t>
      </w:r>
      <w:r w:rsidRPr="00686E9D">
        <w:rPr>
          <w:strike/>
          <w:lang w:val="en-IE"/>
        </w:rPr>
        <w:t xml:space="preserve">, </w:t>
      </w:r>
      <w:r w:rsidRPr="00686E9D">
        <w:rPr>
          <w:b/>
          <w:strike/>
          <w:lang w:val="en-IE"/>
        </w:rPr>
        <w:t>10</w:t>
      </w:r>
      <w:r w:rsidRPr="00686E9D">
        <w:rPr>
          <w:strike/>
          <w:lang w:val="en-IE"/>
        </w:rPr>
        <w:t>, 1570</w:t>
      </w:r>
      <w:r w:rsidR="00C3398B" w:rsidRPr="00686E9D">
        <w:rPr>
          <w:strike/>
          <w:lang w:val="en-IE"/>
        </w:rPr>
        <w:t>–</w:t>
      </w:r>
      <w:r w:rsidRPr="00686E9D">
        <w:rPr>
          <w:strike/>
          <w:lang w:val="en-IE"/>
        </w:rPr>
        <w:t>1579.</w:t>
      </w:r>
    </w:p>
    <w:p w14:paraId="23FAA4D1" w14:textId="00671336" w:rsidR="00682ECF" w:rsidRPr="00686E9D" w:rsidRDefault="00964ED2" w:rsidP="00843236">
      <w:pPr>
        <w:pStyle w:val="Ref"/>
        <w:rPr>
          <w:strike/>
          <w:lang w:val="en-IE"/>
        </w:rPr>
      </w:pPr>
      <w:proofErr w:type="spellStart"/>
      <w:r w:rsidRPr="00686E9D">
        <w:rPr>
          <w:smallCaps/>
          <w:strike/>
          <w:lang w:val="en-IE"/>
        </w:rPr>
        <w:t>Tamin</w:t>
      </w:r>
      <w:proofErr w:type="spellEnd"/>
      <w:r w:rsidRPr="00686E9D">
        <w:rPr>
          <w:smallCaps/>
          <w:strike/>
          <w:lang w:val="en-IE"/>
        </w:rPr>
        <w:t xml:space="preserve"> A., Harcourt B.H., Lo M.K., Roth J.A., Wolf M.C., Lee B., </w:t>
      </w:r>
      <w:proofErr w:type="spellStart"/>
      <w:r w:rsidRPr="00686E9D">
        <w:rPr>
          <w:smallCaps/>
          <w:strike/>
          <w:lang w:val="en-IE"/>
        </w:rPr>
        <w:t>Weingartl</w:t>
      </w:r>
      <w:proofErr w:type="spellEnd"/>
      <w:r w:rsidRPr="00686E9D">
        <w:rPr>
          <w:smallCaps/>
          <w:strike/>
          <w:lang w:val="en-IE"/>
        </w:rPr>
        <w:t xml:space="preserve"> H., </w:t>
      </w:r>
      <w:proofErr w:type="spellStart"/>
      <w:r w:rsidRPr="00686E9D">
        <w:rPr>
          <w:smallCaps/>
          <w:strike/>
          <w:lang w:val="en-IE"/>
        </w:rPr>
        <w:t>Audonnet</w:t>
      </w:r>
      <w:proofErr w:type="spellEnd"/>
      <w:r w:rsidRPr="00686E9D">
        <w:rPr>
          <w:smallCaps/>
          <w:strike/>
          <w:lang w:val="en-IE"/>
        </w:rPr>
        <w:t xml:space="preserve"> J.C., Bellini W.J. &amp; Rota P.A. </w:t>
      </w:r>
      <w:r w:rsidRPr="00686E9D">
        <w:rPr>
          <w:strike/>
          <w:lang w:val="en-IE"/>
        </w:rPr>
        <w:t xml:space="preserve">(2009). </w:t>
      </w:r>
      <w:r w:rsidRPr="00686E9D">
        <w:rPr>
          <w:bCs/>
          <w:strike/>
          <w:lang w:val="en-IE"/>
        </w:rPr>
        <w:t xml:space="preserve">Development of a neutralization assay for </w:t>
      </w:r>
      <w:proofErr w:type="spellStart"/>
      <w:r w:rsidRPr="00686E9D">
        <w:rPr>
          <w:bCs/>
          <w:strike/>
          <w:lang w:val="en-IE"/>
        </w:rPr>
        <w:t>Nipah</w:t>
      </w:r>
      <w:proofErr w:type="spellEnd"/>
      <w:r w:rsidRPr="00686E9D">
        <w:rPr>
          <w:bCs/>
          <w:strike/>
          <w:lang w:val="en-IE"/>
        </w:rPr>
        <w:t xml:space="preserve"> virus using </w:t>
      </w:r>
      <w:proofErr w:type="spellStart"/>
      <w:r w:rsidRPr="00686E9D">
        <w:rPr>
          <w:bCs/>
          <w:strike/>
          <w:lang w:val="en-IE"/>
        </w:rPr>
        <w:t>pseudotype</w:t>
      </w:r>
      <w:proofErr w:type="spellEnd"/>
      <w:r w:rsidRPr="00686E9D">
        <w:rPr>
          <w:bCs/>
          <w:strike/>
          <w:lang w:val="en-IE"/>
        </w:rPr>
        <w:t xml:space="preserve"> particles. </w:t>
      </w:r>
      <w:r w:rsidRPr="00686E9D">
        <w:rPr>
          <w:i/>
          <w:strike/>
          <w:lang w:val="en-IE"/>
        </w:rPr>
        <w:t xml:space="preserve">J. </w:t>
      </w:r>
      <w:proofErr w:type="spellStart"/>
      <w:r w:rsidRPr="00686E9D">
        <w:rPr>
          <w:i/>
          <w:strike/>
          <w:lang w:val="en-IE"/>
        </w:rPr>
        <w:t>Virol</w:t>
      </w:r>
      <w:proofErr w:type="spellEnd"/>
      <w:r w:rsidRPr="00686E9D">
        <w:rPr>
          <w:i/>
          <w:strike/>
          <w:lang w:val="en-IE"/>
        </w:rPr>
        <w:t>. Methods</w:t>
      </w:r>
      <w:r w:rsidRPr="00686E9D">
        <w:rPr>
          <w:strike/>
          <w:lang w:val="en-IE"/>
        </w:rPr>
        <w:t xml:space="preserve">, </w:t>
      </w:r>
      <w:r w:rsidRPr="00686E9D">
        <w:rPr>
          <w:b/>
          <w:strike/>
          <w:lang w:val="en-IE"/>
        </w:rPr>
        <w:t>160</w:t>
      </w:r>
      <w:r w:rsidRPr="00686E9D">
        <w:rPr>
          <w:strike/>
          <w:lang w:val="en-IE"/>
        </w:rPr>
        <w:t>, 1–6.</w:t>
      </w:r>
    </w:p>
    <w:p w14:paraId="1689D413" w14:textId="0E823C2C" w:rsidR="008155E9" w:rsidRPr="00686E9D" w:rsidRDefault="008155E9" w:rsidP="00843236">
      <w:pPr>
        <w:pStyle w:val="Ref"/>
        <w:rPr>
          <w:u w:val="double"/>
          <w:lang w:val="en-IE"/>
        </w:rPr>
      </w:pPr>
      <w:r w:rsidRPr="00686E9D">
        <w:rPr>
          <w:smallCaps/>
          <w:u w:val="double"/>
          <w:lang w:val="en-IE"/>
        </w:rPr>
        <w:t xml:space="preserve">van </w:t>
      </w:r>
      <w:proofErr w:type="spellStart"/>
      <w:r w:rsidRPr="00686E9D">
        <w:rPr>
          <w:smallCaps/>
          <w:u w:val="double"/>
          <w:lang w:val="en-IE"/>
        </w:rPr>
        <w:t>Doremalen</w:t>
      </w:r>
      <w:proofErr w:type="spellEnd"/>
      <w:r w:rsidRPr="00686E9D">
        <w:rPr>
          <w:smallCaps/>
          <w:u w:val="double"/>
          <w:lang w:val="en-IE"/>
        </w:rPr>
        <w:t xml:space="preserve"> N</w:t>
      </w:r>
      <w:r w:rsidR="00D91FBC" w:rsidRPr="00686E9D">
        <w:rPr>
          <w:smallCaps/>
          <w:u w:val="double"/>
          <w:lang w:val="en-IE"/>
        </w:rPr>
        <w:t>.</w:t>
      </w:r>
      <w:r w:rsidRPr="00686E9D">
        <w:rPr>
          <w:smallCaps/>
          <w:u w:val="double"/>
          <w:lang w:val="en-IE"/>
        </w:rPr>
        <w:t xml:space="preserve">, </w:t>
      </w:r>
      <w:proofErr w:type="spellStart"/>
      <w:r w:rsidRPr="00686E9D">
        <w:rPr>
          <w:smallCaps/>
          <w:u w:val="double"/>
          <w:lang w:val="en-IE"/>
        </w:rPr>
        <w:t>Lambe</w:t>
      </w:r>
      <w:proofErr w:type="spellEnd"/>
      <w:r w:rsidRPr="00686E9D">
        <w:rPr>
          <w:smallCaps/>
          <w:u w:val="double"/>
          <w:lang w:val="en-IE"/>
        </w:rPr>
        <w:t xml:space="preserve"> T</w:t>
      </w:r>
      <w:r w:rsidR="00D91FBC" w:rsidRPr="00686E9D">
        <w:rPr>
          <w:smallCaps/>
          <w:u w:val="double"/>
          <w:lang w:val="en-IE"/>
        </w:rPr>
        <w:t>.</w:t>
      </w:r>
      <w:r w:rsidRPr="00686E9D">
        <w:rPr>
          <w:smallCaps/>
          <w:u w:val="double"/>
          <w:lang w:val="en-IE"/>
        </w:rPr>
        <w:t>, Sebastian S</w:t>
      </w:r>
      <w:r w:rsidR="00D91FBC" w:rsidRPr="00686E9D">
        <w:rPr>
          <w:smallCaps/>
          <w:u w:val="double"/>
          <w:lang w:val="en-IE"/>
        </w:rPr>
        <w:t>.</w:t>
      </w:r>
      <w:r w:rsidRPr="00686E9D">
        <w:rPr>
          <w:smallCaps/>
          <w:u w:val="double"/>
          <w:lang w:val="en-IE"/>
        </w:rPr>
        <w:t xml:space="preserve">, </w:t>
      </w:r>
      <w:proofErr w:type="spellStart"/>
      <w:r w:rsidRPr="00686E9D">
        <w:rPr>
          <w:smallCaps/>
          <w:u w:val="double"/>
          <w:lang w:val="en-IE"/>
        </w:rPr>
        <w:t>Bushmaker</w:t>
      </w:r>
      <w:proofErr w:type="spellEnd"/>
      <w:r w:rsidRPr="00686E9D">
        <w:rPr>
          <w:smallCaps/>
          <w:u w:val="double"/>
          <w:lang w:val="en-IE"/>
        </w:rPr>
        <w:t xml:space="preserve"> T</w:t>
      </w:r>
      <w:r w:rsidR="00D91FBC" w:rsidRPr="00686E9D">
        <w:rPr>
          <w:smallCaps/>
          <w:u w:val="double"/>
          <w:lang w:val="en-IE"/>
        </w:rPr>
        <w:t>.</w:t>
      </w:r>
      <w:r w:rsidRPr="00686E9D">
        <w:rPr>
          <w:smallCaps/>
          <w:u w:val="double"/>
          <w:lang w:val="en-IE"/>
        </w:rPr>
        <w:t>, Fischer R</w:t>
      </w:r>
      <w:r w:rsidR="00D91FBC" w:rsidRPr="00686E9D">
        <w:rPr>
          <w:smallCaps/>
          <w:u w:val="double"/>
          <w:lang w:val="en-IE"/>
        </w:rPr>
        <w:t>.</w:t>
      </w:r>
      <w:r w:rsidRPr="00686E9D">
        <w:rPr>
          <w:smallCaps/>
          <w:u w:val="double"/>
          <w:lang w:val="en-IE"/>
        </w:rPr>
        <w:t>, Feldmann F</w:t>
      </w:r>
      <w:r w:rsidR="00D91FBC" w:rsidRPr="00686E9D">
        <w:rPr>
          <w:smallCaps/>
          <w:u w:val="double"/>
          <w:lang w:val="en-IE"/>
        </w:rPr>
        <w:t>.</w:t>
      </w:r>
      <w:r w:rsidRPr="00686E9D">
        <w:rPr>
          <w:smallCaps/>
          <w:u w:val="double"/>
          <w:lang w:val="en-IE"/>
        </w:rPr>
        <w:t>, Haddock E</w:t>
      </w:r>
      <w:r w:rsidR="00D91FBC" w:rsidRPr="00686E9D">
        <w:rPr>
          <w:smallCaps/>
          <w:u w:val="double"/>
          <w:lang w:val="en-IE"/>
        </w:rPr>
        <w:t>.</w:t>
      </w:r>
      <w:r w:rsidRPr="00686E9D">
        <w:rPr>
          <w:smallCaps/>
          <w:u w:val="double"/>
          <w:lang w:val="en-IE"/>
        </w:rPr>
        <w:t xml:space="preserve">, </w:t>
      </w:r>
      <w:proofErr w:type="spellStart"/>
      <w:r w:rsidRPr="00686E9D">
        <w:rPr>
          <w:smallCaps/>
          <w:u w:val="double"/>
          <w:lang w:val="en-IE"/>
        </w:rPr>
        <w:t>Letko</w:t>
      </w:r>
      <w:proofErr w:type="spellEnd"/>
      <w:r w:rsidRPr="00686E9D">
        <w:rPr>
          <w:smallCaps/>
          <w:u w:val="double"/>
          <w:lang w:val="en-IE"/>
        </w:rPr>
        <w:t xml:space="preserve"> M</w:t>
      </w:r>
      <w:r w:rsidR="00D91FBC" w:rsidRPr="00686E9D">
        <w:rPr>
          <w:smallCaps/>
          <w:u w:val="double"/>
          <w:lang w:val="en-IE"/>
        </w:rPr>
        <w:t>.</w:t>
      </w:r>
      <w:r w:rsidRPr="00686E9D">
        <w:rPr>
          <w:smallCaps/>
          <w:u w:val="double"/>
          <w:lang w:val="en-IE"/>
        </w:rPr>
        <w:t xml:space="preserve">, </w:t>
      </w:r>
      <w:proofErr w:type="spellStart"/>
      <w:r w:rsidRPr="00686E9D">
        <w:rPr>
          <w:smallCaps/>
          <w:u w:val="double"/>
          <w:lang w:val="en-IE"/>
        </w:rPr>
        <w:t>Avanzato</w:t>
      </w:r>
      <w:proofErr w:type="spellEnd"/>
      <w:r w:rsidRPr="00686E9D">
        <w:rPr>
          <w:smallCaps/>
          <w:u w:val="double"/>
          <w:lang w:val="en-IE"/>
        </w:rPr>
        <w:t xml:space="preserve"> V</w:t>
      </w:r>
      <w:r w:rsidR="00D91FBC" w:rsidRPr="00686E9D">
        <w:rPr>
          <w:smallCaps/>
          <w:u w:val="double"/>
          <w:lang w:val="en-IE"/>
        </w:rPr>
        <w:t>.</w:t>
      </w:r>
      <w:r w:rsidRPr="00686E9D">
        <w:rPr>
          <w:smallCaps/>
          <w:u w:val="double"/>
          <w:lang w:val="en-IE"/>
        </w:rPr>
        <w:t>A</w:t>
      </w:r>
      <w:r w:rsidR="00D91FBC" w:rsidRPr="00686E9D">
        <w:rPr>
          <w:smallCaps/>
          <w:u w:val="double"/>
          <w:lang w:val="en-IE"/>
        </w:rPr>
        <w:t>.</w:t>
      </w:r>
      <w:r w:rsidRPr="00686E9D">
        <w:rPr>
          <w:smallCaps/>
          <w:u w:val="double"/>
          <w:lang w:val="en-IE"/>
        </w:rPr>
        <w:t xml:space="preserve">, </w:t>
      </w:r>
      <w:proofErr w:type="spellStart"/>
      <w:r w:rsidRPr="00686E9D">
        <w:rPr>
          <w:smallCaps/>
          <w:u w:val="double"/>
          <w:lang w:val="en-IE"/>
        </w:rPr>
        <w:t>Rissanen</w:t>
      </w:r>
      <w:proofErr w:type="spellEnd"/>
      <w:r w:rsidRPr="00686E9D">
        <w:rPr>
          <w:smallCaps/>
          <w:u w:val="double"/>
          <w:lang w:val="en-IE"/>
        </w:rPr>
        <w:t xml:space="preserve"> I</w:t>
      </w:r>
      <w:r w:rsidR="00D91FBC" w:rsidRPr="00686E9D">
        <w:rPr>
          <w:smallCaps/>
          <w:u w:val="double"/>
          <w:lang w:val="en-IE"/>
        </w:rPr>
        <w:t>.</w:t>
      </w:r>
      <w:r w:rsidRPr="00686E9D">
        <w:rPr>
          <w:smallCaps/>
          <w:u w:val="double"/>
          <w:lang w:val="en-IE"/>
        </w:rPr>
        <w:t>, LaCasse R</w:t>
      </w:r>
      <w:r w:rsidR="00D91FBC" w:rsidRPr="00686E9D">
        <w:rPr>
          <w:smallCaps/>
          <w:u w:val="double"/>
          <w:lang w:val="en-IE"/>
        </w:rPr>
        <w:t>.</w:t>
      </w:r>
      <w:r w:rsidRPr="00686E9D">
        <w:rPr>
          <w:smallCaps/>
          <w:u w:val="double"/>
          <w:lang w:val="en-IE"/>
        </w:rPr>
        <w:t>, Scott D</w:t>
      </w:r>
      <w:r w:rsidR="00D91FBC" w:rsidRPr="00686E9D">
        <w:rPr>
          <w:smallCaps/>
          <w:u w:val="double"/>
          <w:lang w:val="en-IE"/>
        </w:rPr>
        <w:t>.</w:t>
      </w:r>
      <w:r w:rsidRPr="00686E9D">
        <w:rPr>
          <w:smallCaps/>
          <w:u w:val="double"/>
          <w:lang w:val="en-IE"/>
        </w:rPr>
        <w:t>, Bowden T</w:t>
      </w:r>
      <w:r w:rsidR="00D91FBC" w:rsidRPr="00686E9D">
        <w:rPr>
          <w:smallCaps/>
          <w:u w:val="double"/>
          <w:lang w:val="en-IE"/>
        </w:rPr>
        <w:t>.</w:t>
      </w:r>
      <w:r w:rsidRPr="00686E9D">
        <w:rPr>
          <w:smallCaps/>
          <w:u w:val="double"/>
          <w:lang w:val="en-IE"/>
        </w:rPr>
        <w:t>A</w:t>
      </w:r>
      <w:r w:rsidR="00D91FBC" w:rsidRPr="00686E9D">
        <w:rPr>
          <w:smallCaps/>
          <w:u w:val="double"/>
          <w:lang w:val="en-IE"/>
        </w:rPr>
        <w:t>.</w:t>
      </w:r>
      <w:r w:rsidRPr="00686E9D">
        <w:rPr>
          <w:smallCaps/>
          <w:u w:val="double"/>
          <w:lang w:val="en-IE"/>
        </w:rPr>
        <w:t>, Gilbert S</w:t>
      </w:r>
      <w:r w:rsidR="00D91FBC" w:rsidRPr="00686E9D">
        <w:rPr>
          <w:smallCaps/>
          <w:u w:val="double"/>
          <w:lang w:val="en-IE"/>
        </w:rPr>
        <w:t>. &amp;</w:t>
      </w:r>
      <w:r w:rsidRPr="00686E9D">
        <w:rPr>
          <w:smallCaps/>
          <w:u w:val="double"/>
          <w:lang w:val="en-IE"/>
        </w:rPr>
        <w:t xml:space="preserve"> Munster V. (2019)</w:t>
      </w:r>
      <w:r w:rsidR="00D91FBC" w:rsidRPr="00686E9D">
        <w:rPr>
          <w:smallCaps/>
          <w:u w:val="double"/>
          <w:lang w:val="en-IE"/>
        </w:rPr>
        <w:t>.</w:t>
      </w:r>
      <w:r w:rsidRPr="00686E9D">
        <w:rPr>
          <w:smallCaps/>
          <w:u w:val="double"/>
          <w:lang w:val="en-IE"/>
        </w:rPr>
        <w:t xml:space="preserve"> </w:t>
      </w:r>
      <w:r w:rsidRPr="00686E9D">
        <w:rPr>
          <w:u w:val="double"/>
          <w:lang w:val="en-IE"/>
        </w:rPr>
        <w:t xml:space="preserve">A single-dose ChAdOx1-vectored vaccine provides complete protection against </w:t>
      </w:r>
      <w:proofErr w:type="spellStart"/>
      <w:r w:rsidRPr="00686E9D">
        <w:rPr>
          <w:u w:val="double"/>
          <w:lang w:val="en-IE"/>
        </w:rPr>
        <w:t>Nipah</w:t>
      </w:r>
      <w:proofErr w:type="spellEnd"/>
      <w:r w:rsidRPr="00686E9D">
        <w:rPr>
          <w:u w:val="double"/>
          <w:lang w:val="en-IE"/>
        </w:rPr>
        <w:t xml:space="preserve"> Bangladesh and Malaysia in Syrian golden hamsters. </w:t>
      </w:r>
      <w:proofErr w:type="spellStart"/>
      <w:r w:rsidRPr="00686E9D">
        <w:rPr>
          <w:i/>
          <w:iCs/>
          <w:u w:val="double"/>
          <w:lang w:val="en-IE"/>
        </w:rPr>
        <w:t>PLoS</w:t>
      </w:r>
      <w:proofErr w:type="spellEnd"/>
      <w:r w:rsidRPr="00686E9D">
        <w:rPr>
          <w:i/>
          <w:iCs/>
          <w:u w:val="double"/>
          <w:lang w:val="en-IE"/>
        </w:rPr>
        <w:t xml:space="preserve"> </w:t>
      </w:r>
      <w:proofErr w:type="spellStart"/>
      <w:r w:rsidRPr="00686E9D">
        <w:rPr>
          <w:i/>
          <w:iCs/>
          <w:u w:val="double"/>
          <w:lang w:val="en-IE"/>
        </w:rPr>
        <w:t>Negl</w:t>
      </w:r>
      <w:proofErr w:type="spellEnd"/>
      <w:r w:rsidR="00D91FBC" w:rsidRPr="00686E9D">
        <w:rPr>
          <w:i/>
          <w:iCs/>
          <w:u w:val="double"/>
          <w:lang w:val="en-IE"/>
        </w:rPr>
        <w:t>.</w:t>
      </w:r>
      <w:r w:rsidRPr="00686E9D">
        <w:rPr>
          <w:i/>
          <w:iCs/>
          <w:u w:val="double"/>
          <w:lang w:val="en-IE"/>
        </w:rPr>
        <w:t xml:space="preserve"> Trop</w:t>
      </w:r>
      <w:r w:rsidR="00D91FBC" w:rsidRPr="00686E9D">
        <w:rPr>
          <w:i/>
          <w:iCs/>
          <w:u w:val="double"/>
          <w:lang w:val="en-IE"/>
        </w:rPr>
        <w:t>.</w:t>
      </w:r>
      <w:r w:rsidRPr="00686E9D">
        <w:rPr>
          <w:i/>
          <w:iCs/>
          <w:u w:val="double"/>
          <w:lang w:val="en-IE"/>
        </w:rPr>
        <w:t xml:space="preserve"> Dis</w:t>
      </w:r>
      <w:r w:rsidR="00D91FBC" w:rsidRPr="00686E9D">
        <w:rPr>
          <w:i/>
          <w:iCs/>
          <w:u w:val="double"/>
          <w:lang w:val="en-IE"/>
        </w:rPr>
        <w:t>.,</w:t>
      </w:r>
      <w:r w:rsidRPr="00686E9D">
        <w:rPr>
          <w:u w:val="double"/>
          <w:lang w:val="en-IE"/>
        </w:rPr>
        <w:t xml:space="preserve"> </w:t>
      </w:r>
      <w:proofErr w:type="gramStart"/>
      <w:r w:rsidRPr="00686E9D">
        <w:rPr>
          <w:b/>
          <w:bCs/>
          <w:u w:val="double"/>
          <w:lang w:val="en-IE"/>
        </w:rPr>
        <w:t>13</w:t>
      </w:r>
      <w:r w:rsidRPr="00686E9D">
        <w:rPr>
          <w:u w:val="double"/>
          <w:lang w:val="en-IE"/>
        </w:rPr>
        <w:t>:e</w:t>
      </w:r>
      <w:proofErr w:type="gramEnd"/>
      <w:r w:rsidRPr="00686E9D">
        <w:rPr>
          <w:u w:val="double"/>
          <w:lang w:val="en-IE"/>
        </w:rPr>
        <w:t xml:space="preserve">0007462. </w:t>
      </w:r>
      <w:proofErr w:type="gramStart"/>
      <w:r w:rsidRPr="00686E9D">
        <w:rPr>
          <w:u w:val="double"/>
          <w:lang w:val="en-IE"/>
        </w:rPr>
        <w:t>doi:10.1371/journal.pntd</w:t>
      </w:r>
      <w:proofErr w:type="gramEnd"/>
      <w:r w:rsidRPr="00686E9D">
        <w:rPr>
          <w:u w:val="double"/>
          <w:lang w:val="en-IE"/>
        </w:rPr>
        <w:t>.0007462.</w:t>
      </w:r>
    </w:p>
    <w:p w14:paraId="2DDE663E" w14:textId="39AD82C9" w:rsidR="00682ECF" w:rsidRDefault="00964ED2" w:rsidP="00843236">
      <w:pPr>
        <w:pStyle w:val="Ref"/>
        <w:rPr>
          <w:lang w:val="en-IE"/>
        </w:rPr>
      </w:pPr>
      <w:proofErr w:type="spellStart"/>
      <w:r w:rsidRPr="00686E9D">
        <w:rPr>
          <w:smallCaps/>
          <w:lang w:val="en-IE"/>
        </w:rPr>
        <w:t>Wacharapluesadee</w:t>
      </w:r>
      <w:proofErr w:type="spellEnd"/>
      <w:r w:rsidRPr="00686E9D">
        <w:rPr>
          <w:smallCaps/>
          <w:lang w:val="en-IE"/>
        </w:rPr>
        <w:t xml:space="preserve"> S. &amp; </w:t>
      </w:r>
      <w:proofErr w:type="spellStart"/>
      <w:r w:rsidRPr="00686E9D">
        <w:rPr>
          <w:smallCaps/>
          <w:lang w:val="en-IE"/>
        </w:rPr>
        <w:t>Hemachudha</w:t>
      </w:r>
      <w:proofErr w:type="spellEnd"/>
      <w:r w:rsidRPr="00686E9D">
        <w:rPr>
          <w:smallCaps/>
          <w:lang w:val="en-IE"/>
        </w:rPr>
        <w:t xml:space="preserve"> T</w:t>
      </w:r>
      <w:r w:rsidRPr="00686E9D">
        <w:rPr>
          <w:lang w:val="en-IE"/>
        </w:rPr>
        <w:t xml:space="preserve">. (2007). Duplex nested RT-PCR for detection of </w:t>
      </w:r>
      <w:proofErr w:type="spellStart"/>
      <w:r w:rsidRPr="00686E9D">
        <w:rPr>
          <w:lang w:val="en-IE"/>
        </w:rPr>
        <w:t>Nipah</w:t>
      </w:r>
      <w:proofErr w:type="spellEnd"/>
      <w:r w:rsidRPr="00686E9D">
        <w:rPr>
          <w:lang w:val="en-IE"/>
        </w:rPr>
        <w:t xml:space="preserve"> virus RNA from urine specimens of bats. </w:t>
      </w:r>
      <w:r w:rsidRPr="00686E9D">
        <w:rPr>
          <w:i/>
          <w:lang w:val="en-IE"/>
        </w:rPr>
        <w:t xml:space="preserve">J. </w:t>
      </w:r>
      <w:proofErr w:type="spellStart"/>
      <w:r w:rsidRPr="00686E9D">
        <w:rPr>
          <w:i/>
          <w:lang w:val="en-IE"/>
        </w:rPr>
        <w:t>Virol</w:t>
      </w:r>
      <w:proofErr w:type="spellEnd"/>
      <w:r w:rsidRPr="00686E9D">
        <w:rPr>
          <w:i/>
          <w:lang w:val="en-IE"/>
        </w:rPr>
        <w:t>. Methods</w:t>
      </w:r>
      <w:r w:rsidRPr="00686E9D">
        <w:rPr>
          <w:lang w:val="en-IE"/>
        </w:rPr>
        <w:t xml:space="preserve">, </w:t>
      </w:r>
      <w:r w:rsidRPr="00686E9D">
        <w:rPr>
          <w:b/>
          <w:bCs/>
          <w:lang w:val="en-IE"/>
        </w:rPr>
        <w:t>141</w:t>
      </w:r>
      <w:r w:rsidRPr="00686E9D">
        <w:rPr>
          <w:lang w:val="en-IE"/>
        </w:rPr>
        <w:t>, 97–101.</w:t>
      </w:r>
    </w:p>
    <w:p w14:paraId="507F37F4" w14:textId="6AE3CFFC" w:rsidR="00D97DF7" w:rsidRPr="00136F54" w:rsidRDefault="00D97DF7" w:rsidP="00D97DF7">
      <w:pPr>
        <w:pStyle w:val="Ref"/>
        <w:rPr>
          <w:i/>
          <w:iCs/>
          <w:u w:val="double"/>
          <w:lang w:val="en-IE"/>
        </w:rPr>
      </w:pPr>
      <w:r w:rsidRPr="00136F54">
        <w:rPr>
          <w:smallCaps/>
          <w:u w:val="double"/>
          <w:lang w:val="en-IE"/>
        </w:rPr>
        <w:t xml:space="preserve">Wang J., Anderson D.E., Halpin K., Hong X., Chen H., Walker S., </w:t>
      </w:r>
      <w:proofErr w:type="spellStart"/>
      <w:r w:rsidRPr="00136F54">
        <w:rPr>
          <w:smallCaps/>
          <w:u w:val="double"/>
          <w:lang w:val="en-IE"/>
        </w:rPr>
        <w:t>Valdeter</w:t>
      </w:r>
      <w:proofErr w:type="spellEnd"/>
      <w:r w:rsidRPr="00136F54">
        <w:rPr>
          <w:smallCaps/>
          <w:u w:val="double"/>
          <w:lang w:val="en-IE"/>
        </w:rPr>
        <w:t xml:space="preserve"> S., </w:t>
      </w:r>
      <w:r w:rsidR="00DF14B8">
        <w:rPr>
          <w:smallCaps/>
          <w:u w:val="double"/>
          <w:lang w:val="en-IE"/>
        </w:rPr>
        <w:t>van der</w:t>
      </w:r>
      <w:r w:rsidRPr="00136F54">
        <w:rPr>
          <w:smallCaps/>
          <w:u w:val="double"/>
          <w:lang w:val="en-IE"/>
        </w:rPr>
        <w:t xml:space="preserve"> Heide B., Neave M.J., Bingham J., O’Brien D., Eagles D., Wang L.F.</w:t>
      </w:r>
      <w:r w:rsidR="00136F54">
        <w:rPr>
          <w:smallCaps/>
          <w:u w:val="double"/>
          <w:lang w:val="en-IE"/>
        </w:rPr>
        <w:t xml:space="preserve"> &amp;</w:t>
      </w:r>
      <w:r w:rsidRPr="00136F54">
        <w:rPr>
          <w:smallCaps/>
          <w:u w:val="double"/>
          <w:lang w:val="en-IE"/>
        </w:rPr>
        <w:t xml:space="preserve"> Williams D.T. (2021). </w:t>
      </w:r>
      <w:r w:rsidRPr="00136F54">
        <w:rPr>
          <w:u w:val="double"/>
          <w:lang w:val="en-IE"/>
        </w:rPr>
        <w:t xml:space="preserve">A </w:t>
      </w:r>
      <w:r w:rsidR="00DF14B8" w:rsidRPr="00136F54">
        <w:rPr>
          <w:u w:val="double"/>
          <w:lang w:val="en-IE"/>
        </w:rPr>
        <w:t xml:space="preserve">new </w:t>
      </w:r>
      <w:r w:rsidRPr="00136F54">
        <w:rPr>
          <w:u w:val="double"/>
          <w:lang w:val="en-IE"/>
        </w:rPr>
        <w:t xml:space="preserve">Hendra </w:t>
      </w:r>
      <w:r w:rsidR="00DF14B8" w:rsidRPr="00136F54">
        <w:rPr>
          <w:u w:val="double"/>
          <w:lang w:val="en-IE"/>
        </w:rPr>
        <w:t xml:space="preserve">virus genotype found </w:t>
      </w:r>
      <w:r w:rsidRPr="00136F54">
        <w:rPr>
          <w:u w:val="double"/>
          <w:lang w:val="en-IE"/>
        </w:rPr>
        <w:t xml:space="preserve">in Australian Flying </w:t>
      </w:r>
      <w:r w:rsidR="00DF14B8" w:rsidRPr="00136F54">
        <w:rPr>
          <w:u w:val="double"/>
          <w:lang w:val="en-IE"/>
        </w:rPr>
        <w:t>foxes</w:t>
      </w:r>
      <w:r w:rsidRPr="00136F54">
        <w:rPr>
          <w:u w:val="double"/>
          <w:lang w:val="en-IE"/>
        </w:rPr>
        <w:t xml:space="preserve">. </w:t>
      </w:r>
      <w:proofErr w:type="spellStart"/>
      <w:r w:rsidRPr="00136F54">
        <w:rPr>
          <w:i/>
          <w:iCs/>
          <w:u w:val="double"/>
          <w:lang w:val="en-IE"/>
        </w:rPr>
        <w:t>Virol</w:t>
      </w:r>
      <w:proofErr w:type="spellEnd"/>
      <w:r w:rsidRPr="00136F54">
        <w:rPr>
          <w:i/>
          <w:iCs/>
          <w:u w:val="double"/>
          <w:lang w:val="en-IE"/>
        </w:rPr>
        <w:t>. J.</w:t>
      </w:r>
      <w:r w:rsidR="000B7D70">
        <w:rPr>
          <w:i/>
          <w:iCs/>
          <w:u w:val="double"/>
          <w:lang w:val="en-IE"/>
        </w:rPr>
        <w:t xml:space="preserve">, </w:t>
      </w:r>
      <w:r w:rsidR="000B7D70" w:rsidRPr="000B7D70">
        <w:rPr>
          <w:b/>
          <w:bCs/>
          <w:u w:val="double"/>
          <w:lang w:val="en-IE"/>
        </w:rPr>
        <w:t>18</w:t>
      </w:r>
      <w:r w:rsidR="000B7D70" w:rsidRPr="000B7D70">
        <w:rPr>
          <w:u w:val="double"/>
          <w:lang w:val="en-IE"/>
        </w:rPr>
        <w:t>, 197</w:t>
      </w:r>
      <w:r w:rsidR="000B7D70">
        <w:rPr>
          <w:u w:val="double"/>
          <w:lang w:val="en-IE"/>
        </w:rPr>
        <w:t>.</w:t>
      </w:r>
    </w:p>
    <w:p w14:paraId="246485C7" w14:textId="3F9A4F78" w:rsidR="00DD1E80" w:rsidRPr="00686E9D" w:rsidRDefault="00964ED2" w:rsidP="00843236">
      <w:pPr>
        <w:pStyle w:val="Ref"/>
        <w:rPr>
          <w:smallCaps/>
          <w:strike/>
          <w:lang w:val="en-IE"/>
        </w:rPr>
      </w:pPr>
      <w:proofErr w:type="spellStart"/>
      <w:r w:rsidRPr="00686E9D">
        <w:rPr>
          <w:smallCaps/>
          <w:strike/>
          <w:lang w:val="en-IE"/>
        </w:rPr>
        <w:t>Wacharapluesadee</w:t>
      </w:r>
      <w:proofErr w:type="spellEnd"/>
      <w:r w:rsidRPr="00686E9D">
        <w:rPr>
          <w:smallCaps/>
          <w:strike/>
          <w:lang w:val="en-IE"/>
        </w:rPr>
        <w:t xml:space="preserve"> S., </w:t>
      </w:r>
      <w:proofErr w:type="spellStart"/>
      <w:r w:rsidRPr="00686E9D">
        <w:rPr>
          <w:smallCaps/>
          <w:strike/>
          <w:lang w:val="en-IE"/>
        </w:rPr>
        <w:t>Lumlertdacha</w:t>
      </w:r>
      <w:proofErr w:type="spellEnd"/>
      <w:r w:rsidRPr="00686E9D">
        <w:rPr>
          <w:smallCaps/>
          <w:strike/>
          <w:lang w:val="en-IE"/>
        </w:rPr>
        <w:t xml:space="preserve"> B., </w:t>
      </w:r>
      <w:proofErr w:type="spellStart"/>
      <w:r w:rsidRPr="00686E9D">
        <w:rPr>
          <w:smallCaps/>
          <w:strike/>
          <w:lang w:val="en-IE"/>
        </w:rPr>
        <w:t>Boongird</w:t>
      </w:r>
      <w:proofErr w:type="spellEnd"/>
      <w:r w:rsidRPr="00686E9D">
        <w:rPr>
          <w:smallCaps/>
          <w:strike/>
          <w:lang w:val="en-IE"/>
        </w:rPr>
        <w:t xml:space="preserve"> K., </w:t>
      </w:r>
      <w:proofErr w:type="spellStart"/>
      <w:r w:rsidRPr="00686E9D">
        <w:rPr>
          <w:smallCaps/>
          <w:strike/>
          <w:lang w:val="en-IE"/>
        </w:rPr>
        <w:t>Wanghongsa</w:t>
      </w:r>
      <w:proofErr w:type="spellEnd"/>
      <w:r w:rsidRPr="00686E9D">
        <w:rPr>
          <w:smallCaps/>
          <w:strike/>
          <w:lang w:val="en-IE"/>
        </w:rPr>
        <w:t xml:space="preserve"> S., </w:t>
      </w:r>
      <w:proofErr w:type="spellStart"/>
      <w:r w:rsidRPr="00686E9D">
        <w:rPr>
          <w:smallCaps/>
          <w:strike/>
          <w:lang w:val="en-IE"/>
        </w:rPr>
        <w:t>Chanhome</w:t>
      </w:r>
      <w:proofErr w:type="spellEnd"/>
      <w:r w:rsidRPr="00686E9D">
        <w:rPr>
          <w:smallCaps/>
          <w:strike/>
          <w:lang w:val="en-IE"/>
        </w:rPr>
        <w:t xml:space="preserve"> S., Rollin P., Stockton P., </w:t>
      </w:r>
      <w:proofErr w:type="spellStart"/>
      <w:r w:rsidRPr="00686E9D">
        <w:rPr>
          <w:smallCaps/>
          <w:strike/>
          <w:lang w:val="en-IE"/>
        </w:rPr>
        <w:t>Rupprecht</w:t>
      </w:r>
      <w:proofErr w:type="spellEnd"/>
      <w:r w:rsidRPr="00686E9D">
        <w:rPr>
          <w:smallCaps/>
          <w:strike/>
          <w:lang w:val="en-IE"/>
        </w:rPr>
        <w:t xml:space="preserve"> C.E., </w:t>
      </w:r>
      <w:proofErr w:type="spellStart"/>
      <w:r w:rsidRPr="00686E9D">
        <w:rPr>
          <w:smallCaps/>
          <w:strike/>
          <w:lang w:val="en-IE"/>
        </w:rPr>
        <w:t>Ksiazek</w:t>
      </w:r>
      <w:proofErr w:type="spellEnd"/>
      <w:r w:rsidRPr="00686E9D">
        <w:rPr>
          <w:smallCaps/>
          <w:strike/>
          <w:lang w:val="en-IE"/>
        </w:rPr>
        <w:t xml:space="preserve"> T.G. &amp; </w:t>
      </w:r>
      <w:proofErr w:type="spellStart"/>
      <w:r w:rsidRPr="00686E9D">
        <w:rPr>
          <w:smallCaps/>
          <w:strike/>
          <w:lang w:val="en-IE"/>
        </w:rPr>
        <w:t>Hemachudha</w:t>
      </w:r>
      <w:proofErr w:type="spellEnd"/>
      <w:r w:rsidRPr="00686E9D">
        <w:rPr>
          <w:smallCaps/>
          <w:strike/>
          <w:lang w:val="en-IE"/>
        </w:rPr>
        <w:t xml:space="preserve"> T. (</w:t>
      </w:r>
      <w:r w:rsidRPr="00686E9D">
        <w:rPr>
          <w:strike/>
          <w:lang w:val="en-IE"/>
        </w:rPr>
        <w:t xml:space="preserve">2005). Bat </w:t>
      </w:r>
      <w:proofErr w:type="spellStart"/>
      <w:r w:rsidRPr="00686E9D">
        <w:rPr>
          <w:strike/>
          <w:lang w:val="en-IE"/>
        </w:rPr>
        <w:t>Nipah</w:t>
      </w:r>
      <w:proofErr w:type="spellEnd"/>
      <w:r w:rsidRPr="00686E9D">
        <w:rPr>
          <w:strike/>
          <w:lang w:val="en-IE"/>
        </w:rPr>
        <w:t xml:space="preserve"> Virus, Thailand, </w:t>
      </w:r>
      <w:proofErr w:type="spellStart"/>
      <w:r w:rsidRPr="00686E9D">
        <w:rPr>
          <w:i/>
          <w:strike/>
          <w:lang w:val="en-IE"/>
        </w:rPr>
        <w:t>Emerg</w:t>
      </w:r>
      <w:proofErr w:type="spellEnd"/>
      <w:r w:rsidRPr="00686E9D">
        <w:rPr>
          <w:i/>
          <w:strike/>
          <w:lang w:val="en-IE"/>
        </w:rPr>
        <w:t>. Infect. Dis</w:t>
      </w:r>
      <w:r w:rsidRPr="00686E9D">
        <w:rPr>
          <w:strike/>
          <w:lang w:val="en-IE"/>
        </w:rPr>
        <w:t xml:space="preserve">., </w:t>
      </w:r>
      <w:r w:rsidRPr="00686E9D">
        <w:rPr>
          <w:b/>
          <w:bCs/>
          <w:strike/>
          <w:lang w:val="en-IE"/>
        </w:rPr>
        <w:t>11</w:t>
      </w:r>
      <w:r w:rsidRPr="00686E9D">
        <w:rPr>
          <w:strike/>
          <w:lang w:val="en-IE"/>
        </w:rPr>
        <w:t>, 1949–1951.</w:t>
      </w:r>
    </w:p>
    <w:p w14:paraId="2C9D50BF" w14:textId="3A6AD21A" w:rsidR="00682ECF" w:rsidRPr="00686E9D" w:rsidRDefault="00964ED2" w:rsidP="00843236">
      <w:pPr>
        <w:pStyle w:val="Ref"/>
        <w:rPr>
          <w:strike/>
          <w:lang w:val="en-IE"/>
        </w:rPr>
      </w:pPr>
      <w:r w:rsidRPr="00686E9D">
        <w:rPr>
          <w:smallCaps/>
          <w:strike/>
          <w:lang w:val="en-IE"/>
        </w:rPr>
        <w:t>Williamson M.M., Hooper P.T., Selleck P.W., Gleeson L.J., Daniels P.W., Westbury H.A. &amp; Murray P.K</w:t>
      </w:r>
      <w:r w:rsidRPr="00686E9D">
        <w:rPr>
          <w:strike/>
          <w:lang w:val="en-IE"/>
        </w:rPr>
        <w:t xml:space="preserve">. (1998). Transmission studies of Hendra virus (equine morbillivirus) in fruit bats, horses and cats. </w:t>
      </w:r>
      <w:r w:rsidRPr="00686E9D">
        <w:rPr>
          <w:i/>
          <w:iCs/>
          <w:strike/>
          <w:lang w:val="en-IE"/>
        </w:rPr>
        <w:t>Aust. Vet. J.,</w:t>
      </w:r>
      <w:r w:rsidRPr="00686E9D">
        <w:rPr>
          <w:strike/>
          <w:lang w:val="en-IE"/>
        </w:rPr>
        <w:t xml:space="preserve"> </w:t>
      </w:r>
      <w:r w:rsidRPr="00686E9D">
        <w:rPr>
          <w:b/>
          <w:strike/>
          <w:lang w:val="en-IE"/>
        </w:rPr>
        <w:t>76</w:t>
      </w:r>
      <w:r w:rsidRPr="00686E9D">
        <w:rPr>
          <w:strike/>
          <w:lang w:val="en-IE"/>
        </w:rPr>
        <w:t>, 813–818.</w:t>
      </w:r>
    </w:p>
    <w:p w14:paraId="2A2F6C74" w14:textId="28B82165" w:rsidR="00682ECF" w:rsidRPr="00686E9D" w:rsidRDefault="00964ED2" w:rsidP="00843236">
      <w:pPr>
        <w:pStyle w:val="Ref"/>
        <w:rPr>
          <w:strike/>
          <w:lang w:val="en-IE"/>
        </w:rPr>
      </w:pPr>
      <w:r w:rsidRPr="00686E9D">
        <w:rPr>
          <w:smallCaps/>
          <w:strike/>
          <w:lang w:val="en-IE"/>
        </w:rPr>
        <w:lastRenderedPageBreak/>
        <w:t>World Health Organization</w:t>
      </w:r>
      <w:r w:rsidRPr="00686E9D">
        <w:rPr>
          <w:strike/>
          <w:lang w:val="en-IE"/>
        </w:rPr>
        <w:t xml:space="preserve"> (WHO) (2004). Laboratory Biosafety Manual, Third Edition. WHO, Geneva, </w:t>
      </w:r>
      <w:proofErr w:type="gramStart"/>
      <w:r w:rsidRPr="00686E9D">
        <w:rPr>
          <w:strike/>
          <w:lang w:val="en-IE"/>
        </w:rPr>
        <w:t>Switzerland.</w:t>
      </w:r>
      <w:proofErr w:type="gramEnd"/>
      <w:r w:rsidRPr="00686E9D">
        <w:rPr>
          <w:strike/>
          <w:lang w:val="en-IE"/>
        </w:rPr>
        <w:t xml:space="preserve"> </w:t>
      </w:r>
    </w:p>
    <w:p w14:paraId="386D901C" w14:textId="42CD37AC" w:rsidR="003E6576" w:rsidRPr="00686E9D" w:rsidRDefault="003E6576" w:rsidP="00843236">
      <w:pPr>
        <w:pStyle w:val="Ref"/>
        <w:rPr>
          <w:u w:val="double"/>
          <w:lang w:val="en-IE"/>
        </w:rPr>
      </w:pPr>
      <w:r w:rsidRPr="00686E9D">
        <w:rPr>
          <w:smallCaps/>
          <w:u w:val="double"/>
          <w:lang w:val="en-IE"/>
        </w:rPr>
        <w:t>World Health Organization</w:t>
      </w:r>
      <w:r w:rsidRPr="00686E9D">
        <w:rPr>
          <w:u w:val="double"/>
          <w:lang w:val="en-IE"/>
        </w:rPr>
        <w:t xml:space="preserve"> (2019). WHO R&amp;D Blueprint: Priority Diagnostics for </w:t>
      </w:r>
      <w:proofErr w:type="spellStart"/>
      <w:r w:rsidRPr="00686E9D">
        <w:rPr>
          <w:u w:val="double"/>
          <w:lang w:val="en-IE"/>
        </w:rPr>
        <w:t>Nipah</w:t>
      </w:r>
      <w:proofErr w:type="spellEnd"/>
      <w:r w:rsidRPr="00686E9D">
        <w:rPr>
          <w:u w:val="double"/>
          <w:lang w:val="en-IE"/>
        </w:rPr>
        <w:t xml:space="preserve"> Use Cases and Target Product Profiles. World Health Organization, Geneva, Switzerland. https://www.who.int/docs/default-source/blue-print/call-for-comments/who-nipah-dx-tpps-d.pdf?sfvrsn=8a856311_4.</w:t>
      </w:r>
    </w:p>
    <w:p w14:paraId="281E4766" w14:textId="4FFD4086" w:rsidR="00682ECF" w:rsidRDefault="00964ED2" w:rsidP="00843236">
      <w:pPr>
        <w:pStyle w:val="Ref"/>
        <w:rPr>
          <w:lang w:val="en-IE"/>
        </w:rPr>
      </w:pPr>
      <w:r w:rsidRPr="00686E9D">
        <w:rPr>
          <w:smallCaps/>
          <w:lang w:val="en-IE"/>
        </w:rPr>
        <w:t xml:space="preserve">Wu Z., Yang L., Yang F., Ren X., Jiang J., Dong J., Sun L., Zhu Y., Zhou H. &amp; </w:t>
      </w:r>
      <w:proofErr w:type="spellStart"/>
      <w:r w:rsidRPr="00686E9D">
        <w:rPr>
          <w:smallCaps/>
          <w:lang w:val="en-IE"/>
        </w:rPr>
        <w:t>Jin</w:t>
      </w:r>
      <w:proofErr w:type="spellEnd"/>
      <w:r w:rsidRPr="00686E9D">
        <w:rPr>
          <w:smallCaps/>
          <w:lang w:val="en-IE"/>
        </w:rPr>
        <w:t xml:space="preserve"> Q.</w:t>
      </w:r>
      <w:r w:rsidRPr="00686E9D">
        <w:rPr>
          <w:lang w:val="en-IE"/>
        </w:rPr>
        <w:t xml:space="preserve"> (2014). Novel </w:t>
      </w:r>
      <w:proofErr w:type="spellStart"/>
      <w:r w:rsidRPr="00686E9D">
        <w:rPr>
          <w:lang w:val="en-IE"/>
        </w:rPr>
        <w:t>Henipa</w:t>
      </w:r>
      <w:proofErr w:type="spellEnd"/>
      <w:r w:rsidRPr="00686E9D">
        <w:rPr>
          <w:lang w:val="en-IE"/>
        </w:rPr>
        <w:t xml:space="preserve">-like virus, </w:t>
      </w:r>
      <w:proofErr w:type="spellStart"/>
      <w:r w:rsidRPr="00686E9D">
        <w:rPr>
          <w:lang w:val="en-IE"/>
        </w:rPr>
        <w:t>Mojiang</w:t>
      </w:r>
      <w:proofErr w:type="spellEnd"/>
      <w:r w:rsidRPr="00686E9D">
        <w:rPr>
          <w:lang w:val="en-IE"/>
        </w:rPr>
        <w:t xml:space="preserve"> Paramyxovirus, in rats, China, 2012. </w:t>
      </w:r>
      <w:proofErr w:type="spellStart"/>
      <w:r w:rsidRPr="00686E9D">
        <w:rPr>
          <w:i/>
          <w:lang w:val="en-IE"/>
        </w:rPr>
        <w:t>Emerg</w:t>
      </w:r>
      <w:proofErr w:type="spellEnd"/>
      <w:r w:rsidRPr="00686E9D">
        <w:rPr>
          <w:i/>
          <w:lang w:val="en-IE"/>
        </w:rPr>
        <w:t>. Infect. Dis.,</w:t>
      </w:r>
      <w:r w:rsidRPr="00686E9D">
        <w:rPr>
          <w:lang w:val="en-IE"/>
        </w:rPr>
        <w:t xml:space="preserve"> </w:t>
      </w:r>
      <w:r w:rsidRPr="00686E9D">
        <w:rPr>
          <w:b/>
          <w:lang w:val="en-IE"/>
        </w:rPr>
        <w:t>20</w:t>
      </w:r>
      <w:r w:rsidRPr="00686E9D">
        <w:rPr>
          <w:lang w:val="en-IE"/>
        </w:rPr>
        <w:t>, 1064–1066.</w:t>
      </w:r>
    </w:p>
    <w:p w14:paraId="39FE4AEB" w14:textId="7C23B3EC" w:rsidR="00320425" w:rsidRPr="00320425" w:rsidRDefault="00320425" w:rsidP="00320425">
      <w:pPr>
        <w:pStyle w:val="Ref"/>
        <w:rPr>
          <w:u w:val="double"/>
        </w:rPr>
      </w:pPr>
      <w:bookmarkStart w:id="75" w:name="bau0005"/>
      <w:r w:rsidRPr="00320425">
        <w:rPr>
          <w:rStyle w:val="text"/>
          <w:smallCaps/>
          <w:highlight w:val="yellow"/>
          <w:u w:val="double"/>
        </w:rPr>
        <w:t xml:space="preserve">Yuen K.Y., </w:t>
      </w:r>
      <w:bookmarkStart w:id="76" w:name="bau0010"/>
      <w:bookmarkEnd w:id="75"/>
      <w:r w:rsidRPr="00320425">
        <w:rPr>
          <w:smallCaps/>
          <w:highlight w:val="yellow"/>
          <w:u w:val="double"/>
        </w:rPr>
        <w:fldChar w:fldCharType="begin"/>
      </w:r>
      <w:r w:rsidRPr="00320425">
        <w:rPr>
          <w:smallCaps/>
          <w:highlight w:val="yellow"/>
          <w:u w:val="double"/>
        </w:rPr>
        <w:instrText xml:space="preserve"> HYPERLINK "https://www.sciencedirect.com/science/article/pii/S2352771420303086?via%3Dihub" \l "!" </w:instrText>
      </w:r>
      <w:r w:rsidRPr="00320425">
        <w:rPr>
          <w:smallCaps/>
          <w:highlight w:val="yellow"/>
          <w:u w:val="double"/>
        </w:rPr>
        <w:fldChar w:fldCharType="separate"/>
      </w:r>
      <w:r w:rsidRPr="00320425">
        <w:rPr>
          <w:rStyle w:val="text"/>
          <w:smallCaps/>
          <w:highlight w:val="yellow"/>
          <w:u w:val="double"/>
        </w:rPr>
        <w:t>N.S. Fraser</w:t>
      </w:r>
      <w:r w:rsidRPr="00320425">
        <w:rPr>
          <w:smallCaps/>
          <w:highlight w:val="yellow"/>
          <w:u w:val="double"/>
        </w:rPr>
        <w:fldChar w:fldCharType="end"/>
      </w:r>
      <w:bookmarkStart w:id="77" w:name="bau0015"/>
      <w:bookmarkEnd w:id="76"/>
      <w:r w:rsidRPr="00320425">
        <w:rPr>
          <w:smallCaps/>
          <w:highlight w:val="yellow"/>
          <w:u w:val="double"/>
        </w:rPr>
        <w:t xml:space="preserve">, </w:t>
      </w:r>
      <w:hyperlink r:id="rId10" w:anchor="!" w:history="1">
        <w:r w:rsidRPr="00320425">
          <w:rPr>
            <w:rStyle w:val="text"/>
            <w:smallCaps/>
            <w:highlight w:val="yellow"/>
            <w:u w:val="double"/>
          </w:rPr>
          <w:t>Henning</w:t>
        </w:r>
      </w:hyperlink>
      <w:bookmarkStart w:id="78" w:name="bau0020"/>
      <w:bookmarkEnd w:id="77"/>
      <w:r w:rsidRPr="00320425">
        <w:rPr>
          <w:smallCaps/>
          <w:highlight w:val="yellow"/>
          <w:u w:val="double"/>
        </w:rPr>
        <w:t xml:space="preserve"> J., </w:t>
      </w:r>
      <w:hyperlink r:id="rId11" w:anchor="!" w:history="1">
        <w:r w:rsidRPr="00320425">
          <w:rPr>
            <w:rStyle w:val="text"/>
            <w:smallCaps/>
            <w:highlight w:val="yellow"/>
            <w:u w:val="double"/>
          </w:rPr>
          <w:t>Halpin</w:t>
        </w:r>
      </w:hyperlink>
      <w:bookmarkStart w:id="79" w:name="bau0025"/>
      <w:bookmarkEnd w:id="78"/>
      <w:r w:rsidRPr="00320425">
        <w:rPr>
          <w:smallCaps/>
          <w:highlight w:val="yellow"/>
          <w:u w:val="double"/>
        </w:rPr>
        <w:t xml:space="preserve"> K., </w:t>
      </w:r>
      <w:hyperlink r:id="rId12" w:anchor="!" w:history="1">
        <w:r w:rsidRPr="00320425">
          <w:rPr>
            <w:rStyle w:val="text"/>
            <w:smallCaps/>
            <w:highlight w:val="yellow"/>
            <w:u w:val="double"/>
          </w:rPr>
          <w:t>Gibson</w:t>
        </w:r>
        <w:r w:rsidRPr="00320425">
          <w:rPr>
            <w:smallCaps/>
            <w:highlight w:val="yellow"/>
            <w:u w:val="double"/>
          </w:rPr>
          <w:t xml:space="preserve"> </w:t>
        </w:r>
        <w:r w:rsidRPr="00320425">
          <w:rPr>
            <w:rStyle w:val="text"/>
            <w:smallCaps/>
            <w:highlight w:val="yellow"/>
            <w:u w:val="double"/>
          </w:rPr>
          <w:t xml:space="preserve">J.S. </w:t>
        </w:r>
      </w:hyperlink>
      <w:bookmarkStart w:id="80" w:name="bau0030"/>
      <w:bookmarkEnd w:id="79"/>
      <w:r w:rsidRPr="00320425">
        <w:rPr>
          <w:smallCaps/>
          <w:highlight w:val="yellow"/>
          <w:u w:val="double"/>
        </w:rPr>
        <w:fldChar w:fldCharType="begin"/>
      </w:r>
      <w:r w:rsidRPr="00320425">
        <w:rPr>
          <w:smallCaps/>
          <w:highlight w:val="yellow"/>
          <w:u w:val="double"/>
        </w:rPr>
        <w:instrText xml:space="preserve"> HYPERLINK "https://www.sciencedirect.com/science/article/pii/S2352771420303086?via%3Dihub" \l "!" </w:instrText>
      </w:r>
      <w:r w:rsidRPr="00320425">
        <w:rPr>
          <w:smallCaps/>
          <w:highlight w:val="yellow"/>
          <w:u w:val="double"/>
        </w:rPr>
        <w:fldChar w:fldCharType="separate"/>
      </w:r>
      <w:r w:rsidRPr="00320425">
        <w:rPr>
          <w:rStyle w:val="text"/>
          <w:smallCaps/>
          <w:highlight w:val="yellow"/>
          <w:u w:val="double"/>
        </w:rPr>
        <w:t>&amp;</w:t>
      </w:r>
      <w:r w:rsidRPr="00320425">
        <w:rPr>
          <w:smallCaps/>
          <w:highlight w:val="yellow"/>
          <w:u w:val="double"/>
        </w:rPr>
        <w:fldChar w:fldCharType="end"/>
      </w:r>
      <w:bookmarkStart w:id="81" w:name="bau0035"/>
      <w:bookmarkEnd w:id="80"/>
      <w:r w:rsidRPr="00320425">
        <w:rPr>
          <w:smallCaps/>
          <w:highlight w:val="yellow"/>
          <w:u w:val="double"/>
        </w:rPr>
        <w:t xml:space="preserve"> </w:t>
      </w:r>
      <w:hyperlink r:id="rId13" w:anchor="!" w:history="1">
        <w:r w:rsidRPr="00320425">
          <w:rPr>
            <w:rStyle w:val="text"/>
            <w:smallCaps/>
            <w:highlight w:val="yellow"/>
            <w:u w:val="double"/>
          </w:rPr>
          <w:t>Stewart</w:t>
        </w:r>
      </w:hyperlink>
      <w:bookmarkEnd w:id="81"/>
      <w:r w:rsidRPr="00320425">
        <w:rPr>
          <w:smallCaps/>
          <w:highlight w:val="yellow"/>
          <w:u w:val="double"/>
        </w:rPr>
        <w:t xml:space="preserve"> A.J.</w:t>
      </w:r>
      <w:r w:rsidRPr="00320425">
        <w:rPr>
          <w:highlight w:val="yellow"/>
          <w:u w:val="double"/>
        </w:rPr>
        <w:t xml:space="preserve"> (2021). </w:t>
      </w:r>
      <w:hyperlink r:id="rId14" w:history="1">
        <w:r w:rsidRPr="00320425">
          <w:rPr>
            <w:rStyle w:val="Hyperlink"/>
            <w:color w:val="auto"/>
            <w:highlight w:val="yellow"/>
            <w:u w:val="double"/>
          </w:rPr>
          <w:t>Hendra virus: epidemiology dynamics in relation to climate change, diagnostic tests and control measures</w:t>
        </w:r>
      </w:hyperlink>
      <w:r w:rsidRPr="00320425">
        <w:rPr>
          <w:highlight w:val="yellow"/>
          <w:u w:val="double"/>
        </w:rPr>
        <w:t xml:space="preserve">. </w:t>
      </w:r>
      <w:r w:rsidRPr="00320425">
        <w:rPr>
          <w:i/>
          <w:iCs/>
          <w:highlight w:val="yellow"/>
          <w:u w:val="double"/>
        </w:rPr>
        <w:t>One Health</w:t>
      </w:r>
      <w:r w:rsidRPr="00320425">
        <w:rPr>
          <w:highlight w:val="yellow"/>
          <w:u w:val="double"/>
        </w:rPr>
        <w:t xml:space="preserve">, </w:t>
      </w:r>
      <w:r w:rsidRPr="00320425">
        <w:rPr>
          <w:b/>
          <w:bCs/>
          <w:highlight w:val="yellow"/>
          <w:u w:val="double"/>
        </w:rPr>
        <w:t>12</w:t>
      </w:r>
      <w:r w:rsidRPr="00320425">
        <w:rPr>
          <w:highlight w:val="yellow"/>
          <w:u w:val="double"/>
        </w:rPr>
        <w:t>, doi.org/10.1016/j.onehlt.2020.100207.</w:t>
      </w:r>
      <w:r w:rsidRPr="00320425">
        <w:rPr>
          <w:u w:val="double"/>
        </w:rPr>
        <w:t xml:space="preserve"> </w:t>
      </w:r>
    </w:p>
    <w:p w14:paraId="74597F39" w14:textId="77777777" w:rsidR="00682ECF" w:rsidRPr="00686E9D" w:rsidRDefault="00964ED2" w:rsidP="00843236">
      <w:pPr>
        <w:pStyle w:val="Ref"/>
        <w:rPr>
          <w:bCs/>
          <w:lang w:val="en-IE"/>
        </w:rPr>
      </w:pPr>
      <w:r w:rsidRPr="00686E9D">
        <w:rPr>
          <w:smallCaps/>
          <w:lang w:val="en-IE" w:eastAsia="en-US"/>
        </w:rPr>
        <w:t xml:space="preserve">Yu F., </w:t>
      </w:r>
      <w:proofErr w:type="spellStart"/>
      <w:r w:rsidRPr="00686E9D">
        <w:rPr>
          <w:smallCaps/>
          <w:lang w:val="en-IE" w:eastAsia="en-US"/>
        </w:rPr>
        <w:t>Khairullah</w:t>
      </w:r>
      <w:proofErr w:type="spellEnd"/>
      <w:r w:rsidRPr="00686E9D">
        <w:rPr>
          <w:smallCaps/>
          <w:lang w:val="en-IE" w:eastAsia="en-US"/>
        </w:rPr>
        <w:t xml:space="preserve"> N.S., Inoue S., </w:t>
      </w:r>
      <w:proofErr w:type="spellStart"/>
      <w:r w:rsidRPr="00686E9D">
        <w:rPr>
          <w:smallCaps/>
          <w:lang w:val="en-IE" w:eastAsia="en-US"/>
        </w:rPr>
        <w:t>Balasubramaniam</w:t>
      </w:r>
      <w:proofErr w:type="spellEnd"/>
      <w:r w:rsidRPr="00686E9D">
        <w:rPr>
          <w:smallCaps/>
          <w:lang w:val="en-IE" w:eastAsia="en-US"/>
        </w:rPr>
        <w:t xml:space="preserve"> V., </w:t>
      </w:r>
      <w:proofErr w:type="spellStart"/>
      <w:r w:rsidRPr="00686E9D">
        <w:rPr>
          <w:smallCaps/>
          <w:lang w:val="en-IE" w:eastAsia="en-US"/>
        </w:rPr>
        <w:t>Berendam</w:t>
      </w:r>
      <w:proofErr w:type="spellEnd"/>
      <w:r w:rsidRPr="00686E9D">
        <w:rPr>
          <w:smallCaps/>
          <w:lang w:val="en-IE" w:eastAsia="en-US"/>
        </w:rPr>
        <w:t xml:space="preserve"> S.J., </w:t>
      </w:r>
      <w:proofErr w:type="spellStart"/>
      <w:r w:rsidRPr="00686E9D">
        <w:rPr>
          <w:smallCaps/>
          <w:lang w:val="en-IE" w:eastAsia="en-US"/>
        </w:rPr>
        <w:t>Teh</w:t>
      </w:r>
      <w:proofErr w:type="spellEnd"/>
      <w:r w:rsidRPr="00686E9D">
        <w:rPr>
          <w:smallCaps/>
          <w:lang w:val="en-IE" w:eastAsia="en-US"/>
        </w:rPr>
        <w:t xml:space="preserve"> L.K., Ibrahim N.S., Abdul Rahman S., Hassan S.S., </w:t>
      </w:r>
      <w:proofErr w:type="spellStart"/>
      <w:r w:rsidRPr="00686E9D">
        <w:rPr>
          <w:smallCaps/>
          <w:lang w:val="en-IE" w:eastAsia="en-US"/>
        </w:rPr>
        <w:t>Hasebe</w:t>
      </w:r>
      <w:proofErr w:type="spellEnd"/>
      <w:r w:rsidRPr="00686E9D">
        <w:rPr>
          <w:smallCaps/>
          <w:lang w:val="en-IE" w:eastAsia="en-US"/>
        </w:rPr>
        <w:t xml:space="preserve"> F., </w:t>
      </w:r>
      <w:proofErr w:type="spellStart"/>
      <w:r w:rsidRPr="00686E9D">
        <w:rPr>
          <w:smallCaps/>
          <w:lang w:val="en-IE" w:eastAsia="en-US"/>
        </w:rPr>
        <w:t>Sinniah</w:t>
      </w:r>
      <w:proofErr w:type="spellEnd"/>
      <w:r w:rsidRPr="00686E9D">
        <w:rPr>
          <w:smallCaps/>
          <w:lang w:val="en-IE" w:eastAsia="en-US"/>
        </w:rPr>
        <w:t xml:space="preserve"> M. &amp; Morita K.</w:t>
      </w:r>
      <w:r w:rsidRPr="00686E9D">
        <w:rPr>
          <w:lang w:val="en-IE" w:eastAsia="en-US"/>
        </w:rPr>
        <w:t xml:space="preserve"> (2006). Serodiagnosis using recombinant </w:t>
      </w:r>
      <w:proofErr w:type="spellStart"/>
      <w:r w:rsidRPr="00686E9D">
        <w:rPr>
          <w:lang w:val="en-IE" w:eastAsia="en-US"/>
        </w:rPr>
        <w:t>Nipah</w:t>
      </w:r>
      <w:proofErr w:type="spellEnd"/>
      <w:r w:rsidRPr="00686E9D">
        <w:rPr>
          <w:lang w:val="en-IE" w:eastAsia="en-US"/>
        </w:rPr>
        <w:t xml:space="preserve"> virus nucleocapsid protein expressed in </w:t>
      </w:r>
      <w:r w:rsidRPr="00686E9D">
        <w:rPr>
          <w:i/>
          <w:iCs/>
          <w:lang w:val="en-IE" w:eastAsia="en-US"/>
        </w:rPr>
        <w:t>Escherichia coli</w:t>
      </w:r>
      <w:r w:rsidRPr="00686E9D">
        <w:rPr>
          <w:lang w:val="en-IE" w:eastAsia="en-US"/>
        </w:rPr>
        <w:t xml:space="preserve">. </w:t>
      </w:r>
      <w:r w:rsidRPr="00686E9D">
        <w:rPr>
          <w:i/>
          <w:iCs/>
          <w:lang w:val="en-IE" w:eastAsia="en-US"/>
        </w:rPr>
        <w:t xml:space="preserve">J. Clin. </w:t>
      </w:r>
      <w:proofErr w:type="spellStart"/>
      <w:r w:rsidRPr="00686E9D">
        <w:rPr>
          <w:i/>
          <w:iCs/>
          <w:lang w:val="en-IE" w:eastAsia="en-US"/>
        </w:rPr>
        <w:t>Microbiol</w:t>
      </w:r>
      <w:proofErr w:type="spellEnd"/>
      <w:r w:rsidRPr="00686E9D">
        <w:rPr>
          <w:i/>
          <w:iCs/>
          <w:lang w:val="en-IE" w:eastAsia="en-US"/>
        </w:rPr>
        <w:t>.,</w:t>
      </w:r>
      <w:r w:rsidRPr="00686E9D">
        <w:rPr>
          <w:lang w:val="en-IE" w:eastAsia="en-US"/>
        </w:rPr>
        <w:t xml:space="preserve"> </w:t>
      </w:r>
      <w:r w:rsidRPr="00686E9D">
        <w:rPr>
          <w:b/>
          <w:bCs/>
          <w:lang w:val="en-IE" w:eastAsia="en-US"/>
        </w:rPr>
        <w:t>44</w:t>
      </w:r>
      <w:r w:rsidRPr="00686E9D">
        <w:rPr>
          <w:lang w:val="en-IE" w:eastAsia="en-US"/>
        </w:rPr>
        <w:t>, 3134–3138.</w:t>
      </w:r>
    </w:p>
    <w:p w14:paraId="2872A585" w14:textId="77777777" w:rsidR="00682ECF" w:rsidRPr="00686E9D" w:rsidRDefault="00964ED2">
      <w:pPr>
        <w:pStyle w:val="rtoiles"/>
        <w:rPr>
          <w:lang w:val="en-IE"/>
        </w:rPr>
      </w:pPr>
      <w:r w:rsidRPr="00686E9D">
        <w:rPr>
          <w:lang w:val="en-IE"/>
        </w:rPr>
        <w:t>*</w:t>
      </w:r>
      <w:r w:rsidRPr="00686E9D">
        <w:rPr>
          <w:lang w:val="en-IE"/>
        </w:rPr>
        <w:br/>
        <w:t>*   *</w:t>
      </w:r>
    </w:p>
    <w:p w14:paraId="5144A3E0" w14:textId="36EF8DCC" w:rsidR="00682ECF" w:rsidRPr="00686E9D" w:rsidRDefault="00964ED2" w:rsidP="00146ED7">
      <w:pPr>
        <w:tabs>
          <w:tab w:val="clear" w:pos="-720"/>
        </w:tabs>
        <w:spacing w:before="120" w:after="240" w:line="240" w:lineRule="auto"/>
        <w:jc w:val="center"/>
        <w:rPr>
          <w:rFonts w:ascii="Arial" w:hAnsi="Arial" w:cs="Arial"/>
          <w:iCs/>
          <w:sz w:val="18"/>
          <w:szCs w:val="18"/>
          <w:lang w:val="en-IE"/>
        </w:rPr>
      </w:pPr>
      <w:r w:rsidRPr="00686E9D">
        <w:rPr>
          <w:rStyle w:val="ReflabnoteCar"/>
          <w:b/>
          <w:lang w:val="en-IE"/>
        </w:rPr>
        <w:t>NB:</w:t>
      </w:r>
      <w:r w:rsidRPr="00686E9D">
        <w:rPr>
          <w:rStyle w:val="ReflabnoteCar"/>
          <w:lang w:val="en-IE"/>
        </w:rPr>
        <w:t xml:space="preserve"> </w:t>
      </w:r>
      <w:r w:rsidRPr="00686E9D">
        <w:rPr>
          <w:rFonts w:ascii="Arial" w:hAnsi="Arial" w:cs="Arial"/>
          <w:sz w:val="18"/>
          <w:szCs w:val="18"/>
          <w:lang w:val="en-IE"/>
        </w:rPr>
        <w:t xml:space="preserve">There is an OIE Reference Laboratory for </w:t>
      </w:r>
      <w:r w:rsidRPr="00686E9D">
        <w:rPr>
          <w:rFonts w:ascii="Arial" w:hAnsi="Arial" w:cs="Arial"/>
          <w:iCs/>
          <w:sz w:val="18"/>
          <w:szCs w:val="18"/>
          <w:lang w:val="en-IE"/>
        </w:rPr>
        <w:t xml:space="preserve">Hendra and </w:t>
      </w:r>
      <w:proofErr w:type="spellStart"/>
      <w:r w:rsidRPr="00686E9D">
        <w:rPr>
          <w:rFonts w:ascii="Arial" w:hAnsi="Arial" w:cs="Arial"/>
          <w:iCs/>
          <w:sz w:val="18"/>
          <w:szCs w:val="18"/>
          <w:lang w:val="en-IE"/>
        </w:rPr>
        <w:t>Nipah</w:t>
      </w:r>
      <w:proofErr w:type="spellEnd"/>
      <w:r w:rsidRPr="00686E9D">
        <w:rPr>
          <w:rFonts w:ascii="Arial" w:hAnsi="Arial" w:cs="Arial"/>
          <w:iCs/>
          <w:sz w:val="18"/>
          <w:szCs w:val="18"/>
          <w:lang w:val="en-IE"/>
        </w:rPr>
        <w:t xml:space="preserve"> virus diseases</w:t>
      </w:r>
      <w:r w:rsidRPr="00686E9D">
        <w:rPr>
          <w:rStyle w:val="ReflabnoteCar"/>
          <w:lang w:val="en-IE"/>
        </w:rPr>
        <w:br/>
        <w:t xml:space="preserve">(see Table in Part 4 of this </w:t>
      </w:r>
      <w:r w:rsidRPr="00686E9D">
        <w:rPr>
          <w:rFonts w:ascii="Arial" w:hAnsi="Arial" w:cs="Arial"/>
          <w:i/>
          <w:sz w:val="18"/>
          <w:szCs w:val="18"/>
          <w:lang w:val="en-IE"/>
        </w:rPr>
        <w:t xml:space="preserve">Terrestrial Manual </w:t>
      </w:r>
      <w:r w:rsidRPr="00686E9D">
        <w:rPr>
          <w:rStyle w:val="ReflabnoteCar"/>
          <w:lang w:val="en-IE"/>
        </w:rPr>
        <w:t xml:space="preserve">or consult the OIE Web site for the most up-to-date list: </w:t>
      </w:r>
      <w:hyperlink r:id="rId15" w:anchor="ui-id-3" w:history="1">
        <w:r w:rsidR="009B24BA" w:rsidRPr="00686E9D">
          <w:rPr>
            <w:rStyle w:val="Hyperlink"/>
            <w:rFonts w:ascii="Arial" w:hAnsi="Arial" w:cs="Arial"/>
            <w:sz w:val="18"/>
            <w:szCs w:val="18"/>
            <w:lang w:val="en-IE"/>
          </w:rPr>
          <w:t>https://www.oie.int/en/what-we-offer/expertise-network/reference-laboratories/#ui-id-3</w:t>
        </w:r>
      </w:hyperlink>
      <w:r w:rsidRPr="00686E9D">
        <w:rPr>
          <w:rStyle w:val="ReflabnoteCar"/>
          <w:lang w:val="en-IE"/>
        </w:rPr>
        <w:t xml:space="preserve">). </w:t>
      </w:r>
      <w:r w:rsidRPr="00686E9D">
        <w:rPr>
          <w:rStyle w:val="ReflabnoteCar"/>
          <w:lang w:val="en-IE"/>
        </w:rPr>
        <w:br/>
      </w:r>
      <w:r w:rsidRPr="00686E9D">
        <w:rPr>
          <w:rFonts w:ascii="Arial" w:hAnsi="Arial" w:cs="Arial"/>
          <w:sz w:val="18"/>
          <w:szCs w:val="18"/>
          <w:lang w:val="en-IE"/>
        </w:rPr>
        <w:t xml:space="preserve">Please contact the OIE Reference Laboratories for any further information on </w:t>
      </w:r>
      <w:r w:rsidRPr="00686E9D">
        <w:rPr>
          <w:rFonts w:ascii="Arial" w:hAnsi="Arial" w:cs="Arial"/>
          <w:sz w:val="18"/>
          <w:szCs w:val="18"/>
          <w:lang w:val="en-IE"/>
        </w:rPr>
        <w:br/>
        <w:t xml:space="preserve">diagnostic tests, reagents and vaccines for </w:t>
      </w:r>
      <w:r w:rsidRPr="00686E9D">
        <w:rPr>
          <w:rFonts w:ascii="Arial" w:hAnsi="Arial" w:cs="Arial"/>
          <w:iCs/>
          <w:sz w:val="18"/>
          <w:szCs w:val="18"/>
          <w:lang w:val="en-IE"/>
        </w:rPr>
        <w:t xml:space="preserve">Hendra and </w:t>
      </w:r>
      <w:proofErr w:type="spellStart"/>
      <w:r w:rsidRPr="00686E9D">
        <w:rPr>
          <w:rFonts w:ascii="Arial" w:hAnsi="Arial" w:cs="Arial"/>
          <w:iCs/>
          <w:sz w:val="18"/>
          <w:szCs w:val="18"/>
          <w:lang w:val="en-IE"/>
        </w:rPr>
        <w:t>Nipah</w:t>
      </w:r>
      <w:proofErr w:type="spellEnd"/>
      <w:r w:rsidRPr="00686E9D">
        <w:rPr>
          <w:rFonts w:ascii="Arial" w:hAnsi="Arial" w:cs="Arial"/>
          <w:iCs/>
          <w:sz w:val="18"/>
          <w:szCs w:val="18"/>
          <w:lang w:val="en-IE"/>
        </w:rPr>
        <w:t xml:space="preserve"> virus diseases</w:t>
      </w:r>
    </w:p>
    <w:p w14:paraId="2BBC0F1A" w14:textId="7F817E07" w:rsidR="00146ED7" w:rsidRDefault="00146ED7" w:rsidP="00A43B6A">
      <w:pPr>
        <w:tabs>
          <w:tab w:val="clear" w:pos="-720"/>
        </w:tabs>
        <w:spacing w:before="120" w:after="240" w:line="240" w:lineRule="auto"/>
        <w:jc w:val="center"/>
        <w:rPr>
          <w:rFonts w:ascii="Arial" w:hAnsi="Arial" w:cs="Arial"/>
          <w:smallCaps/>
          <w:sz w:val="18"/>
          <w:szCs w:val="18"/>
          <w:lang w:val="en-IE"/>
        </w:rPr>
      </w:pPr>
      <w:r w:rsidRPr="00686E9D">
        <w:rPr>
          <w:rFonts w:ascii="Arial" w:hAnsi="Arial" w:cs="Arial"/>
          <w:b/>
          <w:smallCaps/>
          <w:sz w:val="18"/>
          <w:szCs w:val="18"/>
          <w:lang w:val="en-IE"/>
        </w:rPr>
        <w:t>NB:</w:t>
      </w:r>
      <w:r w:rsidRPr="00686E9D">
        <w:rPr>
          <w:rFonts w:ascii="Arial" w:hAnsi="Arial" w:cs="Arial"/>
          <w:smallCaps/>
          <w:sz w:val="18"/>
          <w:szCs w:val="18"/>
          <w:lang w:val="en-IE"/>
        </w:rPr>
        <w:t xml:space="preserve"> First adopted in 2004; Most recent updates adopted in 2015.</w:t>
      </w:r>
    </w:p>
    <w:p w14:paraId="25CCDB84" w14:textId="77777777" w:rsidR="00320425" w:rsidRPr="00320425" w:rsidRDefault="00320425" w:rsidP="00A43B6A">
      <w:pPr>
        <w:tabs>
          <w:tab w:val="clear" w:pos="-720"/>
        </w:tabs>
        <w:spacing w:before="120" w:after="240" w:line="240" w:lineRule="auto"/>
        <w:jc w:val="center"/>
        <w:rPr>
          <w:rFonts w:ascii="Arial" w:hAnsi="Arial" w:cs="Arial"/>
          <w:sz w:val="18"/>
          <w:szCs w:val="18"/>
        </w:rPr>
      </w:pPr>
    </w:p>
    <w:sectPr w:rsidR="00320425" w:rsidRPr="00320425" w:rsidSect="0026372E">
      <w:headerReference w:type="even" r:id="rId16"/>
      <w:headerReference w:type="default" r:id="rId17"/>
      <w:footerReference w:type="even" r:id="rId18"/>
      <w:footerReference w:type="default" r:id="rId19"/>
      <w:footerReference w:type="first" r:id="rId20"/>
      <w:type w:val="oddPage"/>
      <w:pgSz w:w="11907" w:h="16840" w:code="9"/>
      <w:pgMar w:top="1418" w:right="1418" w:bottom="1418" w:left="1418" w:header="567" w:footer="567" w:gutter="0"/>
      <w:paperSrc w:first="7" w:other="7"/>
      <w:lnNumType w:countBy="1" w:restart="continuous"/>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97E21" w14:textId="77777777" w:rsidR="00890CDB" w:rsidRDefault="00890CDB">
      <w:pPr>
        <w:spacing w:after="0" w:line="240" w:lineRule="auto"/>
      </w:pPr>
      <w:r>
        <w:separator/>
      </w:r>
    </w:p>
  </w:endnote>
  <w:endnote w:type="continuationSeparator" w:id="0">
    <w:p w14:paraId="1624CD85" w14:textId="77777777" w:rsidR="00890CDB" w:rsidRDefault="0089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FAB4" w14:textId="6BFAF867" w:rsidR="009C467C" w:rsidRDefault="009C467C" w:rsidP="00E84059">
    <w:pPr>
      <w:pBdr>
        <w:top w:val="single" w:sz="6" w:space="5" w:color="auto"/>
      </w:pBdr>
      <w:tabs>
        <w:tab w:val="clear" w:pos="-720"/>
        <w:tab w:val="right" w:pos="9072"/>
      </w:tabs>
      <w:spacing w:after="0" w:line="240" w:lineRule="exact"/>
      <w:jc w:val="left"/>
      <w:rPr>
        <w:rFonts w:ascii="Ottawa" w:hAnsi="Ottawa"/>
        <w:sz w:val="22"/>
      </w:rPr>
    </w:pPr>
    <w:r>
      <w:rPr>
        <w:rFonts w:ascii="Ottawa" w:hAnsi="Ottawa"/>
        <w:sz w:val="22"/>
      </w:rPr>
      <w:fldChar w:fldCharType="begin"/>
    </w:r>
    <w:r>
      <w:rPr>
        <w:rFonts w:ascii="Ottawa" w:hAnsi="Ottawa"/>
        <w:sz w:val="22"/>
      </w:rPr>
      <w:instrText>PAGE</w:instrText>
    </w:r>
    <w:r>
      <w:rPr>
        <w:rFonts w:ascii="Ottawa" w:hAnsi="Ottawa"/>
        <w:sz w:val="22"/>
      </w:rPr>
      <w:fldChar w:fldCharType="separate"/>
    </w:r>
    <w:r>
      <w:rPr>
        <w:rFonts w:ascii="Ottawa" w:hAnsi="Ottawa"/>
        <w:noProof/>
        <w:sz w:val="22"/>
      </w:rPr>
      <w:t>22</w:t>
    </w:r>
    <w:r>
      <w:rPr>
        <w:rFonts w:ascii="Ottawa" w:hAnsi="Ottawa"/>
        <w:sz w:val="22"/>
      </w:rPr>
      <w:fldChar w:fldCharType="end"/>
    </w:r>
    <w:r>
      <w:rPr>
        <w:rFonts w:ascii="Ottawa" w:hAnsi="Ottawa"/>
        <w:i/>
        <w:sz w:val="18"/>
      </w:rPr>
      <w:tab/>
    </w:r>
    <w:r>
      <w:rPr>
        <w:rFonts w:ascii="Ottawa" w:hAnsi="Ottawa"/>
        <w:sz w:val="22"/>
      </w:rPr>
      <w:t xml:space="preserve">OIE </w:t>
    </w:r>
    <w:r>
      <w:rPr>
        <w:rFonts w:ascii="Ottawa" w:hAnsi="Ottawa"/>
        <w:i/>
        <w:iCs/>
        <w:sz w:val="22"/>
      </w:rPr>
      <w:t>Terrestrial</w:t>
    </w:r>
    <w:r>
      <w:rPr>
        <w:rFonts w:ascii="Ottawa" w:hAnsi="Ottawa"/>
        <w:sz w:val="22"/>
      </w:rPr>
      <w:t xml:space="preserve"> </w:t>
    </w:r>
    <w:r>
      <w:rPr>
        <w:rFonts w:ascii="Ottawa" w:hAnsi="Ottawa"/>
        <w:i/>
        <w:sz w:val="22"/>
      </w:rPr>
      <w:t>Manual</w:t>
    </w:r>
    <w:r>
      <w:rPr>
        <w:rFonts w:ascii="Ottawa" w:hAnsi="Ottawa"/>
        <w:sz w:val="22"/>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FFAB" w14:textId="68E135C7" w:rsidR="009C467C" w:rsidRDefault="009C467C" w:rsidP="00E84059">
    <w:pPr>
      <w:pBdr>
        <w:top w:val="single" w:sz="6" w:space="5" w:color="auto"/>
      </w:pBdr>
      <w:tabs>
        <w:tab w:val="clear" w:pos="-720"/>
        <w:tab w:val="right" w:pos="9072"/>
      </w:tabs>
      <w:spacing w:after="0" w:line="240" w:lineRule="exact"/>
      <w:jc w:val="left"/>
      <w:rPr>
        <w:rFonts w:ascii="Ottawa" w:hAnsi="Ottawa"/>
        <w:sz w:val="22"/>
      </w:rPr>
    </w:pPr>
    <w:r>
      <w:rPr>
        <w:rFonts w:ascii="Ottawa" w:hAnsi="Ottawa"/>
        <w:sz w:val="22"/>
      </w:rPr>
      <w:t xml:space="preserve">OIE </w:t>
    </w:r>
    <w:r>
      <w:rPr>
        <w:rFonts w:ascii="Ottawa" w:hAnsi="Ottawa"/>
        <w:i/>
        <w:iCs/>
        <w:sz w:val="22"/>
      </w:rPr>
      <w:t>Terrestrial</w:t>
    </w:r>
    <w:r>
      <w:rPr>
        <w:rFonts w:ascii="Ottawa" w:hAnsi="Ottawa"/>
        <w:sz w:val="22"/>
      </w:rPr>
      <w:t xml:space="preserve"> </w:t>
    </w:r>
    <w:r>
      <w:rPr>
        <w:rFonts w:ascii="Ottawa" w:hAnsi="Ottawa"/>
        <w:i/>
        <w:sz w:val="22"/>
      </w:rPr>
      <w:t>Manual</w:t>
    </w:r>
    <w:r>
      <w:rPr>
        <w:rFonts w:ascii="Ottawa" w:hAnsi="Ottawa"/>
        <w:sz w:val="22"/>
      </w:rPr>
      <w:t xml:space="preserve"> 2022</w:t>
    </w:r>
    <w:r>
      <w:rPr>
        <w:rFonts w:ascii="Ottawa" w:hAnsi="Ottawa"/>
        <w:sz w:val="18"/>
      </w:rPr>
      <w:tab/>
    </w:r>
    <w:r>
      <w:rPr>
        <w:rFonts w:ascii="Ottawa" w:hAnsi="Ottawa"/>
        <w:sz w:val="22"/>
      </w:rPr>
      <w:fldChar w:fldCharType="begin"/>
    </w:r>
    <w:r>
      <w:rPr>
        <w:rFonts w:ascii="Ottawa" w:hAnsi="Ottawa"/>
        <w:sz w:val="22"/>
      </w:rPr>
      <w:instrText>PAGE</w:instrText>
    </w:r>
    <w:r>
      <w:rPr>
        <w:rFonts w:ascii="Ottawa" w:hAnsi="Ottawa"/>
        <w:sz w:val="22"/>
      </w:rPr>
      <w:fldChar w:fldCharType="separate"/>
    </w:r>
    <w:r>
      <w:rPr>
        <w:rFonts w:ascii="Ottawa" w:hAnsi="Ottawa"/>
        <w:noProof/>
        <w:sz w:val="22"/>
      </w:rPr>
      <w:t>15</w:t>
    </w:r>
    <w:r>
      <w:rPr>
        <w:rFonts w:ascii="Ottawa" w:hAnsi="Ottawa"/>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03A5" w14:textId="6520C73C" w:rsidR="009C467C" w:rsidRDefault="009C467C" w:rsidP="00E84059">
    <w:pPr>
      <w:pBdr>
        <w:top w:val="single" w:sz="6" w:space="5" w:color="auto"/>
      </w:pBdr>
      <w:tabs>
        <w:tab w:val="clear" w:pos="-720"/>
        <w:tab w:val="right" w:pos="9072"/>
      </w:tabs>
      <w:spacing w:after="0" w:line="240" w:lineRule="exact"/>
      <w:jc w:val="left"/>
      <w:rPr>
        <w:rFonts w:ascii="Ottawa" w:hAnsi="Ottawa"/>
        <w:sz w:val="22"/>
      </w:rPr>
    </w:pPr>
    <w:r>
      <w:rPr>
        <w:rFonts w:ascii="Ottawa" w:hAnsi="Ottawa"/>
        <w:sz w:val="22"/>
      </w:rPr>
      <w:t xml:space="preserve">OIE </w:t>
    </w:r>
    <w:r>
      <w:rPr>
        <w:rFonts w:ascii="Ottawa" w:hAnsi="Ottawa"/>
        <w:i/>
        <w:iCs/>
        <w:sz w:val="22"/>
      </w:rPr>
      <w:t>Terrestrial</w:t>
    </w:r>
    <w:r>
      <w:rPr>
        <w:rFonts w:ascii="Ottawa" w:hAnsi="Ottawa"/>
        <w:sz w:val="22"/>
      </w:rPr>
      <w:t xml:space="preserve"> </w:t>
    </w:r>
    <w:r>
      <w:rPr>
        <w:rFonts w:ascii="Ottawa" w:hAnsi="Ottawa"/>
        <w:i/>
        <w:sz w:val="22"/>
      </w:rPr>
      <w:t>Manual</w:t>
    </w:r>
    <w:r>
      <w:rPr>
        <w:rFonts w:ascii="Ottawa" w:hAnsi="Ottawa"/>
        <w:sz w:val="22"/>
      </w:rPr>
      <w:t xml:space="preserve"> 2022</w:t>
    </w:r>
    <w:r>
      <w:rPr>
        <w:rFonts w:ascii="Ottawa" w:hAnsi="Ottawa"/>
        <w:sz w:val="22"/>
      </w:rPr>
      <w:tab/>
    </w:r>
    <w:r>
      <w:rPr>
        <w:rFonts w:ascii="Ottawa" w:hAnsi="Ottawa"/>
        <w:sz w:val="22"/>
      </w:rPr>
      <w:fldChar w:fldCharType="begin"/>
    </w:r>
    <w:r>
      <w:rPr>
        <w:rFonts w:ascii="Ottawa" w:hAnsi="Ottawa"/>
        <w:sz w:val="22"/>
      </w:rPr>
      <w:instrText>PAGE</w:instrText>
    </w:r>
    <w:r>
      <w:rPr>
        <w:rFonts w:ascii="Ottawa" w:hAnsi="Ottawa"/>
        <w:sz w:val="22"/>
      </w:rPr>
      <w:fldChar w:fldCharType="separate"/>
    </w:r>
    <w:r>
      <w:rPr>
        <w:rFonts w:ascii="Ottawa" w:hAnsi="Ottawa"/>
        <w:noProof/>
        <w:sz w:val="22"/>
      </w:rPr>
      <w:t>1</w:t>
    </w:r>
    <w:r>
      <w:rPr>
        <w:rFonts w:ascii="Ottawa" w:hAnsi="Ottawa"/>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116D6" w14:textId="77777777" w:rsidR="00890CDB" w:rsidRDefault="00890CDB">
      <w:pPr>
        <w:spacing w:after="0" w:line="240" w:lineRule="auto"/>
      </w:pPr>
      <w:r>
        <w:separator/>
      </w:r>
    </w:p>
  </w:footnote>
  <w:footnote w:type="continuationSeparator" w:id="0">
    <w:p w14:paraId="4A809B35" w14:textId="77777777" w:rsidR="00890CDB" w:rsidRDefault="00890CDB">
      <w:pPr>
        <w:spacing w:after="0" w:line="240" w:lineRule="auto"/>
      </w:pPr>
      <w:r>
        <w:continuationSeparator/>
      </w:r>
    </w:p>
  </w:footnote>
  <w:footnote w:id="1">
    <w:p w14:paraId="6E0352AA" w14:textId="77777777" w:rsidR="00B35637" w:rsidRPr="00284D2F" w:rsidRDefault="00B35637" w:rsidP="00B35637">
      <w:pPr>
        <w:pStyle w:val="FootnoteText"/>
        <w:spacing w:after="0" w:line="240" w:lineRule="auto"/>
        <w:ind w:left="426" w:hanging="426"/>
        <w:rPr>
          <w:rFonts w:ascii="Arial" w:hAnsi="Arial" w:cs="Arial"/>
          <w:sz w:val="16"/>
          <w:szCs w:val="16"/>
          <w:lang w:val="en-IE"/>
        </w:rPr>
      </w:pPr>
      <w:r w:rsidRPr="00284D2F">
        <w:rPr>
          <w:rStyle w:val="FootnoteReference"/>
          <w:rFonts w:ascii="Arial" w:hAnsi="Arial" w:cs="Arial"/>
          <w:sz w:val="16"/>
          <w:szCs w:val="16"/>
          <w:vertAlign w:val="baseline"/>
        </w:rPr>
        <w:footnoteRef/>
      </w:r>
      <w:r w:rsidRPr="00284D2F">
        <w:rPr>
          <w:rFonts w:ascii="Arial" w:hAnsi="Arial" w:cs="Arial"/>
          <w:sz w:val="16"/>
          <w:szCs w:val="16"/>
        </w:rPr>
        <w:t xml:space="preserve"> </w:t>
      </w:r>
      <w:r w:rsidRPr="00284D2F">
        <w:rPr>
          <w:rFonts w:ascii="Arial" w:hAnsi="Arial" w:cs="Arial"/>
          <w:sz w:val="16"/>
          <w:szCs w:val="16"/>
          <w:lang w:val="en-IE"/>
        </w:rPr>
        <w:tab/>
      </w:r>
      <w:r w:rsidRPr="00284D2F">
        <w:rPr>
          <w:rFonts w:ascii="Arial" w:hAnsi="Arial" w:cs="Arial"/>
          <w:sz w:val="16"/>
          <w:szCs w:val="16"/>
        </w:rPr>
        <w:t xml:space="preserve">See online list of OIE Reference Laboratories for the address: </w:t>
      </w:r>
      <w:hyperlink r:id="rId1" w:anchor="ui-id-3" w:history="1">
        <w:r w:rsidRPr="00284D2F">
          <w:rPr>
            <w:rStyle w:val="Hyperlink"/>
            <w:rFonts w:ascii="Arial" w:hAnsi="Arial" w:cs="Arial"/>
            <w:sz w:val="16"/>
            <w:szCs w:val="16"/>
          </w:rPr>
          <w:t>https://www.oie.int/en/what-we-offer/expertise-network/reference-laboratories/#ui-id-3</w:t>
        </w:r>
      </w:hyperlink>
      <w:r w:rsidRPr="00284D2F">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28B6" w14:textId="483323B1" w:rsidR="009C467C" w:rsidRDefault="009C467C" w:rsidP="00E84059">
    <w:pPr>
      <w:pBdr>
        <w:bottom w:val="single" w:sz="6" w:space="1" w:color="auto"/>
      </w:pBdr>
      <w:spacing w:after="0" w:line="240" w:lineRule="auto"/>
      <w:jc w:val="center"/>
      <w:rPr>
        <w:rFonts w:ascii="Ottawa" w:hAnsi="Ottawa"/>
        <w:i/>
      </w:rPr>
    </w:pPr>
    <w:r>
      <w:rPr>
        <w:rFonts w:ascii="Ottawa" w:hAnsi="Ottawa"/>
        <w:i/>
      </w:rPr>
      <w:t xml:space="preserve">Chapter 3.1.14. – </w:t>
    </w:r>
    <w:proofErr w:type="spellStart"/>
    <w:r>
      <w:rPr>
        <w:rFonts w:ascii="Ottawa" w:hAnsi="Ottawa"/>
        <w:i/>
      </w:rPr>
      <w:t>Nipah</w:t>
    </w:r>
    <w:proofErr w:type="spellEnd"/>
    <w:r>
      <w:rPr>
        <w:rFonts w:ascii="Ottawa" w:hAnsi="Ottawa"/>
        <w:i/>
      </w:rPr>
      <w:t xml:space="preserve"> and Hendra virus diseases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3CEE" w14:textId="526E345A" w:rsidR="009C467C" w:rsidRDefault="009C467C" w:rsidP="00E84059">
    <w:pPr>
      <w:pBdr>
        <w:bottom w:val="single" w:sz="6" w:space="1" w:color="auto"/>
      </w:pBdr>
      <w:spacing w:after="0" w:line="240" w:lineRule="auto"/>
      <w:jc w:val="center"/>
      <w:rPr>
        <w:rFonts w:ascii="Ottawa" w:hAnsi="Ottawa"/>
        <w:i/>
      </w:rPr>
    </w:pPr>
    <w:r>
      <w:rPr>
        <w:rFonts w:ascii="Ottawa" w:hAnsi="Ottawa"/>
        <w:i/>
      </w:rPr>
      <w:t xml:space="preserve">Chapter 3.1.14. – </w:t>
    </w:r>
    <w:proofErr w:type="spellStart"/>
    <w:r>
      <w:rPr>
        <w:rFonts w:ascii="Ottawa" w:hAnsi="Ottawa"/>
        <w:i/>
      </w:rPr>
      <w:t>Nipah</w:t>
    </w:r>
    <w:proofErr w:type="spellEnd"/>
    <w:r>
      <w:rPr>
        <w:rFonts w:ascii="Ottawa" w:hAnsi="Ottawa"/>
        <w:i/>
      </w:rPr>
      <w:t xml:space="preserve"> and Hendra virus diseases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41ACD"/>
    <w:multiLevelType w:val="hybridMultilevel"/>
    <w:tmpl w:val="CC4E5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454B6"/>
    <w:multiLevelType w:val="multilevel"/>
    <w:tmpl w:val="FFA4D83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5D00B71"/>
    <w:multiLevelType w:val="hybridMultilevel"/>
    <w:tmpl w:val="E3D63EAE"/>
    <w:lvl w:ilvl="0" w:tplc="D19CCFF8">
      <w:start w:val="1"/>
      <w:numFmt w:val="bullet"/>
      <w:lvlText w:val="-"/>
      <w:lvlJc w:val="left"/>
      <w:pPr>
        <w:ind w:left="2628" w:hanging="360"/>
      </w:pPr>
      <w:rPr>
        <w:rFonts w:ascii="Arial" w:eastAsia="Calibri" w:hAnsi="Arial" w:cs="Aria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3" w15:restartNumberingAfterBreak="0">
    <w:nsid w:val="5AB64B55"/>
    <w:multiLevelType w:val="hybridMultilevel"/>
    <w:tmpl w:val="C888A6FC"/>
    <w:lvl w:ilvl="0" w:tplc="1D5E1AB6">
      <w:start w:val="1"/>
      <w:numFmt w:val="lowerLetter"/>
      <w:lvlText w:val="%1)"/>
      <w:lvlJc w:val="left"/>
      <w:pPr>
        <w:tabs>
          <w:tab w:val="num" w:pos="2160"/>
        </w:tabs>
        <w:ind w:left="2160" w:hanging="360"/>
      </w:pPr>
      <w:rPr>
        <w:rFonts w:ascii="Times New Roman" w:eastAsia="Times New Roman" w:hAnsi="Times New Roman" w:cs="Times New Roman"/>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6A7C75DC"/>
    <w:multiLevelType w:val="hybridMultilevel"/>
    <w:tmpl w:val="6DAA9082"/>
    <w:lvl w:ilvl="0" w:tplc="D24EA96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6D534AD2"/>
    <w:multiLevelType w:val="hybridMultilevel"/>
    <w:tmpl w:val="96629EE0"/>
    <w:lvl w:ilvl="0" w:tplc="639494BC">
      <w:numFmt w:val="bullet"/>
      <w:lvlText w:val="-"/>
      <w:lvlJc w:val="left"/>
      <w:pPr>
        <w:ind w:left="1241" w:hanging="360"/>
      </w:pPr>
      <w:rPr>
        <w:rFonts w:ascii="Calibri" w:eastAsia="Times New Roman" w:hAnsi="Calibri" w:cs="Times New Roman" w:hint="default"/>
      </w:rPr>
    </w:lvl>
    <w:lvl w:ilvl="1" w:tplc="0C090003">
      <w:start w:val="1"/>
      <w:numFmt w:val="bullet"/>
      <w:lvlText w:val="o"/>
      <w:lvlJc w:val="left"/>
      <w:pPr>
        <w:ind w:left="1961" w:hanging="360"/>
      </w:pPr>
      <w:rPr>
        <w:rFonts w:ascii="Courier New" w:hAnsi="Courier New" w:cs="Courier New" w:hint="default"/>
      </w:rPr>
    </w:lvl>
    <w:lvl w:ilvl="2" w:tplc="0C090005" w:tentative="1">
      <w:start w:val="1"/>
      <w:numFmt w:val="bullet"/>
      <w:lvlText w:val=""/>
      <w:lvlJc w:val="left"/>
      <w:pPr>
        <w:ind w:left="2681" w:hanging="360"/>
      </w:pPr>
      <w:rPr>
        <w:rFonts w:ascii="Wingdings" w:hAnsi="Wingdings" w:hint="default"/>
      </w:rPr>
    </w:lvl>
    <w:lvl w:ilvl="3" w:tplc="0C090001" w:tentative="1">
      <w:start w:val="1"/>
      <w:numFmt w:val="bullet"/>
      <w:lvlText w:val=""/>
      <w:lvlJc w:val="left"/>
      <w:pPr>
        <w:ind w:left="3401" w:hanging="360"/>
      </w:pPr>
      <w:rPr>
        <w:rFonts w:ascii="Symbol" w:hAnsi="Symbol" w:hint="default"/>
      </w:rPr>
    </w:lvl>
    <w:lvl w:ilvl="4" w:tplc="0C090003" w:tentative="1">
      <w:start w:val="1"/>
      <w:numFmt w:val="bullet"/>
      <w:lvlText w:val="o"/>
      <w:lvlJc w:val="left"/>
      <w:pPr>
        <w:ind w:left="4121" w:hanging="360"/>
      </w:pPr>
      <w:rPr>
        <w:rFonts w:ascii="Courier New" w:hAnsi="Courier New" w:cs="Courier New" w:hint="default"/>
      </w:rPr>
    </w:lvl>
    <w:lvl w:ilvl="5" w:tplc="0C090005" w:tentative="1">
      <w:start w:val="1"/>
      <w:numFmt w:val="bullet"/>
      <w:lvlText w:val=""/>
      <w:lvlJc w:val="left"/>
      <w:pPr>
        <w:ind w:left="4841" w:hanging="360"/>
      </w:pPr>
      <w:rPr>
        <w:rFonts w:ascii="Wingdings" w:hAnsi="Wingdings" w:hint="default"/>
      </w:rPr>
    </w:lvl>
    <w:lvl w:ilvl="6" w:tplc="0C090001" w:tentative="1">
      <w:start w:val="1"/>
      <w:numFmt w:val="bullet"/>
      <w:lvlText w:val=""/>
      <w:lvlJc w:val="left"/>
      <w:pPr>
        <w:ind w:left="5561" w:hanging="360"/>
      </w:pPr>
      <w:rPr>
        <w:rFonts w:ascii="Symbol" w:hAnsi="Symbol" w:hint="default"/>
      </w:rPr>
    </w:lvl>
    <w:lvl w:ilvl="7" w:tplc="0C090003" w:tentative="1">
      <w:start w:val="1"/>
      <w:numFmt w:val="bullet"/>
      <w:lvlText w:val="o"/>
      <w:lvlJc w:val="left"/>
      <w:pPr>
        <w:ind w:left="6281" w:hanging="360"/>
      </w:pPr>
      <w:rPr>
        <w:rFonts w:ascii="Courier New" w:hAnsi="Courier New" w:cs="Courier New" w:hint="default"/>
      </w:rPr>
    </w:lvl>
    <w:lvl w:ilvl="8" w:tplc="0C090005" w:tentative="1">
      <w:start w:val="1"/>
      <w:numFmt w:val="bullet"/>
      <w:lvlText w:val=""/>
      <w:lvlJc w:val="left"/>
      <w:pPr>
        <w:ind w:left="7001" w:hanging="360"/>
      </w:pPr>
      <w:rPr>
        <w:rFonts w:ascii="Wingdings" w:hAnsi="Wingdings" w:hint="default"/>
      </w:rPr>
    </w:lvl>
  </w:abstractNum>
  <w:abstractNum w:abstractNumId="6" w15:restartNumberingAfterBreak="0">
    <w:nsid w:val="6DBF7DF6"/>
    <w:multiLevelType w:val="hybridMultilevel"/>
    <w:tmpl w:val="B9B26AD0"/>
    <w:lvl w:ilvl="0" w:tplc="D0747C94">
      <w:start w:val="3"/>
      <w:numFmt w:val="bullet"/>
      <w:lvlText w:val=""/>
      <w:lvlJc w:val="left"/>
      <w:pPr>
        <w:ind w:left="785" w:hanging="360"/>
      </w:pPr>
      <w:rPr>
        <w:rFonts w:ascii="Symbol" w:eastAsia="Calibri" w:hAnsi="Symbo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 Linnane">
    <w15:presenceInfo w15:providerId="AD" w15:userId="S::s.linnane@oie.int::f4eb12ed-d8e2-4ff7-99e1-756b00174c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94D"/>
    <w:rsid w:val="000058F5"/>
    <w:rsid w:val="000145DE"/>
    <w:rsid w:val="00021214"/>
    <w:rsid w:val="000250D7"/>
    <w:rsid w:val="000256C3"/>
    <w:rsid w:val="00031060"/>
    <w:rsid w:val="00046D5C"/>
    <w:rsid w:val="00055BB5"/>
    <w:rsid w:val="00075F44"/>
    <w:rsid w:val="00081824"/>
    <w:rsid w:val="00083AB1"/>
    <w:rsid w:val="00087245"/>
    <w:rsid w:val="00087780"/>
    <w:rsid w:val="00091B31"/>
    <w:rsid w:val="00096DDC"/>
    <w:rsid w:val="00097382"/>
    <w:rsid w:val="000A75A7"/>
    <w:rsid w:val="000B4817"/>
    <w:rsid w:val="000B7D70"/>
    <w:rsid w:val="000C5C5F"/>
    <w:rsid w:val="000C67D8"/>
    <w:rsid w:val="000C750D"/>
    <w:rsid w:val="000D092C"/>
    <w:rsid w:val="000D479D"/>
    <w:rsid w:val="000D6083"/>
    <w:rsid w:val="000E5058"/>
    <w:rsid w:val="000E6D11"/>
    <w:rsid w:val="00101DD4"/>
    <w:rsid w:val="001068DB"/>
    <w:rsid w:val="00110739"/>
    <w:rsid w:val="001162D5"/>
    <w:rsid w:val="001170D8"/>
    <w:rsid w:val="00120CF1"/>
    <w:rsid w:val="0012380B"/>
    <w:rsid w:val="00125647"/>
    <w:rsid w:val="00132E2C"/>
    <w:rsid w:val="00133843"/>
    <w:rsid w:val="0013513D"/>
    <w:rsid w:val="00136F54"/>
    <w:rsid w:val="00145E39"/>
    <w:rsid w:val="00146ED7"/>
    <w:rsid w:val="00147831"/>
    <w:rsid w:val="00154786"/>
    <w:rsid w:val="00163401"/>
    <w:rsid w:val="00172A27"/>
    <w:rsid w:val="001732CD"/>
    <w:rsid w:val="00173348"/>
    <w:rsid w:val="00175319"/>
    <w:rsid w:val="001767EA"/>
    <w:rsid w:val="00176835"/>
    <w:rsid w:val="00176957"/>
    <w:rsid w:val="00177CEE"/>
    <w:rsid w:val="00182683"/>
    <w:rsid w:val="00187AAF"/>
    <w:rsid w:val="00193036"/>
    <w:rsid w:val="00194ADF"/>
    <w:rsid w:val="001A40D4"/>
    <w:rsid w:val="001A5C00"/>
    <w:rsid w:val="001B0CFA"/>
    <w:rsid w:val="001B1257"/>
    <w:rsid w:val="001C1879"/>
    <w:rsid w:val="001D103D"/>
    <w:rsid w:val="001D35C4"/>
    <w:rsid w:val="001D3997"/>
    <w:rsid w:val="001E7BE3"/>
    <w:rsid w:val="001F5D10"/>
    <w:rsid w:val="001F6218"/>
    <w:rsid w:val="00203693"/>
    <w:rsid w:val="002055C5"/>
    <w:rsid w:val="002145D8"/>
    <w:rsid w:val="00216247"/>
    <w:rsid w:val="00217A95"/>
    <w:rsid w:val="002269D5"/>
    <w:rsid w:val="00241B65"/>
    <w:rsid w:val="00246510"/>
    <w:rsid w:val="002470F6"/>
    <w:rsid w:val="002509E1"/>
    <w:rsid w:val="00255BDB"/>
    <w:rsid w:val="00260370"/>
    <w:rsid w:val="00261C2B"/>
    <w:rsid w:val="0026372E"/>
    <w:rsid w:val="0026573D"/>
    <w:rsid w:val="00271086"/>
    <w:rsid w:val="00274821"/>
    <w:rsid w:val="00284D2F"/>
    <w:rsid w:val="002979CC"/>
    <w:rsid w:val="002A4CD7"/>
    <w:rsid w:val="002A5D11"/>
    <w:rsid w:val="002A5D76"/>
    <w:rsid w:val="002A680B"/>
    <w:rsid w:val="002B2CA3"/>
    <w:rsid w:val="002B48BA"/>
    <w:rsid w:val="002B513B"/>
    <w:rsid w:val="002C369A"/>
    <w:rsid w:val="002C58C5"/>
    <w:rsid w:val="002D1E5B"/>
    <w:rsid w:val="002D7533"/>
    <w:rsid w:val="002F3956"/>
    <w:rsid w:val="0030088B"/>
    <w:rsid w:val="00306510"/>
    <w:rsid w:val="00306BF8"/>
    <w:rsid w:val="00307605"/>
    <w:rsid w:val="00311551"/>
    <w:rsid w:val="00311B40"/>
    <w:rsid w:val="00316792"/>
    <w:rsid w:val="00320425"/>
    <w:rsid w:val="003272CB"/>
    <w:rsid w:val="00332D2F"/>
    <w:rsid w:val="00332EAE"/>
    <w:rsid w:val="00334B48"/>
    <w:rsid w:val="00342F90"/>
    <w:rsid w:val="003476A7"/>
    <w:rsid w:val="00350017"/>
    <w:rsid w:val="00355978"/>
    <w:rsid w:val="00370F2C"/>
    <w:rsid w:val="00391E1A"/>
    <w:rsid w:val="00395A94"/>
    <w:rsid w:val="003A4685"/>
    <w:rsid w:val="003B3334"/>
    <w:rsid w:val="003B55EC"/>
    <w:rsid w:val="003C08C0"/>
    <w:rsid w:val="003D1F4B"/>
    <w:rsid w:val="003E0A55"/>
    <w:rsid w:val="003E0BE7"/>
    <w:rsid w:val="003E2332"/>
    <w:rsid w:val="003E58D7"/>
    <w:rsid w:val="003E6576"/>
    <w:rsid w:val="003E6CBB"/>
    <w:rsid w:val="003F0107"/>
    <w:rsid w:val="0040163F"/>
    <w:rsid w:val="00406C61"/>
    <w:rsid w:val="00407543"/>
    <w:rsid w:val="00410ACB"/>
    <w:rsid w:val="00411503"/>
    <w:rsid w:val="004116BC"/>
    <w:rsid w:val="00415DCC"/>
    <w:rsid w:val="0042110A"/>
    <w:rsid w:val="00422F0D"/>
    <w:rsid w:val="00423790"/>
    <w:rsid w:val="00437216"/>
    <w:rsid w:val="004512A6"/>
    <w:rsid w:val="00455E57"/>
    <w:rsid w:val="00470DE5"/>
    <w:rsid w:val="004726E4"/>
    <w:rsid w:val="00483B70"/>
    <w:rsid w:val="00485FD9"/>
    <w:rsid w:val="0049015D"/>
    <w:rsid w:val="004A0FE2"/>
    <w:rsid w:val="004A1E39"/>
    <w:rsid w:val="004A3275"/>
    <w:rsid w:val="004A456E"/>
    <w:rsid w:val="004A6C01"/>
    <w:rsid w:val="004B1F5C"/>
    <w:rsid w:val="004C5ED1"/>
    <w:rsid w:val="004C7E83"/>
    <w:rsid w:val="004D0B63"/>
    <w:rsid w:val="004D7480"/>
    <w:rsid w:val="004D7898"/>
    <w:rsid w:val="004E07BE"/>
    <w:rsid w:val="004E700D"/>
    <w:rsid w:val="005151AB"/>
    <w:rsid w:val="00517034"/>
    <w:rsid w:val="00524219"/>
    <w:rsid w:val="00540798"/>
    <w:rsid w:val="00545D0F"/>
    <w:rsid w:val="00545DE3"/>
    <w:rsid w:val="005508A0"/>
    <w:rsid w:val="005558A0"/>
    <w:rsid w:val="00557A75"/>
    <w:rsid w:val="00566AA9"/>
    <w:rsid w:val="005701E1"/>
    <w:rsid w:val="005768A8"/>
    <w:rsid w:val="00586C1C"/>
    <w:rsid w:val="005902AF"/>
    <w:rsid w:val="00591761"/>
    <w:rsid w:val="005927C4"/>
    <w:rsid w:val="005A3E99"/>
    <w:rsid w:val="005A6185"/>
    <w:rsid w:val="005A7BE3"/>
    <w:rsid w:val="005B194D"/>
    <w:rsid w:val="005B2C81"/>
    <w:rsid w:val="005B393C"/>
    <w:rsid w:val="005C2496"/>
    <w:rsid w:val="005D0CC6"/>
    <w:rsid w:val="005D3E6C"/>
    <w:rsid w:val="005D4641"/>
    <w:rsid w:val="005E5EBF"/>
    <w:rsid w:val="005E763A"/>
    <w:rsid w:val="005E788B"/>
    <w:rsid w:val="005F06BF"/>
    <w:rsid w:val="005F64C2"/>
    <w:rsid w:val="00600DD4"/>
    <w:rsid w:val="00603811"/>
    <w:rsid w:val="00611A62"/>
    <w:rsid w:val="0061588E"/>
    <w:rsid w:val="00620260"/>
    <w:rsid w:val="00620E18"/>
    <w:rsid w:val="00621233"/>
    <w:rsid w:val="006232DA"/>
    <w:rsid w:val="00625A62"/>
    <w:rsid w:val="00632C1B"/>
    <w:rsid w:val="0064202E"/>
    <w:rsid w:val="0065001D"/>
    <w:rsid w:val="00654FAB"/>
    <w:rsid w:val="006707ED"/>
    <w:rsid w:val="006773FA"/>
    <w:rsid w:val="00680C88"/>
    <w:rsid w:val="00682ECF"/>
    <w:rsid w:val="00686CD7"/>
    <w:rsid w:val="00686E9D"/>
    <w:rsid w:val="00697698"/>
    <w:rsid w:val="006A1BAA"/>
    <w:rsid w:val="006A1ED6"/>
    <w:rsid w:val="006C00F9"/>
    <w:rsid w:val="006C13E7"/>
    <w:rsid w:val="006C55B1"/>
    <w:rsid w:val="006D1C26"/>
    <w:rsid w:val="006D233C"/>
    <w:rsid w:val="006E0AAC"/>
    <w:rsid w:val="006F045B"/>
    <w:rsid w:val="006F209A"/>
    <w:rsid w:val="006F5967"/>
    <w:rsid w:val="006F5C75"/>
    <w:rsid w:val="00711893"/>
    <w:rsid w:val="007119DE"/>
    <w:rsid w:val="00713925"/>
    <w:rsid w:val="00713CEF"/>
    <w:rsid w:val="0072655C"/>
    <w:rsid w:val="007319EE"/>
    <w:rsid w:val="00732D7E"/>
    <w:rsid w:val="00737AD2"/>
    <w:rsid w:val="00761EAC"/>
    <w:rsid w:val="00761FCC"/>
    <w:rsid w:val="0076241B"/>
    <w:rsid w:val="00767210"/>
    <w:rsid w:val="007679AF"/>
    <w:rsid w:val="00767AA7"/>
    <w:rsid w:val="00775830"/>
    <w:rsid w:val="00791F5D"/>
    <w:rsid w:val="00792625"/>
    <w:rsid w:val="0079741E"/>
    <w:rsid w:val="007A0ABE"/>
    <w:rsid w:val="007A3A12"/>
    <w:rsid w:val="007A521C"/>
    <w:rsid w:val="007A570A"/>
    <w:rsid w:val="007B0E9B"/>
    <w:rsid w:val="007B2D1A"/>
    <w:rsid w:val="007B48C1"/>
    <w:rsid w:val="007C22B3"/>
    <w:rsid w:val="007C34B9"/>
    <w:rsid w:val="007D5CE5"/>
    <w:rsid w:val="007F0F6F"/>
    <w:rsid w:val="007F5DE9"/>
    <w:rsid w:val="007F6DD9"/>
    <w:rsid w:val="008021F1"/>
    <w:rsid w:val="0081027A"/>
    <w:rsid w:val="0081072F"/>
    <w:rsid w:val="008155E9"/>
    <w:rsid w:val="008178B6"/>
    <w:rsid w:val="00823A7B"/>
    <w:rsid w:val="00824A54"/>
    <w:rsid w:val="00825B92"/>
    <w:rsid w:val="00830F65"/>
    <w:rsid w:val="008355B3"/>
    <w:rsid w:val="00835C52"/>
    <w:rsid w:val="0084084E"/>
    <w:rsid w:val="00840BD4"/>
    <w:rsid w:val="00843236"/>
    <w:rsid w:val="008436E6"/>
    <w:rsid w:val="008528E6"/>
    <w:rsid w:val="00857808"/>
    <w:rsid w:val="008671C5"/>
    <w:rsid w:val="008712A3"/>
    <w:rsid w:val="00873DD7"/>
    <w:rsid w:val="00875F1A"/>
    <w:rsid w:val="0088223E"/>
    <w:rsid w:val="008835D1"/>
    <w:rsid w:val="008858E8"/>
    <w:rsid w:val="00890CDB"/>
    <w:rsid w:val="0089148E"/>
    <w:rsid w:val="00893139"/>
    <w:rsid w:val="00895115"/>
    <w:rsid w:val="00896FE2"/>
    <w:rsid w:val="008A6BA7"/>
    <w:rsid w:val="008B0A97"/>
    <w:rsid w:val="008B4610"/>
    <w:rsid w:val="008B77B2"/>
    <w:rsid w:val="008C1AD4"/>
    <w:rsid w:val="008C5923"/>
    <w:rsid w:val="008D11C6"/>
    <w:rsid w:val="008D4889"/>
    <w:rsid w:val="008D48D1"/>
    <w:rsid w:val="008D50B4"/>
    <w:rsid w:val="008E2984"/>
    <w:rsid w:val="008E3024"/>
    <w:rsid w:val="008E3395"/>
    <w:rsid w:val="008F1305"/>
    <w:rsid w:val="008F5E3D"/>
    <w:rsid w:val="009031D3"/>
    <w:rsid w:val="0090754E"/>
    <w:rsid w:val="009075C3"/>
    <w:rsid w:val="00910B61"/>
    <w:rsid w:val="00911C8D"/>
    <w:rsid w:val="00911FE1"/>
    <w:rsid w:val="00915446"/>
    <w:rsid w:val="00931879"/>
    <w:rsid w:val="009351D6"/>
    <w:rsid w:val="009354E6"/>
    <w:rsid w:val="0094469E"/>
    <w:rsid w:val="0094674C"/>
    <w:rsid w:val="00946F50"/>
    <w:rsid w:val="00950FBF"/>
    <w:rsid w:val="00952D52"/>
    <w:rsid w:val="00960350"/>
    <w:rsid w:val="00961CB8"/>
    <w:rsid w:val="00964ED2"/>
    <w:rsid w:val="0096677B"/>
    <w:rsid w:val="00966957"/>
    <w:rsid w:val="009713D0"/>
    <w:rsid w:val="00976718"/>
    <w:rsid w:val="00981913"/>
    <w:rsid w:val="00986A3E"/>
    <w:rsid w:val="0099627E"/>
    <w:rsid w:val="009A0536"/>
    <w:rsid w:val="009A24E3"/>
    <w:rsid w:val="009A4A99"/>
    <w:rsid w:val="009A5301"/>
    <w:rsid w:val="009B1295"/>
    <w:rsid w:val="009B24BA"/>
    <w:rsid w:val="009B26CD"/>
    <w:rsid w:val="009B58D6"/>
    <w:rsid w:val="009C1697"/>
    <w:rsid w:val="009C1B0B"/>
    <w:rsid w:val="009C467C"/>
    <w:rsid w:val="009C5CCF"/>
    <w:rsid w:val="009D28F4"/>
    <w:rsid w:val="009D67CB"/>
    <w:rsid w:val="009D6FC0"/>
    <w:rsid w:val="009E09E2"/>
    <w:rsid w:val="009F235C"/>
    <w:rsid w:val="009F24CC"/>
    <w:rsid w:val="00A037AE"/>
    <w:rsid w:val="00A03CFB"/>
    <w:rsid w:val="00A100C9"/>
    <w:rsid w:val="00A11043"/>
    <w:rsid w:val="00A11B2B"/>
    <w:rsid w:val="00A150D2"/>
    <w:rsid w:val="00A24D78"/>
    <w:rsid w:val="00A27281"/>
    <w:rsid w:val="00A30958"/>
    <w:rsid w:val="00A33EAB"/>
    <w:rsid w:val="00A36AAD"/>
    <w:rsid w:val="00A4264C"/>
    <w:rsid w:val="00A43B6A"/>
    <w:rsid w:val="00A47233"/>
    <w:rsid w:val="00A47A80"/>
    <w:rsid w:val="00A53826"/>
    <w:rsid w:val="00A53BB3"/>
    <w:rsid w:val="00A55744"/>
    <w:rsid w:val="00A67B14"/>
    <w:rsid w:val="00A73E68"/>
    <w:rsid w:val="00A77EE2"/>
    <w:rsid w:val="00A905EB"/>
    <w:rsid w:val="00A96D2D"/>
    <w:rsid w:val="00A97818"/>
    <w:rsid w:val="00AA459A"/>
    <w:rsid w:val="00AA4CD6"/>
    <w:rsid w:val="00AA7158"/>
    <w:rsid w:val="00AC29FD"/>
    <w:rsid w:val="00AC2D06"/>
    <w:rsid w:val="00AC6D83"/>
    <w:rsid w:val="00AD16A3"/>
    <w:rsid w:val="00AD3521"/>
    <w:rsid w:val="00AD7AD3"/>
    <w:rsid w:val="00AE0EA6"/>
    <w:rsid w:val="00AE315A"/>
    <w:rsid w:val="00AE401D"/>
    <w:rsid w:val="00AE75AE"/>
    <w:rsid w:val="00AE7B6A"/>
    <w:rsid w:val="00AF3F85"/>
    <w:rsid w:val="00AF5827"/>
    <w:rsid w:val="00AF7BBE"/>
    <w:rsid w:val="00B00859"/>
    <w:rsid w:val="00B069C3"/>
    <w:rsid w:val="00B07646"/>
    <w:rsid w:val="00B1293B"/>
    <w:rsid w:val="00B1676D"/>
    <w:rsid w:val="00B234E9"/>
    <w:rsid w:val="00B27AA4"/>
    <w:rsid w:val="00B31AD6"/>
    <w:rsid w:val="00B35637"/>
    <w:rsid w:val="00B4134B"/>
    <w:rsid w:val="00B43589"/>
    <w:rsid w:val="00B44857"/>
    <w:rsid w:val="00B451B8"/>
    <w:rsid w:val="00B452BF"/>
    <w:rsid w:val="00B50EAA"/>
    <w:rsid w:val="00B53055"/>
    <w:rsid w:val="00B55682"/>
    <w:rsid w:val="00B56FCF"/>
    <w:rsid w:val="00B578D8"/>
    <w:rsid w:val="00B75421"/>
    <w:rsid w:val="00B8758B"/>
    <w:rsid w:val="00B94987"/>
    <w:rsid w:val="00BA2BBC"/>
    <w:rsid w:val="00BC0713"/>
    <w:rsid w:val="00BC1B47"/>
    <w:rsid w:val="00BD674E"/>
    <w:rsid w:val="00BD7554"/>
    <w:rsid w:val="00BE1677"/>
    <w:rsid w:val="00BE1F41"/>
    <w:rsid w:val="00BE71B3"/>
    <w:rsid w:val="00BF3CEA"/>
    <w:rsid w:val="00C006E2"/>
    <w:rsid w:val="00C14ABA"/>
    <w:rsid w:val="00C15FD4"/>
    <w:rsid w:val="00C17222"/>
    <w:rsid w:val="00C17D1E"/>
    <w:rsid w:val="00C25D0F"/>
    <w:rsid w:val="00C3398B"/>
    <w:rsid w:val="00C34D18"/>
    <w:rsid w:val="00C35493"/>
    <w:rsid w:val="00C508A1"/>
    <w:rsid w:val="00C624ED"/>
    <w:rsid w:val="00C649D0"/>
    <w:rsid w:val="00C651E2"/>
    <w:rsid w:val="00C6633E"/>
    <w:rsid w:val="00C74C95"/>
    <w:rsid w:val="00C74D81"/>
    <w:rsid w:val="00C845C5"/>
    <w:rsid w:val="00C87987"/>
    <w:rsid w:val="00C87B95"/>
    <w:rsid w:val="00C95553"/>
    <w:rsid w:val="00C956D8"/>
    <w:rsid w:val="00C9629C"/>
    <w:rsid w:val="00C967EC"/>
    <w:rsid w:val="00CA0C69"/>
    <w:rsid w:val="00CA0DD1"/>
    <w:rsid w:val="00CA6411"/>
    <w:rsid w:val="00CC324B"/>
    <w:rsid w:val="00CD3810"/>
    <w:rsid w:val="00CD7679"/>
    <w:rsid w:val="00CF0878"/>
    <w:rsid w:val="00CF1F76"/>
    <w:rsid w:val="00CF2D5C"/>
    <w:rsid w:val="00D04C55"/>
    <w:rsid w:val="00D07979"/>
    <w:rsid w:val="00D11380"/>
    <w:rsid w:val="00D12A45"/>
    <w:rsid w:val="00D12C3E"/>
    <w:rsid w:val="00D21AC7"/>
    <w:rsid w:val="00D253ED"/>
    <w:rsid w:val="00D329C8"/>
    <w:rsid w:val="00D4064D"/>
    <w:rsid w:val="00D436DB"/>
    <w:rsid w:val="00D44A37"/>
    <w:rsid w:val="00D45801"/>
    <w:rsid w:val="00D52FEC"/>
    <w:rsid w:val="00D5582E"/>
    <w:rsid w:val="00D56363"/>
    <w:rsid w:val="00D6209F"/>
    <w:rsid w:val="00D64441"/>
    <w:rsid w:val="00D75997"/>
    <w:rsid w:val="00D834F9"/>
    <w:rsid w:val="00D84EB5"/>
    <w:rsid w:val="00D91FBC"/>
    <w:rsid w:val="00D922EF"/>
    <w:rsid w:val="00D9358E"/>
    <w:rsid w:val="00D97DF7"/>
    <w:rsid w:val="00D97F5A"/>
    <w:rsid w:val="00DA320F"/>
    <w:rsid w:val="00DA67BF"/>
    <w:rsid w:val="00DA689E"/>
    <w:rsid w:val="00DB4FD4"/>
    <w:rsid w:val="00DD07DC"/>
    <w:rsid w:val="00DD1E80"/>
    <w:rsid w:val="00DD6C50"/>
    <w:rsid w:val="00DD7AA9"/>
    <w:rsid w:val="00DE0161"/>
    <w:rsid w:val="00DE0323"/>
    <w:rsid w:val="00DE56AB"/>
    <w:rsid w:val="00DE581E"/>
    <w:rsid w:val="00DE79E2"/>
    <w:rsid w:val="00DF14B8"/>
    <w:rsid w:val="00DF402C"/>
    <w:rsid w:val="00DF5340"/>
    <w:rsid w:val="00DF5FD9"/>
    <w:rsid w:val="00DF7F5C"/>
    <w:rsid w:val="00E02688"/>
    <w:rsid w:val="00E054F5"/>
    <w:rsid w:val="00E06808"/>
    <w:rsid w:val="00E07968"/>
    <w:rsid w:val="00E12442"/>
    <w:rsid w:val="00E14A67"/>
    <w:rsid w:val="00E15FFA"/>
    <w:rsid w:val="00E20DDD"/>
    <w:rsid w:val="00E24587"/>
    <w:rsid w:val="00E461F1"/>
    <w:rsid w:val="00E50E13"/>
    <w:rsid w:val="00E6610F"/>
    <w:rsid w:val="00E717F6"/>
    <w:rsid w:val="00E72D85"/>
    <w:rsid w:val="00E83878"/>
    <w:rsid w:val="00E84059"/>
    <w:rsid w:val="00E8653B"/>
    <w:rsid w:val="00E935D5"/>
    <w:rsid w:val="00E9451F"/>
    <w:rsid w:val="00EB210B"/>
    <w:rsid w:val="00EB3039"/>
    <w:rsid w:val="00EB4B23"/>
    <w:rsid w:val="00EC2C2D"/>
    <w:rsid w:val="00EC3CB9"/>
    <w:rsid w:val="00EC67C3"/>
    <w:rsid w:val="00EC68B1"/>
    <w:rsid w:val="00EC6E04"/>
    <w:rsid w:val="00ED7000"/>
    <w:rsid w:val="00ED7440"/>
    <w:rsid w:val="00EE083E"/>
    <w:rsid w:val="00EF54CA"/>
    <w:rsid w:val="00EF77A6"/>
    <w:rsid w:val="00F007C1"/>
    <w:rsid w:val="00F22F8D"/>
    <w:rsid w:val="00F3230C"/>
    <w:rsid w:val="00F334A2"/>
    <w:rsid w:val="00F4199E"/>
    <w:rsid w:val="00F42EA5"/>
    <w:rsid w:val="00F43BFF"/>
    <w:rsid w:val="00F45392"/>
    <w:rsid w:val="00F50466"/>
    <w:rsid w:val="00F50BA7"/>
    <w:rsid w:val="00F746DE"/>
    <w:rsid w:val="00F75D0C"/>
    <w:rsid w:val="00F818F6"/>
    <w:rsid w:val="00F82AD6"/>
    <w:rsid w:val="00F85EC5"/>
    <w:rsid w:val="00F875AE"/>
    <w:rsid w:val="00F93A14"/>
    <w:rsid w:val="00F9436A"/>
    <w:rsid w:val="00FA12AE"/>
    <w:rsid w:val="00FA1A90"/>
    <w:rsid w:val="00FA712C"/>
    <w:rsid w:val="00FC684E"/>
    <w:rsid w:val="00FD1A4B"/>
    <w:rsid w:val="00FD53E6"/>
    <w:rsid w:val="00FE063E"/>
    <w:rsid w:val="00FE2714"/>
    <w:rsid w:val="00FE3999"/>
    <w:rsid w:val="00FE44CB"/>
    <w:rsid w:val="00FE4DEE"/>
    <w:rsid w:val="00FE6C65"/>
    <w:rsid w:val="00FF123D"/>
    <w:rsid w:val="00FF29F8"/>
    <w:rsid w:val="00FF2BE1"/>
    <w:rsid w:val="00FF3752"/>
    <w:rsid w:val="726B06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23EBD40B"/>
  <w15:docId w15:val="{BEFD62FA-9BDB-4A54-94F2-A1C79A92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0DE5"/>
    <w:pPr>
      <w:tabs>
        <w:tab w:val="left" w:pos="-720"/>
      </w:tabs>
      <w:spacing w:after="200" w:line="360" w:lineRule="atLeast"/>
      <w:jc w:val="both"/>
    </w:pPr>
    <w:rPr>
      <w:lang w:val="en-US" w:eastAsia="zh-CN"/>
    </w:rPr>
  </w:style>
  <w:style w:type="paragraph" w:styleId="Heading1">
    <w:name w:val="heading 1"/>
    <w:basedOn w:val="Normal"/>
    <w:next w:val="Normal"/>
    <w:qFormat/>
    <w:rsid w:val="00470DE5"/>
    <w:pPr>
      <w:spacing w:before="240"/>
      <w:outlineLvl w:val="0"/>
    </w:pPr>
    <w:rPr>
      <w:rFonts w:ascii="Arial" w:hAnsi="Arial" w:cs="Arial"/>
      <w:b/>
      <w:bCs/>
      <w:sz w:val="24"/>
      <w:szCs w:val="24"/>
      <w:u w:val="single"/>
    </w:rPr>
  </w:style>
  <w:style w:type="paragraph" w:styleId="Heading2">
    <w:name w:val="heading 2"/>
    <w:basedOn w:val="Normal"/>
    <w:next w:val="Normal"/>
    <w:qFormat/>
    <w:rsid w:val="00470DE5"/>
    <w:pPr>
      <w:spacing w:before="120"/>
      <w:outlineLvl w:val="1"/>
    </w:pPr>
    <w:rPr>
      <w:rFonts w:ascii="Arial" w:hAnsi="Arial" w:cs="Arial"/>
      <w:b/>
      <w:bCs/>
      <w:sz w:val="24"/>
      <w:szCs w:val="24"/>
    </w:rPr>
  </w:style>
  <w:style w:type="paragraph" w:styleId="Heading3">
    <w:name w:val="heading 3"/>
    <w:basedOn w:val="Normal"/>
    <w:next w:val="Normal"/>
    <w:qFormat/>
    <w:rsid w:val="00470DE5"/>
    <w:pPr>
      <w:ind w:left="360"/>
      <w:outlineLvl w:val="2"/>
    </w:pPr>
    <w:rPr>
      <w:b/>
      <w:bCs/>
      <w:sz w:val="24"/>
      <w:szCs w:val="24"/>
    </w:rPr>
  </w:style>
  <w:style w:type="paragraph" w:styleId="Heading4">
    <w:name w:val="heading 4"/>
    <w:basedOn w:val="Normal"/>
    <w:next w:val="Normal"/>
    <w:qFormat/>
    <w:rsid w:val="00470DE5"/>
    <w:pPr>
      <w:ind w:left="360"/>
      <w:outlineLvl w:val="3"/>
    </w:pPr>
    <w:rPr>
      <w:sz w:val="24"/>
      <w:szCs w:val="24"/>
      <w:u w:val="single"/>
    </w:rPr>
  </w:style>
  <w:style w:type="paragraph" w:styleId="Heading5">
    <w:name w:val="heading 5"/>
    <w:basedOn w:val="Normal"/>
    <w:next w:val="Normal"/>
    <w:qFormat/>
    <w:rsid w:val="00470DE5"/>
    <w:pPr>
      <w:ind w:left="720"/>
      <w:outlineLvl w:val="4"/>
    </w:pPr>
    <w:rPr>
      <w:b/>
      <w:bCs/>
    </w:rPr>
  </w:style>
  <w:style w:type="paragraph" w:styleId="Heading6">
    <w:name w:val="heading 6"/>
    <w:basedOn w:val="Normal"/>
    <w:next w:val="Normal"/>
    <w:qFormat/>
    <w:rsid w:val="00470DE5"/>
    <w:pPr>
      <w:ind w:left="720"/>
      <w:outlineLvl w:val="5"/>
    </w:pPr>
    <w:rPr>
      <w:u w:val="single"/>
    </w:rPr>
  </w:style>
  <w:style w:type="paragraph" w:styleId="Heading7">
    <w:name w:val="heading 7"/>
    <w:basedOn w:val="Normal"/>
    <w:next w:val="Normal"/>
    <w:qFormat/>
    <w:rsid w:val="00470DE5"/>
    <w:pPr>
      <w:ind w:left="720"/>
      <w:outlineLvl w:val="6"/>
    </w:pPr>
    <w:rPr>
      <w:i/>
      <w:iCs/>
    </w:rPr>
  </w:style>
  <w:style w:type="paragraph" w:styleId="Heading8">
    <w:name w:val="heading 8"/>
    <w:basedOn w:val="Normal"/>
    <w:next w:val="Normal"/>
    <w:qFormat/>
    <w:rsid w:val="00470DE5"/>
    <w:pPr>
      <w:ind w:left="720"/>
      <w:outlineLvl w:val="7"/>
    </w:pPr>
    <w:rPr>
      <w:i/>
      <w:iCs/>
    </w:rPr>
  </w:style>
  <w:style w:type="paragraph" w:styleId="Heading9">
    <w:name w:val="heading 9"/>
    <w:basedOn w:val="Normal"/>
    <w:next w:val="Normal"/>
    <w:qFormat/>
    <w:rsid w:val="00470DE5"/>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Char">
    <w:name w:val="Body Text 3 Char"/>
    <w:basedOn w:val="DefaultParagraphFont"/>
    <w:link w:val="BodyText3"/>
    <w:rsid w:val="00470DE5"/>
    <w:rPr>
      <w:sz w:val="16"/>
      <w:szCs w:val="16"/>
    </w:rPr>
  </w:style>
  <w:style w:type="character" w:customStyle="1" w:styleId="RefCar">
    <w:name w:val="Ref. Car"/>
    <w:link w:val="Ref"/>
    <w:rsid w:val="00470DE5"/>
    <w:rPr>
      <w:rFonts w:ascii="Arial" w:hAnsi="Arial" w:cs="Arial"/>
      <w:sz w:val="18"/>
      <w:szCs w:val="18"/>
      <w:lang w:bidi="ar-SA"/>
    </w:rPr>
  </w:style>
  <w:style w:type="character" w:styleId="FootnoteReference">
    <w:name w:val="footnote reference"/>
    <w:semiHidden/>
    <w:rsid w:val="00470DE5"/>
    <w:rPr>
      <w:vertAlign w:val="superscript"/>
    </w:rPr>
  </w:style>
  <w:style w:type="character" w:customStyle="1" w:styleId="xml-fpage">
    <w:name w:val="xml-fpage"/>
    <w:basedOn w:val="DefaultParagraphFont"/>
    <w:rsid w:val="00470DE5"/>
  </w:style>
  <w:style w:type="character" w:customStyle="1" w:styleId="xml-given-names">
    <w:name w:val="xml-given-names"/>
    <w:basedOn w:val="DefaultParagraphFont"/>
    <w:rsid w:val="00470DE5"/>
  </w:style>
  <w:style w:type="character" w:styleId="Hyperlink">
    <w:name w:val="Hyperlink"/>
    <w:uiPriority w:val="99"/>
    <w:rsid w:val="00470DE5"/>
    <w:rPr>
      <w:color w:val="0000FF"/>
      <w:u w:val="single"/>
    </w:rPr>
  </w:style>
  <w:style w:type="character" w:customStyle="1" w:styleId="journal">
    <w:name w:val="journal"/>
    <w:basedOn w:val="DefaultParagraphFont"/>
    <w:rsid w:val="00470DE5"/>
  </w:style>
  <w:style w:type="character" w:customStyle="1" w:styleId="iCar">
    <w:name w:val="i) Car"/>
    <w:link w:val="i"/>
    <w:rsid w:val="00470DE5"/>
    <w:rPr>
      <w:rFonts w:ascii="Arial" w:hAnsi="Arial" w:cs="Arial"/>
      <w:sz w:val="18"/>
      <w:szCs w:val="18"/>
    </w:rPr>
  </w:style>
  <w:style w:type="character" w:customStyle="1" w:styleId="xml-volume">
    <w:name w:val="xml-volume"/>
    <w:basedOn w:val="DefaultParagraphFont"/>
    <w:rsid w:val="00470DE5"/>
  </w:style>
  <w:style w:type="character" w:customStyle="1" w:styleId="paraACar">
    <w:name w:val="paraA Car"/>
    <w:link w:val="paraA"/>
    <w:rsid w:val="00470DE5"/>
    <w:rPr>
      <w:rFonts w:ascii="Arial" w:hAnsi="Arial" w:cs="Arial"/>
      <w:sz w:val="18"/>
      <w:szCs w:val="18"/>
      <w:lang w:bidi="ar-SA"/>
    </w:rPr>
  </w:style>
  <w:style w:type="character" w:customStyle="1" w:styleId="xml-lpage">
    <w:name w:val="xml-lpage"/>
    <w:basedOn w:val="DefaultParagraphFont"/>
    <w:rsid w:val="00470DE5"/>
  </w:style>
  <w:style w:type="character" w:styleId="CommentReference">
    <w:name w:val="annotation reference"/>
    <w:uiPriority w:val="99"/>
    <w:semiHidden/>
    <w:rsid w:val="00470DE5"/>
    <w:rPr>
      <w:sz w:val="16"/>
      <w:szCs w:val="16"/>
    </w:rPr>
  </w:style>
  <w:style w:type="character" w:customStyle="1" w:styleId="FootnoteTextChar">
    <w:name w:val="Footnote Text Char"/>
    <w:basedOn w:val="DefaultParagraphFont"/>
    <w:link w:val="FootnoteText"/>
    <w:semiHidden/>
    <w:rsid w:val="00470DE5"/>
  </w:style>
  <w:style w:type="character" w:customStyle="1" w:styleId="HeaderChar">
    <w:name w:val="Header Char"/>
    <w:link w:val="Header"/>
    <w:rsid w:val="00470DE5"/>
  </w:style>
  <w:style w:type="character" w:styleId="LineNumber">
    <w:name w:val="line number"/>
    <w:basedOn w:val="DefaultParagraphFont"/>
    <w:rsid w:val="00470DE5"/>
    <w:rPr>
      <w:rFonts w:ascii="Arial" w:hAnsi="Arial"/>
      <w:sz w:val="16"/>
    </w:rPr>
  </w:style>
  <w:style w:type="character" w:customStyle="1" w:styleId="StyleRefPetitesmajuscules1Car">
    <w:name w:val="Style Ref. + Petites majuscules1 Car"/>
    <w:link w:val="StyleRefPetitesmajuscules1"/>
    <w:rsid w:val="00470DE5"/>
    <w:rPr>
      <w:rFonts w:ascii="Arial" w:hAnsi="Arial" w:cs="Arial"/>
      <w:smallCaps/>
      <w:sz w:val="18"/>
      <w:szCs w:val="18"/>
      <w:lang w:bidi="ar-SA"/>
    </w:rPr>
  </w:style>
  <w:style w:type="character" w:customStyle="1" w:styleId="xml-source">
    <w:name w:val="xml-source"/>
    <w:basedOn w:val="DefaultParagraphFont"/>
    <w:rsid w:val="00470DE5"/>
  </w:style>
  <w:style w:type="character" w:customStyle="1" w:styleId="iparaCar">
    <w:name w:val="i_para Car"/>
    <w:basedOn w:val="iCar"/>
    <w:link w:val="ipara"/>
    <w:rsid w:val="00470DE5"/>
    <w:rPr>
      <w:rFonts w:ascii="Arial" w:hAnsi="Arial" w:cs="Arial"/>
      <w:sz w:val="18"/>
      <w:szCs w:val="18"/>
    </w:rPr>
  </w:style>
  <w:style w:type="character" w:customStyle="1" w:styleId="ReflabnoteCar">
    <w:name w:val="Ref_lab_note Car"/>
    <w:link w:val="Reflabnote"/>
    <w:rsid w:val="00470DE5"/>
    <w:rPr>
      <w:rFonts w:ascii="Arial" w:hAnsi="Arial" w:cs="Arial"/>
      <w:sz w:val="18"/>
      <w:szCs w:val="18"/>
    </w:rPr>
  </w:style>
  <w:style w:type="character" w:customStyle="1" w:styleId="PlainTextChar">
    <w:name w:val="Plain Text Char"/>
    <w:basedOn w:val="DefaultParagraphFont"/>
    <w:link w:val="PlainText"/>
    <w:uiPriority w:val="99"/>
    <w:rsid w:val="00470DE5"/>
    <w:rPr>
      <w:rFonts w:ascii="Calibri" w:hAnsi="Calibri"/>
      <w:sz w:val="22"/>
      <w:szCs w:val="21"/>
      <w:lang w:eastAsia="en-US"/>
    </w:rPr>
  </w:style>
  <w:style w:type="character" w:customStyle="1" w:styleId="ndesc">
    <w:name w:val="ndesc"/>
    <w:basedOn w:val="DefaultParagraphFont"/>
    <w:rsid w:val="00470DE5"/>
  </w:style>
  <w:style w:type="character" w:customStyle="1" w:styleId="xml-surname">
    <w:name w:val="xml-surname"/>
    <w:basedOn w:val="DefaultParagraphFont"/>
    <w:rsid w:val="00470DE5"/>
  </w:style>
  <w:style w:type="character" w:customStyle="1" w:styleId="xml-article-title">
    <w:name w:val="xml-article-title"/>
    <w:basedOn w:val="DefaultParagraphFont"/>
    <w:rsid w:val="00470DE5"/>
  </w:style>
  <w:style w:type="character" w:customStyle="1" w:styleId="xml-year">
    <w:name w:val="xml-year"/>
    <w:basedOn w:val="DefaultParagraphFont"/>
    <w:rsid w:val="00470DE5"/>
  </w:style>
  <w:style w:type="paragraph" w:customStyle="1" w:styleId="TITRE">
    <w:name w:val="TITRE"/>
    <w:basedOn w:val="Normal"/>
    <w:rsid w:val="00470DE5"/>
    <w:pPr>
      <w:spacing w:after="240"/>
      <w:jc w:val="center"/>
    </w:pPr>
    <w:rPr>
      <w:b/>
      <w:bCs/>
      <w:caps/>
    </w:rPr>
  </w:style>
  <w:style w:type="paragraph" w:customStyle="1" w:styleId="111Para">
    <w:name w:val="1.1.1_Para"/>
    <w:basedOn w:val="Normal"/>
    <w:qFormat/>
    <w:rsid w:val="00470DE5"/>
    <w:pPr>
      <w:tabs>
        <w:tab w:val="clear" w:pos="-720"/>
      </w:tabs>
      <w:spacing w:after="240" w:line="240" w:lineRule="auto"/>
      <w:ind w:left="1418"/>
    </w:pPr>
    <w:rPr>
      <w:rFonts w:ascii="Arial" w:eastAsia="Calibri" w:hAnsi="Arial" w:cs="Arial"/>
      <w:sz w:val="18"/>
      <w:szCs w:val="18"/>
      <w:lang w:eastAsia="en-US"/>
    </w:rPr>
  </w:style>
  <w:style w:type="paragraph" w:customStyle="1" w:styleId="CM29">
    <w:name w:val="CM29"/>
    <w:basedOn w:val="Normal"/>
    <w:next w:val="Normal"/>
    <w:rsid w:val="00470DE5"/>
    <w:pPr>
      <w:widowControl w:val="0"/>
      <w:tabs>
        <w:tab w:val="clear" w:pos="-720"/>
      </w:tabs>
      <w:autoSpaceDE w:val="0"/>
      <w:autoSpaceDN w:val="0"/>
      <w:adjustRightInd w:val="0"/>
      <w:spacing w:after="405" w:line="240" w:lineRule="auto"/>
      <w:jc w:val="left"/>
    </w:pPr>
    <w:rPr>
      <w:rFonts w:ascii="Arial" w:hAnsi="Arial" w:cs="Arial"/>
      <w:sz w:val="24"/>
      <w:szCs w:val="24"/>
      <w:lang w:eastAsia="en-US"/>
    </w:rPr>
  </w:style>
  <w:style w:type="paragraph" w:customStyle="1" w:styleId="Chaptertitle">
    <w:name w:val="Chapter_title"/>
    <w:basedOn w:val="Normal"/>
    <w:rsid w:val="00470DE5"/>
    <w:pPr>
      <w:pBdr>
        <w:bottom w:val="single" w:sz="6" w:space="10" w:color="auto"/>
      </w:pBdr>
      <w:spacing w:line="240" w:lineRule="auto"/>
      <w:jc w:val="center"/>
    </w:pPr>
    <w:rPr>
      <w:rFonts w:ascii="Ottawa" w:hAnsi="Ottawa"/>
      <w:b/>
      <w:caps/>
      <w:spacing w:val="40"/>
      <w:sz w:val="32"/>
    </w:rPr>
  </w:style>
  <w:style w:type="paragraph" w:customStyle="1" w:styleId="A">
    <w:name w:val="A"/>
    <w:basedOn w:val="Normal"/>
    <w:rsid w:val="00470DE5"/>
    <w:pPr>
      <w:spacing w:after="240" w:line="240" w:lineRule="auto"/>
      <w:jc w:val="center"/>
    </w:pPr>
    <w:rPr>
      <w:rFonts w:ascii="Ottawa" w:hAnsi="Ottawa"/>
      <w:b/>
      <w:bCs/>
      <w:caps/>
      <w:sz w:val="24"/>
      <w:szCs w:val="24"/>
    </w:rPr>
  </w:style>
  <w:style w:type="paragraph" w:customStyle="1" w:styleId="paraa0">
    <w:name w:val="paraa)"/>
    <w:basedOn w:val="Normal"/>
    <w:rsid w:val="00470DE5"/>
    <w:pPr>
      <w:spacing w:after="240" w:line="240" w:lineRule="auto"/>
      <w:ind w:left="425"/>
    </w:pPr>
    <w:rPr>
      <w:rFonts w:ascii="Arial" w:hAnsi="Arial" w:cs="Arial"/>
      <w:sz w:val="18"/>
      <w:szCs w:val="18"/>
    </w:rPr>
  </w:style>
  <w:style w:type="paragraph" w:customStyle="1" w:styleId="ListParagraph1">
    <w:name w:val="List Paragraph1"/>
    <w:basedOn w:val="Normal"/>
    <w:uiPriority w:val="34"/>
    <w:qFormat/>
    <w:rsid w:val="00470DE5"/>
    <w:pPr>
      <w:tabs>
        <w:tab w:val="clear" w:pos="-720"/>
      </w:tabs>
      <w:spacing w:line="276" w:lineRule="auto"/>
      <w:ind w:left="720"/>
      <w:contextualSpacing/>
      <w:jc w:val="left"/>
    </w:pPr>
    <w:rPr>
      <w:rFonts w:ascii="Calibri" w:eastAsia="Calibri" w:hAnsi="Calibri"/>
      <w:sz w:val="22"/>
      <w:szCs w:val="22"/>
      <w:lang w:eastAsia="en-US"/>
    </w:rPr>
  </w:style>
  <w:style w:type="paragraph" w:customStyle="1" w:styleId="1Para">
    <w:name w:val="1_Para"/>
    <w:basedOn w:val="Normal"/>
    <w:qFormat/>
    <w:rsid w:val="00470DE5"/>
    <w:pPr>
      <w:tabs>
        <w:tab w:val="clear" w:pos="-720"/>
      </w:tabs>
      <w:spacing w:after="240" w:line="240" w:lineRule="auto"/>
    </w:pPr>
    <w:rPr>
      <w:rFonts w:ascii="Arial" w:eastAsia="Calibri" w:hAnsi="Arial" w:cs="Arial"/>
      <w:sz w:val="18"/>
      <w:szCs w:val="18"/>
      <w:lang w:eastAsia="en-US"/>
    </w:rPr>
  </w:style>
  <w:style w:type="paragraph" w:customStyle="1" w:styleId="23">
    <w:name w:val="_23"/>
    <w:uiPriority w:val="99"/>
    <w:rsid w:val="00470DE5"/>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200" w:line="276" w:lineRule="auto"/>
      <w:ind w:left="2880"/>
      <w:jc w:val="both"/>
    </w:pPr>
    <w:rPr>
      <w:sz w:val="24"/>
      <w:szCs w:val="24"/>
      <w:lang w:val="en-US" w:eastAsia="en-US"/>
    </w:rPr>
  </w:style>
  <w:style w:type="paragraph" w:customStyle="1" w:styleId="afourthpara">
    <w:name w:val="a)_fourth_para"/>
    <w:basedOn w:val="Normal"/>
    <w:qFormat/>
    <w:rsid w:val="00470DE5"/>
    <w:pPr>
      <w:tabs>
        <w:tab w:val="clear" w:pos="-720"/>
      </w:tabs>
      <w:spacing w:after="240" w:line="240" w:lineRule="auto"/>
      <w:ind w:left="1843"/>
    </w:pPr>
    <w:rPr>
      <w:rFonts w:ascii="Arial" w:eastAsia="Calibri" w:hAnsi="Arial" w:cs="Arial"/>
      <w:sz w:val="18"/>
      <w:szCs w:val="18"/>
      <w:lang w:eastAsia="en-US"/>
    </w:rPr>
  </w:style>
  <w:style w:type="paragraph" w:customStyle="1" w:styleId="Referencetitle">
    <w:name w:val="Reference_title"/>
    <w:basedOn w:val="Normal"/>
    <w:rsid w:val="00470DE5"/>
    <w:pPr>
      <w:widowControl w:val="0"/>
      <w:tabs>
        <w:tab w:val="clear" w:pos="-720"/>
        <w:tab w:val="left" w:pos="2410"/>
      </w:tabs>
      <w:spacing w:after="240" w:line="240" w:lineRule="auto"/>
      <w:jc w:val="center"/>
    </w:pPr>
    <w:rPr>
      <w:rFonts w:ascii="Ottawa" w:hAnsi="Ottawa"/>
      <w:b/>
      <w:sz w:val="22"/>
    </w:rPr>
  </w:style>
  <w:style w:type="paragraph" w:styleId="Footer">
    <w:name w:val="footer"/>
    <w:basedOn w:val="Normal"/>
    <w:rsid w:val="00470DE5"/>
    <w:pPr>
      <w:tabs>
        <w:tab w:val="clear" w:pos="-720"/>
        <w:tab w:val="center" w:pos="4536"/>
        <w:tab w:val="right" w:pos="9072"/>
      </w:tabs>
    </w:pPr>
  </w:style>
  <w:style w:type="paragraph" w:customStyle="1" w:styleId="b">
    <w:name w:val="b)"/>
    <w:basedOn w:val="Normal"/>
    <w:rsid w:val="00470DE5"/>
    <w:pPr>
      <w:spacing w:after="120" w:line="240" w:lineRule="auto"/>
      <w:ind w:left="850" w:hanging="425"/>
    </w:pPr>
    <w:rPr>
      <w:rFonts w:ascii="Ottawa" w:hAnsi="Ottawa"/>
      <w:b/>
      <w:sz w:val="18"/>
    </w:rPr>
  </w:style>
  <w:style w:type="paragraph" w:customStyle="1" w:styleId="ilast">
    <w:name w:val="i)_last"/>
    <w:basedOn w:val="Normal"/>
    <w:qFormat/>
    <w:rsid w:val="00470DE5"/>
    <w:pPr>
      <w:tabs>
        <w:tab w:val="clear" w:pos="-720"/>
      </w:tabs>
      <w:spacing w:after="240" w:line="240" w:lineRule="auto"/>
      <w:ind w:left="1843" w:hanging="425"/>
      <w:jc w:val="left"/>
    </w:pPr>
    <w:rPr>
      <w:rFonts w:ascii="Arial" w:eastAsia="Calibri" w:hAnsi="Arial" w:cs="Arial"/>
      <w:sz w:val="18"/>
      <w:szCs w:val="18"/>
      <w:lang w:eastAsia="en-US"/>
    </w:rPr>
  </w:style>
  <w:style w:type="paragraph" w:styleId="BodyTextIndent">
    <w:name w:val="Body Text Indent"/>
    <w:basedOn w:val="Normal"/>
    <w:rsid w:val="00470DE5"/>
    <w:pPr>
      <w:tabs>
        <w:tab w:val="clear" w:pos="-720"/>
      </w:tabs>
      <w:spacing w:line="240" w:lineRule="auto"/>
      <w:ind w:left="720" w:hanging="720"/>
      <w:jc w:val="left"/>
    </w:pPr>
    <w:rPr>
      <w:lang w:eastAsia="en-US"/>
    </w:rPr>
  </w:style>
  <w:style w:type="paragraph" w:styleId="CommentText">
    <w:name w:val="annotation text"/>
    <w:basedOn w:val="Normal"/>
    <w:link w:val="CommentTextChar"/>
    <w:uiPriority w:val="99"/>
    <w:semiHidden/>
    <w:rsid w:val="00470DE5"/>
  </w:style>
  <w:style w:type="paragraph" w:customStyle="1" w:styleId="Ref">
    <w:name w:val="Ref."/>
    <w:basedOn w:val="Normal"/>
    <w:link w:val="RefCar"/>
    <w:rsid w:val="00470DE5"/>
    <w:pPr>
      <w:spacing w:after="240" w:line="240" w:lineRule="auto"/>
    </w:pPr>
    <w:rPr>
      <w:rFonts w:ascii="Arial" w:hAnsi="Arial" w:cs="Arial"/>
      <w:sz w:val="18"/>
      <w:szCs w:val="18"/>
    </w:rPr>
  </w:style>
  <w:style w:type="paragraph" w:customStyle="1" w:styleId="11Para">
    <w:name w:val="1.1_Para"/>
    <w:basedOn w:val="Normal"/>
    <w:qFormat/>
    <w:rsid w:val="00470DE5"/>
    <w:pPr>
      <w:tabs>
        <w:tab w:val="clear" w:pos="-720"/>
      </w:tabs>
      <w:spacing w:after="240" w:line="240" w:lineRule="auto"/>
      <w:ind w:left="851"/>
    </w:pPr>
    <w:rPr>
      <w:rFonts w:ascii="Arial" w:eastAsia="Calibri" w:hAnsi="Arial" w:cs="Arial"/>
      <w:sz w:val="18"/>
      <w:szCs w:val="18"/>
      <w:lang w:eastAsia="en-US"/>
    </w:rPr>
  </w:style>
  <w:style w:type="paragraph" w:customStyle="1" w:styleId="CM2">
    <w:name w:val="CM2"/>
    <w:basedOn w:val="Normal"/>
    <w:next w:val="Normal"/>
    <w:rsid w:val="00470DE5"/>
    <w:pPr>
      <w:widowControl w:val="0"/>
      <w:tabs>
        <w:tab w:val="clear" w:pos="-720"/>
      </w:tabs>
      <w:autoSpaceDE w:val="0"/>
      <w:autoSpaceDN w:val="0"/>
      <w:adjustRightInd w:val="0"/>
      <w:spacing w:line="240" w:lineRule="auto"/>
      <w:jc w:val="left"/>
    </w:pPr>
    <w:rPr>
      <w:rFonts w:ascii="Arial" w:hAnsi="Arial" w:cs="Arial"/>
      <w:sz w:val="24"/>
      <w:szCs w:val="24"/>
      <w:lang w:eastAsia="en-US"/>
    </w:rPr>
  </w:style>
  <w:style w:type="paragraph" w:customStyle="1" w:styleId="rtoiles">
    <w:name w:val="r_étoiles"/>
    <w:basedOn w:val="Normal"/>
    <w:next w:val="Normal"/>
    <w:rsid w:val="00470DE5"/>
    <w:pPr>
      <w:keepLines/>
      <w:tabs>
        <w:tab w:val="clear" w:pos="-720"/>
      </w:tabs>
      <w:spacing w:before="240" w:after="240" w:line="240" w:lineRule="atLeast"/>
      <w:jc w:val="center"/>
    </w:pPr>
  </w:style>
  <w:style w:type="paragraph" w:customStyle="1" w:styleId="iparalast">
    <w:name w:val="i_para_last"/>
    <w:basedOn w:val="i"/>
    <w:rsid w:val="00470DE5"/>
    <w:pPr>
      <w:spacing w:after="240" w:line="200" w:lineRule="exact"/>
    </w:pPr>
  </w:style>
  <w:style w:type="paragraph" w:styleId="PlainText">
    <w:name w:val="Plain Text"/>
    <w:basedOn w:val="Normal"/>
    <w:link w:val="PlainTextChar"/>
    <w:uiPriority w:val="99"/>
    <w:rsid w:val="00470DE5"/>
    <w:pPr>
      <w:tabs>
        <w:tab w:val="clear" w:pos="-720"/>
      </w:tabs>
      <w:spacing w:line="240" w:lineRule="auto"/>
      <w:jc w:val="left"/>
    </w:pPr>
    <w:rPr>
      <w:rFonts w:ascii="Calibri" w:hAnsi="Calibri"/>
      <w:sz w:val="22"/>
      <w:szCs w:val="21"/>
      <w:lang w:eastAsia="en-US"/>
    </w:rPr>
  </w:style>
  <w:style w:type="paragraph" w:customStyle="1" w:styleId="1">
    <w:name w:val="1"/>
    <w:basedOn w:val="para1"/>
    <w:qFormat/>
    <w:rsid w:val="00470DE5"/>
    <w:pPr>
      <w:ind w:left="426" w:hanging="426"/>
    </w:pPr>
    <w:rPr>
      <w:rFonts w:ascii="Ottawa" w:hAnsi="Ottawa"/>
      <w:b/>
      <w:bCs/>
      <w:sz w:val="22"/>
      <w:szCs w:val="22"/>
    </w:rPr>
  </w:style>
  <w:style w:type="paragraph" w:customStyle="1" w:styleId="ififthlevellist">
    <w:name w:val="i_fifth_level_list"/>
    <w:basedOn w:val="ififthpara"/>
    <w:qFormat/>
    <w:rsid w:val="00470DE5"/>
    <w:pPr>
      <w:spacing w:after="120"/>
      <w:ind w:hanging="425"/>
    </w:pPr>
  </w:style>
  <w:style w:type="paragraph" w:customStyle="1" w:styleId="dotsixthpara">
    <w:name w:val="dot_sixth_para"/>
    <w:basedOn w:val="Normal"/>
    <w:qFormat/>
    <w:rsid w:val="00470DE5"/>
    <w:pPr>
      <w:tabs>
        <w:tab w:val="clear" w:pos="-720"/>
      </w:tabs>
      <w:spacing w:after="240" w:line="240" w:lineRule="auto"/>
      <w:ind w:left="2268"/>
    </w:pPr>
    <w:rPr>
      <w:rFonts w:ascii="Arial" w:eastAsia="Calibri" w:hAnsi="Arial" w:cs="Arial"/>
      <w:sz w:val="18"/>
      <w:szCs w:val="18"/>
      <w:lang w:eastAsia="en-US"/>
    </w:rPr>
  </w:style>
  <w:style w:type="paragraph" w:customStyle="1" w:styleId="StyleRefPetitesmajuscules">
    <w:name w:val="Style Ref. + Petites majuscules"/>
    <w:basedOn w:val="Ref"/>
    <w:rsid w:val="00470DE5"/>
    <w:rPr>
      <w:smallCaps/>
    </w:rPr>
  </w:style>
  <w:style w:type="paragraph" w:customStyle="1" w:styleId="CM25">
    <w:name w:val="CM25"/>
    <w:basedOn w:val="Normal"/>
    <w:next w:val="Normal"/>
    <w:rsid w:val="00470DE5"/>
    <w:pPr>
      <w:widowControl w:val="0"/>
      <w:tabs>
        <w:tab w:val="clear" w:pos="-720"/>
      </w:tabs>
      <w:autoSpaceDE w:val="0"/>
      <w:autoSpaceDN w:val="0"/>
      <w:adjustRightInd w:val="0"/>
      <w:spacing w:after="285" w:line="240" w:lineRule="auto"/>
      <w:jc w:val="left"/>
    </w:pPr>
    <w:rPr>
      <w:rFonts w:ascii="Arial" w:hAnsi="Arial" w:cs="Arial"/>
      <w:sz w:val="24"/>
      <w:szCs w:val="24"/>
      <w:lang w:eastAsia="en-US"/>
    </w:rPr>
  </w:style>
  <w:style w:type="paragraph" w:customStyle="1" w:styleId="CM24">
    <w:name w:val="CM24"/>
    <w:basedOn w:val="Normal"/>
    <w:next w:val="Normal"/>
    <w:rsid w:val="00470DE5"/>
    <w:pPr>
      <w:widowControl w:val="0"/>
      <w:tabs>
        <w:tab w:val="clear" w:pos="-720"/>
      </w:tabs>
      <w:autoSpaceDE w:val="0"/>
      <w:autoSpaceDN w:val="0"/>
      <w:adjustRightInd w:val="0"/>
      <w:spacing w:after="223" w:line="240" w:lineRule="auto"/>
      <w:jc w:val="left"/>
    </w:pPr>
    <w:rPr>
      <w:rFonts w:ascii="Arial" w:hAnsi="Arial" w:cs="Arial"/>
      <w:sz w:val="24"/>
      <w:szCs w:val="24"/>
      <w:lang w:eastAsia="en-US"/>
    </w:rPr>
  </w:style>
  <w:style w:type="paragraph" w:customStyle="1" w:styleId="paraA">
    <w:name w:val="paraA"/>
    <w:basedOn w:val="Normal"/>
    <w:link w:val="paraACar"/>
    <w:rsid w:val="00470DE5"/>
    <w:pPr>
      <w:spacing w:after="240" w:line="240" w:lineRule="auto"/>
    </w:pPr>
    <w:rPr>
      <w:rFonts w:ascii="Arial" w:hAnsi="Arial" w:cs="Arial"/>
      <w:sz w:val="18"/>
      <w:szCs w:val="18"/>
    </w:rPr>
  </w:style>
  <w:style w:type="paragraph" w:customStyle="1" w:styleId="i">
    <w:name w:val="i)"/>
    <w:basedOn w:val="Normal"/>
    <w:link w:val="iCar"/>
    <w:qFormat/>
    <w:rsid w:val="00470DE5"/>
    <w:pPr>
      <w:spacing w:after="120" w:line="240" w:lineRule="auto"/>
      <w:ind w:left="1843" w:hanging="425"/>
    </w:pPr>
    <w:rPr>
      <w:rFonts w:ascii="Arial" w:hAnsi="Arial"/>
      <w:sz w:val="18"/>
      <w:szCs w:val="18"/>
    </w:rPr>
  </w:style>
  <w:style w:type="paragraph" w:customStyle="1" w:styleId="a0">
    <w:name w:val="a)"/>
    <w:basedOn w:val="Normal"/>
    <w:rsid w:val="00470DE5"/>
    <w:pPr>
      <w:tabs>
        <w:tab w:val="clear" w:pos="-720"/>
      </w:tabs>
      <w:spacing w:after="120" w:line="240" w:lineRule="auto"/>
      <w:ind w:left="425" w:hanging="425"/>
    </w:pPr>
    <w:rPr>
      <w:rFonts w:ascii="Ottawa" w:hAnsi="Ottawa"/>
      <w:b/>
      <w:bCs/>
    </w:rPr>
  </w:style>
  <w:style w:type="paragraph" w:customStyle="1" w:styleId="111">
    <w:name w:val="1.1.1"/>
    <w:basedOn w:val="Normal"/>
    <w:qFormat/>
    <w:rsid w:val="00470DE5"/>
    <w:pPr>
      <w:tabs>
        <w:tab w:val="clear" w:pos="-720"/>
      </w:tabs>
      <w:spacing w:after="120" w:line="240" w:lineRule="auto"/>
      <w:ind w:left="1418" w:hanging="567"/>
      <w:jc w:val="left"/>
    </w:pPr>
    <w:rPr>
      <w:rFonts w:ascii="Ottawa" w:eastAsia="Calibri" w:hAnsi="Ottawa" w:cs="Arial"/>
      <w:b/>
      <w:sz w:val="19"/>
      <w:lang w:eastAsia="en-US"/>
    </w:rPr>
  </w:style>
  <w:style w:type="paragraph" w:customStyle="1" w:styleId="Tabletext">
    <w:name w:val="Table text"/>
    <w:basedOn w:val="Normal"/>
    <w:rsid w:val="00470DE5"/>
    <w:pPr>
      <w:tabs>
        <w:tab w:val="clear" w:pos="-720"/>
      </w:tabs>
      <w:spacing w:before="120" w:after="120" w:line="240" w:lineRule="auto"/>
      <w:jc w:val="center"/>
    </w:pPr>
    <w:rPr>
      <w:rFonts w:ascii="Arial" w:hAnsi="Arial" w:cs="Arial"/>
      <w:bCs/>
      <w:sz w:val="18"/>
      <w:szCs w:val="22"/>
      <w:lang w:eastAsia="en-US"/>
    </w:rPr>
  </w:style>
  <w:style w:type="paragraph" w:customStyle="1" w:styleId="citation">
    <w:name w:val="citation"/>
    <w:basedOn w:val="Normal"/>
    <w:rsid w:val="00470DE5"/>
    <w:pPr>
      <w:tabs>
        <w:tab w:val="clear" w:pos="-720"/>
      </w:tabs>
      <w:spacing w:before="100" w:beforeAutospacing="1" w:after="100" w:afterAutospacing="1" w:line="240" w:lineRule="auto"/>
      <w:jc w:val="left"/>
    </w:pPr>
    <w:rPr>
      <w:sz w:val="24"/>
      <w:szCs w:val="24"/>
    </w:rPr>
  </w:style>
  <w:style w:type="paragraph" w:customStyle="1" w:styleId="CM11">
    <w:name w:val="CM11"/>
    <w:basedOn w:val="Normal"/>
    <w:next w:val="Normal"/>
    <w:rsid w:val="00470DE5"/>
    <w:pPr>
      <w:widowControl w:val="0"/>
      <w:tabs>
        <w:tab w:val="clear" w:pos="-720"/>
      </w:tabs>
      <w:autoSpaceDE w:val="0"/>
      <w:autoSpaceDN w:val="0"/>
      <w:adjustRightInd w:val="0"/>
      <w:spacing w:line="226" w:lineRule="atLeast"/>
      <w:jc w:val="left"/>
    </w:pPr>
    <w:rPr>
      <w:rFonts w:ascii="Arial" w:hAnsi="Arial" w:cs="Arial"/>
      <w:sz w:val="24"/>
      <w:szCs w:val="24"/>
      <w:lang w:eastAsia="en-US"/>
    </w:rPr>
  </w:style>
  <w:style w:type="paragraph" w:customStyle="1" w:styleId="Summarytitle">
    <w:name w:val="Summary_title"/>
    <w:basedOn w:val="A"/>
    <w:rsid w:val="00470DE5"/>
    <w:pPr>
      <w:spacing w:before="1200"/>
    </w:pPr>
  </w:style>
  <w:style w:type="paragraph" w:customStyle="1" w:styleId="sumtextelastpara">
    <w:name w:val="sumtexte last para"/>
    <w:basedOn w:val="sumtexte"/>
    <w:rsid w:val="00470DE5"/>
    <w:pPr>
      <w:spacing w:after="480"/>
    </w:pPr>
  </w:style>
  <w:style w:type="paragraph" w:customStyle="1" w:styleId="TableHead">
    <w:name w:val="Table Head"/>
    <w:basedOn w:val="Normal"/>
    <w:rsid w:val="00470DE5"/>
    <w:pPr>
      <w:tabs>
        <w:tab w:val="clear" w:pos="-720"/>
      </w:tabs>
      <w:spacing w:before="120" w:after="120" w:line="240" w:lineRule="auto"/>
      <w:jc w:val="center"/>
    </w:pPr>
    <w:rPr>
      <w:rFonts w:ascii="Ottawa" w:hAnsi="Ottawa"/>
      <w:b/>
      <w:bCs/>
      <w:sz w:val="18"/>
      <w:szCs w:val="22"/>
      <w:lang w:eastAsia="en-US"/>
    </w:rPr>
  </w:style>
  <w:style w:type="paragraph" w:customStyle="1" w:styleId="notedebas">
    <w:name w:val="note de bas"/>
    <w:basedOn w:val="Normal"/>
    <w:rsid w:val="00470DE5"/>
    <w:pPr>
      <w:widowControl w:val="0"/>
      <w:spacing w:line="240" w:lineRule="auto"/>
      <w:ind w:left="425" w:hanging="425"/>
    </w:pPr>
    <w:rPr>
      <w:rFonts w:ascii="Arial" w:hAnsi="Arial" w:cs="Arial"/>
      <w:sz w:val="16"/>
      <w:szCs w:val="16"/>
    </w:rPr>
  </w:style>
  <w:style w:type="paragraph" w:customStyle="1" w:styleId="authlist">
    <w:name w:val="auth_list"/>
    <w:basedOn w:val="Normal"/>
    <w:rsid w:val="00470DE5"/>
    <w:pPr>
      <w:tabs>
        <w:tab w:val="clear" w:pos="-720"/>
      </w:tabs>
      <w:spacing w:before="100" w:beforeAutospacing="1" w:after="100" w:afterAutospacing="1" w:line="240" w:lineRule="auto"/>
      <w:jc w:val="left"/>
    </w:pPr>
    <w:rPr>
      <w:sz w:val="24"/>
      <w:szCs w:val="24"/>
    </w:rPr>
  </w:style>
  <w:style w:type="paragraph" w:customStyle="1" w:styleId="ififthlevel">
    <w:name w:val="i)_fifth_level"/>
    <w:basedOn w:val="Normal"/>
    <w:qFormat/>
    <w:rsid w:val="00470DE5"/>
    <w:pPr>
      <w:tabs>
        <w:tab w:val="clear" w:pos="-720"/>
      </w:tabs>
      <w:spacing w:after="120" w:line="240" w:lineRule="auto"/>
      <w:ind w:left="2268" w:hanging="425"/>
      <w:jc w:val="left"/>
    </w:pPr>
    <w:rPr>
      <w:rFonts w:ascii="Ottawa" w:eastAsia="Calibri" w:hAnsi="Ottawa" w:cs="Arial"/>
      <w:b/>
      <w:sz w:val="17"/>
      <w:szCs w:val="18"/>
      <w:lang w:eastAsia="en-US"/>
    </w:rPr>
  </w:style>
  <w:style w:type="paragraph" w:styleId="FootnoteText">
    <w:name w:val="footnote text"/>
    <w:basedOn w:val="Normal"/>
    <w:link w:val="FootnoteTextChar"/>
    <w:semiHidden/>
    <w:rsid w:val="00470DE5"/>
  </w:style>
  <w:style w:type="paragraph" w:customStyle="1" w:styleId="11">
    <w:name w:val="1.1"/>
    <w:basedOn w:val="Normal"/>
    <w:qFormat/>
    <w:rsid w:val="00470DE5"/>
    <w:pPr>
      <w:tabs>
        <w:tab w:val="clear" w:pos="-720"/>
      </w:tabs>
      <w:spacing w:after="240" w:line="240" w:lineRule="auto"/>
      <w:ind w:left="850" w:hanging="425"/>
      <w:jc w:val="left"/>
    </w:pPr>
    <w:rPr>
      <w:rFonts w:ascii="Ottawa" w:eastAsia="Calibri" w:hAnsi="Ottawa" w:cs="Arial"/>
      <w:b/>
      <w:szCs w:val="22"/>
      <w:lang w:eastAsia="en-US"/>
    </w:rPr>
  </w:style>
  <w:style w:type="paragraph" w:styleId="CommentSubject">
    <w:name w:val="annotation subject"/>
    <w:basedOn w:val="CommentText"/>
    <w:next w:val="CommentText"/>
    <w:semiHidden/>
    <w:rsid w:val="00470DE5"/>
    <w:rPr>
      <w:b/>
      <w:bCs/>
    </w:rPr>
  </w:style>
  <w:style w:type="paragraph" w:customStyle="1" w:styleId="Reflabnote">
    <w:name w:val="Ref_lab_note"/>
    <w:basedOn w:val="Normal"/>
    <w:link w:val="ReflabnoteCar"/>
    <w:rsid w:val="00470DE5"/>
    <w:pPr>
      <w:tabs>
        <w:tab w:val="clear" w:pos="-720"/>
      </w:tabs>
      <w:spacing w:before="120" w:after="120" w:line="240" w:lineRule="auto"/>
      <w:jc w:val="center"/>
    </w:pPr>
    <w:rPr>
      <w:rFonts w:ascii="Arial" w:hAnsi="Arial"/>
      <w:sz w:val="18"/>
      <w:szCs w:val="18"/>
    </w:rPr>
  </w:style>
  <w:style w:type="paragraph" w:customStyle="1" w:styleId="22">
    <w:name w:val="_22"/>
    <w:uiPriority w:val="99"/>
    <w:rsid w:val="00470DE5"/>
    <w:pPr>
      <w:widowControl w:val="0"/>
      <w:tabs>
        <w:tab w:val="left" w:pos="3600"/>
        <w:tab w:val="left" w:pos="4320"/>
        <w:tab w:val="left" w:pos="5040"/>
        <w:tab w:val="left" w:pos="5760"/>
        <w:tab w:val="left" w:pos="6480"/>
        <w:tab w:val="left" w:pos="7200"/>
        <w:tab w:val="left" w:pos="7920"/>
      </w:tabs>
      <w:autoSpaceDE w:val="0"/>
      <w:autoSpaceDN w:val="0"/>
      <w:adjustRightInd w:val="0"/>
      <w:spacing w:after="200" w:line="276" w:lineRule="auto"/>
      <w:ind w:left="3600"/>
      <w:jc w:val="both"/>
    </w:pPr>
    <w:rPr>
      <w:sz w:val="24"/>
      <w:szCs w:val="24"/>
      <w:lang w:val="en-US" w:eastAsia="en-US"/>
    </w:rPr>
  </w:style>
  <w:style w:type="paragraph" w:customStyle="1" w:styleId="ififthpara">
    <w:name w:val="i)_fifth_para"/>
    <w:basedOn w:val="Normal"/>
    <w:qFormat/>
    <w:rsid w:val="00470DE5"/>
    <w:pPr>
      <w:tabs>
        <w:tab w:val="clear" w:pos="-720"/>
      </w:tabs>
      <w:spacing w:after="240" w:line="240" w:lineRule="auto"/>
      <w:ind w:left="2268"/>
    </w:pPr>
    <w:rPr>
      <w:rFonts w:ascii="Arial" w:eastAsia="Calibri" w:hAnsi="Arial" w:cs="Arial"/>
      <w:sz w:val="18"/>
      <w:szCs w:val="18"/>
      <w:lang w:eastAsia="en-US"/>
    </w:rPr>
  </w:style>
  <w:style w:type="paragraph" w:customStyle="1" w:styleId="ipara">
    <w:name w:val="i_para"/>
    <w:basedOn w:val="i"/>
    <w:link w:val="iparaCar"/>
    <w:rsid w:val="00470DE5"/>
    <w:pPr>
      <w:spacing w:line="200" w:lineRule="exact"/>
      <w:ind w:firstLine="0"/>
    </w:pPr>
  </w:style>
  <w:style w:type="paragraph" w:customStyle="1" w:styleId="afourthlevel">
    <w:name w:val="a)_fourth_level"/>
    <w:basedOn w:val="Normal"/>
    <w:qFormat/>
    <w:rsid w:val="00470DE5"/>
    <w:pPr>
      <w:tabs>
        <w:tab w:val="clear" w:pos="-720"/>
      </w:tabs>
      <w:spacing w:after="120" w:line="240" w:lineRule="auto"/>
      <w:ind w:left="1843" w:hanging="425"/>
      <w:jc w:val="left"/>
    </w:pPr>
    <w:rPr>
      <w:rFonts w:ascii="Ottawa" w:eastAsia="Calibri" w:hAnsi="Ottawa" w:cs="Arial"/>
      <w:b/>
      <w:sz w:val="18"/>
      <w:lang w:eastAsia="en-US"/>
    </w:rPr>
  </w:style>
  <w:style w:type="paragraph" w:customStyle="1" w:styleId="StyleRefPetitesmajuscules1">
    <w:name w:val="Style Ref. + Petites majuscules1"/>
    <w:basedOn w:val="Ref"/>
    <w:link w:val="StyleRefPetitesmajuscules1Car"/>
    <w:rsid w:val="00470DE5"/>
    <w:rPr>
      <w:smallCaps/>
    </w:rPr>
  </w:style>
  <w:style w:type="paragraph" w:customStyle="1" w:styleId="Chatperno">
    <w:name w:val="Chatper_no"/>
    <w:basedOn w:val="Normal"/>
    <w:rsid w:val="00470DE5"/>
    <w:pPr>
      <w:spacing w:after="240" w:line="240" w:lineRule="auto"/>
      <w:jc w:val="center"/>
    </w:pPr>
    <w:rPr>
      <w:rFonts w:ascii="Ottawa" w:hAnsi="Ottawa"/>
      <w:caps/>
      <w:spacing w:val="60"/>
      <w:sz w:val="24"/>
    </w:rPr>
  </w:style>
  <w:style w:type="paragraph" w:customStyle="1" w:styleId="sumtexte">
    <w:name w:val="sumtexte"/>
    <w:basedOn w:val="Normal"/>
    <w:rsid w:val="00470DE5"/>
    <w:pPr>
      <w:spacing w:after="120" w:line="240" w:lineRule="exact"/>
      <w:ind w:left="567" w:right="567"/>
    </w:pPr>
    <w:rPr>
      <w:rFonts w:ascii="Arial" w:hAnsi="Arial" w:cs="Arial"/>
      <w:i/>
      <w:iCs/>
      <w:sz w:val="18"/>
      <w:szCs w:val="18"/>
    </w:rPr>
  </w:style>
  <w:style w:type="paragraph" w:styleId="BodyText3">
    <w:name w:val="Body Text 3"/>
    <w:basedOn w:val="Normal"/>
    <w:link w:val="BodyText3Char"/>
    <w:rsid w:val="00470DE5"/>
    <w:pPr>
      <w:spacing w:after="120"/>
    </w:pPr>
    <w:rPr>
      <w:sz w:val="16"/>
      <w:szCs w:val="16"/>
    </w:rPr>
  </w:style>
  <w:style w:type="paragraph" w:customStyle="1" w:styleId="para1">
    <w:name w:val="para1"/>
    <w:basedOn w:val="Normal"/>
    <w:rsid w:val="00470DE5"/>
    <w:pPr>
      <w:spacing w:after="240" w:line="240" w:lineRule="auto"/>
    </w:pPr>
    <w:rPr>
      <w:rFonts w:ascii="Arial" w:hAnsi="Arial" w:cs="Arial"/>
      <w:sz w:val="18"/>
      <w:szCs w:val="18"/>
    </w:rPr>
  </w:style>
  <w:style w:type="paragraph" w:styleId="BalloonText">
    <w:name w:val="Balloon Text"/>
    <w:basedOn w:val="Normal"/>
    <w:semiHidden/>
    <w:rsid w:val="00470DE5"/>
    <w:rPr>
      <w:rFonts w:ascii="Tahoma" w:hAnsi="Tahoma" w:cs="Tahoma"/>
      <w:sz w:val="16"/>
      <w:szCs w:val="16"/>
    </w:rPr>
  </w:style>
  <w:style w:type="paragraph" w:styleId="Header">
    <w:name w:val="header"/>
    <w:basedOn w:val="Normal"/>
    <w:link w:val="HeaderChar"/>
    <w:rsid w:val="00470DE5"/>
    <w:pPr>
      <w:tabs>
        <w:tab w:val="clear" w:pos="-720"/>
        <w:tab w:val="center" w:pos="4536"/>
        <w:tab w:val="right" w:pos="9072"/>
      </w:tabs>
    </w:pPr>
  </w:style>
  <w:style w:type="paragraph" w:customStyle="1" w:styleId="dotsixthlevel">
    <w:name w:val="dot_sixth_level"/>
    <w:basedOn w:val="Normal"/>
    <w:qFormat/>
    <w:rsid w:val="00470DE5"/>
    <w:pPr>
      <w:tabs>
        <w:tab w:val="clear" w:pos="-720"/>
      </w:tabs>
      <w:spacing w:after="120" w:line="240" w:lineRule="auto"/>
      <w:ind w:left="2268" w:hanging="425"/>
    </w:pPr>
    <w:rPr>
      <w:rFonts w:ascii="Arial" w:eastAsia="Calibri" w:hAnsi="Arial" w:cs="Arial"/>
      <w:sz w:val="18"/>
      <w:szCs w:val="18"/>
      <w:lang w:eastAsia="en-US"/>
    </w:rPr>
  </w:style>
  <w:style w:type="paragraph" w:styleId="BodyText">
    <w:name w:val="Body Text"/>
    <w:basedOn w:val="Normal"/>
    <w:link w:val="BodyTextChar"/>
    <w:unhideWhenUsed/>
    <w:rsid w:val="000D479D"/>
    <w:pPr>
      <w:spacing w:after="120"/>
    </w:pPr>
  </w:style>
  <w:style w:type="character" w:customStyle="1" w:styleId="BodyTextChar">
    <w:name w:val="Body Text Char"/>
    <w:basedOn w:val="DefaultParagraphFont"/>
    <w:link w:val="BodyText"/>
    <w:rsid w:val="000D479D"/>
    <w:rPr>
      <w:lang w:val="en-US" w:eastAsia="zh-CN"/>
    </w:rPr>
  </w:style>
  <w:style w:type="paragraph" w:styleId="NoSpacing">
    <w:name w:val="No Spacing"/>
    <w:uiPriority w:val="1"/>
    <w:qFormat/>
    <w:rsid w:val="0049015D"/>
    <w:rPr>
      <w:rFonts w:ascii="Calibri" w:eastAsiaTheme="minorHAnsi" w:hAnsi="Calibri"/>
      <w:sz w:val="22"/>
      <w:szCs w:val="22"/>
      <w:lang w:val="en-AU" w:eastAsia="en-AU"/>
    </w:rPr>
  </w:style>
  <w:style w:type="paragraph" w:styleId="ListParagraph">
    <w:name w:val="List Paragraph"/>
    <w:basedOn w:val="Normal"/>
    <w:uiPriority w:val="34"/>
    <w:qFormat/>
    <w:rsid w:val="0040163F"/>
    <w:pPr>
      <w:ind w:left="720"/>
      <w:contextualSpacing/>
    </w:pPr>
  </w:style>
  <w:style w:type="table" w:styleId="TableGrid">
    <w:name w:val="Table Grid"/>
    <w:basedOn w:val="TableNormal"/>
    <w:uiPriority w:val="59"/>
    <w:rsid w:val="007C22B3"/>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1B0CFA"/>
    <w:rPr>
      <w:lang w:val="en-US" w:eastAsia="zh-CN"/>
    </w:rPr>
  </w:style>
  <w:style w:type="paragraph" w:styleId="Revision">
    <w:name w:val="Revision"/>
    <w:hidden/>
    <w:uiPriority w:val="99"/>
    <w:semiHidden/>
    <w:rsid w:val="00485FD9"/>
    <w:rPr>
      <w:lang w:val="en-US" w:eastAsia="zh-CN"/>
    </w:rPr>
  </w:style>
  <w:style w:type="character" w:customStyle="1" w:styleId="eop">
    <w:name w:val="eop"/>
    <w:basedOn w:val="DefaultParagraphFont"/>
    <w:rsid w:val="00D04C55"/>
  </w:style>
  <w:style w:type="character" w:styleId="Emphasis">
    <w:name w:val="Emphasis"/>
    <w:basedOn w:val="DefaultParagraphFont"/>
    <w:uiPriority w:val="20"/>
    <w:qFormat/>
    <w:rsid w:val="005A7BE3"/>
    <w:rPr>
      <w:i/>
      <w:iCs/>
    </w:rPr>
  </w:style>
  <w:style w:type="character" w:styleId="FollowedHyperlink">
    <w:name w:val="FollowedHyperlink"/>
    <w:basedOn w:val="DefaultParagraphFont"/>
    <w:semiHidden/>
    <w:unhideWhenUsed/>
    <w:rsid w:val="005A7BE3"/>
    <w:rPr>
      <w:color w:val="800080" w:themeColor="followedHyperlink"/>
      <w:u w:val="single"/>
    </w:rPr>
  </w:style>
  <w:style w:type="character" w:customStyle="1" w:styleId="title-text">
    <w:name w:val="title-text"/>
    <w:basedOn w:val="DefaultParagraphFont"/>
    <w:rsid w:val="00320425"/>
  </w:style>
  <w:style w:type="character" w:customStyle="1" w:styleId="sr-only">
    <w:name w:val="sr-only"/>
    <w:basedOn w:val="DefaultParagraphFont"/>
    <w:rsid w:val="00320425"/>
  </w:style>
  <w:style w:type="character" w:customStyle="1" w:styleId="text">
    <w:name w:val="text"/>
    <w:basedOn w:val="DefaultParagraphFont"/>
    <w:rsid w:val="00320425"/>
  </w:style>
  <w:style w:type="character" w:customStyle="1" w:styleId="author-ref">
    <w:name w:val="author-ref"/>
    <w:basedOn w:val="DefaultParagraphFont"/>
    <w:rsid w:val="00320425"/>
  </w:style>
  <w:style w:type="character" w:customStyle="1" w:styleId="cf01">
    <w:name w:val="cf01"/>
    <w:basedOn w:val="DefaultParagraphFont"/>
    <w:rsid w:val="00EF77A6"/>
    <w:rPr>
      <w:rFonts w:ascii="Segoe UI" w:hAnsi="Segoe UI" w:cs="Segoe UI" w:hint="default"/>
      <w:sz w:val="18"/>
      <w:szCs w:val="18"/>
    </w:rPr>
  </w:style>
  <w:style w:type="character" w:styleId="UnresolvedMention">
    <w:name w:val="Unresolved Mention"/>
    <w:basedOn w:val="DefaultParagraphFont"/>
    <w:uiPriority w:val="99"/>
    <w:semiHidden/>
    <w:unhideWhenUsed/>
    <w:rsid w:val="00677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6354">
      <w:bodyDiv w:val="1"/>
      <w:marLeft w:val="0"/>
      <w:marRight w:val="0"/>
      <w:marTop w:val="0"/>
      <w:marBottom w:val="0"/>
      <w:divBdr>
        <w:top w:val="none" w:sz="0" w:space="0" w:color="auto"/>
        <w:left w:val="none" w:sz="0" w:space="0" w:color="auto"/>
        <w:bottom w:val="none" w:sz="0" w:space="0" w:color="auto"/>
        <w:right w:val="none" w:sz="0" w:space="0" w:color="auto"/>
      </w:divBdr>
    </w:div>
    <w:div w:id="435559602">
      <w:bodyDiv w:val="1"/>
      <w:marLeft w:val="0"/>
      <w:marRight w:val="0"/>
      <w:marTop w:val="0"/>
      <w:marBottom w:val="0"/>
      <w:divBdr>
        <w:top w:val="none" w:sz="0" w:space="0" w:color="auto"/>
        <w:left w:val="none" w:sz="0" w:space="0" w:color="auto"/>
        <w:bottom w:val="none" w:sz="0" w:space="0" w:color="auto"/>
        <w:right w:val="none" w:sz="0" w:space="0" w:color="auto"/>
      </w:divBdr>
      <w:divsChild>
        <w:div w:id="6099963">
          <w:marLeft w:val="0"/>
          <w:marRight w:val="0"/>
          <w:marTop w:val="0"/>
          <w:marBottom w:val="0"/>
          <w:divBdr>
            <w:top w:val="none" w:sz="0" w:space="0" w:color="auto"/>
            <w:left w:val="none" w:sz="0" w:space="0" w:color="auto"/>
            <w:bottom w:val="none" w:sz="0" w:space="0" w:color="auto"/>
            <w:right w:val="none" w:sz="0" w:space="0" w:color="auto"/>
          </w:divBdr>
        </w:div>
        <w:div w:id="547765426">
          <w:marLeft w:val="0"/>
          <w:marRight w:val="0"/>
          <w:marTop w:val="0"/>
          <w:marBottom w:val="0"/>
          <w:divBdr>
            <w:top w:val="none" w:sz="0" w:space="0" w:color="auto"/>
            <w:left w:val="none" w:sz="0" w:space="0" w:color="auto"/>
            <w:bottom w:val="none" w:sz="0" w:space="0" w:color="auto"/>
            <w:right w:val="none" w:sz="0" w:space="0" w:color="auto"/>
          </w:divBdr>
        </w:div>
        <w:div w:id="561598040">
          <w:marLeft w:val="0"/>
          <w:marRight w:val="0"/>
          <w:marTop w:val="0"/>
          <w:marBottom w:val="0"/>
          <w:divBdr>
            <w:top w:val="none" w:sz="0" w:space="0" w:color="auto"/>
            <w:left w:val="none" w:sz="0" w:space="0" w:color="auto"/>
            <w:bottom w:val="none" w:sz="0" w:space="0" w:color="auto"/>
            <w:right w:val="none" w:sz="0" w:space="0" w:color="auto"/>
          </w:divBdr>
        </w:div>
        <w:div w:id="790367783">
          <w:marLeft w:val="0"/>
          <w:marRight w:val="0"/>
          <w:marTop w:val="0"/>
          <w:marBottom w:val="0"/>
          <w:divBdr>
            <w:top w:val="none" w:sz="0" w:space="0" w:color="auto"/>
            <w:left w:val="none" w:sz="0" w:space="0" w:color="auto"/>
            <w:bottom w:val="none" w:sz="0" w:space="0" w:color="auto"/>
            <w:right w:val="none" w:sz="0" w:space="0" w:color="auto"/>
          </w:divBdr>
        </w:div>
        <w:div w:id="1823541558">
          <w:marLeft w:val="0"/>
          <w:marRight w:val="0"/>
          <w:marTop w:val="0"/>
          <w:marBottom w:val="0"/>
          <w:divBdr>
            <w:top w:val="none" w:sz="0" w:space="0" w:color="auto"/>
            <w:left w:val="none" w:sz="0" w:space="0" w:color="auto"/>
            <w:bottom w:val="none" w:sz="0" w:space="0" w:color="auto"/>
            <w:right w:val="none" w:sz="0" w:space="0" w:color="auto"/>
          </w:divBdr>
        </w:div>
        <w:div w:id="1820026858">
          <w:marLeft w:val="0"/>
          <w:marRight w:val="0"/>
          <w:marTop w:val="0"/>
          <w:marBottom w:val="0"/>
          <w:divBdr>
            <w:top w:val="none" w:sz="0" w:space="0" w:color="auto"/>
            <w:left w:val="none" w:sz="0" w:space="0" w:color="auto"/>
            <w:bottom w:val="none" w:sz="0" w:space="0" w:color="auto"/>
            <w:right w:val="none" w:sz="0" w:space="0" w:color="auto"/>
          </w:divBdr>
        </w:div>
      </w:divsChild>
    </w:div>
    <w:div w:id="497424155">
      <w:bodyDiv w:val="1"/>
      <w:marLeft w:val="0"/>
      <w:marRight w:val="0"/>
      <w:marTop w:val="0"/>
      <w:marBottom w:val="0"/>
      <w:divBdr>
        <w:top w:val="none" w:sz="0" w:space="0" w:color="auto"/>
        <w:left w:val="none" w:sz="0" w:space="0" w:color="auto"/>
        <w:bottom w:val="none" w:sz="0" w:space="0" w:color="auto"/>
        <w:right w:val="none" w:sz="0" w:space="0" w:color="auto"/>
      </w:divBdr>
    </w:div>
    <w:div w:id="856191781">
      <w:bodyDiv w:val="1"/>
      <w:marLeft w:val="0"/>
      <w:marRight w:val="0"/>
      <w:marTop w:val="0"/>
      <w:marBottom w:val="0"/>
      <w:divBdr>
        <w:top w:val="none" w:sz="0" w:space="0" w:color="auto"/>
        <w:left w:val="none" w:sz="0" w:space="0" w:color="auto"/>
        <w:bottom w:val="none" w:sz="0" w:space="0" w:color="auto"/>
        <w:right w:val="none" w:sz="0" w:space="0" w:color="auto"/>
      </w:divBdr>
      <w:divsChild>
        <w:div w:id="1250191942">
          <w:marLeft w:val="0"/>
          <w:marRight w:val="0"/>
          <w:marTop w:val="0"/>
          <w:marBottom w:val="120"/>
          <w:divBdr>
            <w:top w:val="none" w:sz="0" w:space="0" w:color="auto"/>
            <w:left w:val="none" w:sz="0" w:space="0" w:color="auto"/>
            <w:bottom w:val="none" w:sz="0" w:space="0" w:color="auto"/>
            <w:right w:val="none" w:sz="0" w:space="0" w:color="auto"/>
          </w:divBdr>
          <w:divsChild>
            <w:div w:id="1635603554">
              <w:marLeft w:val="0"/>
              <w:marRight w:val="0"/>
              <w:marTop w:val="0"/>
              <w:marBottom w:val="0"/>
              <w:divBdr>
                <w:top w:val="none" w:sz="0" w:space="0" w:color="auto"/>
                <w:left w:val="none" w:sz="0" w:space="0" w:color="auto"/>
                <w:bottom w:val="none" w:sz="0" w:space="0" w:color="auto"/>
                <w:right w:val="none" w:sz="0" w:space="0" w:color="auto"/>
              </w:divBdr>
              <w:divsChild>
                <w:div w:id="1794441759">
                  <w:marLeft w:val="0"/>
                  <w:marRight w:val="0"/>
                  <w:marTop w:val="0"/>
                  <w:marBottom w:val="0"/>
                  <w:divBdr>
                    <w:top w:val="none" w:sz="0" w:space="0" w:color="auto"/>
                    <w:left w:val="none" w:sz="0" w:space="0" w:color="auto"/>
                    <w:bottom w:val="none" w:sz="0" w:space="0" w:color="auto"/>
                    <w:right w:val="none" w:sz="0" w:space="0" w:color="auto"/>
                  </w:divBdr>
                  <w:divsChild>
                    <w:div w:id="2136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05284">
      <w:bodyDiv w:val="1"/>
      <w:marLeft w:val="0"/>
      <w:marRight w:val="0"/>
      <w:marTop w:val="0"/>
      <w:marBottom w:val="0"/>
      <w:divBdr>
        <w:top w:val="none" w:sz="0" w:space="0" w:color="auto"/>
        <w:left w:val="none" w:sz="0" w:space="0" w:color="auto"/>
        <w:bottom w:val="none" w:sz="0" w:space="0" w:color="auto"/>
        <w:right w:val="none" w:sz="0" w:space="0" w:color="auto"/>
      </w:divBdr>
      <w:divsChild>
        <w:div w:id="356808110">
          <w:marLeft w:val="0"/>
          <w:marRight w:val="0"/>
          <w:marTop w:val="0"/>
          <w:marBottom w:val="0"/>
          <w:divBdr>
            <w:top w:val="none" w:sz="0" w:space="0" w:color="auto"/>
            <w:left w:val="none" w:sz="0" w:space="0" w:color="auto"/>
            <w:bottom w:val="none" w:sz="0" w:space="0" w:color="auto"/>
            <w:right w:val="none" w:sz="0" w:space="0" w:color="auto"/>
          </w:divBdr>
        </w:div>
        <w:div w:id="1098598662">
          <w:marLeft w:val="0"/>
          <w:marRight w:val="0"/>
          <w:marTop w:val="0"/>
          <w:marBottom w:val="0"/>
          <w:divBdr>
            <w:top w:val="none" w:sz="0" w:space="0" w:color="auto"/>
            <w:left w:val="none" w:sz="0" w:space="0" w:color="auto"/>
            <w:bottom w:val="none" w:sz="0" w:space="0" w:color="auto"/>
            <w:right w:val="none" w:sz="0" w:space="0" w:color="auto"/>
          </w:divBdr>
        </w:div>
        <w:div w:id="2029024266">
          <w:marLeft w:val="0"/>
          <w:marRight w:val="0"/>
          <w:marTop w:val="0"/>
          <w:marBottom w:val="0"/>
          <w:divBdr>
            <w:top w:val="none" w:sz="0" w:space="0" w:color="auto"/>
            <w:left w:val="none" w:sz="0" w:space="0" w:color="auto"/>
            <w:bottom w:val="none" w:sz="0" w:space="0" w:color="auto"/>
            <w:right w:val="none" w:sz="0" w:space="0" w:color="auto"/>
          </w:divBdr>
        </w:div>
      </w:divsChild>
    </w:div>
    <w:div w:id="1169714902">
      <w:bodyDiv w:val="1"/>
      <w:marLeft w:val="0"/>
      <w:marRight w:val="0"/>
      <w:marTop w:val="0"/>
      <w:marBottom w:val="0"/>
      <w:divBdr>
        <w:top w:val="none" w:sz="0" w:space="0" w:color="auto"/>
        <w:left w:val="none" w:sz="0" w:space="0" w:color="auto"/>
        <w:bottom w:val="none" w:sz="0" w:space="0" w:color="auto"/>
        <w:right w:val="none" w:sz="0" w:space="0" w:color="auto"/>
      </w:divBdr>
      <w:divsChild>
        <w:div w:id="454175825">
          <w:marLeft w:val="0"/>
          <w:marRight w:val="0"/>
          <w:marTop w:val="0"/>
          <w:marBottom w:val="120"/>
          <w:divBdr>
            <w:top w:val="none" w:sz="0" w:space="0" w:color="auto"/>
            <w:left w:val="none" w:sz="0" w:space="0" w:color="auto"/>
            <w:bottom w:val="none" w:sz="0" w:space="0" w:color="auto"/>
            <w:right w:val="none" w:sz="0" w:space="0" w:color="auto"/>
          </w:divBdr>
          <w:divsChild>
            <w:div w:id="721094644">
              <w:marLeft w:val="0"/>
              <w:marRight w:val="0"/>
              <w:marTop w:val="0"/>
              <w:marBottom w:val="0"/>
              <w:divBdr>
                <w:top w:val="none" w:sz="0" w:space="0" w:color="auto"/>
                <w:left w:val="none" w:sz="0" w:space="0" w:color="auto"/>
                <w:bottom w:val="none" w:sz="0" w:space="0" w:color="auto"/>
                <w:right w:val="none" w:sz="0" w:space="0" w:color="auto"/>
              </w:divBdr>
              <w:divsChild>
                <w:div w:id="569922066">
                  <w:marLeft w:val="0"/>
                  <w:marRight w:val="0"/>
                  <w:marTop w:val="0"/>
                  <w:marBottom w:val="0"/>
                  <w:divBdr>
                    <w:top w:val="none" w:sz="0" w:space="0" w:color="auto"/>
                    <w:left w:val="none" w:sz="0" w:space="0" w:color="auto"/>
                    <w:bottom w:val="none" w:sz="0" w:space="0" w:color="auto"/>
                    <w:right w:val="none" w:sz="0" w:space="0" w:color="auto"/>
                  </w:divBdr>
                  <w:divsChild>
                    <w:div w:id="12069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37150">
      <w:bodyDiv w:val="1"/>
      <w:marLeft w:val="0"/>
      <w:marRight w:val="0"/>
      <w:marTop w:val="0"/>
      <w:marBottom w:val="0"/>
      <w:divBdr>
        <w:top w:val="none" w:sz="0" w:space="0" w:color="auto"/>
        <w:left w:val="none" w:sz="0" w:space="0" w:color="auto"/>
        <w:bottom w:val="none" w:sz="0" w:space="0" w:color="auto"/>
        <w:right w:val="none" w:sz="0" w:space="0" w:color="auto"/>
      </w:divBdr>
    </w:div>
    <w:div w:id="1338264332">
      <w:bodyDiv w:val="1"/>
      <w:marLeft w:val="0"/>
      <w:marRight w:val="0"/>
      <w:marTop w:val="0"/>
      <w:marBottom w:val="0"/>
      <w:divBdr>
        <w:top w:val="none" w:sz="0" w:space="0" w:color="auto"/>
        <w:left w:val="none" w:sz="0" w:space="0" w:color="auto"/>
        <w:bottom w:val="none" w:sz="0" w:space="0" w:color="auto"/>
        <w:right w:val="none" w:sz="0" w:space="0" w:color="auto"/>
      </w:divBdr>
    </w:div>
    <w:div w:id="1353072046">
      <w:bodyDiv w:val="1"/>
      <w:marLeft w:val="0"/>
      <w:marRight w:val="0"/>
      <w:marTop w:val="0"/>
      <w:marBottom w:val="0"/>
      <w:divBdr>
        <w:top w:val="none" w:sz="0" w:space="0" w:color="auto"/>
        <w:left w:val="none" w:sz="0" w:space="0" w:color="auto"/>
        <w:bottom w:val="none" w:sz="0" w:space="0" w:color="auto"/>
        <w:right w:val="none" w:sz="0" w:space="0" w:color="auto"/>
      </w:divBdr>
    </w:div>
    <w:div w:id="1851488539">
      <w:bodyDiv w:val="1"/>
      <w:marLeft w:val="0"/>
      <w:marRight w:val="0"/>
      <w:marTop w:val="0"/>
      <w:marBottom w:val="0"/>
      <w:divBdr>
        <w:top w:val="none" w:sz="0" w:space="0" w:color="auto"/>
        <w:left w:val="none" w:sz="0" w:space="0" w:color="auto"/>
        <w:bottom w:val="none" w:sz="0" w:space="0" w:color="auto"/>
        <w:right w:val="none" w:sz="0" w:space="0" w:color="auto"/>
      </w:divBdr>
      <w:divsChild>
        <w:div w:id="628363179">
          <w:marLeft w:val="0"/>
          <w:marRight w:val="0"/>
          <w:marTop w:val="0"/>
          <w:marBottom w:val="0"/>
          <w:divBdr>
            <w:top w:val="none" w:sz="0" w:space="0" w:color="auto"/>
            <w:left w:val="none" w:sz="0" w:space="0" w:color="auto"/>
            <w:bottom w:val="none" w:sz="0" w:space="0" w:color="auto"/>
            <w:right w:val="none" w:sz="0" w:space="0" w:color="auto"/>
          </w:divBdr>
        </w:div>
        <w:div w:id="416825738">
          <w:marLeft w:val="0"/>
          <w:marRight w:val="0"/>
          <w:marTop w:val="0"/>
          <w:marBottom w:val="0"/>
          <w:divBdr>
            <w:top w:val="none" w:sz="0" w:space="0" w:color="auto"/>
            <w:left w:val="none" w:sz="0" w:space="0" w:color="auto"/>
            <w:bottom w:val="none" w:sz="0" w:space="0" w:color="auto"/>
            <w:right w:val="none" w:sz="0" w:space="0" w:color="auto"/>
          </w:divBdr>
        </w:div>
        <w:div w:id="1441802598">
          <w:marLeft w:val="0"/>
          <w:marRight w:val="0"/>
          <w:marTop w:val="0"/>
          <w:marBottom w:val="0"/>
          <w:divBdr>
            <w:top w:val="none" w:sz="0" w:space="0" w:color="auto"/>
            <w:left w:val="none" w:sz="0" w:space="0" w:color="auto"/>
            <w:bottom w:val="none" w:sz="0" w:space="0" w:color="auto"/>
            <w:right w:val="none" w:sz="0" w:space="0" w:color="auto"/>
          </w:divBdr>
        </w:div>
        <w:div w:id="1284842588">
          <w:marLeft w:val="0"/>
          <w:marRight w:val="0"/>
          <w:marTop w:val="0"/>
          <w:marBottom w:val="0"/>
          <w:divBdr>
            <w:top w:val="none" w:sz="0" w:space="0" w:color="auto"/>
            <w:left w:val="none" w:sz="0" w:space="0" w:color="auto"/>
            <w:bottom w:val="none" w:sz="0" w:space="0" w:color="auto"/>
            <w:right w:val="none" w:sz="0" w:space="0" w:color="auto"/>
          </w:divBdr>
        </w:div>
        <w:div w:id="1759983497">
          <w:marLeft w:val="0"/>
          <w:marRight w:val="0"/>
          <w:marTop w:val="0"/>
          <w:marBottom w:val="0"/>
          <w:divBdr>
            <w:top w:val="none" w:sz="0" w:space="0" w:color="auto"/>
            <w:left w:val="none" w:sz="0" w:space="0" w:color="auto"/>
            <w:bottom w:val="none" w:sz="0" w:space="0" w:color="auto"/>
            <w:right w:val="none" w:sz="0" w:space="0" w:color="auto"/>
          </w:divBdr>
        </w:div>
        <w:div w:id="484322403">
          <w:marLeft w:val="0"/>
          <w:marRight w:val="0"/>
          <w:marTop w:val="0"/>
          <w:marBottom w:val="0"/>
          <w:divBdr>
            <w:top w:val="none" w:sz="0" w:space="0" w:color="auto"/>
            <w:left w:val="none" w:sz="0" w:space="0" w:color="auto"/>
            <w:bottom w:val="none" w:sz="0" w:space="0" w:color="auto"/>
            <w:right w:val="none" w:sz="0" w:space="0" w:color="auto"/>
          </w:divBdr>
        </w:div>
      </w:divsChild>
    </w:div>
    <w:div w:id="187002181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01/eid2803.211245" TargetMode="External"/><Relationship Id="rId13" Type="http://schemas.openxmlformats.org/officeDocument/2006/relationships/hyperlink" Target="https://www.sciencedirect.com/science/article/pii/S2352771420303086?via%3Dihub"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iencedirect.com/science/article/pii/S2352771420303086?via%3Dihub"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2352771420303086?via%3Dihub" TargetMode="External"/><Relationship Id="rId5" Type="http://schemas.openxmlformats.org/officeDocument/2006/relationships/webSettings" Target="webSettings.xml"/><Relationship Id="rId15" Type="http://schemas.openxmlformats.org/officeDocument/2006/relationships/hyperlink" Target="https://www.oie.int/en/what-we-offer/expertise-network/reference-laboratories/" TargetMode="External"/><Relationship Id="rId23" Type="http://schemas.openxmlformats.org/officeDocument/2006/relationships/theme" Target="theme/theme1.xml"/><Relationship Id="rId10" Type="http://schemas.openxmlformats.org/officeDocument/2006/relationships/hyperlink" Target="https://www.sciencedirect.com/science/article/pii/S2352771420303086?via%3Dihub"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1016/j.ijid.2020.10.041" TargetMode="External"/><Relationship Id="rId14" Type="http://schemas.openxmlformats.org/officeDocument/2006/relationships/hyperlink" Target="https://www.sciencedirect.com/science/article/pii/S2352771420303086?via%3Dihub"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oie.int/en/what-we-offer/expertise-network/reference-laborator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ANUAL96.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6B81D-634C-4591-A5F3-F920F4A0C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MANUAL96.DOT</Template>
  <TotalTime>1</TotalTime>
  <Pages>22</Pages>
  <Words>13774</Words>
  <Characters>75162</Characters>
  <Application>Microsoft Office Word</Application>
  <DocSecurity>0</DocSecurity>
  <PresentationFormat/>
  <Lines>626</Lines>
  <Paragraphs>177</Paragraphs>
  <Slides>0</Slides>
  <Notes>0</Notes>
  <HiddenSlides>0</HiddenSlides>
  <MMClips>0</MMClip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fmd with viaa test incl.</vt:lpstr>
      <vt:lpstr>fmd with viaa test incl.</vt:lpstr>
    </vt:vector>
  </TitlesOfParts>
  <Company>Microsoft</Company>
  <LinksUpToDate>false</LinksUpToDate>
  <CharactersWithSpaces>88759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Nipah and Hendra virus diseases</dc:title>
  <dc:subject>arial/trait</dc:subject>
  <dc:creator>sara</dc:creator>
  <cp:lastModifiedBy>Wattenberg, Jay L - APHIS</cp:lastModifiedBy>
  <cp:revision>3</cp:revision>
  <cp:lastPrinted>2021-09-21T10:33:00Z</cp:lastPrinted>
  <dcterms:created xsi:type="dcterms:W3CDTF">2022-03-21T16:42:00Z</dcterms:created>
  <dcterms:modified xsi:type="dcterms:W3CDTF">2022-03-22T13:15:00Z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