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E7850" w14:textId="3B15C8ED" w:rsidR="00DC70F7" w:rsidRPr="00DC70F7" w:rsidRDefault="00DC70F7" w:rsidP="001F4F68">
      <w:pPr>
        <w:widowControl w:val="0"/>
        <w:autoSpaceDE w:val="0"/>
        <w:autoSpaceDN w:val="0"/>
        <w:spacing w:after="480" w:line="240" w:lineRule="auto"/>
        <w:ind w:left="23"/>
        <w:jc w:val="center"/>
        <w:rPr>
          <w:rFonts w:ascii="Ottawa" w:eastAsia="Arial" w:hAnsi="Ottawa" w:cs="Arial"/>
          <w:b/>
          <w:bCs/>
          <w:color w:val="FF0000"/>
          <w:spacing w:val="57"/>
          <w:sz w:val="24"/>
          <w:szCs w:val="24"/>
        </w:rPr>
      </w:pPr>
      <w:r>
        <w:rPr>
          <w:rFonts w:ascii="Ottawa" w:eastAsia="Arial" w:hAnsi="Ottawa" w:cs="Arial"/>
          <w:b/>
          <w:bCs/>
          <w:color w:val="FF0000"/>
          <w:spacing w:val="57"/>
          <w:sz w:val="24"/>
          <w:szCs w:val="24"/>
        </w:rPr>
        <w:t>USA COMMENTS IN RED FONT</w:t>
      </w:r>
    </w:p>
    <w:p w14:paraId="2A9B1709" w14:textId="5E58576A" w:rsidR="001F4F68" w:rsidRPr="00077355" w:rsidRDefault="001F4F68" w:rsidP="001F4F68">
      <w:pPr>
        <w:widowControl w:val="0"/>
        <w:autoSpaceDE w:val="0"/>
        <w:autoSpaceDN w:val="0"/>
        <w:spacing w:after="480" w:line="240" w:lineRule="auto"/>
        <w:ind w:left="23"/>
        <w:jc w:val="center"/>
        <w:rPr>
          <w:rFonts w:ascii="Ottawa" w:eastAsia="Arial" w:hAnsi="Ottawa" w:cs="Arial"/>
          <w:b/>
          <w:spacing w:val="57"/>
          <w:sz w:val="28"/>
          <w:szCs w:val="28"/>
        </w:rPr>
      </w:pPr>
      <w:r w:rsidRPr="00077355">
        <w:rPr>
          <w:rFonts w:ascii="Ottawa" w:eastAsia="Arial" w:hAnsi="Ottawa" w:cs="Arial"/>
          <w:spacing w:val="57"/>
          <w:sz w:val="24"/>
          <w:szCs w:val="24"/>
        </w:rPr>
        <w:t>CHAPTER 1.3.</w:t>
      </w:r>
      <w:bookmarkStart w:id="0" w:name="A6"/>
      <w:bookmarkEnd w:id="0"/>
      <w:r w:rsidRPr="00077355">
        <w:rPr>
          <w:rFonts w:ascii="Ottawa" w:eastAsia="Arial" w:hAnsi="Ottawa" w:cs="Arial"/>
          <w:spacing w:val="57"/>
          <w:sz w:val="24"/>
          <w:szCs w:val="24"/>
        </w:rPr>
        <w:br/>
      </w:r>
      <w:r w:rsidRPr="00077355">
        <w:rPr>
          <w:rFonts w:ascii="Ottawa" w:eastAsia="Arial" w:hAnsi="Ottawa" w:cs="Arial"/>
          <w:spacing w:val="57"/>
          <w:sz w:val="28"/>
          <w:szCs w:val="28"/>
        </w:rPr>
        <w:br/>
      </w:r>
      <w:r w:rsidRPr="00077355">
        <w:rPr>
          <w:rFonts w:ascii="Ottawa" w:eastAsia="Arial" w:hAnsi="Ottawa" w:cs="Arial"/>
          <w:b/>
          <w:spacing w:val="57"/>
          <w:sz w:val="28"/>
          <w:szCs w:val="28"/>
        </w:rPr>
        <w:t xml:space="preserve">DISEASES LISTED B Y </w:t>
      </w:r>
      <w:bookmarkStart w:id="1" w:name="_bookmark150"/>
      <w:bookmarkEnd w:id="1"/>
      <w:r w:rsidRPr="00077355">
        <w:rPr>
          <w:rFonts w:ascii="Ottawa" w:eastAsia="Arial" w:hAnsi="Ottawa" w:cs="Arial"/>
          <w:b/>
          <w:spacing w:val="57"/>
          <w:sz w:val="28"/>
          <w:szCs w:val="28"/>
        </w:rPr>
        <w:t>THE OIE</w:t>
      </w:r>
    </w:p>
    <w:p w14:paraId="1ACF6B1F" w14:textId="77777777" w:rsidR="001F4F68" w:rsidRPr="00F504DA" w:rsidRDefault="001F4F68" w:rsidP="001F4F68">
      <w:pPr>
        <w:widowControl w:val="0"/>
        <w:autoSpaceDE w:val="0"/>
        <w:autoSpaceDN w:val="0"/>
        <w:spacing w:after="240" w:line="240" w:lineRule="auto"/>
        <w:jc w:val="both"/>
        <w:rPr>
          <w:rFonts w:ascii="Arial" w:eastAsia="Arial" w:hAnsi="Arial" w:cs="Arial"/>
          <w:sz w:val="18"/>
          <w:lang w:val="en-US"/>
        </w:rPr>
      </w:pPr>
      <w:r w:rsidRPr="00F504DA">
        <w:rPr>
          <w:rFonts w:ascii="Arial" w:eastAsia="Arial" w:hAnsi="Arial" w:cs="Arial"/>
          <w:sz w:val="18"/>
          <w:lang w:val="en-US"/>
        </w:rPr>
        <w:t xml:space="preserve">The </w:t>
      </w:r>
      <w:hyperlink w:anchor="_bookmark45" w:history="1">
        <w:r w:rsidRPr="00F504DA">
          <w:rPr>
            <w:rFonts w:ascii="Arial" w:eastAsia="Arial" w:hAnsi="Arial" w:cs="Arial"/>
            <w:i/>
            <w:sz w:val="18"/>
            <w:lang w:val="en-US"/>
          </w:rPr>
          <w:t xml:space="preserve">diseases </w:t>
        </w:r>
      </w:hyperlink>
      <w:r w:rsidRPr="00F504DA">
        <w:rPr>
          <w:rFonts w:ascii="Arial" w:eastAsia="Arial" w:hAnsi="Arial" w:cs="Arial"/>
          <w:sz w:val="18"/>
          <w:lang w:val="en-US"/>
        </w:rPr>
        <w:t xml:space="preserve">in this chapter have been assessed in accordance with Chapter </w:t>
      </w:r>
      <w:hyperlink w:anchor="_bookmark149" w:history="1">
        <w:r w:rsidRPr="00F504DA">
          <w:rPr>
            <w:rFonts w:ascii="Arial" w:eastAsia="Arial" w:hAnsi="Arial" w:cs="Arial"/>
            <w:sz w:val="18"/>
            <w:lang w:val="en-US"/>
          </w:rPr>
          <w:t xml:space="preserve">1.2. </w:t>
        </w:r>
      </w:hyperlink>
      <w:r w:rsidRPr="00F504DA">
        <w:rPr>
          <w:rFonts w:ascii="Arial" w:eastAsia="Arial" w:hAnsi="Arial" w:cs="Arial"/>
          <w:sz w:val="18"/>
          <w:lang w:val="en-US"/>
        </w:rPr>
        <w:t xml:space="preserve">and constitute the OIE list of </w:t>
      </w:r>
      <w:hyperlink w:anchor="_bookmark17" w:history="1">
        <w:r w:rsidRPr="00F504DA">
          <w:rPr>
            <w:rFonts w:ascii="Arial" w:eastAsia="Arial" w:hAnsi="Arial" w:cs="Arial"/>
            <w:i/>
            <w:sz w:val="18"/>
            <w:lang w:val="en-US"/>
          </w:rPr>
          <w:t>aquatic</w:t>
        </w:r>
      </w:hyperlink>
      <w:r w:rsidRPr="00F504DA">
        <w:rPr>
          <w:rFonts w:ascii="Arial" w:eastAsia="Arial" w:hAnsi="Arial" w:cs="Arial"/>
          <w:i/>
          <w:sz w:val="18"/>
          <w:lang w:val="en-US"/>
        </w:rPr>
        <w:t xml:space="preserve"> </w:t>
      </w:r>
      <w:hyperlink w:anchor="_bookmark17" w:history="1">
        <w:r w:rsidRPr="00F504DA">
          <w:rPr>
            <w:rFonts w:ascii="Arial" w:eastAsia="Arial" w:hAnsi="Arial" w:cs="Arial"/>
            <w:i/>
            <w:sz w:val="18"/>
            <w:lang w:val="en-US"/>
          </w:rPr>
          <w:t>animal</w:t>
        </w:r>
      </w:hyperlink>
      <w:r w:rsidRPr="00F504DA">
        <w:rPr>
          <w:rFonts w:ascii="Arial" w:eastAsia="Arial" w:hAnsi="Arial" w:cs="Arial"/>
          <w:i/>
          <w:sz w:val="18"/>
          <w:lang w:val="en-US"/>
        </w:rPr>
        <w:t xml:space="preserve"> </w:t>
      </w:r>
      <w:hyperlink w:anchor="_bookmark45" w:history="1">
        <w:r w:rsidRPr="00F504DA">
          <w:rPr>
            <w:rFonts w:ascii="Arial" w:eastAsia="Arial" w:hAnsi="Arial" w:cs="Arial"/>
            <w:i/>
            <w:sz w:val="18"/>
            <w:lang w:val="en-US"/>
          </w:rPr>
          <w:t>diseases</w:t>
        </w:r>
      </w:hyperlink>
      <w:r w:rsidRPr="00F504DA">
        <w:rPr>
          <w:rFonts w:ascii="Arial" w:eastAsia="Arial" w:hAnsi="Arial" w:cs="Arial"/>
          <w:sz w:val="18"/>
          <w:lang w:val="en-US"/>
        </w:rPr>
        <w:t>.</w:t>
      </w:r>
    </w:p>
    <w:p w14:paraId="224D44A1" w14:textId="77777777" w:rsidR="001F4F68" w:rsidRPr="00F504DA" w:rsidRDefault="001F4F68" w:rsidP="001F4F68">
      <w:pPr>
        <w:widowControl w:val="0"/>
        <w:autoSpaceDE w:val="0"/>
        <w:autoSpaceDN w:val="0"/>
        <w:spacing w:after="240" w:line="240" w:lineRule="auto"/>
        <w:ind w:right="48"/>
        <w:jc w:val="both"/>
        <w:rPr>
          <w:rFonts w:ascii="Arial" w:eastAsia="Arial" w:hAnsi="Arial" w:cs="Arial"/>
          <w:sz w:val="18"/>
          <w:szCs w:val="18"/>
          <w:lang w:val="en-US"/>
        </w:rPr>
      </w:pPr>
      <w:r w:rsidRPr="00F504DA">
        <w:rPr>
          <w:rFonts w:ascii="Arial" w:eastAsia="Arial" w:hAnsi="Arial" w:cs="Arial"/>
          <w:sz w:val="18"/>
          <w:szCs w:val="18"/>
          <w:lang w:val="en-US"/>
        </w:rPr>
        <w:t xml:space="preserve">In case of modifications of this list of </w:t>
      </w:r>
      <w:hyperlink w:anchor="_bookmark17" w:history="1">
        <w:r w:rsidRPr="00F504DA">
          <w:rPr>
            <w:rFonts w:ascii="Arial" w:eastAsia="Arial" w:hAnsi="Arial" w:cs="Arial"/>
            <w:i/>
            <w:sz w:val="18"/>
            <w:szCs w:val="18"/>
            <w:lang w:val="en-US"/>
          </w:rPr>
          <w:t>aquatic animal</w:t>
        </w:r>
      </w:hyperlink>
      <w:r w:rsidRPr="00F504DA">
        <w:rPr>
          <w:rFonts w:ascii="Arial" w:eastAsia="Arial" w:hAnsi="Arial" w:cs="Arial"/>
          <w:i/>
          <w:sz w:val="18"/>
          <w:szCs w:val="18"/>
          <w:lang w:val="en-US"/>
        </w:rPr>
        <w:t xml:space="preserve"> </w:t>
      </w:r>
      <w:hyperlink w:anchor="_bookmark45" w:history="1">
        <w:r w:rsidRPr="00F504DA">
          <w:rPr>
            <w:rFonts w:ascii="Arial" w:eastAsia="Arial" w:hAnsi="Arial" w:cs="Arial"/>
            <w:i/>
            <w:sz w:val="18"/>
            <w:szCs w:val="18"/>
            <w:lang w:val="en-US"/>
          </w:rPr>
          <w:t xml:space="preserve">diseases </w:t>
        </w:r>
      </w:hyperlink>
      <w:r w:rsidRPr="00F504DA">
        <w:rPr>
          <w:rFonts w:ascii="Arial" w:eastAsia="Arial" w:hAnsi="Arial" w:cs="Arial"/>
          <w:sz w:val="18"/>
          <w:szCs w:val="18"/>
          <w:lang w:val="en-US"/>
        </w:rPr>
        <w:t>adopted by the World Assembly of Delegates, the new list comes into force on 1 January of the following year.</w:t>
      </w:r>
    </w:p>
    <w:p w14:paraId="094E8917" w14:textId="77777777" w:rsidR="001F4F68" w:rsidRPr="00F504DA" w:rsidRDefault="001F4F68" w:rsidP="001F4F68">
      <w:pPr>
        <w:widowControl w:val="0"/>
        <w:autoSpaceDE w:val="0"/>
        <w:autoSpaceDN w:val="0"/>
        <w:spacing w:after="240" w:line="240" w:lineRule="auto"/>
        <w:ind w:left="494" w:right="476"/>
        <w:jc w:val="center"/>
        <w:rPr>
          <w:rFonts w:ascii="Ottawa" w:eastAsia="Arial" w:hAnsi="Arial" w:cs="Arial"/>
          <w:sz w:val="19"/>
          <w:lang w:val="en-US"/>
        </w:rPr>
      </w:pPr>
      <w:r w:rsidRPr="00F504DA">
        <w:rPr>
          <w:rFonts w:ascii="Ottawa" w:eastAsia="Arial" w:hAnsi="Arial" w:cs="Arial"/>
          <w:sz w:val="19"/>
          <w:lang w:val="en-US"/>
        </w:rPr>
        <w:t>Article 1.3.1.</w:t>
      </w:r>
    </w:p>
    <w:p w14:paraId="24EDFE77" w14:textId="77777777" w:rsidR="001F4F68" w:rsidRPr="00F504DA" w:rsidRDefault="001F4F68" w:rsidP="001F4F68">
      <w:pPr>
        <w:widowControl w:val="0"/>
        <w:autoSpaceDE w:val="0"/>
        <w:autoSpaceDN w:val="0"/>
        <w:spacing w:after="240" w:line="240" w:lineRule="auto"/>
        <w:rPr>
          <w:rFonts w:ascii="Arial" w:eastAsia="Arial" w:hAnsi="Arial" w:cs="Arial"/>
          <w:sz w:val="18"/>
          <w:szCs w:val="18"/>
          <w:lang w:val="en-US"/>
        </w:rPr>
      </w:pPr>
      <w:r w:rsidRPr="00F504DA">
        <w:rPr>
          <w:rFonts w:ascii="Arial" w:eastAsia="Arial" w:hAnsi="Arial" w:cs="Arial"/>
          <w:sz w:val="18"/>
          <w:szCs w:val="18"/>
          <w:lang w:val="en-US"/>
        </w:rPr>
        <w:t xml:space="preserve">The following </w:t>
      </w:r>
      <w:hyperlink w:anchor="_bookmark45" w:history="1">
        <w:r w:rsidRPr="00F504DA">
          <w:rPr>
            <w:rFonts w:ascii="Arial" w:eastAsia="Arial" w:hAnsi="Arial" w:cs="Arial"/>
            <w:i/>
            <w:sz w:val="18"/>
            <w:szCs w:val="18"/>
            <w:lang w:val="en-US"/>
          </w:rPr>
          <w:t xml:space="preserve">diseases </w:t>
        </w:r>
      </w:hyperlink>
      <w:r w:rsidRPr="00F504DA">
        <w:rPr>
          <w:rFonts w:ascii="Arial" w:eastAsia="Arial" w:hAnsi="Arial" w:cs="Arial"/>
          <w:sz w:val="18"/>
          <w:szCs w:val="18"/>
          <w:lang w:val="en-US"/>
        </w:rPr>
        <w:t>of fish are listed by the OIE:</w:t>
      </w:r>
    </w:p>
    <w:p w14:paraId="5947DD2B"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w:t>
      </w:r>
      <w:r w:rsidRPr="00F504DA">
        <w:rPr>
          <w:rFonts w:ascii="Arial" w:eastAsia="Arial" w:hAnsi="Arial" w:cs="Arial"/>
          <w:spacing w:val="-8"/>
          <w:sz w:val="18"/>
          <w:lang w:val="en-US"/>
        </w:rPr>
        <w:t xml:space="preserve"> </w:t>
      </w:r>
      <w:r w:rsidRPr="00F504DA">
        <w:rPr>
          <w:rFonts w:ascii="Arial" w:eastAsia="Arial" w:hAnsi="Arial" w:cs="Arial"/>
          <w:sz w:val="18"/>
          <w:lang w:val="en-US"/>
        </w:rPr>
        <w:t>with</w:t>
      </w:r>
      <w:r w:rsidRPr="00F504DA">
        <w:rPr>
          <w:rFonts w:ascii="Arial" w:eastAsia="Arial" w:hAnsi="Arial" w:cs="Arial"/>
          <w:spacing w:val="-8"/>
          <w:sz w:val="18"/>
          <w:lang w:val="en-US"/>
        </w:rPr>
        <w:t xml:space="preserve"> </w:t>
      </w:r>
      <w:r w:rsidRPr="00F504DA">
        <w:rPr>
          <w:rFonts w:ascii="Arial" w:eastAsia="Arial" w:hAnsi="Arial" w:cs="Arial"/>
          <w:i/>
          <w:sz w:val="18"/>
          <w:lang w:val="en-US"/>
        </w:rPr>
        <w:t>Aphanomyces</w:t>
      </w:r>
      <w:r w:rsidRPr="00F504DA">
        <w:rPr>
          <w:rFonts w:ascii="Arial" w:eastAsia="Arial" w:hAnsi="Arial" w:cs="Arial"/>
          <w:i/>
          <w:spacing w:val="-9"/>
          <w:sz w:val="18"/>
          <w:lang w:val="en-US"/>
        </w:rPr>
        <w:t xml:space="preserve"> </w:t>
      </w:r>
      <w:proofErr w:type="spellStart"/>
      <w:r w:rsidRPr="00F504DA">
        <w:rPr>
          <w:rFonts w:ascii="Arial" w:eastAsia="Arial" w:hAnsi="Arial" w:cs="Arial"/>
          <w:i/>
          <w:sz w:val="18"/>
          <w:lang w:val="en-US"/>
        </w:rPr>
        <w:t>invadans</w:t>
      </w:r>
      <w:proofErr w:type="spellEnd"/>
      <w:r w:rsidRPr="00F504DA">
        <w:rPr>
          <w:rFonts w:ascii="Arial" w:eastAsia="Arial" w:hAnsi="Arial" w:cs="Arial"/>
          <w:i/>
          <w:spacing w:val="-8"/>
          <w:sz w:val="18"/>
          <w:lang w:val="en-US"/>
        </w:rPr>
        <w:t xml:space="preserve"> </w:t>
      </w:r>
      <w:r w:rsidRPr="00F504DA">
        <w:rPr>
          <w:rFonts w:ascii="Arial" w:eastAsia="Arial" w:hAnsi="Arial" w:cs="Arial"/>
          <w:sz w:val="18"/>
          <w:lang w:val="en-US"/>
        </w:rPr>
        <w:t>(epizootic</w:t>
      </w:r>
      <w:r w:rsidRPr="00F504DA">
        <w:rPr>
          <w:rFonts w:ascii="Arial" w:eastAsia="Arial" w:hAnsi="Arial" w:cs="Arial"/>
          <w:spacing w:val="-7"/>
          <w:sz w:val="18"/>
          <w:lang w:val="en-US"/>
        </w:rPr>
        <w:t xml:space="preserve"> </w:t>
      </w:r>
      <w:r w:rsidRPr="00F504DA">
        <w:rPr>
          <w:rFonts w:ascii="Arial" w:eastAsia="Arial" w:hAnsi="Arial" w:cs="Arial"/>
          <w:sz w:val="18"/>
          <w:lang w:val="en-US"/>
        </w:rPr>
        <w:t>ulcerative</w:t>
      </w:r>
      <w:r w:rsidRPr="00F504DA">
        <w:rPr>
          <w:rFonts w:ascii="Arial" w:eastAsia="Arial" w:hAnsi="Arial" w:cs="Arial"/>
          <w:spacing w:val="-8"/>
          <w:sz w:val="18"/>
          <w:lang w:val="en-US"/>
        </w:rPr>
        <w:t xml:space="preserve"> </w:t>
      </w:r>
      <w:r w:rsidRPr="00F504DA">
        <w:rPr>
          <w:rFonts w:ascii="Arial" w:eastAsia="Arial" w:hAnsi="Arial" w:cs="Arial"/>
          <w:sz w:val="18"/>
          <w:lang w:val="en-US"/>
        </w:rPr>
        <w:t>syndrome)</w:t>
      </w:r>
    </w:p>
    <w:p w14:paraId="34FC8E78"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 xml:space="preserve">Infection with epizootic </w:t>
      </w:r>
      <w:proofErr w:type="spellStart"/>
      <w:r w:rsidRPr="00F504DA">
        <w:rPr>
          <w:rFonts w:ascii="Arial" w:eastAsia="Arial" w:hAnsi="Arial" w:cs="Arial"/>
          <w:sz w:val="18"/>
          <w:lang w:val="en-US"/>
        </w:rPr>
        <w:t>haematopoietic</w:t>
      </w:r>
      <w:proofErr w:type="spellEnd"/>
      <w:r w:rsidRPr="00F504DA">
        <w:rPr>
          <w:rFonts w:ascii="Arial" w:eastAsia="Arial" w:hAnsi="Arial" w:cs="Arial"/>
          <w:sz w:val="18"/>
          <w:lang w:val="en-US"/>
        </w:rPr>
        <w:t xml:space="preserve"> necrosis</w:t>
      </w:r>
      <w:r w:rsidRPr="00F504DA">
        <w:rPr>
          <w:rFonts w:ascii="Arial" w:eastAsia="Arial" w:hAnsi="Arial" w:cs="Arial"/>
          <w:spacing w:val="-34"/>
          <w:sz w:val="18"/>
          <w:lang w:val="en-US"/>
        </w:rPr>
        <w:t xml:space="preserve"> </w:t>
      </w:r>
      <w:r w:rsidRPr="00F504DA">
        <w:rPr>
          <w:rFonts w:ascii="Arial" w:eastAsia="Arial" w:hAnsi="Arial" w:cs="Arial"/>
          <w:sz w:val="18"/>
          <w:lang w:val="en-US"/>
        </w:rPr>
        <w:t>virus</w:t>
      </w:r>
    </w:p>
    <w:p w14:paraId="57F24EE2"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i/>
          <w:sz w:val="18"/>
          <w:lang w:val="en-US"/>
        </w:rPr>
      </w:pPr>
      <w:r w:rsidRPr="00F504DA">
        <w:rPr>
          <w:rFonts w:ascii="Arial" w:eastAsia="Arial" w:hAnsi="Arial" w:cs="Arial"/>
          <w:sz w:val="18"/>
          <w:lang w:val="en-US"/>
        </w:rPr>
        <w:t xml:space="preserve">Infection with </w:t>
      </w:r>
      <w:proofErr w:type="spellStart"/>
      <w:r w:rsidRPr="00F504DA">
        <w:rPr>
          <w:rFonts w:ascii="Arial" w:eastAsia="Arial" w:hAnsi="Arial" w:cs="Arial"/>
          <w:i/>
          <w:sz w:val="18"/>
          <w:lang w:val="en-US"/>
        </w:rPr>
        <w:t>Gyrodactylus</w:t>
      </w:r>
      <w:proofErr w:type="spellEnd"/>
      <w:r w:rsidRPr="00F504DA">
        <w:rPr>
          <w:rFonts w:ascii="Arial" w:eastAsia="Arial" w:hAnsi="Arial" w:cs="Arial"/>
          <w:i/>
          <w:spacing w:val="-18"/>
          <w:sz w:val="18"/>
          <w:lang w:val="en-US"/>
        </w:rPr>
        <w:t xml:space="preserve"> </w:t>
      </w:r>
      <w:proofErr w:type="spellStart"/>
      <w:r w:rsidRPr="00F504DA">
        <w:rPr>
          <w:rFonts w:ascii="Arial" w:eastAsia="Arial" w:hAnsi="Arial" w:cs="Arial"/>
          <w:i/>
          <w:sz w:val="18"/>
          <w:lang w:val="en-US"/>
        </w:rPr>
        <w:t>salaris</w:t>
      </w:r>
      <w:proofErr w:type="spellEnd"/>
    </w:p>
    <w:p w14:paraId="05C92446"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w:t>
      </w:r>
      <w:r w:rsidRPr="00F504DA">
        <w:rPr>
          <w:rFonts w:ascii="Arial" w:eastAsia="Arial" w:hAnsi="Arial" w:cs="Arial"/>
          <w:spacing w:val="-8"/>
          <w:sz w:val="18"/>
          <w:lang w:val="en-US"/>
        </w:rPr>
        <w:t xml:space="preserve"> </w:t>
      </w:r>
      <w:r w:rsidRPr="00F504DA">
        <w:rPr>
          <w:rFonts w:ascii="Arial" w:eastAsia="Arial" w:hAnsi="Arial" w:cs="Arial"/>
          <w:sz w:val="18"/>
          <w:lang w:val="en-US"/>
        </w:rPr>
        <w:t>with</w:t>
      </w:r>
      <w:r w:rsidRPr="00F504DA">
        <w:rPr>
          <w:rFonts w:ascii="Arial" w:eastAsia="Arial" w:hAnsi="Arial" w:cs="Arial"/>
          <w:spacing w:val="-8"/>
          <w:sz w:val="18"/>
          <w:lang w:val="en-US"/>
        </w:rPr>
        <w:t xml:space="preserve"> </w:t>
      </w:r>
      <w:r w:rsidRPr="00F504DA">
        <w:rPr>
          <w:rFonts w:ascii="Arial" w:eastAsia="Arial" w:hAnsi="Arial" w:cs="Arial"/>
          <w:sz w:val="18"/>
          <w:lang w:val="en-US"/>
        </w:rPr>
        <w:t>HPR-deleted</w:t>
      </w:r>
      <w:r w:rsidRPr="00F504DA">
        <w:rPr>
          <w:rFonts w:ascii="Arial" w:eastAsia="Arial" w:hAnsi="Arial" w:cs="Arial"/>
          <w:spacing w:val="-8"/>
          <w:sz w:val="18"/>
          <w:lang w:val="en-US"/>
        </w:rPr>
        <w:t xml:space="preserve"> </w:t>
      </w:r>
      <w:r w:rsidRPr="00F504DA">
        <w:rPr>
          <w:rFonts w:ascii="Arial" w:eastAsia="Arial" w:hAnsi="Arial" w:cs="Arial"/>
          <w:sz w:val="18"/>
          <w:lang w:val="en-US"/>
        </w:rPr>
        <w:t>or</w:t>
      </w:r>
      <w:r w:rsidRPr="00F504DA">
        <w:rPr>
          <w:rFonts w:ascii="Arial" w:eastAsia="Arial" w:hAnsi="Arial" w:cs="Arial"/>
          <w:spacing w:val="-6"/>
          <w:sz w:val="18"/>
          <w:lang w:val="en-US"/>
        </w:rPr>
        <w:t xml:space="preserve"> </w:t>
      </w:r>
      <w:r w:rsidRPr="00F504DA">
        <w:rPr>
          <w:rFonts w:ascii="Arial" w:eastAsia="Arial" w:hAnsi="Arial" w:cs="Arial"/>
          <w:sz w:val="18"/>
          <w:lang w:val="en-US"/>
        </w:rPr>
        <w:t>HPR0</w:t>
      </w:r>
      <w:r w:rsidRPr="00F504DA">
        <w:rPr>
          <w:rFonts w:ascii="Arial" w:eastAsia="Arial" w:hAnsi="Arial" w:cs="Arial"/>
          <w:spacing w:val="-8"/>
          <w:sz w:val="18"/>
          <w:lang w:val="en-US"/>
        </w:rPr>
        <w:t xml:space="preserve"> </w:t>
      </w:r>
      <w:r w:rsidRPr="00F504DA">
        <w:rPr>
          <w:rFonts w:ascii="Arial" w:eastAsia="Arial" w:hAnsi="Arial" w:cs="Arial"/>
          <w:sz w:val="18"/>
          <w:lang w:val="en-US"/>
        </w:rPr>
        <w:t>infectious</w:t>
      </w:r>
      <w:r w:rsidRPr="00F504DA">
        <w:rPr>
          <w:rFonts w:ascii="Arial" w:eastAsia="Arial" w:hAnsi="Arial" w:cs="Arial"/>
          <w:spacing w:val="-3"/>
          <w:sz w:val="18"/>
          <w:lang w:val="en-US"/>
        </w:rPr>
        <w:t xml:space="preserve"> </w:t>
      </w:r>
      <w:r w:rsidRPr="00F504DA">
        <w:rPr>
          <w:rFonts w:ascii="Arial" w:eastAsia="Arial" w:hAnsi="Arial" w:cs="Arial"/>
          <w:sz w:val="18"/>
          <w:lang w:val="en-US"/>
        </w:rPr>
        <w:t>salmon</w:t>
      </w:r>
      <w:r w:rsidRPr="00F504DA">
        <w:rPr>
          <w:rFonts w:ascii="Arial" w:eastAsia="Arial" w:hAnsi="Arial" w:cs="Arial"/>
          <w:spacing w:val="-3"/>
          <w:sz w:val="18"/>
          <w:lang w:val="en-US"/>
        </w:rPr>
        <w:t xml:space="preserve"> </w:t>
      </w:r>
      <w:proofErr w:type="spellStart"/>
      <w:r w:rsidRPr="00F504DA">
        <w:rPr>
          <w:rFonts w:ascii="Arial" w:eastAsia="Arial" w:hAnsi="Arial" w:cs="Arial"/>
          <w:sz w:val="18"/>
          <w:lang w:val="en-US"/>
        </w:rPr>
        <w:t>anaemia</w:t>
      </w:r>
      <w:proofErr w:type="spellEnd"/>
      <w:r w:rsidRPr="00F504DA">
        <w:rPr>
          <w:rFonts w:ascii="Arial" w:eastAsia="Arial" w:hAnsi="Arial" w:cs="Arial"/>
          <w:spacing w:val="-3"/>
          <w:sz w:val="18"/>
          <w:lang w:val="en-US"/>
        </w:rPr>
        <w:t xml:space="preserve"> </w:t>
      </w:r>
      <w:r w:rsidRPr="00F504DA">
        <w:rPr>
          <w:rFonts w:ascii="Arial" w:eastAsia="Arial" w:hAnsi="Arial" w:cs="Arial"/>
          <w:sz w:val="18"/>
          <w:lang w:val="en-US"/>
        </w:rPr>
        <w:t>virus</w:t>
      </w:r>
    </w:p>
    <w:p w14:paraId="108141B0"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 xml:space="preserve">Infection with infectious </w:t>
      </w:r>
      <w:proofErr w:type="spellStart"/>
      <w:r w:rsidRPr="00F504DA">
        <w:rPr>
          <w:rFonts w:ascii="Arial" w:eastAsia="Arial" w:hAnsi="Arial" w:cs="Arial"/>
          <w:sz w:val="18"/>
          <w:lang w:val="en-US"/>
        </w:rPr>
        <w:t>haematopoietic</w:t>
      </w:r>
      <w:proofErr w:type="spellEnd"/>
      <w:r w:rsidRPr="00F504DA">
        <w:rPr>
          <w:rFonts w:ascii="Arial" w:eastAsia="Arial" w:hAnsi="Arial" w:cs="Arial"/>
          <w:sz w:val="18"/>
          <w:lang w:val="en-US"/>
        </w:rPr>
        <w:t xml:space="preserve"> necrosis</w:t>
      </w:r>
      <w:r w:rsidRPr="00F504DA">
        <w:rPr>
          <w:rFonts w:ascii="Arial" w:eastAsia="Arial" w:hAnsi="Arial" w:cs="Arial"/>
          <w:spacing w:val="-36"/>
          <w:sz w:val="18"/>
          <w:lang w:val="en-US"/>
        </w:rPr>
        <w:t xml:space="preserve"> </w:t>
      </w:r>
      <w:r w:rsidRPr="00F504DA">
        <w:rPr>
          <w:rFonts w:ascii="Arial" w:eastAsia="Arial" w:hAnsi="Arial" w:cs="Arial"/>
          <w:sz w:val="18"/>
          <w:lang w:val="en-US"/>
        </w:rPr>
        <w:t>virus</w:t>
      </w:r>
    </w:p>
    <w:p w14:paraId="49C1AF84"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 with koi</w:t>
      </w:r>
      <w:r w:rsidRPr="00F504DA">
        <w:rPr>
          <w:rFonts w:ascii="Arial" w:eastAsia="Arial" w:hAnsi="Arial" w:cs="Arial"/>
          <w:spacing w:val="-19"/>
          <w:sz w:val="18"/>
          <w:lang w:val="en-US"/>
        </w:rPr>
        <w:t xml:space="preserve"> </w:t>
      </w:r>
      <w:r w:rsidRPr="00F504DA">
        <w:rPr>
          <w:rFonts w:ascii="Arial" w:eastAsia="Arial" w:hAnsi="Arial" w:cs="Arial"/>
          <w:sz w:val="18"/>
          <w:lang w:val="en-US"/>
        </w:rPr>
        <w:t>herpesvirus</w:t>
      </w:r>
    </w:p>
    <w:p w14:paraId="267725BC"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 with red sea bream</w:t>
      </w:r>
      <w:r w:rsidRPr="00F504DA">
        <w:rPr>
          <w:rFonts w:ascii="Arial" w:eastAsia="Arial" w:hAnsi="Arial" w:cs="Arial"/>
          <w:spacing w:val="-24"/>
          <w:sz w:val="18"/>
          <w:lang w:val="en-US"/>
        </w:rPr>
        <w:t xml:space="preserve"> </w:t>
      </w:r>
      <w:r w:rsidRPr="00F504DA">
        <w:rPr>
          <w:rFonts w:ascii="Arial" w:eastAsia="Arial" w:hAnsi="Arial" w:cs="Arial"/>
          <w:sz w:val="18"/>
          <w:lang w:val="en-US"/>
        </w:rPr>
        <w:t>iridovirus</w:t>
      </w:r>
    </w:p>
    <w:p w14:paraId="43EF5B6A"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 with salmonid</w:t>
      </w:r>
      <w:r w:rsidRPr="00F504DA">
        <w:rPr>
          <w:rFonts w:ascii="Arial" w:eastAsia="Arial" w:hAnsi="Arial" w:cs="Arial"/>
          <w:spacing w:val="-23"/>
          <w:sz w:val="18"/>
          <w:lang w:val="en-US"/>
        </w:rPr>
        <w:t xml:space="preserve"> </w:t>
      </w:r>
      <w:r w:rsidRPr="00F504DA">
        <w:rPr>
          <w:rFonts w:ascii="Arial" w:eastAsia="Arial" w:hAnsi="Arial" w:cs="Arial"/>
          <w:sz w:val="18"/>
          <w:lang w:val="en-US"/>
        </w:rPr>
        <w:t>alphavirus</w:t>
      </w:r>
    </w:p>
    <w:p w14:paraId="5092BB3D"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Infection with spring viraemia of carp</w:t>
      </w:r>
      <w:r w:rsidRPr="00F504DA">
        <w:rPr>
          <w:rFonts w:ascii="Arial" w:eastAsia="Arial" w:hAnsi="Arial" w:cs="Arial"/>
          <w:spacing w:val="-24"/>
          <w:sz w:val="18"/>
          <w:lang w:val="en-US"/>
        </w:rPr>
        <w:t xml:space="preserve"> </w:t>
      </w:r>
      <w:r w:rsidRPr="00F504DA">
        <w:rPr>
          <w:rFonts w:ascii="Arial" w:eastAsia="Arial" w:hAnsi="Arial" w:cs="Arial"/>
          <w:sz w:val="18"/>
          <w:lang w:val="en-US"/>
        </w:rPr>
        <w:t>virus</w:t>
      </w:r>
    </w:p>
    <w:p w14:paraId="2825E2D0"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u w:val="double"/>
          <w:lang w:val="en-US"/>
        </w:rPr>
      </w:pPr>
      <w:r w:rsidRPr="00F504DA">
        <w:rPr>
          <w:rFonts w:ascii="Arial" w:eastAsia="Arial" w:hAnsi="Arial" w:cs="Arial"/>
          <w:sz w:val="18"/>
          <w:u w:val="double"/>
          <w:lang w:val="en-US"/>
        </w:rPr>
        <w:t>Infection with tilapia lake virus</w:t>
      </w:r>
    </w:p>
    <w:p w14:paraId="507AFC42" w14:textId="77777777" w:rsidR="001F4F68" w:rsidRPr="00F504DA" w:rsidRDefault="001F4F68" w:rsidP="001F4F68">
      <w:pPr>
        <w:widowControl w:val="0"/>
        <w:numPr>
          <w:ilvl w:val="0"/>
          <w:numId w:val="1"/>
        </w:numPr>
        <w:autoSpaceDE w:val="0"/>
        <w:autoSpaceDN w:val="0"/>
        <w:spacing w:after="240" w:line="240" w:lineRule="auto"/>
        <w:ind w:left="426"/>
        <w:rPr>
          <w:rFonts w:ascii="Arial" w:eastAsia="Arial" w:hAnsi="Arial" w:cs="Arial"/>
          <w:sz w:val="18"/>
          <w:lang w:val="en-US"/>
        </w:rPr>
      </w:pPr>
      <w:r w:rsidRPr="00F504DA">
        <w:rPr>
          <w:rFonts w:ascii="Arial" w:eastAsia="Arial" w:hAnsi="Arial" w:cs="Arial"/>
          <w:sz w:val="18"/>
          <w:lang w:val="en-US"/>
        </w:rPr>
        <w:t xml:space="preserve">Infection with viral </w:t>
      </w:r>
      <w:proofErr w:type="spellStart"/>
      <w:r w:rsidRPr="00F504DA">
        <w:rPr>
          <w:rFonts w:ascii="Arial" w:eastAsia="Arial" w:hAnsi="Arial" w:cs="Arial"/>
          <w:sz w:val="18"/>
          <w:lang w:val="en-US"/>
        </w:rPr>
        <w:t>haemorrhagic</w:t>
      </w:r>
      <w:proofErr w:type="spellEnd"/>
      <w:r w:rsidRPr="00F504DA">
        <w:rPr>
          <w:rFonts w:ascii="Arial" w:eastAsia="Arial" w:hAnsi="Arial" w:cs="Arial"/>
          <w:sz w:val="18"/>
          <w:lang w:val="en-US"/>
        </w:rPr>
        <w:t xml:space="preserve"> </w:t>
      </w:r>
      <w:proofErr w:type="spellStart"/>
      <w:r w:rsidRPr="00F504DA">
        <w:rPr>
          <w:rFonts w:ascii="Arial" w:eastAsia="Arial" w:hAnsi="Arial" w:cs="Arial"/>
          <w:sz w:val="18"/>
          <w:lang w:val="en-US"/>
        </w:rPr>
        <w:t>septicaemia</w:t>
      </w:r>
      <w:proofErr w:type="spellEnd"/>
      <w:r w:rsidRPr="00F504DA">
        <w:rPr>
          <w:rFonts w:ascii="Arial" w:eastAsia="Arial" w:hAnsi="Arial" w:cs="Arial"/>
          <w:spacing w:val="-32"/>
          <w:sz w:val="18"/>
          <w:lang w:val="en-US"/>
        </w:rPr>
        <w:t xml:space="preserve"> </w:t>
      </w:r>
      <w:r w:rsidRPr="00F504DA">
        <w:rPr>
          <w:rFonts w:ascii="Arial" w:eastAsia="Arial" w:hAnsi="Arial" w:cs="Arial"/>
          <w:sz w:val="18"/>
          <w:lang w:val="en-US"/>
        </w:rPr>
        <w:t>virus.</w:t>
      </w:r>
    </w:p>
    <w:p w14:paraId="192C60BF" w14:textId="77777777" w:rsidR="001F4F68" w:rsidRPr="008D70A7" w:rsidRDefault="001F4F68" w:rsidP="001F4F68">
      <w:pPr>
        <w:widowControl w:val="0"/>
        <w:autoSpaceDE w:val="0"/>
        <w:autoSpaceDN w:val="0"/>
        <w:spacing w:before="240" w:after="240" w:line="240" w:lineRule="auto"/>
        <w:jc w:val="center"/>
        <w:rPr>
          <w:rFonts w:ascii="Ottawa" w:eastAsia="Arial" w:hAnsi="Ottawa" w:cs="Arial"/>
          <w:sz w:val="18"/>
          <w:szCs w:val="18"/>
          <w:lang w:val="en-GB"/>
        </w:rPr>
      </w:pPr>
      <w:r w:rsidRPr="008D70A7">
        <w:rPr>
          <w:rFonts w:ascii="Ottawa" w:eastAsia="Arial" w:hAnsi="Ottawa" w:cs="Arial"/>
          <w:sz w:val="18"/>
          <w:szCs w:val="18"/>
          <w:lang w:val="en-GB"/>
        </w:rPr>
        <w:t>[…]</w:t>
      </w:r>
    </w:p>
    <w:p w14:paraId="37BD2D1D" w14:textId="77777777" w:rsidR="00EF0300" w:rsidRPr="00EF0300" w:rsidRDefault="00EF0300" w:rsidP="00EF0300">
      <w:pPr>
        <w:spacing w:after="360"/>
        <w:jc w:val="center"/>
        <w:rPr>
          <w:rFonts w:ascii="Arial" w:hAnsi="Arial" w:cs="Arial"/>
          <w:b/>
          <w:i/>
          <w:caps/>
          <w:sz w:val="20"/>
          <w:szCs w:val="20"/>
        </w:rPr>
      </w:pPr>
      <w:r w:rsidRPr="00EF0300">
        <w:rPr>
          <w:rFonts w:ascii="Arial" w:hAnsi="Arial" w:cs="Arial"/>
          <w:b/>
          <w:caps/>
          <w:sz w:val="20"/>
          <w:szCs w:val="20"/>
        </w:rPr>
        <w:t>Assessment for listing infection with Tilapia lake virus (</w:t>
      </w:r>
      <w:proofErr w:type="spellStart"/>
      <w:r w:rsidRPr="00EF0300">
        <w:rPr>
          <w:rFonts w:ascii="Arial" w:hAnsi="Arial" w:cs="Arial"/>
          <w:b/>
          <w:caps/>
          <w:sz w:val="20"/>
          <w:szCs w:val="20"/>
        </w:rPr>
        <w:t>T</w:t>
      </w:r>
      <w:r w:rsidRPr="00EF0300">
        <w:rPr>
          <w:rFonts w:ascii="Arial" w:hAnsi="Arial" w:cs="Arial"/>
          <w:b/>
          <w:sz w:val="20"/>
          <w:szCs w:val="20"/>
        </w:rPr>
        <w:t>i</w:t>
      </w:r>
      <w:r w:rsidRPr="00EF0300">
        <w:rPr>
          <w:rFonts w:ascii="Arial" w:hAnsi="Arial" w:cs="Arial"/>
          <w:b/>
          <w:caps/>
          <w:sz w:val="20"/>
          <w:szCs w:val="20"/>
        </w:rPr>
        <w:t>LV</w:t>
      </w:r>
      <w:proofErr w:type="spellEnd"/>
      <w:r w:rsidRPr="00EF0300">
        <w:rPr>
          <w:rFonts w:ascii="Arial" w:hAnsi="Arial" w:cs="Arial"/>
          <w:b/>
          <w:caps/>
          <w:sz w:val="20"/>
          <w:szCs w:val="20"/>
        </w:rPr>
        <w:t>)</w:t>
      </w:r>
      <w:r w:rsidRPr="00EF0300">
        <w:rPr>
          <w:rFonts w:ascii="Arial" w:hAnsi="Arial" w:cs="Arial"/>
          <w:b/>
          <w:caps/>
          <w:sz w:val="20"/>
          <w:szCs w:val="20"/>
        </w:rPr>
        <w:br/>
        <w:t xml:space="preserve">in the </w:t>
      </w:r>
      <w:r w:rsidRPr="00EF0300">
        <w:rPr>
          <w:rFonts w:ascii="Arial" w:hAnsi="Arial" w:cs="Arial"/>
          <w:b/>
          <w:i/>
          <w:caps/>
          <w:sz w:val="20"/>
          <w:szCs w:val="20"/>
        </w:rPr>
        <w:t>Aquatic Code</w:t>
      </w:r>
      <w:bookmarkStart w:id="2" w:name="ATiLV"/>
      <w:bookmarkEnd w:id="2"/>
    </w:p>
    <w:p w14:paraId="6F787CD6" w14:textId="77777777" w:rsidR="00EF0300" w:rsidRPr="00EF0300" w:rsidRDefault="00EF0300" w:rsidP="00EF030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b/>
          <w:sz w:val="20"/>
          <w:szCs w:val="20"/>
        </w:rPr>
      </w:pPr>
      <w:r w:rsidRPr="00EF0300">
        <w:rPr>
          <w:rFonts w:ascii="Times New Roman" w:hAnsi="Times New Roman" w:cs="Times New Roman"/>
          <w:b/>
          <w:sz w:val="20"/>
          <w:szCs w:val="20"/>
        </w:rPr>
        <w:t>Overall assessment</w:t>
      </w:r>
    </w:p>
    <w:p w14:paraId="7C5A0CA2" w14:textId="77777777" w:rsidR="00EF0300" w:rsidRPr="00EF0300" w:rsidRDefault="00EF0300" w:rsidP="00EF0300">
      <w:pPr>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The OIE Aquatic Animal Health Standards Commission assessed infection with tilapia lake virus (</w:t>
      </w:r>
      <w:proofErr w:type="spellStart"/>
      <w:r w:rsidRPr="00EF0300">
        <w:rPr>
          <w:rFonts w:ascii="Times New Roman" w:hAnsi="Times New Roman" w:cs="Times New Roman"/>
          <w:sz w:val="20"/>
          <w:szCs w:val="20"/>
        </w:rPr>
        <w:t>TiLV</w:t>
      </w:r>
      <w:proofErr w:type="spellEnd"/>
      <w:r w:rsidRPr="00EF0300">
        <w:rPr>
          <w:rFonts w:ascii="Times New Roman" w:hAnsi="Times New Roman" w:cs="Times New Roman"/>
          <w:sz w:val="20"/>
          <w:szCs w:val="20"/>
        </w:rPr>
        <w:t xml:space="preserve">) against the criteria for listing aquatic animal diseases in Article 1.2.2. of the </w:t>
      </w:r>
      <w:r w:rsidRPr="00EF0300">
        <w:rPr>
          <w:rFonts w:ascii="Times New Roman" w:hAnsi="Times New Roman" w:cs="Times New Roman"/>
          <w:i/>
          <w:sz w:val="20"/>
          <w:szCs w:val="20"/>
        </w:rPr>
        <w:t xml:space="preserve">Aquatic Code </w:t>
      </w:r>
      <w:r w:rsidRPr="00EF0300">
        <w:rPr>
          <w:rFonts w:ascii="Times New Roman" w:hAnsi="Times New Roman" w:cs="Times New Roman"/>
          <w:sz w:val="20"/>
          <w:szCs w:val="20"/>
        </w:rPr>
        <w:t xml:space="preserve">(see Table 1 below). </w:t>
      </w:r>
    </w:p>
    <w:p w14:paraId="25A39C76" w14:textId="77777777" w:rsidR="00EF0300" w:rsidRPr="00EF0300" w:rsidRDefault="00EF0300" w:rsidP="00EF0300">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b/>
          <w:sz w:val="20"/>
          <w:szCs w:val="20"/>
        </w:rPr>
        <w:t>Table 1.</w:t>
      </w:r>
      <w:r w:rsidRPr="00EF0300">
        <w:rPr>
          <w:rFonts w:ascii="Times New Roman" w:hAnsi="Times New Roman" w:cs="Times New Roman"/>
          <w:sz w:val="20"/>
          <w:szCs w:val="20"/>
        </w:rPr>
        <w:t xml:space="preserve"> Summary of assessment of infection with </w:t>
      </w:r>
      <w:proofErr w:type="spellStart"/>
      <w:r w:rsidRPr="00EF0300">
        <w:rPr>
          <w:rFonts w:ascii="Times New Roman" w:hAnsi="Times New Roman" w:cs="Times New Roman"/>
          <w:sz w:val="20"/>
          <w:szCs w:val="20"/>
        </w:rPr>
        <w:t>TiLV</w:t>
      </w:r>
      <w:proofErr w:type="spellEnd"/>
      <w:r w:rsidRPr="00EF0300">
        <w:rPr>
          <w:rFonts w:ascii="Times New Roman" w:hAnsi="Times New Roman" w:cs="Times New Roman"/>
          <w:sz w:val="20"/>
          <w:szCs w:val="20"/>
        </w:rPr>
        <w:t xml:space="preserve"> </w:t>
      </w:r>
    </w:p>
    <w:tbl>
      <w:tblPr>
        <w:tblW w:w="9088" w:type="dxa"/>
        <w:tblInd w:w="79" w:type="dxa"/>
        <w:tblCellMar>
          <w:left w:w="70" w:type="dxa"/>
          <w:right w:w="70" w:type="dxa"/>
        </w:tblCellMar>
        <w:tblLook w:val="0000" w:firstRow="0" w:lastRow="0" w:firstColumn="0" w:lastColumn="0" w:noHBand="0" w:noVBand="0"/>
      </w:tblPr>
      <w:tblGrid>
        <w:gridCol w:w="2288"/>
        <w:gridCol w:w="338"/>
        <w:gridCol w:w="338"/>
        <w:gridCol w:w="338"/>
        <w:gridCol w:w="565"/>
        <w:gridCol w:w="451"/>
        <w:gridCol w:w="436"/>
        <w:gridCol w:w="4334"/>
      </w:tblGrid>
      <w:tr w:rsidR="00EF0300" w:rsidRPr="00EF0300" w14:paraId="264956DC" w14:textId="77777777" w:rsidTr="005D5F69">
        <w:trPr>
          <w:cantSplit/>
          <w:trHeight w:val="258"/>
        </w:trPr>
        <w:tc>
          <w:tcPr>
            <w:tcW w:w="0" w:type="auto"/>
            <w:vMerge w:val="restart"/>
            <w:tcBorders>
              <w:top w:val="single" w:sz="3" w:space="0" w:color="000000"/>
              <w:left w:val="single" w:sz="3" w:space="0" w:color="000000"/>
              <w:bottom w:val="single" w:sz="3" w:space="0" w:color="000000"/>
              <w:right w:val="single" w:sz="3" w:space="0" w:color="000000"/>
            </w:tcBorders>
            <w:tcMar>
              <w:left w:w="79" w:type="dxa"/>
              <w:right w:w="70" w:type="dxa"/>
            </w:tcMar>
          </w:tcPr>
          <w:p w14:paraId="10B62D37"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p>
        </w:tc>
        <w:tc>
          <w:tcPr>
            <w:tcW w:w="0" w:type="auto"/>
            <w:gridSpan w:val="6"/>
            <w:tcBorders>
              <w:top w:val="single" w:sz="3" w:space="0" w:color="000000"/>
              <w:left w:val="single" w:sz="3" w:space="0" w:color="000000"/>
              <w:bottom w:val="single" w:sz="3" w:space="0" w:color="000000"/>
              <w:right w:val="single" w:sz="3" w:space="0" w:color="000000"/>
            </w:tcBorders>
            <w:tcMar>
              <w:left w:w="79" w:type="dxa"/>
              <w:right w:w="70" w:type="dxa"/>
            </w:tcMar>
          </w:tcPr>
          <w:p w14:paraId="37F1625C"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 xml:space="preserve">Listing criteria </w:t>
            </w:r>
          </w:p>
        </w:tc>
        <w:tc>
          <w:tcPr>
            <w:tcW w:w="0" w:type="auto"/>
            <w:tcBorders>
              <w:top w:val="single" w:sz="3" w:space="0" w:color="000000"/>
              <w:left w:val="single" w:sz="3" w:space="0" w:color="000000"/>
              <w:bottom w:val="single" w:sz="3" w:space="0" w:color="000000"/>
              <w:right w:val="single" w:sz="3" w:space="0" w:color="000000"/>
            </w:tcBorders>
            <w:tcMar>
              <w:left w:w="79" w:type="dxa"/>
              <w:right w:w="79" w:type="dxa"/>
            </w:tcMar>
          </w:tcPr>
          <w:p w14:paraId="425732EC"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Conclusion</w:t>
            </w:r>
          </w:p>
        </w:tc>
      </w:tr>
      <w:tr w:rsidR="00EF0300" w:rsidRPr="00EF0300" w14:paraId="07F859AD" w14:textId="77777777" w:rsidTr="005D5F69">
        <w:trPr>
          <w:cantSplit/>
          <w:trHeight w:val="164"/>
        </w:trPr>
        <w:tc>
          <w:tcPr>
            <w:tcW w:w="0" w:type="auto"/>
            <w:vMerge/>
            <w:tcBorders>
              <w:top w:val="single" w:sz="3" w:space="0" w:color="000000"/>
              <w:left w:val="single" w:sz="3" w:space="0" w:color="000000"/>
              <w:bottom w:val="single" w:sz="3" w:space="0" w:color="000000"/>
              <w:right w:val="single" w:sz="3" w:space="0" w:color="000000"/>
            </w:tcBorders>
            <w:tcMar>
              <w:left w:w="79" w:type="dxa"/>
              <w:right w:w="70" w:type="dxa"/>
            </w:tcMar>
          </w:tcPr>
          <w:p w14:paraId="66960891"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24D389EE"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1</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625F2E79"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2</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7886CEF1"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3</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66BDDE79"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4a</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1D0CA997"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4b</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09D2D356"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4c</w:t>
            </w:r>
          </w:p>
        </w:tc>
        <w:tc>
          <w:tcPr>
            <w:tcW w:w="0" w:type="auto"/>
            <w:tcBorders>
              <w:top w:val="single" w:sz="3" w:space="0" w:color="000000"/>
              <w:left w:val="single" w:sz="3" w:space="0" w:color="000000"/>
              <w:bottom w:val="single" w:sz="3" w:space="0" w:color="000000"/>
              <w:right w:val="single" w:sz="3" w:space="0" w:color="000000"/>
            </w:tcBorders>
            <w:tcMar>
              <w:left w:w="79" w:type="dxa"/>
              <w:right w:w="79" w:type="dxa"/>
            </w:tcMar>
            <w:vAlign w:val="center"/>
          </w:tcPr>
          <w:p w14:paraId="780236AC"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p>
        </w:tc>
      </w:tr>
      <w:tr w:rsidR="00EF0300" w:rsidRPr="00EF0300" w14:paraId="7E8994B9" w14:textId="77777777" w:rsidTr="005D5F69">
        <w:trPr>
          <w:trHeight w:val="269"/>
        </w:trPr>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tcPr>
          <w:p w14:paraId="5D94F89E"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 xml:space="preserve">Infection with </w:t>
            </w:r>
            <w:proofErr w:type="spellStart"/>
            <w:r w:rsidRPr="00EF0300">
              <w:rPr>
                <w:rFonts w:ascii="Times New Roman" w:hAnsi="Times New Roman" w:cs="Times New Roman"/>
                <w:sz w:val="20"/>
                <w:szCs w:val="20"/>
              </w:rPr>
              <w:t>TiLV</w:t>
            </w:r>
            <w:proofErr w:type="spellEnd"/>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3712BD22"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64EEA53B"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3245A725"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352A00B2"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NA</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276986BB"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w:t>
            </w:r>
          </w:p>
        </w:tc>
        <w:tc>
          <w:tcPr>
            <w:tcW w:w="0" w:type="auto"/>
            <w:tcBorders>
              <w:top w:val="single" w:sz="3" w:space="0" w:color="000000"/>
              <w:left w:val="single" w:sz="3" w:space="0" w:color="000000"/>
              <w:bottom w:val="single" w:sz="3" w:space="0" w:color="000000"/>
              <w:right w:val="single" w:sz="3" w:space="0" w:color="000000"/>
            </w:tcBorders>
            <w:tcMar>
              <w:left w:w="79" w:type="dxa"/>
              <w:right w:w="70" w:type="dxa"/>
            </w:tcMar>
            <w:vAlign w:val="center"/>
          </w:tcPr>
          <w:p w14:paraId="16627426"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w:t>
            </w:r>
          </w:p>
        </w:tc>
        <w:tc>
          <w:tcPr>
            <w:tcW w:w="0" w:type="auto"/>
            <w:tcBorders>
              <w:top w:val="single" w:sz="3" w:space="0" w:color="000000"/>
              <w:left w:val="single" w:sz="3" w:space="0" w:color="000000"/>
              <w:bottom w:val="single" w:sz="3" w:space="0" w:color="000000"/>
              <w:right w:val="single" w:sz="3" w:space="0" w:color="000000"/>
            </w:tcBorders>
            <w:tcMar>
              <w:left w:w="79" w:type="dxa"/>
              <w:right w:w="79" w:type="dxa"/>
            </w:tcMar>
            <w:vAlign w:val="center"/>
          </w:tcPr>
          <w:p w14:paraId="5A0EA2D4"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The disease meets the criteria for listing</w:t>
            </w:r>
          </w:p>
        </w:tc>
      </w:tr>
    </w:tbl>
    <w:p w14:paraId="7F1B8B1E" w14:textId="77777777" w:rsidR="00EF0300" w:rsidRPr="00EF0300" w:rsidRDefault="00EF0300" w:rsidP="00EF0300">
      <w:pPr>
        <w:widowControl w:val="0"/>
        <w:tabs>
          <w:tab w:val="left" w:pos="-144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NA = not applicable.</w:t>
      </w:r>
    </w:p>
    <w:p w14:paraId="5EB4FF4C" w14:textId="77777777" w:rsidR="00EF0300" w:rsidRPr="00EF0300" w:rsidRDefault="00EF0300" w:rsidP="00EF0300">
      <w:pPr>
        <w:spacing w:after="24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The criteria for the inclusion of a </w:t>
      </w:r>
      <w:hyperlink r:id="rId7" w:anchor="terme_maladie" w:tgtFrame="_blank" w:history="1">
        <w:r w:rsidRPr="00EF0300">
          <w:rPr>
            <w:rFonts w:ascii="Times New Roman" w:eastAsia="Yu Gothic Light" w:hAnsi="Times New Roman" w:cs="Times New Roman"/>
            <w:sz w:val="20"/>
            <w:szCs w:val="20"/>
            <w:lang w:val="en-GB" w:eastAsia="en-CA"/>
          </w:rPr>
          <w:t>disease</w:t>
        </w:r>
      </w:hyperlink>
      <w:r w:rsidRPr="00EF0300">
        <w:rPr>
          <w:rFonts w:ascii="Times New Roman" w:eastAsia="Yu Gothic Light" w:hAnsi="Times New Roman" w:cs="Times New Roman"/>
          <w:sz w:val="20"/>
          <w:szCs w:val="20"/>
          <w:lang w:val="en-GB" w:eastAsia="en-CA"/>
        </w:rPr>
        <w:t> in the OIE list are as follows: </w:t>
      </w:r>
    </w:p>
    <w:p w14:paraId="60B2FB1F" w14:textId="77777777" w:rsidR="00EF0300" w:rsidRPr="00EF0300" w:rsidRDefault="00EF0300" w:rsidP="00EF0300">
      <w:pPr>
        <w:spacing w:after="120" w:line="240" w:lineRule="auto"/>
        <w:ind w:left="420" w:hanging="420"/>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1.</w:t>
      </w:r>
      <w:r w:rsidRPr="00EF0300">
        <w:rPr>
          <w:rFonts w:ascii="Times New Roman" w:eastAsia="Yu Gothic Light" w:hAnsi="Times New Roman" w:cs="Times New Roman"/>
          <w:sz w:val="20"/>
          <w:szCs w:val="20"/>
          <w:lang w:val="en-GB" w:eastAsia="en-CA"/>
        </w:rPr>
        <w:tab/>
        <w:t>International spread of the </w:t>
      </w:r>
      <w:hyperlink r:id="rId8" w:anchor="terme_agent_pathogene" w:tgtFrame="_blank" w:history="1">
        <w:r w:rsidRPr="00EF0300">
          <w:rPr>
            <w:rFonts w:ascii="Times New Roman" w:eastAsia="Yu Gothic Light" w:hAnsi="Times New Roman" w:cs="Times New Roman"/>
            <w:sz w:val="20"/>
            <w:szCs w:val="20"/>
            <w:lang w:val="en-GB" w:eastAsia="en-CA"/>
          </w:rPr>
          <w:t>pathogenic agent</w:t>
        </w:r>
      </w:hyperlink>
      <w:r w:rsidRPr="00EF0300">
        <w:rPr>
          <w:rFonts w:ascii="Times New Roman" w:eastAsia="Yu Gothic Light" w:hAnsi="Times New Roman" w:cs="Times New Roman"/>
          <w:sz w:val="20"/>
          <w:szCs w:val="20"/>
          <w:lang w:val="en-GB" w:eastAsia="en-CA"/>
        </w:rPr>
        <w:t> (via </w:t>
      </w:r>
      <w:hyperlink r:id="rId9" w:anchor="terme_animaux_aquatiques" w:tgtFrame="_blank" w:history="1">
        <w:r w:rsidRPr="00EF0300">
          <w:rPr>
            <w:rFonts w:ascii="Times New Roman" w:eastAsia="Yu Gothic Light" w:hAnsi="Times New Roman" w:cs="Times New Roman"/>
            <w:sz w:val="20"/>
            <w:szCs w:val="20"/>
            <w:lang w:val="en-GB" w:eastAsia="en-CA"/>
          </w:rPr>
          <w:t>aquatic animals</w:t>
        </w:r>
      </w:hyperlink>
      <w:r w:rsidRPr="00EF0300">
        <w:rPr>
          <w:rFonts w:ascii="Times New Roman" w:eastAsia="Yu Gothic Light" w:hAnsi="Times New Roman" w:cs="Times New Roman"/>
          <w:sz w:val="20"/>
          <w:szCs w:val="20"/>
          <w:lang w:val="en-GB" w:eastAsia="en-CA"/>
        </w:rPr>
        <w:t>, </w:t>
      </w:r>
      <w:hyperlink r:id="rId10" w:anchor="terme_produits_d_animaux_aquatiques" w:tgtFrame="_blank" w:history="1">
        <w:r w:rsidRPr="00EF0300">
          <w:rPr>
            <w:rFonts w:ascii="Times New Roman" w:eastAsia="Yu Gothic Light" w:hAnsi="Times New Roman" w:cs="Times New Roman"/>
            <w:sz w:val="20"/>
            <w:szCs w:val="20"/>
            <w:lang w:val="en-GB" w:eastAsia="en-CA"/>
          </w:rPr>
          <w:t>aquatic animal products</w:t>
        </w:r>
      </w:hyperlink>
      <w:r w:rsidRPr="00EF0300">
        <w:rPr>
          <w:rFonts w:ascii="Times New Roman" w:eastAsia="Yu Gothic Light" w:hAnsi="Times New Roman" w:cs="Times New Roman"/>
          <w:sz w:val="20"/>
          <w:szCs w:val="20"/>
          <w:lang w:val="en-GB" w:eastAsia="en-CA"/>
        </w:rPr>
        <w:t>, </w:t>
      </w:r>
      <w:hyperlink r:id="rId11" w:anchor="terme_vecteur" w:tgtFrame="_blank" w:history="1">
        <w:r w:rsidRPr="00EF0300">
          <w:rPr>
            <w:rFonts w:ascii="Times New Roman" w:eastAsia="Yu Gothic Light" w:hAnsi="Times New Roman" w:cs="Times New Roman"/>
            <w:sz w:val="20"/>
            <w:szCs w:val="20"/>
            <w:lang w:val="en-GB" w:eastAsia="en-CA"/>
          </w:rPr>
          <w:t>vectors</w:t>
        </w:r>
      </w:hyperlink>
      <w:r w:rsidRPr="00EF0300">
        <w:rPr>
          <w:rFonts w:ascii="Times New Roman" w:eastAsia="Yu Gothic Light" w:hAnsi="Times New Roman" w:cs="Times New Roman"/>
          <w:sz w:val="20"/>
          <w:szCs w:val="20"/>
          <w:lang w:val="en-GB" w:eastAsia="en-CA"/>
        </w:rPr>
        <w:t> or fomites) is likely.</w:t>
      </w:r>
    </w:p>
    <w:p w14:paraId="4D58BF69" w14:textId="77777777" w:rsidR="00EF0300" w:rsidRPr="00EF0300" w:rsidRDefault="00EF0300" w:rsidP="00EF0300">
      <w:pPr>
        <w:spacing w:after="12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AND</w:t>
      </w:r>
    </w:p>
    <w:p w14:paraId="60B3EF3E" w14:textId="77777777" w:rsidR="00EF0300" w:rsidRPr="00EF0300" w:rsidRDefault="00EF0300" w:rsidP="00EF0300">
      <w:pPr>
        <w:spacing w:after="120" w:line="240" w:lineRule="auto"/>
        <w:ind w:left="420" w:hanging="420"/>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2.</w:t>
      </w:r>
      <w:r w:rsidRPr="00EF0300">
        <w:rPr>
          <w:rFonts w:ascii="Times New Roman" w:eastAsia="Yu Gothic Light" w:hAnsi="Times New Roman" w:cs="Times New Roman"/>
          <w:sz w:val="20"/>
          <w:szCs w:val="20"/>
          <w:lang w:val="en-GB" w:eastAsia="en-CA"/>
        </w:rPr>
        <w:tab/>
        <w:t>At least one country may demonstrate country or </w:t>
      </w:r>
      <w:hyperlink r:id="rId12" w:anchor="terme_zone" w:tgtFrame="_blank" w:history="1">
        <w:r w:rsidRPr="00EF0300">
          <w:rPr>
            <w:rFonts w:ascii="Times New Roman" w:eastAsia="Yu Gothic Light" w:hAnsi="Times New Roman" w:cs="Times New Roman"/>
            <w:sz w:val="20"/>
            <w:szCs w:val="20"/>
            <w:lang w:val="en-GB" w:eastAsia="en-CA"/>
          </w:rPr>
          <w:t>zone</w:t>
        </w:r>
      </w:hyperlink>
      <w:r w:rsidRPr="00EF0300">
        <w:rPr>
          <w:rFonts w:ascii="Times New Roman" w:eastAsia="Yu Gothic Light" w:hAnsi="Times New Roman" w:cs="Times New Roman"/>
          <w:sz w:val="20"/>
          <w:szCs w:val="20"/>
          <w:lang w:val="en-GB" w:eastAsia="en-CA"/>
        </w:rPr>
        <w:t> freedom from the </w:t>
      </w:r>
      <w:hyperlink r:id="rId13" w:anchor="terme_maladie" w:tgtFrame="_blank" w:history="1">
        <w:r w:rsidRPr="00EF0300">
          <w:rPr>
            <w:rFonts w:ascii="Times New Roman" w:eastAsia="Yu Gothic Light" w:hAnsi="Times New Roman" w:cs="Times New Roman"/>
            <w:sz w:val="20"/>
            <w:szCs w:val="20"/>
            <w:lang w:val="en-GB" w:eastAsia="en-CA"/>
          </w:rPr>
          <w:t>disease</w:t>
        </w:r>
      </w:hyperlink>
      <w:r w:rsidRPr="00EF0300">
        <w:rPr>
          <w:rFonts w:ascii="Times New Roman" w:eastAsia="Yu Gothic Light" w:hAnsi="Times New Roman" w:cs="Times New Roman"/>
          <w:sz w:val="20"/>
          <w:szCs w:val="20"/>
          <w:lang w:val="en-GB" w:eastAsia="en-CA"/>
        </w:rPr>
        <w:t> in susceptible </w:t>
      </w:r>
      <w:hyperlink r:id="rId14" w:anchor="terme_animaux_aquatiques" w:tgtFrame="_blank" w:history="1">
        <w:r w:rsidRPr="00EF0300">
          <w:rPr>
            <w:rFonts w:ascii="Times New Roman" w:eastAsia="Yu Gothic Light" w:hAnsi="Times New Roman" w:cs="Times New Roman"/>
            <w:sz w:val="20"/>
            <w:szCs w:val="20"/>
            <w:lang w:val="en-GB" w:eastAsia="en-CA"/>
          </w:rPr>
          <w:t>aquatic animals</w:t>
        </w:r>
      </w:hyperlink>
      <w:r w:rsidRPr="00EF0300">
        <w:rPr>
          <w:rFonts w:ascii="Times New Roman" w:eastAsia="Yu Gothic Light" w:hAnsi="Times New Roman" w:cs="Times New Roman"/>
          <w:sz w:val="20"/>
          <w:szCs w:val="20"/>
          <w:lang w:val="en-GB" w:eastAsia="en-CA"/>
        </w:rPr>
        <w:t>, based on provisions of Chapter </w:t>
      </w:r>
      <w:hyperlink r:id="rId15" w:anchor="chapitre_aqua_ani_surveillance" w:tgtFrame="_blank" w:history="1">
        <w:r w:rsidRPr="00EF0300">
          <w:rPr>
            <w:rFonts w:ascii="Times New Roman" w:eastAsia="Yu Gothic Light" w:hAnsi="Times New Roman" w:cs="Times New Roman"/>
            <w:sz w:val="20"/>
            <w:szCs w:val="20"/>
            <w:lang w:val="en-GB" w:eastAsia="en-CA"/>
          </w:rPr>
          <w:t>1.4.</w:t>
        </w:r>
      </w:hyperlink>
    </w:p>
    <w:p w14:paraId="71EDFE07" w14:textId="77777777" w:rsidR="00EF0300" w:rsidRPr="00EF0300" w:rsidRDefault="00EF0300" w:rsidP="00EF0300">
      <w:pPr>
        <w:spacing w:after="12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AND</w:t>
      </w:r>
    </w:p>
    <w:p w14:paraId="523750F2" w14:textId="77777777" w:rsidR="00EF0300" w:rsidRPr="00EF0300" w:rsidRDefault="00EF0300" w:rsidP="00EF0300">
      <w:pPr>
        <w:spacing w:after="120" w:line="240" w:lineRule="auto"/>
        <w:ind w:left="420" w:hanging="420"/>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3.</w:t>
      </w:r>
      <w:r w:rsidRPr="00EF0300">
        <w:rPr>
          <w:rFonts w:ascii="Times New Roman" w:eastAsia="Yu Gothic Light" w:hAnsi="Times New Roman" w:cs="Times New Roman"/>
          <w:sz w:val="20"/>
          <w:szCs w:val="20"/>
          <w:lang w:val="en-GB" w:eastAsia="en-CA"/>
        </w:rPr>
        <w:tab/>
        <w:t>A precise </w:t>
      </w:r>
      <w:hyperlink r:id="rId16" w:anchor="terme_definition_d_un_cas" w:tgtFrame="_blank" w:history="1">
        <w:r w:rsidRPr="00EF0300">
          <w:rPr>
            <w:rFonts w:ascii="Times New Roman" w:eastAsia="Yu Gothic Light" w:hAnsi="Times New Roman" w:cs="Times New Roman"/>
            <w:sz w:val="20"/>
            <w:szCs w:val="20"/>
            <w:lang w:val="en-GB" w:eastAsia="en-CA"/>
          </w:rPr>
          <w:t>case definition</w:t>
        </w:r>
      </w:hyperlink>
      <w:r w:rsidRPr="00EF0300">
        <w:rPr>
          <w:rFonts w:ascii="Times New Roman" w:eastAsia="Yu Gothic Light" w:hAnsi="Times New Roman" w:cs="Times New Roman"/>
          <w:sz w:val="20"/>
          <w:szCs w:val="20"/>
          <w:lang w:val="en-GB" w:eastAsia="en-CA"/>
        </w:rPr>
        <w:t> is available and a reliable means of detection and </w:t>
      </w:r>
      <w:hyperlink r:id="rId17" w:anchor="terme_diagnostic" w:tgtFrame="_blank" w:history="1">
        <w:r w:rsidRPr="00EF0300">
          <w:rPr>
            <w:rFonts w:ascii="Times New Roman" w:eastAsia="Yu Gothic Light" w:hAnsi="Times New Roman" w:cs="Times New Roman"/>
            <w:sz w:val="20"/>
            <w:szCs w:val="20"/>
            <w:lang w:val="en-GB" w:eastAsia="en-CA"/>
          </w:rPr>
          <w:t>diagnosis</w:t>
        </w:r>
      </w:hyperlink>
      <w:r w:rsidRPr="00EF0300">
        <w:rPr>
          <w:rFonts w:ascii="Times New Roman" w:eastAsia="Yu Gothic Light" w:hAnsi="Times New Roman" w:cs="Times New Roman"/>
          <w:sz w:val="20"/>
          <w:szCs w:val="20"/>
          <w:lang w:val="en-GB" w:eastAsia="en-CA"/>
        </w:rPr>
        <w:t> exists.</w:t>
      </w:r>
    </w:p>
    <w:p w14:paraId="2F293E3D" w14:textId="7FD4581F" w:rsidR="00EF0300" w:rsidRPr="00EF0300" w:rsidRDefault="00EF0300" w:rsidP="00EF0300">
      <w:pPr>
        <w:spacing w:after="12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AND </w:t>
      </w:r>
    </w:p>
    <w:p w14:paraId="5C457A55" w14:textId="77777777" w:rsidR="00EF0300" w:rsidRPr="00EF0300" w:rsidRDefault="00EF0300" w:rsidP="00EF0300">
      <w:pPr>
        <w:spacing w:after="120" w:line="240" w:lineRule="auto"/>
        <w:ind w:left="420" w:hanging="420"/>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4a.</w:t>
      </w:r>
      <w:r w:rsidRPr="00EF0300">
        <w:rPr>
          <w:rFonts w:ascii="Times New Roman" w:eastAsia="Yu Gothic Light" w:hAnsi="Times New Roman" w:cs="Times New Roman"/>
          <w:sz w:val="20"/>
          <w:szCs w:val="20"/>
          <w:lang w:val="en-GB" w:eastAsia="en-CA"/>
        </w:rPr>
        <w:tab/>
        <w:t>Natural transmission to humans has been proven, and human infection is associated with severe consequences.</w:t>
      </w:r>
    </w:p>
    <w:p w14:paraId="7072F65A" w14:textId="77777777" w:rsidR="00EF0300" w:rsidRPr="00EF0300" w:rsidRDefault="00EF0300" w:rsidP="00EF0300">
      <w:pPr>
        <w:spacing w:after="12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OR</w:t>
      </w:r>
    </w:p>
    <w:p w14:paraId="0561D4FB" w14:textId="77777777" w:rsidR="00EF0300" w:rsidRPr="00EF0300" w:rsidRDefault="00EF0300" w:rsidP="00EF0300">
      <w:pPr>
        <w:spacing w:after="120" w:line="240" w:lineRule="auto"/>
        <w:ind w:left="420" w:hanging="420"/>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4b.</w:t>
      </w:r>
      <w:r w:rsidRPr="00EF0300">
        <w:rPr>
          <w:rFonts w:ascii="Times New Roman" w:eastAsia="Yu Gothic Light" w:hAnsi="Times New Roman" w:cs="Times New Roman"/>
          <w:sz w:val="20"/>
          <w:szCs w:val="20"/>
          <w:lang w:val="en-GB" w:eastAsia="en-CA"/>
        </w:rPr>
        <w:tab/>
        <w:t>The </w:t>
      </w:r>
      <w:hyperlink r:id="rId18" w:anchor="terme_maladie" w:tgtFrame="_blank" w:history="1">
        <w:r w:rsidRPr="00EF0300">
          <w:rPr>
            <w:rFonts w:ascii="Times New Roman" w:eastAsia="Yu Gothic Light" w:hAnsi="Times New Roman" w:cs="Times New Roman"/>
            <w:sz w:val="20"/>
            <w:szCs w:val="20"/>
            <w:lang w:val="en-GB" w:eastAsia="en-CA"/>
          </w:rPr>
          <w:t>disease</w:t>
        </w:r>
      </w:hyperlink>
      <w:r w:rsidRPr="00EF0300">
        <w:rPr>
          <w:rFonts w:ascii="Times New Roman" w:eastAsia="Yu Gothic Light" w:hAnsi="Times New Roman" w:cs="Times New Roman"/>
          <w:sz w:val="20"/>
          <w:szCs w:val="20"/>
          <w:lang w:val="en-GB" w:eastAsia="en-CA"/>
        </w:rPr>
        <w:t> has been shown to affect the health of cultured </w:t>
      </w:r>
      <w:hyperlink r:id="rId19" w:anchor="terme_animaux_aquatiques" w:tgtFrame="_blank" w:history="1">
        <w:r w:rsidRPr="00EF0300">
          <w:rPr>
            <w:rFonts w:ascii="Times New Roman" w:eastAsia="Yu Gothic Light" w:hAnsi="Times New Roman" w:cs="Times New Roman"/>
            <w:sz w:val="20"/>
            <w:szCs w:val="20"/>
            <w:lang w:val="en-GB" w:eastAsia="en-CA"/>
          </w:rPr>
          <w:t>aquatic animals</w:t>
        </w:r>
      </w:hyperlink>
      <w:r w:rsidRPr="00EF0300">
        <w:rPr>
          <w:rFonts w:ascii="Times New Roman" w:eastAsia="Yu Gothic Light" w:hAnsi="Times New Roman" w:cs="Times New Roman"/>
          <w:sz w:val="20"/>
          <w:szCs w:val="20"/>
          <w:lang w:val="en-GB" w:eastAsia="en-CA"/>
        </w:rPr>
        <w:t> at the level of a country or a </w:t>
      </w:r>
      <w:hyperlink r:id="rId20" w:anchor="terme_zone" w:tgtFrame="_blank" w:history="1">
        <w:r w:rsidRPr="00EF0300">
          <w:rPr>
            <w:rFonts w:ascii="Times New Roman" w:eastAsia="Yu Gothic Light" w:hAnsi="Times New Roman" w:cs="Times New Roman"/>
            <w:sz w:val="20"/>
            <w:szCs w:val="20"/>
            <w:lang w:val="en-GB" w:eastAsia="en-CA"/>
          </w:rPr>
          <w:t>zone</w:t>
        </w:r>
      </w:hyperlink>
      <w:r w:rsidRPr="00EF0300">
        <w:rPr>
          <w:rFonts w:ascii="Times New Roman" w:eastAsia="Yu Gothic Light" w:hAnsi="Times New Roman" w:cs="Times New Roman"/>
          <w:sz w:val="20"/>
          <w:szCs w:val="20"/>
          <w:lang w:val="en-GB" w:eastAsia="en-CA"/>
        </w:rPr>
        <w:t> resulting in significant consequences e.g. production losses, morbidity or mortality at a </w:t>
      </w:r>
      <w:hyperlink r:id="rId21" w:anchor="terme_zone" w:tgtFrame="_blank" w:history="1">
        <w:r w:rsidRPr="00EF0300">
          <w:rPr>
            <w:rFonts w:ascii="Times New Roman" w:eastAsia="Yu Gothic Light" w:hAnsi="Times New Roman" w:cs="Times New Roman"/>
            <w:sz w:val="20"/>
            <w:szCs w:val="20"/>
            <w:lang w:val="en-GB" w:eastAsia="en-CA"/>
          </w:rPr>
          <w:t>zone</w:t>
        </w:r>
      </w:hyperlink>
      <w:r w:rsidRPr="00EF0300">
        <w:rPr>
          <w:rFonts w:ascii="Times New Roman" w:eastAsia="Yu Gothic Light" w:hAnsi="Times New Roman" w:cs="Times New Roman"/>
          <w:sz w:val="20"/>
          <w:szCs w:val="20"/>
          <w:lang w:val="en-GB" w:eastAsia="en-CA"/>
        </w:rPr>
        <w:t> or country level.</w:t>
      </w:r>
    </w:p>
    <w:p w14:paraId="15346572" w14:textId="77777777" w:rsidR="00EF0300" w:rsidRPr="00EF0300" w:rsidRDefault="00EF0300" w:rsidP="00EF0300">
      <w:pPr>
        <w:spacing w:after="120" w:line="240" w:lineRule="auto"/>
        <w:jc w:val="both"/>
        <w:textAlignment w:val="baseline"/>
        <w:rPr>
          <w:rFonts w:ascii="Times New Roman" w:eastAsia="Times New Roman"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OR</w:t>
      </w:r>
    </w:p>
    <w:p w14:paraId="16248C1A" w14:textId="77777777" w:rsidR="00EF0300" w:rsidRPr="00EF0300" w:rsidRDefault="00EF0300" w:rsidP="00EF0300">
      <w:pPr>
        <w:spacing w:after="120" w:line="240" w:lineRule="auto"/>
        <w:ind w:left="420" w:hanging="420"/>
        <w:jc w:val="both"/>
        <w:textAlignment w:val="baseline"/>
        <w:rPr>
          <w:rFonts w:ascii="Times New Roman" w:eastAsia="Yu Gothic Light" w:hAnsi="Times New Roman" w:cs="Times New Roman"/>
          <w:sz w:val="20"/>
          <w:szCs w:val="20"/>
          <w:lang w:val="en-GB" w:eastAsia="en-CA"/>
        </w:rPr>
      </w:pPr>
      <w:r w:rsidRPr="00EF0300">
        <w:rPr>
          <w:rFonts w:ascii="Times New Roman" w:eastAsia="Yu Gothic Light" w:hAnsi="Times New Roman" w:cs="Times New Roman"/>
          <w:sz w:val="20"/>
          <w:szCs w:val="20"/>
          <w:lang w:val="en-GB" w:eastAsia="en-CA"/>
        </w:rPr>
        <w:t>4c.</w:t>
      </w:r>
      <w:r w:rsidRPr="00EF0300">
        <w:rPr>
          <w:rFonts w:ascii="Times New Roman" w:eastAsia="Yu Gothic Light" w:hAnsi="Times New Roman" w:cs="Times New Roman"/>
          <w:sz w:val="20"/>
          <w:szCs w:val="20"/>
          <w:lang w:val="en-GB" w:eastAsia="en-CA"/>
        </w:rPr>
        <w:tab/>
        <w:t>The </w:t>
      </w:r>
      <w:hyperlink r:id="rId22" w:anchor="terme_maladie" w:tgtFrame="_blank" w:history="1">
        <w:r w:rsidRPr="00EF0300">
          <w:rPr>
            <w:rFonts w:ascii="Times New Roman" w:eastAsia="Yu Gothic Light" w:hAnsi="Times New Roman" w:cs="Times New Roman"/>
            <w:sz w:val="20"/>
            <w:szCs w:val="20"/>
            <w:lang w:val="en-GB" w:eastAsia="en-CA"/>
          </w:rPr>
          <w:t>disease</w:t>
        </w:r>
      </w:hyperlink>
      <w:r w:rsidRPr="00EF0300">
        <w:rPr>
          <w:rFonts w:ascii="Times New Roman" w:eastAsia="Yu Gothic Light" w:hAnsi="Times New Roman" w:cs="Times New Roman"/>
          <w:sz w:val="20"/>
          <w:szCs w:val="20"/>
          <w:lang w:val="en-GB" w:eastAsia="en-CA"/>
        </w:rPr>
        <w:t> has been shown to, or scientific evidence indicates that it would affect the health of wild resulting in significant consequences e.g. morbidity or mortality at a population level, reduced productivity or ecological impacts.</w:t>
      </w:r>
    </w:p>
    <w:p w14:paraId="131F7214" w14:textId="77777777" w:rsidR="00EF0300" w:rsidRPr="00EF0300" w:rsidRDefault="00EF0300" w:rsidP="00EF0300">
      <w:pPr>
        <w:spacing w:after="240" w:line="240" w:lineRule="auto"/>
        <w:jc w:val="both"/>
        <w:rPr>
          <w:rFonts w:ascii="Times New Roman" w:hAnsi="Times New Roman" w:cs="Times New Roman"/>
          <w:b/>
          <w:sz w:val="20"/>
          <w:szCs w:val="20"/>
        </w:rPr>
      </w:pPr>
      <w:r w:rsidRPr="00EF0300">
        <w:rPr>
          <w:rFonts w:ascii="Times New Roman" w:hAnsi="Times New Roman" w:cs="Times New Roman"/>
          <w:b/>
          <w:sz w:val="20"/>
          <w:szCs w:val="20"/>
        </w:rPr>
        <w:t>Background</w:t>
      </w:r>
    </w:p>
    <w:p w14:paraId="38681852" w14:textId="77777777" w:rsidR="00EF0300" w:rsidRPr="00EF0300" w:rsidRDefault="00EF0300" w:rsidP="00EF0300">
      <w:pPr>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 xml:space="preserve">A novel </w:t>
      </w:r>
      <w:proofErr w:type="spellStart"/>
      <w:r w:rsidRPr="00EF0300">
        <w:rPr>
          <w:rFonts w:ascii="Times New Roman" w:hAnsi="Times New Roman" w:cs="Times New Roman"/>
          <w:sz w:val="20"/>
          <w:szCs w:val="20"/>
        </w:rPr>
        <w:t>orthomyxo</w:t>
      </w:r>
      <w:proofErr w:type="spellEnd"/>
      <w:r w:rsidRPr="00EF0300">
        <w:rPr>
          <w:rFonts w:ascii="Times New Roman" w:hAnsi="Times New Roman" w:cs="Times New Roman"/>
          <w:sz w:val="20"/>
          <w:szCs w:val="20"/>
        </w:rPr>
        <w:t>-like virus, named as tilapia lake virus (</w:t>
      </w:r>
      <w:proofErr w:type="spellStart"/>
      <w:r w:rsidRPr="00EF0300">
        <w:rPr>
          <w:rFonts w:ascii="Times New Roman" w:hAnsi="Times New Roman" w:cs="Times New Roman"/>
          <w:sz w:val="20"/>
          <w:szCs w:val="20"/>
        </w:rPr>
        <w:t>TiLV</w:t>
      </w:r>
      <w:proofErr w:type="spellEnd"/>
      <w:r w:rsidRPr="00EF0300">
        <w:rPr>
          <w:rFonts w:ascii="Times New Roman" w:hAnsi="Times New Roman" w:cs="Times New Roman"/>
          <w:sz w:val="20"/>
          <w:szCs w:val="20"/>
        </w:rPr>
        <w:t xml:space="preserve">), has been identified as the cause of mass die-offs of tilapia </w:t>
      </w:r>
      <w:r w:rsidRPr="00EF0300">
        <w:rPr>
          <w:rFonts w:ascii="Times New Roman" w:hAnsi="Times New Roman" w:cs="Times New Roman"/>
          <w:sz w:val="20"/>
          <w:szCs w:val="20"/>
        </w:rPr>
        <w:fldChar w:fldCharType="begin" w:fldLock="1"/>
      </w:r>
      <w:r w:rsidRPr="00EF0300">
        <w:rPr>
          <w:rFonts w:ascii="Times New Roman" w:hAnsi="Times New Roman" w:cs="Times New Roman"/>
          <w:sz w:val="20"/>
          <w:szCs w:val="20"/>
        </w:rPr>
        <w:instrText>ADDIN CSL_CITATION { "citationItems" : [ { "id" : "ITEM-1", "itemData" : { "DOI" : "10.1128/JCM.00827-14", "ISBN" : "9723642204", "ISSN" : "1098660X", "PMID" : "25232154", "abstract" : "Tilapines are important for the sustainability of ecological systems and serve as the second most important group of farmed fish worldwide. Significant mortality of wild and cultured tilapia has been observed recently in Israel. The etiological agent of this disease, a novel RNA virus, is described here, and procedures allowing its isolation and detection are revealed. The virus, denominated tilapia lake virus (TiLV), was propagated in primary tilapia brain cells or in an E-11 cell line, and it induced a cytopathic effect at 5 to 10 days postinfection. Electron microscopy revealed enveloped icosahedral particles of 55 to 75 nm. Low-passage TiLV, injected intraperitoneally in tilapia, induced a disease resembling the natural disease, which typically presents with lethargy, ocular alterations, and skin erosions, with &gt;80% mortality. Histological changes included congestion of the internal organs (kidneys and brain) with foci of gliosis and perivascular cuffing of lymphocytes in the brain cortex; ocular inflammation included endophthalmitis and cataractous changes of the lens. The cohabitation of healthy and diseased fish demonstrated that the disease is contagious and that mortalities (80 to 100%) occur within a few days. Fish surviving the initial mortality were immune to further TiLV infections, suggesting the mounting of a protective immune response. Screening cDNA libraries identified a TiLV-specific sequence, allowing the design of a PCR-based diagnostic test. This test enables the specific identification of TiLV in tilapines and should help control the spread of this virus worldwide.", "author" : [ { "dropping-particle" : "", "family" : "Eyngor", "given" : "Marina", "non-dropping-particle" : "", "parse-names" : false, "suffix" : "" }, { "dropping-particle" : "", "family" : "Zamostiano", "given" : "Rachel", "non-dropping-particle" : "", "parse-names" : false, "suffix" : "" }, { "dropping-particle" : "", "family" : "Tsofack", "given" : "Japhette Esther Kembou", "non-dropping-particle" : "", "parse-names" : false, "suffix" : "" }, { "dropping-particle" : "", "family" : "Berkowitz", "given" : "Asaf", "non-dropping-particle" : "", "parse-names" : false, "suffix" : "" }, { "dropping-particle" : "", "family" : "Bercovier", "given" : "Hillel", "non-dropping-particle" : "", "parse-names" : false, "suffix" : "" }, { "dropping-particle" : "", "family" : "Tinman", "given" : "Simon", "non-dropping-particle" : "", "parse-names" : false, "suffix" : "" }, { "dropping-particle" : "", "family" : "Lev", "given" : "Menachem", "non-dropping-particle" : "", "parse-names" : false, "suffix" : "" }, { "dropping-particle" : "", "family" : "Hurvitz", "given" : "Avshalom", "non-dropping-particle" : "", "parse-names" : false, "suffix" : "" }, { "dropping-particle" : "", "family" : "Galeotti", "given" : "Marco", "non-dropping-particle" : "", "parse-names" : false, "suffix" : "" }, { "dropping-particle" : "", "family" : "Bacharach", "given" : "Eran", "non-dropping-particle" : "", "parse-names" : false, "suffix" : "" }, { "dropping-particle" : "", "family" : "Eldar", "given" : "Avi", "non-dropping-particle" : "", "parse-names" : false, "suffix" : "" } ], "container-title" : "Journal of Clinical Microbiology", "id" : "ITEM-1", "issue" : "12", "issued" : { "date-parts" : [ [ "2014" ] ] }, "page" : "4137-4146", "title" : "Identification of a novel RNA virus lethal to tilapia", "type" : "article-journal", "volume" : "52" }, "uris" : [ "http://www.mendeley.com/documents/?uuid=f0ae9134-5834-4c9e-a353-3df69a496173" ] } ], "mendeley" : { "formattedCitation" : "(Eyngor et al., 2014)", "plainTextFormattedCitation" : "(Eyngor et al., 2014)", "previouslyFormattedCitation" : "(Eyngor et al., 2014)" }, "properties" : { "noteIndex" : 0 }, "schema" : "https://github.com/citation-style-language/schema/raw/master/csl-citation.json" }</w:instrText>
      </w:r>
      <w:r w:rsidRPr="00EF0300">
        <w:rPr>
          <w:rFonts w:ascii="Times New Roman" w:hAnsi="Times New Roman" w:cs="Times New Roman"/>
          <w:sz w:val="20"/>
          <w:szCs w:val="20"/>
        </w:rPr>
        <w:fldChar w:fldCharType="separate"/>
      </w:r>
      <w:r w:rsidRPr="00EF0300">
        <w:rPr>
          <w:rFonts w:ascii="Times New Roman" w:hAnsi="Times New Roman" w:cs="Times New Roman"/>
          <w:noProof/>
          <w:sz w:val="20"/>
          <w:szCs w:val="20"/>
        </w:rPr>
        <w:t xml:space="preserve">(Eyngor </w:t>
      </w:r>
      <w:r w:rsidRPr="00EF0300">
        <w:rPr>
          <w:rFonts w:ascii="Times New Roman" w:hAnsi="Times New Roman" w:cs="Times New Roman"/>
          <w:i/>
          <w:noProof/>
          <w:sz w:val="20"/>
          <w:szCs w:val="20"/>
        </w:rPr>
        <w:t>et al.,</w:t>
      </w:r>
      <w:r w:rsidRPr="00EF0300">
        <w:rPr>
          <w:rFonts w:ascii="Times New Roman" w:hAnsi="Times New Roman" w:cs="Times New Roman"/>
          <w:noProof/>
          <w:sz w:val="20"/>
          <w:szCs w:val="20"/>
        </w:rPr>
        <w:t xml:space="preserve"> 2014)</w:t>
      </w:r>
      <w:r w:rsidRPr="00EF0300">
        <w:rPr>
          <w:rFonts w:ascii="Times New Roman" w:hAnsi="Times New Roman" w:cs="Times New Roman"/>
          <w:sz w:val="20"/>
          <w:szCs w:val="20"/>
        </w:rPr>
        <w:fldChar w:fldCharType="end"/>
      </w:r>
      <w:r w:rsidRPr="00EF0300">
        <w:rPr>
          <w:rFonts w:ascii="Times New Roman" w:hAnsi="Times New Roman" w:cs="Times New Roman"/>
          <w:sz w:val="20"/>
          <w:szCs w:val="20"/>
        </w:rPr>
        <w:t xml:space="preserve"> in both farms and the wild environment. The host range is not well known but a number of </w:t>
      </w:r>
      <w:proofErr w:type="spellStart"/>
      <w:r w:rsidRPr="00EF0300">
        <w:rPr>
          <w:rFonts w:ascii="Times New Roman" w:hAnsi="Times New Roman" w:cs="Times New Roman"/>
          <w:sz w:val="20"/>
          <w:szCs w:val="20"/>
        </w:rPr>
        <w:t>tilapines</w:t>
      </w:r>
      <w:proofErr w:type="spellEnd"/>
      <w:r w:rsidRPr="00EF0300">
        <w:rPr>
          <w:rFonts w:ascii="Times New Roman" w:hAnsi="Times New Roman" w:cs="Times New Roman"/>
          <w:sz w:val="20"/>
          <w:szCs w:val="20"/>
        </w:rPr>
        <w:t xml:space="preserve"> are known to be susceptible </w:t>
      </w:r>
      <w:r w:rsidRPr="00EF0300">
        <w:rPr>
          <w:rFonts w:ascii="Times New Roman" w:hAnsi="Times New Roman" w:cs="Times New Roman"/>
          <w:sz w:val="20"/>
          <w:szCs w:val="20"/>
        </w:rPr>
        <w:fldChar w:fldCharType="begin" w:fldLock="1"/>
      </w:r>
      <w:r w:rsidRPr="00EF0300">
        <w:rPr>
          <w:rFonts w:ascii="Times New Roman" w:hAnsi="Times New Roman" w:cs="Times New Roman"/>
          <w:sz w:val="20"/>
          <w:szCs w:val="20"/>
        </w:rPr>
        <w:instrText>ADDIN CSL_CITATION { "citationItems" : [ { "id" : "ITEM-1", "itemData" : { "DOI" : "10.1128/JCM.00827-14", "ISBN" : "9723642204", "ISSN" : "1098660X", "PMID" : "25232154", "abstract" : "Tilapines are important for the sustainability of ecological systems and serve as the second most important group of farmed fish worldwide. Significant mortality of wild and cultured tilapia has been observed recently in Israel. The etiological agent of this disease, a novel RNA virus, is described here, and procedures allowing its isolation and detection are revealed. The virus, denominated tilapia lake virus (TiLV), was propagated in primary tilapia brain cells or in an E-11 cell line, and it induced a cytopathic effect at 5 to 10 days postinfection. Electron microscopy revealed enveloped icosahedral particles of 55 to 75 nm. Low-passage TiLV, injected intraperitoneally in tilapia, induced a disease resembling the natural disease, which typically presents with lethargy, ocular alterations, and skin erosions, with &gt;80% mortality. Histological changes included congestion of the internal organs (kidneys and brain) with foci of gliosis and perivascular cuffing of lymphocytes in the brain cortex; ocular inflammation included endophthalmitis and cataractous changes of the lens. The cohabitation of healthy and diseased fish demonstrated that the disease is contagious and that mortalities (80 to 100%) occur within a few days. Fish surviving the initial mortality were immune to further TiLV infections, suggesting the mounting of a protective immune response. Screening cDNA libraries identified a TiLV-specific sequence, allowing the design of a PCR-based diagnostic test. This test enables the specific identification of TiLV in tilapines and should help control the spread of this virus worldwide.", "author" : [ { "dropping-particle" : "", "family" : "Eyngor", "given" : "Marina", "non-dropping-particle" : "", "parse-names" : false, "suffix" : "" }, { "dropping-particle" : "", "family" : "Zamostiano", "given" : "Rachel", "non-dropping-particle" : "", "parse-names" : false, "suffix" : "" }, { "dropping-particle" : "", "family" : "Tsofack", "given" : "Japhette Esther Kembou", "non-dropping-particle" : "", "parse-names" : false, "suffix" : "" }, { "dropping-particle" : "", "family" : "Berkowitz", "given" : "Asaf", "non-dropping-particle" : "", "parse-names" : false, "suffix" : "" }, { "dropping-particle" : "", "family" : "Bercovier", "given" : "Hillel", "non-dropping-particle" : "", "parse-names" : false, "suffix" : "" }, { "dropping-particle" : "", "family" : "Tinman", "given" : "Simon", "non-dropping-particle" : "", "parse-names" : false, "suffix" : "" }, { "dropping-particle" : "", "family" : "Lev", "given" : "Menachem", "non-dropping-particle" : "", "parse-names" : false, "suffix" : "" }, { "dropping-particle" : "", "family" : "Hurvitz", "given" : "Avshalom", "non-dropping-particle" : "", "parse-names" : false, "suffix" : "" }, { "dropping-particle" : "", "family" : "Galeotti", "given" : "Marco", "non-dropping-particle" : "", "parse-names" : false, "suffix" : "" }, { "dropping-particle" : "", "family" : "Bacharach", "given" : "Eran", "non-dropping-particle" : "", "parse-names" : false, "suffix" : "" }, { "dropping-particle" : "", "family" : "Eldar", "given" : "Avi", "non-dropping-particle" : "", "parse-names" : false, "suffix" : "" } ], "container-title" : "Journal of Clinical Microbiology", "id" : "ITEM-1", "issue" : "12", "issued" : { "date-parts" : [ [ "2014" ] ] }, "page" : "4137-4146", "title" : "Identification of a novel RNA virus lethal to tilapia", "type" : "article-journal", "volume" : "52" }, "uris" : [ "http://www.mendeley.com/documents/?uuid=f0ae9134-5834-4c9e-a353-3df69a496173" ] } ], "mendeley" : { "formattedCitation" : "(Eyngor et al., 2014)", "plainTextFormattedCitation" : "(Eyngor et al., 2014)", "previouslyFormattedCitation" : "(Eyngor et al., 2014)" }, "properties" : { "noteIndex" : 0 }, "schema" : "https://github.com/citation-style-language/schema/raw/master/csl-citation.json" }</w:instrText>
      </w:r>
      <w:r w:rsidRPr="00EF0300">
        <w:rPr>
          <w:rFonts w:ascii="Times New Roman" w:hAnsi="Times New Roman" w:cs="Times New Roman"/>
          <w:sz w:val="20"/>
          <w:szCs w:val="20"/>
        </w:rPr>
        <w:fldChar w:fldCharType="separate"/>
      </w:r>
      <w:r w:rsidRPr="00EF0300">
        <w:rPr>
          <w:rFonts w:ascii="Times New Roman" w:hAnsi="Times New Roman" w:cs="Times New Roman"/>
          <w:noProof/>
          <w:sz w:val="20"/>
          <w:szCs w:val="20"/>
        </w:rPr>
        <w:t xml:space="preserve">(Eyngor </w:t>
      </w:r>
      <w:r w:rsidRPr="00EF0300">
        <w:rPr>
          <w:rFonts w:ascii="Times New Roman" w:hAnsi="Times New Roman" w:cs="Times New Roman"/>
          <w:i/>
          <w:noProof/>
          <w:sz w:val="20"/>
          <w:szCs w:val="20"/>
        </w:rPr>
        <w:t>et al.,</w:t>
      </w:r>
      <w:r w:rsidRPr="00EF0300">
        <w:rPr>
          <w:rFonts w:ascii="Times New Roman" w:hAnsi="Times New Roman" w:cs="Times New Roman"/>
          <w:noProof/>
          <w:sz w:val="20"/>
          <w:szCs w:val="20"/>
        </w:rPr>
        <w:t xml:space="preserve"> 2014)</w:t>
      </w:r>
      <w:r w:rsidRPr="00EF0300">
        <w:rPr>
          <w:rFonts w:ascii="Times New Roman" w:hAnsi="Times New Roman" w:cs="Times New Roman"/>
          <w:sz w:val="20"/>
          <w:szCs w:val="20"/>
        </w:rPr>
        <w:fldChar w:fldCharType="end"/>
      </w:r>
      <w:r w:rsidRPr="00EF0300">
        <w:rPr>
          <w:rFonts w:ascii="Times New Roman" w:hAnsi="Times New Roman" w:cs="Times New Roman"/>
          <w:sz w:val="20"/>
          <w:szCs w:val="20"/>
        </w:rPr>
        <w:t xml:space="preserve">. Tilapia is the second most imported group of farmed fish after carps. Global production of tilapia, predominantly </w:t>
      </w:r>
      <w:r w:rsidRPr="00EF0300">
        <w:rPr>
          <w:rFonts w:ascii="Times New Roman" w:hAnsi="Times New Roman" w:cs="Times New Roman"/>
          <w:i/>
          <w:sz w:val="20"/>
          <w:szCs w:val="20"/>
        </w:rPr>
        <w:t xml:space="preserve">Oreochromis </w:t>
      </w:r>
      <w:proofErr w:type="spellStart"/>
      <w:r w:rsidRPr="00EF0300">
        <w:rPr>
          <w:rFonts w:ascii="Times New Roman" w:hAnsi="Times New Roman" w:cs="Times New Roman"/>
          <w:i/>
          <w:sz w:val="20"/>
          <w:szCs w:val="20"/>
        </w:rPr>
        <w:t>niloticus</w:t>
      </w:r>
      <w:proofErr w:type="spellEnd"/>
      <w:r w:rsidRPr="00EF0300">
        <w:rPr>
          <w:rFonts w:ascii="Times New Roman" w:hAnsi="Times New Roman" w:cs="Times New Roman"/>
          <w:sz w:val="20"/>
          <w:szCs w:val="20"/>
        </w:rPr>
        <w:t xml:space="preserve">, is estimated at 4.5 million metric tonnes (FAO data). Farming occurs primarily in tropical and subtropical countries though some production in recirculation systems has started in other regions. </w:t>
      </w:r>
      <w:r w:rsidRPr="00EF0300">
        <w:rPr>
          <w:rFonts w:ascii="Times New Roman" w:hAnsi="Times New Roman" w:cs="Times New Roman"/>
          <w:i/>
          <w:sz w:val="20"/>
          <w:szCs w:val="20"/>
        </w:rPr>
        <w:t xml:space="preserve">O. </w:t>
      </w:r>
      <w:proofErr w:type="spellStart"/>
      <w:r w:rsidRPr="00EF0300">
        <w:rPr>
          <w:rFonts w:ascii="Times New Roman" w:hAnsi="Times New Roman" w:cs="Times New Roman"/>
          <w:i/>
          <w:sz w:val="20"/>
          <w:szCs w:val="20"/>
        </w:rPr>
        <w:t>niloticus</w:t>
      </w:r>
      <w:proofErr w:type="spellEnd"/>
      <w:r w:rsidRPr="00EF0300">
        <w:rPr>
          <w:rFonts w:ascii="Times New Roman" w:hAnsi="Times New Roman" w:cs="Times New Roman"/>
          <w:sz w:val="20"/>
          <w:szCs w:val="20"/>
        </w:rPr>
        <w:t xml:space="preserve"> was first introduced to developing countries to support subsistence farming. However, larger scale commercial production is now important and frozen fillet and other tilapia products are traded globally. </w:t>
      </w:r>
      <w:r w:rsidRPr="00EF0300">
        <w:rPr>
          <w:rFonts w:ascii="Times New Roman" w:hAnsi="Times New Roman" w:cs="Times New Roman"/>
          <w:sz w:val="20"/>
          <w:szCs w:val="20"/>
        </w:rPr>
        <w:br w:type="page"/>
      </w:r>
    </w:p>
    <w:p w14:paraId="0C79DE54" w14:textId="77777777" w:rsidR="00EF0300" w:rsidRPr="00EF0300" w:rsidRDefault="00EF0300" w:rsidP="00EF0300">
      <w:pPr>
        <w:spacing w:after="240" w:line="240" w:lineRule="auto"/>
        <w:jc w:val="both"/>
        <w:rPr>
          <w:rFonts w:ascii="Times New Roman" w:hAnsi="Times New Roman" w:cs="Times New Roman"/>
          <w:b/>
          <w:i/>
          <w:iCs/>
          <w:sz w:val="20"/>
          <w:szCs w:val="20"/>
        </w:rPr>
      </w:pPr>
      <w:r w:rsidRPr="00EF0300">
        <w:rPr>
          <w:rFonts w:ascii="Times New Roman" w:hAnsi="Times New Roman" w:cs="Times New Roman"/>
          <w:b/>
          <w:bCs/>
          <w:sz w:val="20"/>
          <w:szCs w:val="20"/>
        </w:rPr>
        <w:lastRenderedPageBreak/>
        <w:t xml:space="preserve">Assessment of </w:t>
      </w:r>
      <w:proofErr w:type="spellStart"/>
      <w:r w:rsidRPr="00EF0300">
        <w:rPr>
          <w:rFonts w:ascii="Times New Roman" w:hAnsi="Times New Roman" w:cs="Times New Roman"/>
          <w:b/>
          <w:bCs/>
          <w:sz w:val="20"/>
          <w:szCs w:val="20"/>
        </w:rPr>
        <w:t>TiLV</w:t>
      </w:r>
      <w:proofErr w:type="spellEnd"/>
      <w:r w:rsidRPr="00EF0300">
        <w:rPr>
          <w:rFonts w:ascii="Times New Roman" w:hAnsi="Times New Roman" w:cs="Times New Roman"/>
          <w:b/>
          <w:bCs/>
          <w:sz w:val="20"/>
          <w:szCs w:val="20"/>
        </w:rPr>
        <w:t xml:space="preserve"> using</w:t>
      </w:r>
      <w:r w:rsidRPr="00EF0300">
        <w:rPr>
          <w:rFonts w:ascii="Times New Roman" w:hAnsi="Times New Roman" w:cs="Times New Roman"/>
          <w:b/>
          <w:sz w:val="20"/>
          <w:szCs w:val="20"/>
        </w:rPr>
        <w:t xml:space="preserve"> the new criteria for listing aquatic animal diseases in Chapter 1.2. of the </w:t>
      </w:r>
      <w:r w:rsidRPr="00EF0300">
        <w:rPr>
          <w:rFonts w:ascii="Times New Roman" w:hAnsi="Times New Roman" w:cs="Times New Roman"/>
          <w:b/>
          <w:i/>
          <w:iCs/>
          <w:sz w:val="20"/>
          <w:szCs w:val="20"/>
        </w:rPr>
        <w:t>Aquatic</w:t>
      </w:r>
      <w:r w:rsidRPr="00EF0300">
        <w:rPr>
          <w:rFonts w:ascii="Times New Roman" w:hAnsi="Times New Roman" w:cs="Times New Roman"/>
          <w:b/>
          <w:sz w:val="20"/>
          <w:szCs w:val="20"/>
        </w:rPr>
        <w:t xml:space="preserve"> </w:t>
      </w:r>
      <w:r w:rsidRPr="00EF0300">
        <w:rPr>
          <w:rFonts w:ascii="Times New Roman" w:hAnsi="Times New Roman" w:cs="Times New Roman"/>
          <w:b/>
          <w:i/>
          <w:iCs/>
          <w:sz w:val="20"/>
          <w:szCs w:val="20"/>
        </w:rPr>
        <w:t>Code</w:t>
      </w:r>
    </w:p>
    <w:p w14:paraId="3A52FC81" w14:textId="77777777" w:rsidR="00EF0300" w:rsidRPr="00EF0300" w:rsidRDefault="00EF0300" w:rsidP="00EF0300">
      <w:pPr>
        <w:spacing w:after="240" w:line="240" w:lineRule="auto"/>
        <w:jc w:val="both"/>
        <w:rPr>
          <w:rFonts w:ascii="Times New Roman" w:hAnsi="Times New Roman" w:cs="Times New Roman"/>
          <w:b/>
          <w:color w:val="000000"/>
          <w:sz w:val="20"/>
          <w:szCs w:val="20"/>
          <w:shd w:val="clear" w:color="auto" w:fill="FFFFFF"/>
        </w:rPr>
      </w:pPr>
      <w:r w:rsidRPr="00EF0300">
        <w:rPr>
          <w:rFonts w:ascii="Times New Roman" w:hAnsi="Times New Roman" w:cs="Times New Roman"/>
          <w:b/>
          <w:color w:val="000000"/>
          <w:sz w:val="20"/>
          <w:szCs w:val="20"/>
          <w:shd w:val="clear" w:color="auto" w:fill="FFFFFF"/>
        </w:rPr>
        <w:t xml:space="preserve">Criterion No. 1 International spread of the pathogenic agent (via aquatic animals, aquatic animal products, </w:t>
      </w:r>
      <w:proofErr w:type="gramStart"/>
      <w:r w:rsidRPr="00EF0300">
        <w:rPr>
          <w:rFonts w:ascii="Times New Roman" w:hAnsi="Times New Roman" w:cs="Times New Roman"/>
          <w:b/>
          <w:color w:val="000000"/>
          <w:sz w:val="20"/>
          <w:szCs w:val="20"/>
          <w:shd w:val="clear" w:color="auto" w:fill="FFFFFF"/>
        </w:rPr>
        <w:t>vectors</w:t>
      </w:r>
      <w:proofErr w:type="gramEnd"/>
      <w:r w:rsidRPr="00EF0300">
        <w:rPr>
          <w:rFonts w:ascii="Times New Roman" w:hAnsi="Times New Roman" w:cs="Times New Roman"/>
          <w:b/>
          <w:color w:val="000000"/>
          <w:sz w:val="20"/>
          <w:szCs w:val="20"/>
          <w:shd w:val="clear" w:color="auto" w:fill="FFFFFF"/>
        </w:rPr>
        <w:t xml:space="preserve"> or fomites) is likely. </w:t>
      </w:r>
    </w:p>
    <w:p w14:paraId="1CADBF5A" w14:textId="77777777" w:rsidR="00EF0300" w:rsidRPr="00EF0300" w:rsidRDefault="00EF0300" w:rsidP="00EF0300">
      <w:pPr>
        <w:spacing w:after="240" w:line="240" w:lineRule="auto"/>
        <w:jc w:val="both"/>
        <w:rPr>
          <w:rFonts w:ascii="Times New Roman" w:hAnsi="Times New Roman" w:cs="Times New Roman"/>
          <w:i/>
          <w:sz w:val="20"/>
          <w:szCs w:val="20"/>
        </w:rPr>
      </w:pPr>
      <w:r w:rsidRPr="00EF0300">
        <w:rPr>
          <w:rFonts w:ascii="Times New Roman" w:hAnsi="Times New Roman" w:cs="Times New Roman"/>
          <w:i/>
          <w:sz w:val="20"/>
          <w:szCs w:val="20"/>
        </w:rPr>
        <w:t>Assessment</w:t>
      </w:r>
    </w:p>
    <w:p w14:paraId="5092950B" w14:textId="10459740" w:rsidR="00EF0300" w:rsidRDefault="00EF0300" w:rsidP="00EF0300">
      <w:pPr>
        <w:spacing w:after="240" w:line="240" w:lineRule="auto"/>
        <w:jc w:val="both"/>
        <w:rPr>
          <w:rFonts w:ascii="Times New Roman" w:hAnsi="Times New Roman" w:cs="Times New Roman"/>
          <w:sz w:val="20"/>
          <w:szCs w:val="20"/>
        </w:rPr>
      </w:pPr>
      <w:proofErr w:type="spellStart"/>
      <w:r w:rsidRPr="00EF0300">
        <w:rPr>
          <w:rFonts w:ascii="Times New Roman" w:hAnsi="Times New Roman" w:cs="Times New Roman"/>
          <w:color w:val="000000"/>
          <w:sz w:val="20"/>
          <w:szCs w:val="20"/>
        </w:rPr>
        <w:t>TiLV</w:t>
      </w:r>
      <w:proofErr w:type="spellEnd"/>
      <w:r w:rsidRPr="00EF0300">
        <w:rPr>
          <w:rFonts w:ascii="Times New Roman" w:hAnsi="Times New Roman" w:cs="Times New Roman"/>
          <w:color w:val="000000"/>
          <w:sz w:val="20"/>
          <w:szCs w:val="20"/>
        </w:rPr>
        <w:t xml:space="preserve"> has been reported in Bangladesh, Chinese Taipei, Colombia, Ecuador, </w:t>
      </w:r>
      <w:r w:rsidRPr="00EF0300">
        <w:rPr>
          <w:rFonts w:ascii="Times New Roman" w:hAnsi="Times New Roman" w:cs="Times New Roman"/>
          <w:bCs/>
          <w:color w:val="000000"/>
          <w:sz w:val="20"/>
          <w:szCs w:val="20"/>
        </w:rPr>
        <w:t xml:space="preserve">Egypt, India, Indonesia, </w:t>
      </w:r>
      <w:r w:rsidRPr="00EF0300">
        <w:rPr>
          <w:rFonts w:ascii="Times New Roman" w:hAnsi="Times New Roman" w:cs="Times New Roman"/>
          <w:color w:val="000000"/>
          <w:sz w:val="20"/>
          <w:szCs w:val="20"/>
        </w:rPr>
        <w:t xml:space="preserve">Israel, Malaysia, Mexico, Peru, Philippines, Tanzania, </w:t>
      </w:r>
      <w:r w:rsidRPr="00EF0300">
        <w:rPr>
          <w:rFonts w:ascii="Times New Roman" w:hAnsi="Times New Roman" w:cs="Times New Roman"/>
          <w:bCs/>
          <w:color w:val="000000"/>
          <w:sz w:val="20"/>
          <w:szCs w:val="20"/>
        </w:rPr>
        <w:t xml:space="preserve">Thailand, </w:t>
      </w:r>
      <w:r w:rsidRPr="00EF0300">
        <w:rPr>
          <w:rFonts w:ascii="Times New Roman" w:hAnsi="Times New Roman" w:cs="Times New Roman"/>
          <w:color w:val="000000"/>
          <w:sz w:val="20"/>
          <w:szCs w:val="20"/>
        </w:rPr>
        <w:t>Uganda</w:t>
      </w:r>
      <w:r w:rsidRPr="00EF0300">
        <w:rPr>
          <w:rFonts w:ascii="Times New Roman" w:hAnsi="Times New Roman" w:cs="Times New Roman"/>
          <w:bCs/>
          <w:color w:val="000000"/>
          <w:sz w:val="20"/>
          <w:szCs w:val="20"/>
        </w:rPr>
        <w:t xml:space="preserve"> and the United States of America </w:t>
      </w:r>
      <w:r w:rsidRPr="00EF0300">
        <w:rPr>
          <w:rFonts w:ascii="Times New Roman" w:hAnsi="Times New Roman" w:cs="Times New Roman"/>
          <w:bCs/>
          <w:color w:val="000000"/>
          <w:sz w:val="20"/>
          <w:szCs w:val="20"/>
        </w:rPr>
        <w:fldChar w:fldCharType="begin" w:fldLock="1"/>
      </w:r>
      <w:r w:rsidRPr="00EF0300">
        <w:rPr>
          <w:rFonts w:ascii="Times New Roman" w:hAnsi="Times New Roman" w:cs="Times New Roman"/>
          <w:bCs/>
          <w:color w:val="000000"/>
          <w:sz w:val="20"/>
          <w:szCs w:val="20"/>
        </w:rPr>
        <w:instrText xml:space="preserve">ADDIN CSL_CITATION { "citationItems" : [ { "id" : "ITEM-1", "itemData" : { "DOI" : "10.1128/mBio.00431-16", "ISSN" : "2150-7511", "abstract" : "ABSTRACTTilapia are an important global food source due to their omnivorous diet, tolerance for high-density aquaculture, and relative disease resistance. Since 2009, tilapia aquaculture has been threatened by mass die-offs in farmed fish in Israel and Ecuador. Here we report evidence implicating a novel orthomyxo-like virus in these outbreaks. The tilapia lake virus (TiLV) has a 10-segment, negative-sense RNA genome. The largest segment, segment 1, contains an open reading frame with weak sequence homology to the influenza C virus PB1 subunit. The other nine segments showed no homology to other viruses but have conserved, complementary sequences at their 5' and 3' termini, consistent with the genome organization found in other orthomyxoviruses. In situ hybridization indicates TiLV replication and transcription at sites of pathology in the liver and central nervous system of tilapia with disease. IMPORTANCE The economic impact of worldwide trade in tilapia is estimated at $7.5 billion U.S. dollars (USD) annually. The infectious agent implicated in mass tilapia die-offs in two continents poses a threat to the global tilapia industry, which not only provides inexpensive dietary protein but also is a major employer in the developing world. Here we report characterization of the causative agent as a novel orthomyxo-like virus, tilapia lake virus (TiLV). We also describe complete genomic and protein sequences that will facilitate TiLV detection and containment and enable vaccine development. IMPORTANCEThe economic impact of worldwide trade in tilapia is estimated at $7.5 billion U.S. dollars (USD) annually. The infectious agent implicated in mass tilapia die-offs in two continents poses a threat to the global tilapia industry, which not only provides inexpensive dietary protein but also is a major employer in the developing world. Here we report characterization of the causative agent as a novel orthomyxo-like virus, tilapia lake virus (TiLV). We also describe complete genomic and protein sequences that will facilitate TiLV detection and containment and enable vaccine development.", "author" : [ { "dropping-particle" : "", "family" : "Bacharach", "given" : "Eran", "non-dropping-particle" : "", "parse-names" : false, "suffix" : "" }, { "dropping-particle" : "", "family" : "Mishra", "given" : "Nischay", "non-dropping-particle" : "", "parse-names" : false, "suffix" : "" }, { "dropping-particle" : "", "family" : "Briese", "given" : "Thomas", "non-dropping-particle" : "", "parse-names" : false, "suffix" : "" }, { "dropping-particle" : "", "family" : "Zody", "given" : "Michael C.", "non-dropping-particle" : "", "parse-names" : false, "suffix" : "" }, { "dropping-particle" : "", "family" : "Kembou Tsofack", "given" : "Japhette Esther", "non-dropping-particle" : "", "parse-names" : false, "suffix" </w:instrText>
      </w:r>
      <w:r w:rsidRPr="00EF0300">
        <w:rPr>
          <w:rFonts w:ascii="Times New Roman" w:hAnsi="Times New Roman" w:cs="Times New Roman"/>
          <w:color w:val="000000"/>
          <w:sz w:val="20"/>
          <w:szCs w:val="20"/>
        </w:rPr>
        <w:instrText xml:space="preserve">: "" }, { "dropping-particle" : "", "family" : "Zamostiano", "given" : "Rachel", "non-dropping-particle" : "", "parse-names" : false, "suffix" : "" }, { "dropping-particle" : "", "family" : "Berkowitz", "given" : "Asaf", "non-dropping-particle" : "", "parse-names" : false, "suffix" : "" }, { "dropping-particle" : "", "family" : "Ng", "given" : "James", "non-dropping-particle" : "", "parse-names" : false, "suffix" : "" }, { "dropping-particle" : "", "family" : "Nitido", "given" : "Adam", "non-dropping-particle" : "", "parse-names" : false, "suffix" : "" }, { "dropping-particle" : "", "family" : "Corvelo", "given" : "Andr\u00e9", "non-dropping-particle" : "", "parse-names" : false, "suffix" : "" }, { "dropping-particle" : "", "family" : "Toussaint", "given" : "Nora C.", "non-dropping-particle" : "", "parse-names" : false, "suffix" : "" }, { "dropping-particle" : "", "family" : "Abel Nielsen", "given" : "Sandra Cathrine", "non-dropping-particle" : "", "parse-names" : false, "suffix" : "" }, { "dropping-particle" : "", "family" : "Hornig", "given" </w:instrText>
      </w:r>
      <w:r w:rsidRPr="00EF0300">
        <w:rPr>
          <w:rFonts w:ascii="Times New Roman" w:hAnsi="Times New Roman" w:cs="Times New Roman"/>
          <w:bCs/>
          <w:color w:val="000000"/>
          <w:sz w:val="20"/>
          <w:szCs w:val="20"/>
          <w:lang w:val="fr-FR"/>
        </w:rPr>
        <w:instrText>: "Mady", "non-dropping-particle" : "", "parse-names" : false, "suffix" : "" }, { "dropping-particle" : "", "family" : "Pozo", "given" : "Jorge", "non-dropping-particle" : "Del", "parse-names" : false, "suffix" : "" }, { "dropping-particle" : "", "family" : "Bloom", "given" : "Toby", "non-dropping-particle" : "", "parse-names" : false, "suffix" : "" }, { "dropping-particle" : "", "family" : "Ferguson", "given" : "Hugh", "non-dropping-particle" : "", "parse-names" : false, "suffix" : "" }, { "dropping-particle" : "", "family" : "Eldar", "given" : "Avi", "non-dropping-particle" : "", "parse-names" : false, "suffix" : "" }, { "dropping-particle" : "", "family" : "Lipkin", "given" : "W. Ian", "non-dropping-particle" : "", "parse-names" : false, "suffix" : "" } ], "container-title" : "mBio", "id" : "ITEM-1", "issue" : "2", "issued" : { "date-parts" : [ [ "2016" ] ] }, "page" : "e00431-16", "title" : "Characterization of a Novel Orthomyxo-like Virus Causing Mass Die-Offs of Tilapia", "type" : "article-journal", "volume" : "7" }, "uris" : [ "http://www.mendeley.com/documents/?uuid=05e1184a-a3dd-47e4-ba45-ad133d3e22dc" ] } ], "mendeley" : { "formattedCitation" : "(Bacharach et al., 2016)", "manualFormatting" : "(Bacharach et al., 2016", "plainTextFormattedCitation" : "(Bacharach et al., 2016)", "previouslyFormattedCitation" : "(Bacharach et al., 2016)" }, "properties" : { "noteIndex" : 0 }, "schema" : "https://github.com/citation-style-language/schema/raw/master/csl-citation.json" }</w:instrText>
      </w:r>
      <w:r w:rsidRPr="00EF0300">
        <w:rPr>
          <w:rFonts w:ascii="Times New Roman" w:hAnsi="Times New Roman" w:cs="Times New Roman"/>
          <w:bCs/>
          <w:color w:val="000000"/>
          <w:sz w:val="20"/>
          <w:szCs w:val="20"/>
        </w:rPr>
        <w:fldChar w:fldCharType="separate"/>
      </w:r>
      <w:r w:rsidRPr="00EF0300">
        <w:rPr>
          <w:rFonts w:ascii="Times New Roman" w:hAnsi="Times New Roman" w:cs="Times New Roman"/>
          <w:bCs/>
          <w:noProof/>
          <w:color w:val="000000"/>
          <w:sz w:val="20"/>
          <w:szCs w:val="20"/>
          <w:lang w:val="fr-FR"/>
        </w:rPr>
        <w:t xml:space="preserve">(Ahasan </w:t>
      </w:r>
      <w:r w:rsidRPr="00EF0300">
        <w:rPr>
          <w:rFonts w:ascii="Times New Roman" w:hAnsi="Times New Roman" w:cs="Times New Roman"/>
          <w:bCs/>
          <w:i/>
          <w:iCs/>
          <w:noProof/>
          <w:color w:val="000000"/>
          <w:sz w:val="20"/>
          <w:szCs w:val="20"/>
          <w:lang w:val="fr-FR"/>
        </w:rPr>
        <w:t>et al</w:t>
      </w:r>
      <w:r w:rsidRPr="00EF0300">
        <w:rPr>
          <w:rFonts w:ascii="Times New Roman" w:hAnsi="Times New Roman" w:cs="Times New Roman"/>
          <w:bCs/>
          <w:noProof/>
          <w:color w:val="000000"/>
          <w:sz w:val="20"/>
          <w:szCs w:val="20"/>
          <w:lang w:val="fr-FR"/>
        </w:rPr>
        <w:t xml:space="preserve">., 2020, Amal </w:t>
      </w:r>
      <w:r w:rsidRPr="00EF0300">
        <w:rPr>
          <w:rFonts w:ascii="Times New Roman" w:hAnsi="Times New Roman" w:cs="Times New Roman"/>
          <w:bCs/>
          <w:i/>
          <w:iCs/>
          <w:noProof/>
          <w:color w:val="000000"/>
          <w:sz w:val="20"/>
          <w:szCs w:val="20"/>
          <w:lang w:val="fr-FR"/>
        </w:rPr>
        <w:t>et</w:t>
      </w:r>
      <w:r w:rsidRPr="00EF0300">
        <w:rPr>
          <w:rFonts w:ascii="Times New Roman" w:hAnsi="Times New Roman" w:cs="Times New Roman"/>
          <w:bCs/>
          <w:noProof/>
          <w:color w:val="000000"/>
          <w:sz w:val="20"/>
          <w:szCs w:val="20"/>
          <w:lang w:val="fr-FR"/>
        </w:rPr>
        <w:t xml:space="preserve"> </w:t>
      </w:r>
      <w:r w:rsidRPr="00EF0300">
        <w:rPr>
          <w:rFonts w:ascii="Times New Roman" w:hAnsi="Times New Roman" w:cs="Times New Roman"/>
          <w:bCs/>
          <w:i/>
          <w:iCs/>
          <w:noProof/>
          <w:color w:val="000000"/>
          <w:sz w:val="20"/>
          <w:szCs w:val="20"/>
          <w:lang w:val="fr-FR"/>
        </w:rPr>
        <w:t>al</w:t>
      </w:r>
      <w:r w:rsidRPr="00EF0300">
        <w:rPr>
          <w:rFonts w:ascii="Times New Roman" w:hAnsi="Times New Roman" w:cs="Times New Roman"/>
          <w:bCs/>
          <w:noProof/>
          <w:color w:val="000000"/>
          <w:sz w:val="20"/>
          <w:szCs w:val="20"/>
          <w:lang w:val="fr-FR"/>
        </w:rPr>
        <w:t xml:space="preserve">., 2018, Bacharach </w:t>
      </w:r>
      <w:r w:rsidRPr="00EF0300">
        <w:rPr>
          <w:rFonts w:ascii="Times New Roman" w:hAnsi="Times New Roman" w:cs="Times New Roman"/>
          <w:bCs/>
          <w:i/>
          <w:noProof/>
          <w:color w:val="000000"/>
          <w:sz w:val="20"/>
          <w:szCs w:val="20"/>
          <w:lang w:val="fr-FR"/>
        </w:rPr>
        <w:t>et al.</w:t>
      </w:r>
      <w:r w:rsidRPr="00EF0300">
        <w:rPr>
          <w:rFonts w:ascii="Times New Roman" w:hAnsi="Times New Roman" w:cs="Times New Roman"/>
          <w:bCs/>
          <w:noProof/>
          <w:color w:val="000000"/>
          <w:sz w:val="20"/>
          <w:szCs w:val="20"/>
          <w:lang w:val="fr-FR"/>
        </w:rPr>
        <w:t>, 2016</w:t>
      </w:r>
      <w:r w:rsidRPr="00EF0300">
        <w:rPr>
          <w:rFonts w:ascii="Times New Roman" w:hAnsi="Times New Roman" w:cs="Times New Roman"/>
          <w:color w:val="000000"/>
          <w:sz w:val="20"/>
          <w:szCs w:val="20"/>
        </w:rPr>
        <w:fldChar w:fldCharType="end"/>
      </w:r>
      <w:r w:rsidRPr="00EF0300">
        <w:rPr>
          <w:rFonts w:ascii="Times New Roman" w:hAnsi="Times New Roman" w:cs="Times New Roman"/>
          <w:color w:val="000000"/>
          <w:sz w:val="20"/>
          <w:szCs w:val="20"/>
          <w:lang w:val="fr-FR"/>
        </w:rPr>
        <w:t>;</w:t>
      </w:r>
      <w:r w:rsidRPr="00EF0300">
        <w:rPr>
          <w:rFonts w:ascii="Times New Roman" w:hAnsi="Times New Roman" w:cs="Times New Roman"/>
          <w:bCs/>
          <w:color w:val="000000"/>
          <w:sz w:val="20"/>
          <w:szCs w:val="20"/>
          <w:lang w:val="fr-FR"/>
        </w:rPr>
        <w:t xml:space="preserve"> </w:t>
      </w:r>
      <w:proofErr w:type="spellStart"/>
      <w:r w:rsidRPr="00EF0300">
        <w:rPr>
          <w:rFonts w:ascii="Times New Roman" w:hAnsi="Times New Roman" w:cs="Times New Roman"/>
          <w:bCs/>
          <w:color w:val="000000"/>
          <w:sz w:val="20"/>
          <w:szCs w:val="20"/>
          <w:lang w:val="fr-FR"/>
        </w:rPr>
        <w:t>Behera</w:t>
      </w:r>
      <w:proofErr w:type="spellEnd"/>
      <w:r w:rsidRPr="00EF0300">
        <w:rPr>
          <w:rFonts w:ascii="Times New Roman" w:hAnsi="Times New Roman" w:cs="Times New Roman"/>
          <w:bCs/>
          <w:color w:val="000000"/>
          <w:sz w:val="20"/>
          <w:szCs w:val="20"/>
          <w:lang w:val="fr-FR"/>
        </w:rPr>
        <w:t xml:space="preserve"> </w:t>
      </w:r>
      <w:r w:rsidRPr="00EF0300">
        <w:rPr>
          <w:rFonts w:ascii="Times New Roman" w:hAnsi="Times New Roman" w:cs="Times New Roman"/>
          <w:bCs/>
          <w:i/>
          <w:iCs/>
          <w:color w:val="000000"/>
          <w:sz w:val="20"/>
          <w:szCs w:val="20"/>
          <w:lang w:val="fr-FR"/>
        </w:rPr>
        <w:t>et al</w:t>
      </w:r>
      <w:r w:rsidRPr="00EF0300">
        <w:rPr>
          <w:rFonts w:ascii="Times New Roman" w:hAnsi="Times New Roman" w:cs="Times New Roman"/>
          <w:bCs/>
          <w:color w:val="000000"/>
          <w:sz w:val="20"/>
          <w:szCs w:val="20"/>
          <w:lang w:val="fr-FR"/>
        </w:rPr>
        <w:t xml:space="preserve">., 2018; Chaput </w:t>
      </w:r>
      <w:r w:rsidRPr="00EF0300">
        <w:rPr>
          <w:rFonts w:ascii="Times New Roman" w:hAnsi="Times New Roman" w:cs="Times New Roman"/>
          <w:bCs/>
          <w:i/>
          <w:iCs/>
          <w:color w:val="000000"/>
          <w:sz w:val="20"/>
          <w:szCs w:val="20"/>
          <w:lang w:val="fr-FR"/>
        </w:rPr>
        <w:t>et al</w:t>
      </w:r>
      <w:r w:rsidRPr="00EF0300">
        <w:rPr>
          <w:rFonts w:ascii="Times New Roman" w:hAnsi="Times New Roman" w:cs="Times New Roman"/>
          <w:bCs/>
          <w:color w:val="000000"/>
          <w:sz w:val="20"/>
          <w:szCs w:val="20"/>
          <w:lang w:val="fr-FR"/>
        </w:rPr>
        <w:t xml:space="preserve">., 2020; Dong </w:t>
      </w:r>
      <w:r w:rsidRPr="00EF0300">
        <w:rPr>
          <w:rFonts w:ascii="Times New Roman" w:hAnsi="Times New Roman" w:cs="Times New Roman"/>
          <w:bCs/>
          <w:i/>
          <w:color w:val="000000"/>
          <w:sz w:val="20"/>
          <w:szCs w:val="20"/>
          <w:lang w:val="fr-FR"/>
        </w:rPr>
        <w:t>et al.</w:t>
      </w:r>
      <w:r w:rsidRPr="00EF0300">
        <w:rPr>
          <w:rFonts w:ascii="Times New Roman" w:hAnsi="Times New Roman" w:cs="Times New Roman"/>
          <w:bCs/>
          <w:color w:val="000000"/>
          <w:sz w:val="20"/>
          <w:szCs w:val="20"/>
          <w:lang w:val="fr-FR"/>
        </w:rPr>
        <w:t xml:space="preserve">, 2017; Fathi </w:t>
      </w:r>
      <w:r w:rsidRPr="00EF0300">
        <w:rPr>
          <w:rFonts w:ascii="Times New Roman" w:hAnsi="Times New Roman" w:cs="Times New Roman"/>
          <w:bCs/>
          <w:i/>
          <w:color w:val="000000"/>
          <w:sz w:val="20"/>
          <w:szCs w:val="20"/>
          <w:lang w:val="fr-FR"/>
        </w:rPr>
        <w:t>et al.</w:t>
      </w:r>
      <w:r w:rsidRPr="00EF0300">
        <w:rPr>
          <w:rFonts w:ascii="Times New Roman" w:hAnsi="Times New Roman" w:cs="Times New Roman"/>
          <w:bCs/>
          <w:color w:val="000000"/>
          <w:sz w:val="20"/>
          <w:szCs w:val="20"/>
          <w:lang w:val="fr-FR"/>
        </w:rPr>
        <w:t xml:space="preserve">, 2017, </w:t>
      </w:r>
      <w:r w:rsidRPr="00EF0300">
        <w:rPr>
          <w:rFonts w:ascii="Times New Roman" w:hAnsi="Times New Roman" w:cs="Times New Roman"/>
          <w:bCs/>
          <w:color w:val="000000"/>
          <w:sz w:val="20"/>
          <w:szCs w:val="20"/>
        </w:rPr>
        <w:fldChar w:fldCharType="begin" w:fldLock="1"/>
      </w:r>
      <w:r w:rsidRPr="00EF0300">
        <w:rPr>
          <w:rFonts w:ascii="Times New Roman" w:hAnsi="Times New Roman" w:cs="Times New Roman"/>
          <w:bCs/>
          <w:color w:val="000000"/>
          <w:sz w:val="20"/>
          <w:szCs w:val="20"/>
          <w:lang w:val="fr-FR"/>
        </w:rPr>
        <w:instrText>ADDIN CSL_CITATION { "citationItems" : [ { "id" : "ITEM-1", "itemData" : { "DOI" : "10.1111/jfd.12142", "ISSN" : "13652761", "PMID" : "23802941", "author" : [ { "dropping-particle" : "", "family" : "Ferguson", "given" : "H. W.", "non-dropping-particle" : "", "parse-names" : false, "suffix" : "" }, { "dropping-particle" : "", "family" : "Kabuusu", "given" : "R.", "non-dropping-particle" : "", "parse-names" : false, "suffix" : "" }, { "dropping-particle" : "", "family" : "Beltran", "given" : "S.", "non-dropping-particle" : "", "parse-names" : false, "suffix" : "" }, { "dropping-particle" : "", "family" : "Reyes", "given" : "E.", "non-dropping-particle" : "", "parse-names" : false, "suffix" : "" }, { "dropping-particle" : "", "family" : "Lince", "given" : "J. A.", "non-dropping-particle" : "", "parse-names" : false, "suffix" : "" }, { "dropping-particle" : "", "family" : "Pozo", "given" : "J.", "non-dropping-particle" : "del", "parse-names" : false, "suffix" : "" } ], "container-title" : "Journal of Fish Diseases", "id" : "ITEM-1", "issue" : "6", "issued" : { "date-parts" : [ [ "2014" ] ] }, "page" : "583-589", "title" : "Syncytial hepatitis of farmed tilapia, Oreochromis niloticus (L.): A case report", "type" : "article-journal", "volume" : "37" }, "uris" : [ "http://www.mendeley.com/documents/?uuid=51b1c429-73eb-4298-85fe-8259ac151d64" ] } ], "mendeley" : { "formattedCitation" : "(Ferguson et al., 2014)", "manualFormatting" : "Ferguson et al., 2014)", "plainTextFormattedCitation" : "(Ferguson et al., 2014)", "previouslyFormattedCitation" : "(Ferguson et al., 2014)" }, "properties" : { "noteIndex" : 0 }, "schema" : "https://github.com/citation-style-language/schema/raw/master/csl-citation.json" }</w:instrText>
      </w:r>
      <w:r w:rsidRPr="00EF0300">
        <w:rPr>
          <w:rFonts w:ascii="Times New Roman" w:hAnsi="Times New Roman" w:cs="Times New Roman"/>
          <w:bCs/>
          <w:color w:val="000000"/>
          <w:sz w:val="20"/>
          <w:szCs w:val="20"/>
        </w:rPr>
        <w:fldChar w:fldCharType="separate"/>
      </w:r>
      <w:r w:rsidRPr="00EF0300">
        <w:rPr>
          <w:rFonts w:ascii="Times New Roman" w:hAnsi="Times New Roman" w:cs="Times New Roman"/>
          <w:bCs/>
          <w:noProof/>
          <w:color w:val="000000"/>
          <w:sz w:val="20"/>
          <w:szCs w:val="20"/>
          <w:lang w:val="fr-FR"/>
        </w:rPr>
        <w:t xml:space="preserve">Ferguson </w:t>
      </w:r>
      <w:r w:rsidRPr="00EF0300">
        <w:rPr>
          <w:rFonts w:ascii="Times New Roman" w:hAnsi="Times New Roman" w:cs="Times New Roman"/>
          <w:bCs/>
          <w:i/>
          <w:noProof/>
          <w:color w:val="000000"/>
          <w:sz w:val="20"/>
          <w:szCs w:val="20"/>
          <w:lang w:val="fr-FR"/>
        </w:rPr>
        <w:t>et al.</w:t>
      </w:r>
      <w:r w:rsidRPr="00EF0300">
        <w:rPr>
          <w:rFonts w:ascii="Times New Roman" w:hAnsi="Times New Roman" w:cs="Times New Roman"/>
          <w:bCs/>
          <w:noProof/>
          <w:color w:val="000000"/>
          <w:sz w:val="20"/>
          <w:szCs w:val="20"/>
          <w:lang w:val="fr-FR"/>
        </w:rPr>
        <w:t>, 2014</w:t>
      </w:r>
      <w:r w:rsidRPr="00EF0300">
        <w:rPr>
          <w:rFonts w:ascii="Times New Roman" w:hAnsi="Times New Roman" w:cs="Times New Roman"/>
          <w:color w:val="000000"/>
          <w:sz w:val="20"/>
          <w:szCs w:val="20"/>
        </w:rPr>
        <w:fldChar w:fldCharType="end"/>
      </w:r>
      <w:r w:rsidRPr="00EF0300">
        <w:rPr>
          <w:rFonts w:ascii="Times New Roman" w:hAnsi="Times New Roman" w:cs="Times New Roman"/>
          <w:color w:val="000000"/>
          <w:sz w:val="20"/>
          <w:szCs w:val="20"/>
          <w:lang w:val="fr-FR"/>
        </w:rPr>
        <w:t>;</w:t>
      </w:r>
      <w:r w:rsidRPr="00EF0300">
        <w:rPr>
          <w:rFonts w:ascii="Times New Roman" w:hAnsi="Times New Roman" w:cs="Times New Roman"/>
          <w:bCs/>
          <w:color w:val="000000"/>
          <w:sz w:val="20"/>
          <w:szCs w:val="20"/>
          <w:lang w:val="fr-FR"/>
        </w:rPr>
        <w:t xml:space="preserve"> </w:t>
      </w:r>
      <w:proofErr w:type="spellStart"/>
      <w:r w:rsidRPr="00EF0300">
        <w:rPr>
          <w:rFonts w:ascii="Times New Roman" w:hAnsi="Times New Roman" w:cs="Times New Roman"/>
          <w:bCs/>
          <w:color w:val="000000"/>
          <w:sz w:val="20"/>
          <w:szCs w:val="20"/>
          <w:lang w:val="fr-FR"/>
        </w:rPr>
        <w:t>Koesharyani</w:t>
      </w:r>
      <w:proofErr w:type="spellEnd"/>
      <w:r w:rsidRPr="00EF0300">
        <w:rPr>
          <w:rFonts w:ascii="Times New Roman" w:hAnsi="Times New Roman" w:cs="Times New Roman"/>
          <w:bCs/>
          <w:color w:val="000000"/>
          <w:sz w:val="20"/>
          <w:szCs w:val="20"/>
          <w:lang w:val="fr-FR"/>
        </w:rPr>
        <w:t> </w:t>
      </w:r>
      <w:r w:rsidRPr="00EF0300">
        <w:rPr>
          <w:rFonts w:ascii="Times New Roman" w:hAnsi="Times New Roman" w:cs="Times New Roman"/>
          <w:bCs/>
          <w:i/>
          <w:iCs/>
          <w:color w:val="000000"/>
          <w:sz w:val="20"/>
          <w:szCs w:val="20"/>
          <w:lang w:val="fr-FR"/>
        </w:rPr>
        <w:t>et al</w:t>
      </w:r>
      <w:r w:rsidRPr="00EF0300">
        <w:rPr>
          <w:rFonts w:ascii="Times New Roman" w:hAnsi="Times New Roman" w:cs="Times New Roman"/>
          <w:bCs/>
          <w:color w:val="000000"/>
          <w:sz w:val="20"/>
          <w:szCs w:val="20"/>
          <w:lang w:val="fr-FR"/>
        </w:rPr>
        <w:t xml:space="preserve">., 2018, </w:t>
      </w:r>
      <w:proofErr w:type="spellStart"/>
      <w:r w:rsidRPr="00EF0300">
        <w:rPr>
          <w:rFonts w:ascii="Times New Roman" w:hAnsi="Times New Roman" w:cs="Times New Roman"/>
          <w:bCs/>
          <w:color w:val="000000"/>
          <w:sz w:val="20"/>
          <w:szCs w:val="20"/>
          <w:lang w:val="fr-FR"/>
        </w:rPr>
        <w:t>Mugimba</w:t>
      </w:r>
      <w:proofErr w:type="spellEnd"/>
      <w:r w:rsidRPr="00EF0300">
        <w:rPr>
          <w:rFonts w:ascii="Times New Roman" w:hAnsi="Times New Roman" w:cs="Times New Roman"/>
          <w:bCs/>
          <w:color w:val="000000"/>
          <w:sz w:val="20"/>
          <w:szCs w:val="20"/>
          <w:lang w:val="fr-FR"/>
        </w:rPr>
        <w:t>., 2018,</w:t>
      </w:r>
      <w:r w:rsidRPr="00EF0300">
        <w:rPr>
          <w:rFonts w:ascii="Times New Roman" w:hAnsi="Times New Roman" w:cs="Times New Roman"/>
          <w:sz w:val="20"/>
          <w:szCs w:val="20"/>
          <w:lang w:val="fr-FR"/>
        </w:rPr>
        <w:t xml:space="preserve"> </w:t>
      </w:r>
      <w:r w:rsidRPr="00EF0300">
        <w:rPr>
          <w:rFonts w:ascii="Times New Roman" w:hAnsi="Times New Roman" w:cs="Times New Roman"/>
          <w:bCs/>
          <w:color w:val="000000"/>
          <w:sz w:val="20"/>
          <w:szCs w:val="20"/>
          <w:lang w:val="fr-FR"/>
        </w:rPr>
        <w:t xml:space="preserve">OIE, 2018a, OIE, 2018b; OIE, 2018c; </w:t>
      </w:r>
      <w:proofErr w:type="spellStart"/>
      <w:r w:rsidRPr="00EF0300">
        <w:rPr>
          <w:rFonts w:ascii="Times New Roman" w:hAnsi="Times New Roman" w:cs="Times New Roman"/>
          <w:bCs/>
          <w:color w:val="000000"/>
          <w:sz w:val="20"/>
          <w:szCs w:val="20"/>
          <w:lang w:val="fr-FR"/>
        </w:rPr>
        <w:t>Tsofack</w:t>
      </w:r>
      <w:proofErr w:type="spellEnd"/>
      <w:r w:rsidRPr="00EF0300">
        <w:rPr>
          <w:rFonts w:ascii="Times New Roman" w:hAnsi="Times New Roman" w:cs="Times New Roman"/>
          <w:bCs/>
          <w:color w:val="000000"/>
          <w:sz w:val="20"/>
          <w:szCs w:val="20"/>
          <w:lang w:val="fr-FR"/>
        </w:rPr>
        <w:t xml:space="preserve"> </w:t>
      </w:r>
      <w:r w:rsidRPr="00EF0300">
        <w:rPr>
          <w:rFonts w:ascii="Times New Roman" w:hAnsi="Times New Roman" w:cs="Times New Roman"/>
          <w:bCs/>
          <w:i/>
          <w:color w:val="000000"/>
          <w:sz w:val="20"/>
          <w:szCs w:val="20"/>
          <w:lang w:val="fr-FR"/>
        </w:rPr>
        <w:t>et al.</w:t>
      </w:r>
      <w:r w:rsidRPr="00EF0300">
        <w:rPr>
          <w:rFonts w:ascii="Times New Roman" w:hAnsi="Times New Roman" w:cs="Times New Roman"/>
          <w:bCs/>
          <w:color w:val="000000"/>
          <w:sz w:val="20"/>
          <w:szCs w:val="20"/>
          <w:lang w:val="fr-FR"/>
        </w:rPr>
        <w:t xml:space="preserve">, 2016). </w:t>
      </w:r>
      <w:r w:rsidRPr="00EF0300">
        <w:rPr>
          <w:rFonts w:ascii="Times New Roman" w:hAnsi="Times New Roman" w:cs="Times New Roman"/>
          <w:bCs/>
          <w:color w:val="000000"/>
          <w:sz w:val="20"/>
          <w:szCs w:val="20"/>
        </w:rPr>
        <w:t>The Network of Aquaculture Centres in Asia–Pacific (</w:t>
      </w:r>
      <w:r w:rsidRPr="00EF0300">
        <w:rPr>
          <w:rFonts w:ascii="Times New Roman" w:hAnsi="Times New Roman" w:cs="Times New Roman"/>
          <w:bCs/>
          <w:color w:val="000000"/>
          <w:sz w:val="20"/>
          <w:szCs w:val="20"/>
          <w:shd w:val="clear" w:color="auto" w:fill="FFFFFF"/>
        </w:rPr>
        <w:t xml:space="preserve">NACA) also have notification requirements for infection with </w:t>
      </w:r>
      <w:proofErr w:type="spellStart"/>
      <w:r w:rsidRPr="00EF0300">
        <w:rPr>
          <w:rFonts w:ascii="Times New Roman" w:hAnsi="Times New Roman" w:cs="Times New Roman"/>
          <w:bCs/>
          <w:color w:val="000000"/>
          <w:sz w:val="20"/>
          <w:szCs w:val="20"/>
          <w:shd w:val="clear" w:color="auto" w:fill="FFFFFF"/>
        </w:rPr>
        <w:t>TiLV</w:t>
      </w:r>
      <w:proofErr w:type="spellEnd"/>
      <w:r w:rsidRPr="00EF0300">
        <w:rPr>
          <w:rFonts w:ascii="Times New Roman" w:hAnsi="Times New Roman" w:cs="Times New Roman"/>
          <w:color w:val="000000"/>
          <w:sz w:val="20"/>
          <w:szCs w:val="20"/>
          <w:shd w:val="clear" w:color="auto" w:fill="FFFFFF"/>
        </w:rPr>
        <w:t xml:space="preserve"> and this data shows a similar distribution of the disease for that region, as reported to the OIE. </w:t>
      </w:r>
      <w:r w:rsidRPr="00EF0300">
        <w:rPr>
          <w:rFonts w:ascii="Times New Roman" w:hAnsi="Times New Roman" w:cs="Times New Roman"/>
          <w:color w:val="000000"/>
          <w:sz w:val="20"/>
          <w:szCs w:val="20"/>
        </w:rPr>
        <w:t>D</w:t>
      </w:r>
      <w:r w:rsidRPr="00EF0300">
        <w:rPr>
          <w:rFonts w:ascii="Times New Roman" w:hAnsi="Times New Roman" w:cs="Times New Roman"/>
          <w:sz w:val="20"/>
          <w:szCs w:val="20"/>
        </w:rPr>
        <w:t>espite geographic separation</w:t>
      </w:r>
      <w:proofErr w:type="gramStart"/>
      <w:r w:rsidRPr="00DC70F7">
        <w:rPr>
          <w:rFonts w:ascii="Times New Roman" w:hAnsi="Times New Roman" w:cs="Times New Roman"/>
          <w:strike/>
          <w:color w:val="FF0000"/>
          <w:sz w:val="20"/>
          <w:szCs w:val="20"/>
        </w:rPr>
        <w:t>;</w:t>
      </w:r>
      <w:r w:rsidRPr="00EF0300">
        <w:rPr>
          <w:rFonts w:ascii="Times New Roman" w:hAnsi="Times New Roman" w:cs="Times New Roman"/>
          <w:sz w:val="20"/>
          <w:szCs w:val="20"/>
        </w:rPr>
        <w:t xml:space="preserve"> </w:t>
      </w:r>
      <w:r w:rsidR="005325DE" w:rsidRPr="00DC70F7">
        <w:rPr>
          <w:rFonts w:ascii="Times New Roman" w:hAnsi="Times New Roman" w:cs="Times New Roman"/>
          <w:color w:val="FF0000"/>
          <w:sz w:val="20"/>
          <w:szCs w:val="20"/>
          <w:u w:val="double"/>
        </w:rPr>
        <w:t>,</w:t>
      </w:r>
      <w:proofErr w:type="gramEnd"/>
      <w:r w:rsidR="005325DE" w:rsidRPr="00EF0300">
        <w:rPr>
          <w:rFonts w:ascii="Times New Roman" w:hAnsi="Times New Roman" w:cs="Times New Roman"/>
          <w:sz w:val="20"/>
          <w:szCs w:val="20"/>
        </w:rPr>
        <w:t xml:space="preserve"> </w:t>
      </w:r>
      <w:r w:rsidRPr="00EF0300">
        <w:rPr>
          <w:rFonts w:ascii="Times New Roman" w:hAnsi="Times New Roman" w:cs="Times New Roman"/>
          <w:sz w:val="20"/>
          <w:szCs w:val="20"/>
        </w:rPr>
        <w:t>strains were highly homologous, suggesting an epidemiological link and international spread. Historically, tilapia has been traded internationally to establish populations for production in new regions, and there is still extensive trade in tilapia. The current driver for international trade is the dissemination of improved genetic strains (though current pattern and volume of trade has not been determined for this assessment). Tilapia products are traded internationally and while a risk of transmission with some product types should be expected, specific risks have not been considered in this assessment.</w:t>
      </w:r>
    </w:p>
    <w:p w14:paraId="58C81AA3" w14:textId="02CBC52F" w:rsidR="00DC70F7" w:rsidRPr="00DC70F7" w:rsidRDefault="00DC70F7" w:rsidP="00EF0300">
      <w:pPr>
        <w:spacing w:after="240" w:line="240" w:lineRule="auto"/>
        <w:jc w:val="both"/>
        <w:rPr>
          <w:rFonts w:ascii="Arial" w:hAnsi="Arial" w:cs="Arial"/>
          <w:color w:val="FF0000"/>
        </w:rPr>
      </w:pPr>
      <w:r w:rsidRPr="00DC70F7">
        <w:rPr>
          <w:rFonts w:ascii="Arial" w:hAnsi="Arial" w:cs="Arial"/>
          <w:b/>
          <w:bCs/>
          <w:color w:val="FF0000"/>
        </w:rPr>
        <w:t xml:space="preserve">RATIONALE: </w:t>
      </w:r>
      <w:r w:rsidRPr="00DC70F7">
        <w:rPr>
          <w:rFonts w:ascii="Arial" w:hAnsi="Arial" w:cs="Arial"/>
          <w:color w:val="FF0000"/>
        </w:rPr>
        <w:t>A common is the appropriate punctuation after this opening phrase</w:t>
      </w:r>
      <w:r>
        <w:rPr>
          <w:rFonts w:ascii="Arial" w:hAnsi="Arial" w:cs="Arial"/>
          <w:color w:val="FF0000"/>
        </w:rPr>
        <w:t>, not a semicolon</w:t>
      </w:r>
      <w:r w:rsidRPr="00DC70F7">
        <w:rPr>
          <w:rFonts w:ascii="Arial" w:hAnsi="Arial" w:cs="Arial"/>
          <w:color w:val="FF0000"/>
        </w:rPr>
        <w:t>.</w:t>
      </w:r>
    </w:p>
    <w:p w14:paraId="226CAD6D" w14:textId="77777777" w:rsidR="00EF0300" w:rsidRPr="00EF0300" w:rsidRDefault="00EF0300" w:rsidP="00EF0300">
      <w:pPr>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 xml:space="preserve">Given the evidence of spread and the broad distribution of tilapia (Asia, </w:t>
      </w:r>
      <w:proofErr w:type="gramStart"/>
      <w:r w:rsidRPr="00EF0300">
        <w:rPr>
          <w:rFonts w:ascii="Times New Roman" w:hAnsi="Times New Roman" w:cs="Times New Roman"/>
          <w:sz w:val="20"/>
          <w:szCs w:val="20"/>
        </w:rPr>
        <w:t>Africa</w:t>
      </w:r>
      <w:proofErr w:type="gramEnd"/>
      <w:r w:rsidRPr="00EF0300">
        <w:rPr>
          <w:rFonts w:ascii="Times New Roman" w:hAnsi="Times New Roman" w:cs="Times New Roman"/>
          <w:sz w:val="20"/>
          <w:szCs w:val="20"/>
        </w:rPr>
        <w:t xml:space="preserve"> and South America), international spread is likely.</w:t>
      </w:r>
    </w:p>
    <w:p w14:paraId="3E45EDB0" w14:textId="77777777" w:rsidR="00EF0300" w:rsidRPr="00EF0300" w:rsidRDefault="00EF0300" w:rsidP="00EF0300">
      <w:pPr>
        <w:spacing w:after="240" w:line="240" w:lineRule="auto"/>
        <w:jc w:val="both"/>
        <w:rPr>
          <w:rFonts w:ascii="Times New Roman" w:hAnsi="Times New Roman" w:cs="Times New Roman"/>
          <w:i/>
          <w:sz w:val="20"/>
          <w:szCs w:val="20"/>
        </w:rPr>
      </w:pPr>
      <w:r w:rsidRPr="00EF0300">
        <w:rPr>
          <w:rFonts w:ascii="Times New Roman" w:hAnsi="Times New Roman" w:cs="Times New Roman"/>
          <w:i/>
          <w:sz w:val="20"/>
          <w:szCs w:val="20"/>
        </w:rPr>
        <w:t>Conclusion</w:t>
      </w:r>
    </w:p>
    <w:p w14:paraId="1BBC5088" w14:textId="77777777" w:rsidR="00EF0300" w:rsidRPr="00EF0300" w:rsidRDefault="00EF0300" w:rsidP="00EF0300">
      <w:pPr>
        <w:spacing w:after="240" w:line="240" w:lineRule="auto"/>
        <w:jc w:val="both"/>
        <w:rPr>
          <w:rFonts w:ascii="Times New Roman" w:hAnsi="Times New Roman" w:cs="Times New Roman"/>
          <w:sz w:val="20"/>
          <w:szCs w:val="20"/>
        </w:rPr>
      </w:pPr>
      <w:r w:rsidRPr="00EF0300">
        <w:rPr>
          <w:rFonts w:ascii="Times New Roman" w:hAnsi="Times New Roman" w:cs="Times New Roman"/>
          <w:sz w:val="20"/>
          <w:szCs w:val="20"/>
        </w:rPr>
        <w:t>The criterion is met.</w:t>
      </w:r>
    </w:p>
    <w:p w14:paraId="226A31D9" w14:textId="77777777" w:rsidR="00EF0300" w:rsidRPr="00EF0300" w:rsidRDefault="00EF0300" w:rsidP="00EF0300">
      <w:pPr>
        <w:spacing w:after="240" w:line="240" w:lineRule="auto"/>
        <w:jc w:val="both"/>
        <w:rPr>
          <w:rFonts w:ascii="Times New Roman" w:hAnsi="Times New Roman" w:cs="Times New Roman"/>
          <w:b/>
          <w:color w:val="000000"/>
          <w:sz w:val="20"/>
          <w:szCs w:val="20"/>
          <w:shd w:val="clear" w:color="auto" w:fill="FFFFFF"/>
        </w:rPr>
      </w:pPr>
      <w:r w:rsidRPr="00EF0300">
        <w:rPr>
          <w:rFonts w:ascii="Times New Roman" w:hAnsi="Times New Roman" w:cs="Times New Roman"/>
          <w:b/>
          <w:color w:val="000000"/>
          <w:sz w:val="20"/>
          <w:szCs w:val="20"/>
          <w:shd w:val="clear" w:color="auto" w:fill="FFFFFF"/>
        </w:rPr>
        <w:t>Criterion No. 2 At least one country may demonstrate country or zone freedom from the disease in susceptible aquatic animals, based on provisions of Chapter 1.4.</w:t>
      </w:r>
    </w:p>
    <w:p w14:paraId="5F070D66" w14:textId="77777777" w:rsidR="00EF0300" w:rsidRPr="00EF0300" w:rsidRDefault="00EF0300" w:rsidP="00EF0300">
      <w:pPr>
        <w:spacing w:after="240" w:line="240" w:lineRule="auto"/>
        <w:jc w:val="both"/>
        <w:rPr>
          <w:rFonts w:ascii="Times New Roman" w:hAnsi="Times New Roman" w:cs="Times New Roman"/>
          <w:bCs/>
          <w:color w:val="000000"/>
          <w:sz w:val="20"/>
          <w:szCs w:val="20"/>
          <w:shd w:val="clear" w:color="auto" w:fill="FFFFFF"/>
        </w:rPr>
      </w:pPr>
      <w:proofErr w:type="spellStart"/>
      <w:r w:rsidRPr="00EF0300">
        <w:rPr>
          <w:rFonts w:ascii="Times New Roman" w:hAnsi="Times New Roman" w:cs="Times New Roman"/>
          <w:color w:val="000000"/>
          <w:sz w:val="20"/>
          <w:szCs w:val="20"/>
          <w:shd w:val="clear" w:color="auto" w:fill="FFFFFF"/>
        </w:rPr>
        <w:t>TiLV</w:t>
      </w:r>
      <w:proofErr w:type="spellEnd"/>
      <w:r w:rsidRPr="00EF0300">
        <w:rPr>
          <w:rFonts w:ascii="Times New Roman" w:hAnsi="Times New Roman" w:cs="Times New Roman"/>
          <w:color w:val="000000"/>
          <w:sz w:val="20"/>
          <w:szCs w:val="20"/>
          <w:shd w:val="clear" w:color="auto" w:fill="FFFFFF"/>
        </w:rPr>
        <w:t xml:space="preserve"> has been reported in Bangladesh, Chinese Taipei, Colombia, Ecuador, Egypt, India, Indonesia, Israel, Malaysia, Mexico, Peru, Philippines, Tanzania, Thailand, Uganda and the United States of </w:t>
      </w:r>
      <w:proofErr w:type="gramStart"/>
      <w:r w:rsidRPr="00EF0300">
        <w:rPr>
          <w:rFonts w:ascii="Times New Roman" w:hAnsi="Times New Roman" w:cs="Times New Roman"/>
          <w:color w:val="000000"/>
          <w:sz w:val="20"/>
          <w:szCs w:val="20"/>
          <w:shd w:val="clear" w:color="auto" w:fill="FFFFFF"/>
        </w:rPr>
        <w:t>America  (</w:t>
      </w:r>
      <w:proofErr w:type="spellStart"/>
      <w:proofErr w:type="gramEnd"/>
      <w:r w:rsidRPr="00EF0300">
        <w:rPr>
          <w:rFonts w:ascii="Times New Roman" w:hAnsi="Times New Roman" w:cs="Times New Roman"/>
          <w:color w:val="000000"/>
          <w:sz w:val="20"/>
          <w:szCs w:val="20"/>
          <w:shd w:val="clear" w:color="auto" w:fill="FFFFFF"/>
        </w:rPr>
        <w:t>Ahasan</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2020</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Amal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w:t>
      </w:r>
      <w:r w:rsidRPr="00EF0300">
        <w:rPr>
          <w:rFonts w:ascii="Times New Roman" w:hAnsi="Times New Roman" w:cs="Times New Roman"/>
          <w:bCs/>
          <w:color w:val="000000"/>
          <w:sz w:val="20"/>
          <w:szCs w:val="20"/>
          <w:shd w:val="clear" w:color="auto" w:fill="FFFFFF"/>
        </w:rPr>
        <w:t xml:space="preserve"> 2018; Bacharach </w:t>
      </w:r>
      <w:r w:rsidRPr="00EF0300">
        <w:rPr>
          <w:rFonts w:ascii="Times New Roman" w:hAnsi="Times New Roman" w:cs="Times New Roman"/>
          <w:bCs/>
          <w:i/>
          <w:iCs/>
          <w:color w:val="000000"/>
          <w:sz w:val="20"/>
          <w:szCs w:val="20"/>
          <w:shd w:val="clear" w:color="auto" w:fill="FFFFFF"/>
        </w:rPr>
        <w:t>et al</w:t>
      </w:r>
      <w:r w:rsidRPr="00EF0300">
        <w:rPr>
          <w:rFonts w:ascii="Times New Roman" w:hAnsi="Times New Roman" w:cs="Times New Roman"/>
          <w:bCs/>
          <w:color w:val="000000"/>
          <w:sz w:val="20"/>
          <w:szCs w:val="20"/>
          <w:shd w:val="clear" w:color="auto" w:fill="FFFFFF"/>
        </w:rPr>
        <w:t xml:space="preserve">., 2016; Behera </w:t>
      </w:r>
      <w:r w:rsidRPr="00EF0300">
        <w:rPr>
          <w:rFonts w:ascii="Times New Roman" w:hAnsi="Times New Roman" w:cs="Times New Roman"/>
          <w:bCs/>
          <w:i/>
          <w:iCs/>
          <w:color w:val="000000"/>
          <w:sz w:val="20"/>
          <w:szCs w:val="20"/>
          <w:shd w:val="clear" w:color="auto" w:fill="FFFFFF"/>
        </w:rPr>
        <w:t>et al</w:t>
      </w:r>
      <w:r w:rsidRPr="00EF0300">
        <w:rPr>
          <w:rFonts w:ascii="Times New Roman" w:hAnsi="Times New Roman" w:cs="Times New Roman"/>
          <w:bCs/>
          <w:color w:val="000000"/>
          <w:sz w:val="20"/>
          <w:szCs w:val="20"/>
          <w:shd w:val="clear" w:color="auto" w:fill="FFFFFF"/>
        </w:rPr>
        <w:t>., 2018;</w:t>
      </w:r>
      <w:r w:rsidRPr="00EF0300">
        <w:rPr>
          <w:rFonts w:ascii="Times New Roman" w:hAnsi="Times New Roman" w:cs="Times New Roman"/>
          <w:color w:val="000000"/>
          <w:sz w:val="20"/>
          <w:szCs w:val="20"/>
          <w:shd w:val="clear" w:color="auto" w:fill="FFFFFF"/>
        </w:rPr>
        <w:t xml:space="preserve"> </w:t>
      </w:r>
      <w:proofErr w:type="spellStart"/>
      <w:r w:rsidRPr="00EF0300">
        <w:rPr>
          <w:rFonts w:ascii="Times New Roman" w:hAnsi="Times New Roman" w:cs="Times New Roman"/>
          <w:color w:val="000000"/>
          <w:sz w:val="20"/>
          <w:szCs w:val="20"/>
          <w:shd w:val="clear" w:color="auto" w:fill="FFFFFF"/>
        </w:rPr>
        <w:t>Chaput</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2020</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Dong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2017</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w:t>
      </w:r>
      <w:proofErr w:type="spellStart"/>
      <w:r w:rsidRPr="00EF0300">
        <w:rPr>
          <w:rFonts w:ascii="Times New Roman" w:hAnsi="Times New Roman" w:cs="Times New Roman"/>
          <w:color w:val="000000"/>
          <w:sz w:val="20"/>
          <w:szCs w:val="20"/>
          <w:shd w:val="clear" w:color="auto" w:fill="FFFFFF"/>
        </w:rPr>
        <w:t>Fathi</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2017</w:t>
      </w:r>
      <w:r w:rsidRPr="00EF0300">
        <w:rPr>
          <w:rFonts w:ascii="Times New Roman" w:hAnsi="Times New Roman" w:cs="Times New Roman"/>
          <w:bCs/>
          <w:color w:val="000000"/>
          <w:sz w:val="20"/>
          <w:szCs w:val="20"/>
          <w:shd w:val="clear" w:color="auto" w:fill="FFFFFF"/>
        </w:rPr>
        <w:t xml:space="preserve">; </w:t>
      </w:r>
      <w:r w:rsidRPr="00EF0300">
        <w:rPr>
          <w:rFonts w:ascii="Times New Roman" w:hAnsi="Times New Roman" w:cs="Times New Roman"/>
          <w:color w:val="000000"/>
          <w:sz w:val="20"/>
          <w:szCs w:val="20"/>
          <w:shd w:val="clear" w:color="auto" w:fill="FFFFFF"/>
        </w:rPr>
        <w:t xml:space="preserve">Ferguson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xml:space="preserve">., 2014; </w:t>
      </w:r>
      <w:proofErr w:type="spellStart"/>
      <w:r w:rsidRPr="00EF0300">
        <w:rPr>
          <w:rFonts w:ascii="Times New Roman" w:hAnsi="Times New Roman" w:cs="Times New Roman"/>
          <w:color w:val="000000"/>
          <w:sz w:val="20"/>
          <w:szCs w:val="20"/>
          <w:shd w:val="clear" w:color="auto" w:fill="FFFFFF"/>
        </w:rPr>
        <w:t>Koesharyani</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2018</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w:t>
      </w:r>
      <w:proofErr w:type="spellStart"/>
      <w:r w:rsidRPr="00EF0300">
        <w:rPr>
          <w:rFonts w:ascii="Times New Roman" w:hAnsi="Times New Roman" w:cs="Times New Roman"/>
          <w:color w:val="000000"/>
          <w:sz w:val="20"/>
          <w:szCs w:val="20"/>
          <w:shd w:val="clear" w:color="auto" w:fill="FFFFFF"/>
        </w:rPr>
        <w:t>Mugimba</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2018</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OIE, 2018a</w:t>
      </w:r>
      <w:r w:rsidRPr="00EF0300">
        <w:rPr>
          <w:rFonts w:ascii="Times New Roman" w:hAnsi="Times New Roman" w:cs="Times New Roman"/>
          <w:bCs/>
          <w:color w:val="000000"/>
          <w:sz w:val="20"/>
          <w:szCs w:val="20"/>
          <w:shd w:val="clear" w:color="auto" w:fill="FFFFFF"/>
        </w:rPr>
        <w:t>;</w:t>
      </w:r>
      <w:r w:rsidRPr="00EF0300">
        <w:rPr>
          <w:rFonts w:ascii="Times New Roman" w:hAnsi="Times New Roman" w:cs="Times New Roman"/>
          <w:color w:val="000000"/>
          <w:sz w:val="20"/>
          <w:szCs w:val="20"/>
          <w:shd w:val="clear" w:color="auto" w:fill="FFFFFF"/>
        </w:rPr>
        <w:t xml:space="preserve"> OIE, 2018b</w:t>
      </w:r>
      <w:r w:rsidRPr="00EF0300">
        <w:rPr>
          <w:rFonts w:ascii="Times New Roman" w:hAnsi="Times New Roman" w:cs="Times New Roman"/>
          <w:bCs/>
          <w:color w:val="000000"/>
          <w:sz w:val="20"/>
          <w:szCs w:val="20"/>
          <w:shd w:val="clear" w:color="auto" w:fill="FFFFFF"/>
        </w:rPr>
        <w:t>; OIE, 2018c;</w:t>
      </w:r>
      <w:r w:rsidRPr="00EF0300">
        <w:rPr>
          <w:rFonts w:ascii="Times New Roman" w:hAnsi="Times New Roman" w:cs="Times New Roman"/>
          <w:color w:val="000000"/>
          <w:sz w:val="20"/>
          <w:szCs w:val="20"/>
          <w:shd w:val="clear" w:color="auto" w:fill="FFFFFF"/>
        </w:rPr>
        <w:t xml:space="preserve"> </w:t>
      </w:r>
      <w:proofErr w:type="spellStart"/>
      <w:r w:rsidRPr="00EF0300">
        <w:rPr>
          <w:rFonts w:ascii="Times New Roman" w:hAnsi="Times New Roman" w:cs="Times New Roman"/>
          <w:color w:val="000000"/>
          <w:sz w:val="20"/>
          <w:szCs w:val="20"/>
          <w:shd w:val="clear" w:color="auto" w:fill="FFFFFF"/>
        </w:rPr>
        <w:t>Tsofack</w:t>
      </w:r>
      <w:proofErr w:type="spellEnd"/>
      <w:r w:rsidRPr="00EF0300">
        <w:rPr>
          <w:rFonts w:ascii="Times New Roman" w:hAnsi="Times New Roman" w:cs="Times New Roman"/>
          <w:color w:val="000000"/>
          <w:sz w:val="20"/>
          <w:szCs w:val="20"/>
          <w:shd w:val="clear" w:color="auto" w:fill="FFFFFF"/>
        </w:rPr>
        <w:t xml:space="preserve"> </w:t>
      </w:r>
      <w:r w:rsidRPr="00EF0300">
        <w:rPr>
          <w:rFonts w:ascii="Times New Roman" w:hAnsi="Times New Roman" w:cs="Times New Roman"/>
          <w:i/>
          <w:color w:val="000000"/>
          <w:sz w:val="20"/>
          <w:szCs w:val="20"/>
          <w:shd w:val="clear" w:color="auto" w:fill="FFFFFF"/>
        </w:rPr>
        <w:t>et al</w:t>
      </w:r>
      <w:r w:rsidRPr="00EF0300">
        <w:rPr>
          <w:rFonts w:ascii="Times New Roman" w:hAnsi="Times New Roman" w:cs="Times New Roman"/>
          <w:color w:val="000000"/>
          <w:sz w:val="20"/>
          <w:szCs w:val="20"/>
          <w:shd w:val="clear" w:color="auto" w:fill="FFFFFF"/>
        </w:rPr>
        <w:t xml:space="preserve">., 2016).  The Network of Aquaculture Centres in Asia – Pacific (NACA) also have notification requirements for infection with </w:t>
      </w:r>
      <w:proofErr w:type="spellStart"/>
      <w:r w:rsidRPr="00EF0300">
        <w:rPr>
          <w:rFonts w:ascii="Times New Roman" w:hAnsi="Times New Roman" w:cs="Times New Roman"/>
          <w:color w:val="000000"/>
          <w:sz w:val="20"/>
          <w:szCs w:val="20"/>
          <w:shd w:val="clear" w:color="auto" w:fill="FFFFFF"/>
        </w:rPr>
        <w:t>TiLV</w:t>
      </w:r>
      <w:proofErr w:type="spellEnd"/>
      <w:r w:rsidRPr="00EF0300">
        <w:rPr>
          <w:rFonts w:ascii="Times New Roman" w:hAnsi="Times New Roman" w:cs="Times New Roman"/>
          <w:color w:val="000000"/>
          <w:sz w:val="20"/>
          <w:szCs w:val="20"/>
          <w:shd w:val="clear" w:color="auto" w:fill="FFFFFF"/>
        </w:rPr>
        <w:t xml:space="preserve"> and this data shows a similar distribution of the disease for that region, as reported to the OIE.  </w:t>
      </w:r>
      <w:r w:rsidRPr="00EF0300">
        <w:rPr>
          <w:rFonts w:ascii="Times New Roman" w:hAnsi="Times New Roman" w:cs="Times New Roman"/>
          <w:bCs/>
          <w:color w:val="000000"/>
          <w:sz w:val="20"/>
          <w:szCs w:val="20"/>
          <w:shd w:val="clear" w:color="auto" w:fill="FFFFFF"/>
        </w:rPr>
        <w:t xml:space="preserve">Additional countries in Africa have expressed a wish to declare freedom from infection with </w:t>
      </w:r>
      <w:proofErr w:type="spellStart"/>
      <w:r w:rsidRPr="00EF0300">
        <w:rPr>
          <w:rFonts w:ascii="Times New Roman" w:hAnsi="Times New Roman" w:cs="Times New Roman"/>
          <w:bCs/>
          <w:color w:val="000000"/>
          <w:sz w:val="20"/>
          <w:szCs w:val="20"/>
          <w:shd w:val="clear" w:color="auto" w:fill="FFFFFF"/>
        </w:rPr>
        <w:t>TiLV</w:t>
      </w:r>
      <w:proofErr w:type="spellEnd"/>
      <w:r w:rsidRPr="00EF0300">
        <w:rPr>
          <w:rFonts w:ascii="Times New Roman" w:hAnsi="Times New Roman" w:cs="Times New Roman"/>
          <w:bCs/>
          <w:color w:val="000000"/>
          <w:sz w:val="20"/>
          <w:szCs w:val="20"/>
          <w:shd w:val="clear" w:color="auto" w:fill="FFFFFF"/>
        </w:rPr>
        <w:t>, but report that there is a lack of diagnostic capacity to support such self-declarations.</w:t>
      </w:r>
    </w:p>
    <w:p w14:paraId="2C99EB68" w14:textId="1E67DC4F" w:rsidR="00EF0300" w:rsidRPr="00EF0300" w:rsidRDefault="00EF0300" w:rsidP="00EF0300">
      <w:pPr>
        <w:spacing w:after="240" w:line="240" w:lineRule="auto"/>
        <w:jc w:val="both"/>
        <w:rPr>
          <w:rFonts w:ascii="Times New Roman" w:hAnsi="Times New Roman" w:cs="Times New Roman"/>
          <w:bCs/>
          <w:color w:val="000000"/>
          <w:sz w:val="20"/>
          <w:szCs w:val="20"/>
          <w:shd w:val="clear" w:color="auto" w:fill="FFFFFF"/>
        </w:rPr>
      </w:pPr>
      <w:r w:rsidRPr="00EF0300">
        <w:rPr>
          <w:rFonts w:ascii="Times New Roman" w:hAnsi="Times New Roman" w:cs="Times New Roman"/>
          <w:bCs/>
          <w:color w:val="000000"/>
          <w:sz w:val="20"/>
          <w:szCs w:val="20"/>
          <w:shd w:val="clear" w:color="auto" w:fill="FFFFFF"/>
        </w:rPr>
        <w:t xml:space="preserve">The distribution of the virus may be wider (mortality may not have been investigated in other regions); however, due to the broad distribution of tilapia (Asia, </w:t>
      </w:r>
      <w:proofErr w:type="gramStart"/>
      <w:r w:rsidRPr="00EF0300">
        <w:rPr>
          <w:rFonts w:ascii="Times New Roman" w:hAnsi="Times New Roman" w:cs="Times New Roman"/>
          <w:bCs/>
          <w:color w:val="000000"/>
          <w:sz w:val="20"/>
          <w:szCs w:val="20"/>
          <w:shd w:val="clear" w:color="auto" w:fill="FFFFFF"/>
        </w:rPr>
        <w:t>Africa</w:t>
      </w:r>
      <w:proofErr w:type="gramEnd"/>
      <w:r w:rsidRPr="00EF0300">
        <w:rPr>
          <w:rFonts w:ascii="Times New Roman" w:hAnsi="Times New Roman" w:cs="Times New Roman"/>
          <w:bCs/>
          <w:color w:val="000000"/>
          <w:sz w:val="20"/>
          <w:szCs w:val="20"/>
          <w:shd w:val="clear" w:color="auto" w:fill="FFFFFF"/>
        </w:rPr>
        <w:t xml:space="preserve"> and South America), virulence of the virus and the extensive trade in tilapia, it is </w:t>
      </w:r>
      <w:r w:rsidRPr="00EF0300">
        <w:rPr>
          <w:rFonts w:ascii="Times New Roman" w:hAnsi="Times New Roman" w:cs="Times New Roman"/>
          <w:color w:val="000000"/>
          <w:sz w:val="20"/>
          <w:szCs w:val="20"/>
          <w:shd w:val="clear" w:color="auto" w:fill="FFFFFF"/>
        </w:rPr>
        <w:t xml:space="preserve">likely that many countries are currently free.  The information provided to the OIE and NACA on the disease status of Members for infection with </w:t>
      </w:r>
      <w:proofErr w:type="spellStart"/>
      <w:r w:rsidRPr="00EF0300">
        <w:rPr>
          <w:rFonts w:ascii="Times New Roman" w:hAnsi="Times New Roman" w:cs="Times New Roman"/>
          <w:color w:val="000000"/>
          <w:sz w:val="20"/>
          <w:szCs w:val="20"/>
          <w:shd w:val="clear" w:color="auto" w:fill="FFFFFF"/>
        </w:rPr>
        <w:t>TiLV</w:t>
      </w:r>
      <w:proofErr w:type="spellEnd"/>
      <w:r w:rsidRPr="00EF0300">
        <w:rPr>
          <w:rFonts w:ascii="Times New Roman" w:hAnsi="Times New Roman" w:cs="Times New Roman"/>
          <w:color w:val="000000"/>
          <w:sz w:val="20"/>
          <w:szCs w:val="20"/>
          <w:shd w:val="clear" w:color="auto" w:fill="FFFFFF"/>
        </w:rPr>
        <w:t xml:space="preserve"> through immediate notifications, </w:t>
      </w:r>
      <w:r w:rsidRPr="00EF0300">
        <w:rPr>
          <w:rFonts w:ascii="Times New Roman" w:hAnsi="Times New Roman" w:cs="Times New Roman"/>
          <w:bCs/>
          <w:color w:val="000000"/>
          <w:sz w:val="20"/>
          <w:szCs w:val="20"/>
          <w:shd w:val="clear" w:color="auto" w:fill="FFFFFF"/>
        </w:rPr>
        <w:t>six-monthly reports and annual reports provides support that it is likely countries are currently free of the disease.</w:t>
      </w:r>
    </w:p>
    <w:sectPr w:rsidR="00EF0300" w:rsidRPr="00EF0300" w:rsidSect="00251C3A">
      <w:pgSz w:w="12240" w:h="15840"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21CCF" w14:textId="77777777" w:rsidR="001A72AD" w:rsidRDefault="001A72AD">
      <w:pPr>
        <w:spacing w:after="0" w:line="240" w:lineRule="auto"/>
      </w:pPr>
      <w:r>
        <w:separator/>
      </w:r>
    </w:p>
  </w:endnote>
  <w:endnote w:type="continuationSeparator" w:id="0">
    <w:p w14:paraId="36C422AB" w14:textId="77777777" w:rsidR="001A72AD" w:rsidRDefault="001A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516AE" w14:textId="77777777" w:rsidR="001A72AD" w:rsidRDefault="001A72AD">
      <w:pPr>
        <w:spacing w:after="0" w:line="240" w:lineRule="auto"/>
      </w:pPr>
      <w:r>
        <w:separator/>
      </w:r>
    </w:p>
  </w:footnote>
  <w:footnote w:type="continuationSeparator" w:id="0">
    <w:p w14:paraId="187D8AF9" w14:textId="77777777" w:rsidR="001A72AD" w:rsidRDefault="001A7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68"/>
    <w:rsid w:val="000338F9"/>
    <w:rsid w:val="00050000"/>
    <w:rsid w:val="000541D3"/>
    <w:rsid w:val="00073BEA"/>
    <w:rsid w:val="00093547"/>
    <w:rsid w:val="000A52AC"/>
    <w:rsid w:val="000D35DC"/>
    <w:rsid w:val="000E654F"/>
    <w:rsid w:val="001276E0"/>
    <w:rsid w:val="0015320D"/>
    <w:rsid w:val="00153E76"/>
    <w:rsid w:val="001A72AD"/>
    <w:rsid w:val="001A73BB"/>
    <w:rsid w:val="001B57E4"/>
    <w:rsid w:val="001D4C37"/>
    <w:rsid w:val="001E25F0"/>
    <w:rsid w:val="001F2046"/>
    <w:rsid w:val="001F4F68"/>
    <w:rsid w:val="00204D3B"/>
    <w:rsid w:val="002178CC"/>
    <w:rsid w:val="0022199A"/>
    <w:rsid w:val="00247431"/>
    <w:rsid w:val="00251C3A"/>
    <w:rsid w:val="002529F9"/>
    <w:rsid w:val="002D1AFF"/>
    <w:rsid w:val="002F5D6E"/>
    <w:rsid w:val="00322829"/>
    <w:rsid w:val="00365362"/>
    <w:rsid w:val="0039002F"/>
    <w:rsid w:val="003D2CDE"/>
    <w:rsid w:val="003E2ECC"/>
    <w:rsid w:val="0040542B"/>
    <w:rsid w:val="00407403"/>
    <w:rsid w:val="00411352"/>
    <w:rsid w:val="00427D29"/>
    <w:rsid w:val="00456FFB"/>
    <w:rsid w:val="004775F8"/>
    <w:rsid w:val="00484EEF"/>
    <w:rsid w:val="00496EB6"/>
    <w:rsid w:val="004B1CA4"/>
    <w:rsid w:val="004D5DC4"/>
    <w:rsid w:val="004D7F01"/>
    <w:rsid w:val="005325DE"/>
    <w:rsid w:val="005606B3"/>
    <w:rsid w:val="00563560"/>
    <w:rsid w:val="00573C4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A03772"/>
    <w:rsid w:val="00A34207"/>
    <w:rsid w:val="00A564CD"/>
    <w:rsid w:val="00AA20A7"/>
    <w:rsid w:val="00AD5C79"/>
    <w:rsid w:val="00AE1C8E"/>
    <w:rsid w:val="00AF3C2C"/>
    <w:rsid w:val="00B507FB"/>
    <w:rsid w:val="00B62877"/>
    <w:rsid w:val="00B779B5"/>
    <w:rsid w:val="00B956A0"/>
    <w:rsid w:val="00BB7C03"/>
    <w:rsid w:val="00C543BF"/>
    <w:rsid w:val="00C9507F"/>
    <w:rsid w:val="00D53290"/>
    <w:rsid w:val="00D56B7D"/>
    <w:rsid w:val="00D76318"/>
    <w:rsid w:val="00D858E5"/>
    <w:rsid w:val="00D876B7"/>
    <w:rsid w:val="00DA2986"/>
    <w:rsid w:val="00DC70F7"/>
    <w:rsid w:val="00E34BFD"/>
    <w:rsid w:val="00E35580"/>
    <w:rsid w:val="00E539DF"/>
    <w:rsid w:val="00E53B4E"/>
    <w:rsid w:val="00E85238"/>
    <w:rsid w:val="00E95217"/>
    <w:rsid w:val="00EE6169"/>
    <w:rsid w:val="00EF0300"/>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272B8"/>
  <w15:chartTrackingRefBased/>
  <w15:docId w15:val="{F751410A-F654-4613-BBE6-73E65E13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6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58">
    <w:name w:val="Imported Style 58"/>
    <w:rsid w:val="001F4F68"/>
    <w:pPr>
      <w:numPr>
        <w:numId w:val="1"/>
      </w:numPr>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F0300"/>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F0300"/>
    <w:rPr>
      <w:lang w:val="en-GB"/>
    </w:rPr>
  </w:style>
  <w:style w:type="table" w:styleId="TableGrid">
    <w:name w:val="Table Grid"/>
    <w:basedOn w:val="TableNormal"/>
    <w:uiPriority w:val="59"/>
    <w:rsid w:val="00EF03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5DE"/>
    <w:rPr>
      <w:sz w:val="16"/>
      <w:szCs w:val="16"/>
    </w:rPr>
  </w:style>
  <w:style w:type="paragraph" w:styleId="CommentText">
    <w:name w:val="annotation text"/>
    <w:basedOn w:val="Normal"/>
    <w:link w:val="CommentTextChar"/>
    <w:uiPriority w:val="99"/>
    <w:semiHidden/>
    <w:unhideWhenUsed/>
    <w:rsid w:val="005325DE"/>
    <w:pPr>
      <w:spacing w:line="240" w:lineRule="auto"/>
    </w:pPr>
    <w:rPr>
      <w:sz w:val="20"/>
      <w:szCs w:val="20"/>
    </w:rPr>
  </w:style>
  <w:style w:type="character" w:customStyle="1" w:styleId="CommentTextChar">
    <w:name w:val="Comment Text Char"/>
    <w:basedOn w:val="DefaultParagraphFont"/>
    <w:link w:val="CommentText"/>
    <w:uiPriority w:val="99"/>
    <w:semiHidden/>
    <w:rsid w:val="005325DE"/>
    <w:rPr>
      <w:sz w:val="20"/>
      <w:szCs w:val="20"/>
      <w:lang w:val="en-CA"/>
    </w:rPr>
  </w:style>
  <w:style w:type="paragraph" w:styleId="CommentSubject">
    <w:name w:val="annotation subject"/>
    <w:basedOn w:val="CommentText"/>
    <w:next w:val="CommentText"/>
    <w:link w:val="CommentSubjectChar"/>
    <w:uiPriority w:val="99"/>
    <w:semiHidden/>
    <w:unhideWhenUsed/>
    <w:rsid w:val="005325DE"/>
    <w:rPr>
      <w:b/>
      <w:bCs/>
    </w:rPr>
  </w:style>
  <w:style w:type="character" w:customStyle="1" w:styleId="CommentSubjectChar">
    <w:name w:val="Comment Subject Char"/>
    <w:basedOn w:val="CommentTextChar"/>
    <w:link w:val="CommentSubject"/>
    <w:uiPriority w:val="99"/>
    <w:semiHidden/>
    <w:rsid w:val="005325DE"/>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71&amp;L=0&amp;htmfile=glossaire.htm" TargetMode="External"/><Relationship Id="rId13" Type="http://schemas.openxmlformats.org/officeDocument/2006/relationships/hyperlink" Target="https://www.oie.int/index.php?id=171&amp;L=0&amp;htmfile=glossaire.htm" TargetMode="External"/><Relationship Id="rId18" Type="http://schemas.openxmlformats.org/officeDocument/2006/relationships/hyperlink" Target="https://www.oie.int/index.php?id=171&amp;L=0&amp;htmfile=glossaire.htm" TargetMode="External"/><Relationship Id="rId3" Type="http://schemas.openxmlformats.org/officeDocument/2006/relationships/settings" Target="settings.xml"/><Relationship Id="rId21" Type="http://schemas.openxmlformats.org/officeDocument/2006/relationships/hyperlink" Target="https://www.oie.int/index.php?id=171&amp;L=0&amp;htmfile=glossaire.htm" TargetMode="External"/><Relationship Id="rId7" Type="http://schemas.openxmlformats.org/officeDocument/2006/relationships/hyperlink" Target="https://www.oie.int/index.php?id=171&amp;L=0&amp;htmfile=glossaire.htm" TargetMode="External"/><Relationship Id="rId12" Type="http://schemas.openxmlformats.org/officeDocument/2006/relationships/hyperlink" Target="https://www.oie.int/index.php?id=171&amp;L=0&amp;htmfile=glossaire.htm" TargetMode="External"/><Relationship Id="rId17" Type="http://schemas.openxmlformats.org/officeDocument/2006/relationships/hyperlink" Target="https://www.oie.int/index.php?id=171&amp;L=0&amp;htmfile=glossaire.htm" TargetMode="External"/><Relationship Id="rId2" Type="http://schemas.openxmlformats.org/officeDocument/2006/relationships/styles" Target="styles.xml"/><Relationship Id="rId16" Type="http://schemas.openxmlformats.org/officeDocument/2006/relationships/hyperlink" Target="https://www.oie.int/index.php?id=171&amp;L=0&amp;htmfile=glossaire.htm" TargetMode="External"/><Relationship Id="rId20" Type="http://schemas.openxmlformats.org/officeDocument/2006/relationships/hyperlink" Target="https://www.oie.int/index.php?id=171&amp;L=0&amp;htmfile=glossair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e.int/index.php?id=171&amp;L=0&amp;htmfile=glossaire.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ie.int/index.php?id=171&amp;L=0&amp;htmfile=chapitre_aqua_ani_surveillance.htm" TargetMode="External"/><Relationship Id="rId23" Type="http://schemas.openxmlformats.org/officeDocument/2006/relationships/fontTable" Target="fontTable.xml"/><Relationship Id="rId10" Type="http://schemas.openxmlformats.org/officeDocument/2006/relationships/hyperlink" Target="https://www.oie.int/index.php?id=171&amp;L=0&amp;htmfile=glossaire.htm" TargetMode="External"/><Relationship Id="rId19" Type="http://schemas.openxmlformats.org/officeDocument/2006/relationships/hyperlink" Target="https://www.oie.int/index.php?id=171&amp;L=0&amp;htmfile=glossaire.htm" TargetMode="External"/><Relationship Id="rId4" Type="http://schemas.openxmlformats.org/officeDocument/2006/relationships/webSettings" Target="webSettings.xml"/><Relationship Id="rId9" Type="http://schemas.openxmlformats.org/officeDocument/2006/relationships/hyperlink" Target="https://www.oie.int/index.php?id=171&amp;L=0&amp;htmfile=glossaire.htm" TargetMode="External"/><Relationship Id="rId14" Type="http://schemas.openxmlformats.org/officeDocument/2006/relationships/hyperlink" Target="https://www.oie.int/index.php?id=171&amp;L=0&amp;htmfile=glossaire.htm" TargetMode="External"/><Relationship Id="rId22" Type="http://schemas.openxmlformats.org/officeDocument/2006/relationships/hyperlink" Target="https://www.oie.int/index.php?id=171&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Chapter-1.3. Diseases listed by the OIE</dc:title>
  <dc:subject/>
  <dc:creator>Duncan, Britteny R - APHIS</dc:creator>
  <cp:keywords/>
  <dc:description/>
  <cp:lastModifiedBy>Egrie, Paul G - APHIS</cp:lastModifiedBy>
  <cp:revision>3</cp:revision>
  <dcterms:created xsi:type="dcterms:W3CDTF">2021-12-22T02:04:00Z</dcterms:created>
  <dcterms:modified xsi:type="dcterms:W3CDTF">2021-12-22T03:24:00Z</dcterms:modified>
</cp:coreProperties>
</file>