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4711B" w14:textId="574A125B" w:rsidR="004A7B91" w:rsidRPr="00C64037" w:rsidRDefault="004A7B91" w:rsidP="004A7B91">
      <w:pPr>
        <w:spacing w:after="240" w:line="240" w:lineRule="auto"/>
        <w:jc w:val="center"/>
        <w:rPr>
          <w:rFonts w:ascii="Times New Roman" w:hAnsi="Times New Roman" w:cs="Times New Roman"/>
          <w:b/>
          <w:bCs/>
          <w:color w:val="FF0000"/>
        </w:rPr>
      </w:pPr>
      <w:r w:rsidRPr="00C64037">
        <w:rPr>
          <w:rFonts w:ascii="Times New Roman" w:hAnsi="Times New Roman" w:cs="Times New Roman"/>
          <w:b/>
          <w:bCs/>
          <w:color w:val="FF0000"/>
        </w:rPr>
        <w:t xml:space="preserve">USA COMMENTS </w:t>
      </w:r>
      <w:r w:rsidR="00657DD7">
        <w:rPr>
          <w:rFonts w:ascii="Times New Roman" w:hAnsi="Times New Roman" w:cs="Times New Roman"/>
          <w:b/>
          <w:bCs/>
          <w:color w:val="FF0000"/>
        </w:rPr>
        <w:t>IN</w:t>
      </w:r>
      <w:r w:rsidRPr="00C64037">
        <w:rPr>
          <w:rFonts w:ascii="Times New Roman" w:hAnsi="Times New Roman" w:cs="Times New Roman"/>
          <w:b/>
          <w:bCs/>
          <w:color w:val="FF0000"/>
        </w:rPr>
        <w:t xml:space="preserve"> RED </w:t>
      </w:r>
      <w:r w:rsidR="00657DD7">
        <w:rPr>
          <w:rFonts w:ascii="Times New Roman" w:hAnsi="Times New Roman" w:cs="Times New Roman"/>
          <w:b/>
          <w:bCs/>
          <w:color w:val="FF0000"/>
        </w:rPr>
        <w:t>FONT</w:t>
      </w:r>
    </w:p>
    <w:p w14:paraId="50F35175" w14:textId="2409B5E9" w:rsidR="00E05853" w:rsidRDefault="00E05853" w:rsidP="00E05853">
      <w:pPr>
        <w:spacing w:after="240" w:line="240" w:lineRule="auto"/>
        <w:jc w:val="both"/>
        <w:rPr>
          <w:rFonts w:ascii="Times New Roman" w:hAnsi="Times New Roman" w:cs="Times New Roman"/>
          <w:b/>
          <w:bCs/>
          <w:sz w:val="20"/>
          <w:szCs w:val="20"/>
        </w:rPr>
      </w:pPr>
      <w:r w:rsidRPr="00B86BDF">
        <w:rPr>
          <w:rFonts w:ascii="Times New Roman" w:hAnsi="Times New Roman" w:cs="Times New Roman"/>
          <w:b/>
          <w:bCs/>
          <w:i/>
          <w:iCs/>
          <w:sz w:val="20"/>
          <w:szCs w:val="20"/>
        </w:rPr>
        <w:t>Aquatic Manual</w:t>
      </w:r>
      <w:r w:rsidRPr="00B86BDF">
        <w:rPr>
          <w:rFonts w:ascii="Times New Roman" w:hAnsi="Times New Roman" w:cs="Times New Roman"/>
          <w:b/>
          <w:bCs/>
          <w:sz w:val="20"/>
          <w:szCs w:val="20"/>
        </w:rPr>
        <w:t xml:space="preserve"> disease chapters Table 4.</w:t>
      </w:r>
      <w:r w:rsidRPr="00B86BDF">
        <w:rPr>
          <w:rFonts w:ascii="Times New Roman" w:hAnsi="Times New Roman" w:cs="Times New Roman"/>
          <w:b/>
          <w:bCs/>
          <w:noProof/>
          <w:sz w:val="20"/>
          <w:szCs w:val="20"/>
        </w:rPr>
        <w:t>1</w:t>
      </w:r>
      <w:r w:rsidRPr="00B86BDF">
        <w:rPr>
          <w:rFonts w:ascii="Times New Roman" w:hAnsi="Times New Roman" w:cs="Times New Roman"/>
          <w:b/>
          <w:bCs/>
          <w:sz w:val="20"/>
          <w:szCs w:val="20"/>
        </w:rPr>
        <w:t xml:space="preserve">. </w:t>
      </w:r>
      <w:r w:rsidRPr="00B86BDF">
        <w:rPr>
          <w:rFonts w:ascii="Times New Roman" w:hAnsi="Times New Roman" w:cs="Times New Roman"/>
          <w:b/>
          <w:bCs/>
          <w:i/>
          <w:iCs/>
          <w:sz w:val="20"/>
          <w:szCs w:val="20"/>
        </w:rPr>
        <w:t xml:space="preserve">OIE recommended diagnostic methods and their level of validation for surveillance of apparently healthy animals and investigation of clinically affected animals: </w:t>
      </w:r>
      <w:r w:rsidRPr="00B86BDF">
        <w:rPr>
          <w:rFonts w:ascii="Times New Roman" w:hAnsi="Times New Roman" w:cs="Times New Roman"/>
          <w:b/>
          <w:bCs/>
          <w:sz w:val="20"/>
          <w:szCs w:val="20"/>
        </w:rPr>
        <w:t>current Key for Table 4.1 with suggested edits tracked)</w:t>
      </w:r>
      <w:bookmarkStart w:id="0" w:name="A24"/>
      <w:bookmarkEnd w:id="0"/>
    </w:p>
    <w:p w14:paraId="2188E0CE" w14:textId="77777777" w:rsidR="00E05853" w:rsidRPr="00C10E22" w:rsidRDefault="00E05853" w:rsidP="00E05853">
      <w:pPr>
        <w:pStyle w:val="1"/>
        <w:rPr>
          <w:u w:color="000000"/>
          <w:bdr w:val="nil"/>
          <w:lang w:val="en-GB"/>
        </w:rPr>
      </w:pPr>
      <w:r w:rsidRPr="00C10E22">
        <w:rPr>
          <w:u w:color="000000"/>
          <w:bdr w:val="nil"/>
          <w:lang w:val="en-GB"/>
        </w:rPr>
        <w:t>4.</w:t>
      </w:r>
      <w:r w:rsidRPr="00C10E22">
        <w:rPr>
          <w:u w:color="000000"/>
          <w:bdr w:val="nil"/>
          <w:lang w:val="en-GB"/>
        </w:rPr>
        <w:tab/>
        <w:t>Diagnostic methods</w:t>
      </w:r>
    </w:p>
    <w:p w14:paraId="1B24F683" w14:textId="4FAF2372" w:rsidR="00E05853" w:rsidRPr="00B2143E" w:rsidRDefault="00E05853" w:rsidP="00E05853">
      <w:pPr>
        <w:pStyle w:val="Para1"/>
        <w:rPr>
          <w:rFonts w:eastAsia="MS Mincho"/>
          <w:bdr w:val="nil"/>
          <w:lang w:eastAsia="ja-JP"/>
        </w:rPr>
      </w:pPr>
      <w:r w:rsidRPr="00B2143E">
        <w:rPr>
          <w:rFonts w:eastAsia="MS Mincho"/>
          <w:bdr w:val="nil"/>
        </w:rPr>
        <w:t xml:space="preserve">The methods currently available for </w:t>
      </w:r>
      <w:r w:rsidRPr="004A7B91">
        <w:rPr>
          <w:rFonts w:eastAsia="MS Mincho"/>
          <w:strike/>
          <w:color w:val="FF0000"/>
        </w:rPr>
        <w:t>identifying</w:t>
      </w:r>
      <w:r w:rsidR="00657DD7" w:rsidRPr="00657DD7">
        <w:rPr>
          <w:rFonts w:eastAsia="MS Mincho"/>
          <w:color w:val="FF0000"/>
        </w:rPr>
        <w:t xml:space="preserve"> </w:t>
      </w:r>
      <w:r w:rsidR="4D8AF783" w:rsidRPr="004A7B91">
        <w:rPr>
          <w:rFonts w:eastAsia="MS Mincho"/>
          <w:color w:val="FF0000"/>
          <w:u w:val="double"/>
          <w:bdr w:val="nil"/>
        </w:rPr>
        <w:t>determining</w:t>
      </w:r>
      <w:r w:rsidR="4D8AF783" w:rsidRPr="004A7B91">
        <w:rPr>
          <w:rFonts w:eastAsia="MS Mincho"/>
          <w:color w:val="FF0000"/>
          <w:bdr w:val="nil"/>
        </w:rPr>
        <w:t xml:space="preserve"> </w:t>
      </w:r>
      <w:r w:rsidRPr="00B2143E">
        <w:rPr>
          <w:rFonts w:eastAsia="MS Mincho"/>
          <w:bdr w:val="nil"/>
        </w:rPr>
        <w:t xml:space="preserve">infection that </w:t>
      </w:r>
      <w:r w:rsidRPr="004A7B91">
        <w:rPr>
          <w:rFonts w:eastAsia="MS Mincho"/>
          <w:strike/>
          <w:color w:val="FF0000"/>
        </w:rPr>
        <w:t>can</w:t>
      </w:r>
      <w:r w:rsidRPr="00657DD7">
        <w:rPr>
          <w:rFonts w:eastAsia="MS Mincho"/>
        </w:rPr>
        <w:t xml:space="preserve"> </w:t>
      </w:r>
      <w:r w:rsidR="305D43F5" w:rsidRPr="004A7B91">
        <w:rPr>
          <w:rFonts w:eastAsia="MS Mincho"/>
          <w:color w:val="FF0000"/>
          <w:u w:val="double"/>
          <w:bdr w:val="nil"/>
        </w:rPr>
        <w:t>may</w:t>
      </w:r>
      <w:r w:rsidR="00F849DF">
        <w:rPr>
          <w:rFonts w:eastAsia="MS Mincho"/>
          <w:bdr w:val="nil"/>
        </w:rPr>
        <w:t xml:space="preserve"> </w:t>
      </w:r>
      <w:r w:rsidRPr="00B2143E">
        <w:rPr>
          <w:rFonts w:eastAsia="MS Mincho"/>
          <w:bdr w:val="nil"/>
        </w:rPr>
        <w:t xml:space="preserve">be used in i) surveillance of apparently healthy </w:t>
      </w:r>
      <w:r w:rsidRPr="002D029A">
        <w:rPr>
          <w:rFonts w:eastAsia="MS Mincho"/>
          <w:strike/>
          <w:bdr w:val="nil"/>
        </w:rPr>
        <w:t>populations</w:t>
      </w:r>
      <w:r w:rsidR="072563CA" w:rsidRPr="002D029A">
        <w:rPr>
          <w:rFonts w:eastAsia="MS Mincho"/>
          <w:strike/>
          <w:bdr w:val="nil"/>
        </w:rPr>
        <w:t xml:space="preserve"> </w:t>
      </w:r>
      <w:r w:rsidRPr="002D029A">
        <w:rPr>
          <w:rFonts w:eastAsia="MS Mincho"/>
          <w:u w:val="double" w:color="000000"/>
          <w:bdr w:val="nil"/>
        </w:rPr>
        <w:t>animals</w:t>
      </w:r>
      <w:r w:rsidRPr="00B2143E">
        <w:rPr>
          <w:rFonts w:eastAsia="MS Mincho"/>
          <w:bdr w:val="nil"/>
        </w:rPr>
        <w:t xml:space="preserve">, ii) presumptive </w:t>
      </w:r>
      <w:r w:rsidRPr="002D029A">
        <w:rPr>
          <w:rFonts w:eastAsia="MS Mincho"/>
          <w:u w:val="double" w:color="000000"/>
          <w:bdr w:val="nil"/>
        </w:rPr>
        <w:t>diagnosis in clinically affected animals</w:t>
      </w:r>
      <w:r>
        <w:rPr>
          <w:rFonts w:eastAsia="MS Mincho"/>
          <w:bdr w:val="nil"/>
        </w:rPr>
        <w:t xml:space="preserve"> </w:t>
      </w:r>
      <w:r w:rsidRPr="00B2143E">
        <w:rPr>
          <w:rFonts w:eastAsia="MS Mincho"/>
          <w:bdr w:val="nil"/>
        </w:rPr>
        <w:t xml:space="preserve">and iii) confirmatory diagnostic purposes are listed in Table 4.1. by </w:t>
      </w:r>
      <w:r w:rsidR="00AD63FC" w:rsidRPr="004A7B91">
        <w:rPr>
          <w:rFonts w:eastAsia="MS Mincho"/>
          <w:color w:val="FF0000"/>
          <w:u w:val="double"/>
          <w:bdr w:val="nil"/>
        </w:rPr>
        <w:t>animal</w:t>
      </w:r>
      <w:r w:rsidRPr="00B2143E">
        <w:rPr>
          <w:rFonts w:eastAsia="MS Mincho"/>
          <w:bdr w:val="nil"/>
        </w:rPr>
        <w:t xml:space="preserve"> life stage. </w:t>
      </w:r>
    </w:p>
    <w:p w14:paraId="7411B17D" w14:textId="77777777" w:rsidR="00E05853" w:rsidRPr="007140AC" w:rsidRDefault="00E05853" w:rsidP="00E05853">
      <w:pPr>
        <w:pStyle w:val="Para1"/>
        <w:rPr>
          <w:rFonts w:eastAsia="MS Mincho"/>
          <w:strike/>
          <w:u w:color="000000"/>
          <w:bdr w:val="nil"/>
        </w:rPr>
      </w:pPr>
      <w:r w:rsidRPr="007140AC">
        <w:rPr>
          <w:rFonts w:eastAsia="MS Mincho"/>
          <w:strike/>
          <w:u w:color="000000"/>
          <w:bdr w:val="nil"/>
        </w:rPr>
        <w:t xml:space="preserve">The designations used in the Table indicate: </w:t>
      </w:r>
    </w:p>
    <w:p w14:paraId="65D30790" w14:textId="1544DB7D" w:rsidR="00E05853" w:rsidRPr="007140AC" w:rsidRDefault="00E05853" w:rsidP="00E05853">
      <w:pPr>
        <w:spacing w:after="240" w:line="240" w:lineRule="auto"/>
        <w:jc w:val="both"/>
        <w:rPr>
          <w:rFonts w:ascii="Arial" w:hAnsi="Arial" w:cs="Arial"/>
          <w:sz w:val="18"/>
          <w:szCs w:val="18"/>
          <w:u w:val="double"/>
        </w:rPr>
      </w:pPr>
      <w:r w:rsidRPr="007140AC">
        <w:rPr>
          <w:rFonts w:ascii="Arial" w:hAnsi="Arial" w:cs="Arial"/>
          <w:b/>
          <w:bCs/>
          <w:sz w:val="18"/>
          <w:szCs w:val="18"/>
          <w:u w:val="double"/>
        </w:rPr>
        <w:t xml:space="preserve">Ratings </w:t>
      </w:r>
      <w:r w:rsidRPr="004A7B91">
        <w:rPr>
          <w:rFonts w:ascii="Arial" w:hAnsi="Arial" w:cs="Arial"/>
          <w:b/>
          <w:bCs/>
          <w:strike/>
          <w:color w:val="FF0000"/>
          <w:sz w:val="18"/>
          <w:szCs w:val="18"/>
          <w:u w:val="double"/>
        </w:rPr>
        <w:t>against</w:t>
      </w:r>
      <w:r w:rsidRPr="007140AC">
        <w:rPr>
          <w:rFonts w:ascii="Arial" w:hAnsi="Arial" w:cs="Arial"/>
          <w:b/>
          <w:bCs/>
          <w:sz w:val="18"/>
          <w:szCs w:val="18"/>
          <w:u w:val="double"/>
        </w:rPr>
        <w:t xml:space="preserve"> </w:t>
      </w:r>
      <w:r w:rsidR="004A7B91">
        <w:rPr>
          <w:rFonts w:ascii="Arial" w:hAnsi="Arial" w:cs="Arial"/>
          <w:b/>
          <w:bCs/>
          <w:color w:val="FF0000"/>
          <w:sz w:val="18"/>
          <w:szCs w:val="18"/>
          <w:u w:val="double"/>
        </w:rPr>
        <w:t>aligned with</w:t>
      </w:r>
      <w:r w:rsidR="006B349C" w:rsidRPr="007140AC">
        <w:rPr>
          <w:rFonts w:ascii="Arial" w:hAnsi="Arial" w:cs="Arial"/>
          <w:b/>
          <w:bCs/>
          <w:sz w:val="18"/>
          <w:szCs w:val="18"/>
          <w:u w:val="double"/>
        </w:rPr>
        <w:t xml:space="preserve"> </w:t>
      </w:r>
      <w:r w:rsidRPr="007140AC">
        <w:rPr>
          <w:rFonts w:ascii="Arial" w:hAnsi="Arial" w:cs="Arial"/>
          <w:b/>
          <w:bCs/>
          <w:sz w:val="18"/>
          <w:szCs w:val="18"/>
          <w:u w:val="double"/>
        </w:rPr>
        <w:t>purposes of use.</w:t>
      </w:r>
      <w:r w:rsidRPr="007140AC">
        <w:rPr>
          <w:rFonts w:ascii="Arial" w:hAnsi="Arial" w:cs="Arial"/>
          <w:sz w:val="18"/>
          <w:szCs w:val="18"/>
          <w:u w:val="double"/>
        </w:rPr>
        <w:t xml:space="preserve"> For each recommended assay</w:t>
      </w:r>
      <w:r w:rsidR="00482690">
        <w:rPr>
          <w:rFonts w:ascii="Arial" w:hAnsi="Arial" w:cs="Arial"/>
          <w:sz w:val="18"/>
          <w:szCs w:val="18"/>
          <w:u w:val="double"/>
        </w:rPr>
        <w:t>,</w:t>
      </w:r>
      <w:r w:rsidRPr="007140AC">
        <w:rPr>
          <w:rFonts w:ascii="Arial" w:hAnsi="Arial" w:cs="Arial"/>
          <w:sz w:val="18"/>
          <w:szCs w:val="18"/>
          <w:u w:val="double"/>
        </w:rPr>
        <w:t xml:space="preserve"> a qualitative rating </w:t>
      </w:r>
      <w:r w:rsidRPr="004A7B91">
        <w:rPr>
          <w:rFonts w:ascii="Arial" w:hAnsi="Arial" w:cs="Arial"/>
          <w:strike/>
          <w:color w:val="FF0000"/>
          <w:sz w:val="18"/>
          <w:szCs w:val="18"/>
          <w:u w:val="double"/>
        </w:rPr>
        <w:t>against</w:t>
      </w:r>
      <w:r w:rsidRPr="004A7B91">
        <w:rPr>
          <w:rFonts w:ascii="Arial" w:hAnsi="Arial" w:cs="Arial"/>
          <w:sz w:val="18"/>
          <w:szCs w:val="18"/>
          <w:u w:val="double"/>
        </w:rPr>
        <w:t xml:space="preserve"> </w:t>
      </w:r>
      <w:r w:rsidR="00E522CD" w:rsidRPr="004A7B91">
        <w:rPr>
          <w:rFonts w:ascii="Arial" w:hAnsi="Arial" w:cs="Arial"/>
          <w:color w:val="FF0000"/>
          <w:sz w:val="18"/>
          <w:szCs w:val="18"/>
          <w:u w:val="double"/>
        </w:rPr>
        <w:t>aligned with</w:t>
      </w:r>
      <w:r w:rsidR="00E522CD" w:rsidRPr="007140AC">
        <w:rPr>
          <w:rFonts w:ascii="Arial" w:hAnsi="Arial" w:cs="Arial"/>
          <w:sz w:val="18"/>
          <w:szCs w:val="18"/>
          <w:u w:val="double"/>
        </w:rPr>
        <w:t xml:space="preserve"> </w:t>
      </w:r>
      <w:r w:rsidRPr="007140AC">
        <w:rPr>
          <w:rFonts w:ascii="Arial" w:hAnsi="Arial" w:cs="Arial"/>
          <w:sz w:val="18"/>
          <w:szCs w:val="18"/>
          <w:u w:val="double"/>
        </w:rPr>
        <w:t xml:space="preserve">the purpose of use is provided. The ratings are determined based on multiple performance and operational factors relevant to application of an assay for a defined purpose. These factors include appropriate diagnostic performance characteristics, level of assay validation, successful application by diagnostic laboratories, cost, timeliness, and sample throughput. For a specific purpose of use, assays are rated as: </w:t>
      </w:r>
    </w:p>
    <w:p w14:paraId="6BD60297" w14:textId="77777777" w:rsidR="00E05853" w:rsidRPr="007140AC" w:rsidRDefault="00E05853" w:rsidP="00E05853">
      <w:pPr>
        <w:pBdr>
          <w:top w:val="nil"/>
          <w:left w:val="nil"/>
          <w:bottom w:val="nil"/>
          <w:right w:val="nil"/>
          <w:between w:val="nil"/>
          <w:bar w:val="nil"/>
        </w:pBdr>
        <w:spacing w:before="120" w:after="0" w:line="240" w:lineRule="auto"/>
        <w:rPr>
          <w:rFonts w:ascii="Arial" w:eastAsia="Arial" w:hAnsi="Arial" w:cs="Arial"/>
          <w:strike/>
          <w:color w:val="000000"/>
          <w:sz w:val="18"/>
          <w:szCs w:val="18"/>
          <w:u w:color="000000"/>
          <w:bdr w:val="nil"/>
        </w:rPr>
      </w:pPr>
      <w:r w:rsidRPr="007140AC">
        <w:rPr>
          <w:rFonts w:ascii="Arial" w:eastAsia="Calibri" w:hAnsi="Arial" w:cs="Calibri"/>
          <w:strike/>
          <w:color w:val="000000"/>
          <w:sz w:val="18"/>
          <w:szCs w:val="18"/>
          <w:u w:color="000000"/>
          <w:bdr w:val="nil"/>
        </w:rPr>
        <w:t xml:space="preserve">Key: </w:t>
      </w:r>
    </w:p>
    <w:p w14:paraId="0C2E4E8C" w14:textId="608749ED" w:rsidR="00E05853" w:rsidRPr="00B2143E" w:rsidRDefault="00E05853" w:rsidP="00E05853">
      <w:pPr>
        <w:pBdr>
          <w:top w:val="nil"/>
          <w:left w:val="nil"/>
          <w:bottom w:val="nil"/>
          <w:right w:val="nil"/>
          <w:between w:val="nil"/>
          <w:bar w:val="nil"/>
        </w:pBdr>
        <w:spacing w:after="0" w:line="240" w:lineRule="auto"/>
        <w:ind w:left="1701" w:hanging="1701"/>
        <w:rPr>
          <w:rFonts w:ascii="Arial" w:eastAsia="Arial" w:hAnsi="Arial" w:cs="Arial"/>
          <w:color w:val="000000"/>
          <w:sz w:val="18"/>
          <w:szCs w:val="18"/>
          <w:bdr w:val="nil"/>
        </w:rPr>
      </w:pPr>
      <w:r w:rsidRPr="00B2143E">
        <w:rPr>
          <w:rFonts w:ascii="Arial" w:eastAsia="Calibri" w:hAnsi="Arial" w:cs="Calibri"/>
          <w:color w:val="000000"/>
          <w:sz w:val="18"/>
          <w:szCs w:val="18"/>
          <w:bdr w:val="nil"/>
        </w:rPr>
        <w:t>+++ =</w:t>
      </w:r>
      <w:r w:rsidRPr="00B2143E">
        <w:rPr>
          <w:rFonts w:ascii="Arial" w:eastAsia="Calibri" w:hAnsi="Arial" w:cs="Calibri"/>
          <w:color w:val="000000"/>
          <w:sz w:val="18"/>
          <w:szCs w:val="18"/>
          <w:u w:color="000000"/>
          <w:bdr w:val="nil"/>
        </w:rPr>
        <w:tab/>
      </w:r>
      <w:r w:rsidR="158E1FC7" w:rsidRPr="008D70A7">
        <w:rPr>
          <w:rFonts w:ascii="Arial" w:hAnsi="Arial" w:cs="Arial"/>
          <w:sz w:val="18"/>
          <w:szCs w:val="18"/>
        </w:rPr>
        <w:t>M</w:t>
      </w:r>
      <w:r w:rsidRPr="008D70A7">
        <w:rPr>
          <w:rFonts w:ascii="Arial" w:hAnsi="Arial" w:cs="Arial"/>
          <w:sz w:val="18"/>
          <w:szCs w:val="18"/>
        </w:rPr>
        <w:t>ethod</w:t>
      </w:r>
      <w:r w:rsidR="3A8FA1EA" w:rsidRPr="008D70A7">
        <w:rPr>
          <w:rFonts w:ascii="Arial" w:hAnsi="Arial" w:cs="Arial"/>
          <w:sz w:val="18"/>
          <w:szCs w:val="18"/>
        </w:rPr>
        <w:t>(</w:t>
      </w:r>
      <w:r w:rsidRPr="008D70A7">
        <w:rPr>
          <w:rFonts w:ascii="Arial" w:hAnsi="Arial" w:cs="Arial"/>
          <w:sz w:val="18"/>
          <w:szCs w:val="18"/>
        </w:rPr>
        <w:t>s</w:t>
      </w:r>
      <w:r w:rsidR="24FC3623" w:rsidRPr="008D70A7">
        <w:rPr>
          <w:rFonts w:ascii="Arial" w:hAnsi="Arial" w:cs="Arial"/>
          <w:sz w:val="18"/>
          <w:szCs w:val="18"/>
        </w:rPr>
        <w:t>)</w:t>
      </w:r>
      <w:r w:rsidR="17AD24EE" w:rsidRPr="008D70A7">
        <w:rPr>
          <w:rFonts w:ascii="Arial" w:hAnsi="Arial" w:cs="Arial"/>
          <w:sz w:val="18"/>
          <w:szCs w:val="18"/>
        </w:rPr>
        <w:t xml:space="preserve"> have</w:t>
      </w:r>
      <w:r w:rsidRPr="008D70A7">
        <w:rPr>
          <w:rFonts w:ascii="Arial" w:hAnsi="Arial" w:cs="Arial"/>
          <w:sz w:val="18"/>
          <w:szCs w:val="18"/>
        </w:rPr>
        <w:t xml:space="preserve"> desirable performance and operational characteristics</w:t>
      </w:r>
      <w:r>
        <w:rPr>
          <w:rFonts w:ascii="Arial" w:eastAsia="Calibri" w:hAnsi="Arial" w:cs="Calibri"/>
          <w:color w:val="000000"/>
          <w:sz w:val="18"/>
          <w:szCs w:val="18"/>
          <w:bdr w:val="nil"/>
        </w:rPr>
        <w:t>.</w:t>
      </w:r>
    </w:p>
    <w:p w14:paraId="06DD9ECB" w14:textId="6CDA988D" w:rsidR="00E05853" w:rsidRPr="00B2143E" w:rsidRDefault="00E05853" w:rsidP="5A2B776F">
      <w:pPr>
        <w:pBdr>
          <w:top w:val="nil"/>
          <w:left w:val="nil"/>
          <w:bottom w:val="nil"/>
          <w:right w:val="nil"/>
          <w:between w:val="nil"/>
          <w:bar w:val="nil"/>
        </w:pBdr>
        <w:spacing w:after="0" w:line="240" w:lineRule="auto"/>
        <w:ind w:left="1701" w:hanging="1701"/>
        <w:rPr>
          <w:rFonts w:ascii="Arial" w:eastAsia="Arial" w:hAnsi="Arial" w:cs="Arial"/>
          <w:color w:val="000000" w:themeColor="text1"/>
          <w:sz w:val="18"/>
          <w:szCs w:val="18"/>
        </w:rPr>
      </w:pPr>
      <w:r w:rsidRPr="00B2143E">
        <w:rPr>
          <w:rFonts w:ascii="Arial" w:eastAsia="Calibri" w:hAnsi="Arial" w:cs="Calibri"/>
          <w:color w:val="000000"/>
          <w:sz w:val="18"/>
          <w:szCs w:val="18"/>
          <w:bdr w:val="nil"/>
        </w:rPr>
        <w:t xml:space="preserve">++ = </w:t>
      </w:r>
      <w:r w:rsidRPr="00B2143E">
        <w:rPr>
          <w:rFonts w:ascii="Arial" w:eastAsia="Calibri" w:hAnsi="Arial" w:cs="Calibri"/>
          <w:color w:val="000000"/>
          <w:sz w:val="18"/>
          <w:szCs w:val="18"/>
          <w:u w:color="000000"/>
          <w:bdr w:val="nil"/>
        </w:rPr>
        <w:tab/>
      </w:r>
      <w:r w:rsidRPr="004A7B91">
        <w:rPr>
          <w:rFonts w:ascii="Arial" w:eastAsia="Calibri" w:hAnsi="Arial" w:cs="Calibri"/>
          <w:strike/>
          <w:color w:val="FF0000"/>
          <w:sz w:val="18"/>
          <w:szCs w:val="18"/>
        </w:rPr>
        <w:t>Suitable</w:t>
      </w:r>
      <w:r w:rsidRPr="004A7B91">
        <w:rPr>
          <w:rFonts w:ascii="Arial" w:eastAsia="Calibri" w:hAnsi="Arial" w:cs="Calibri"/>
          <w:strike/>
          <w:color w:val="FF0000"/>
          <w:sz w:val="18"/>
          <w:szCs w:val="18"/>
          <w:bdr w:val="nil"/>
        </w:rPr>
        <w:t xml:space="preserve"> </w:t>
      </w:r>
      <w:r w:rsidRPr="004A7B91">
        <w:rPr>
          <w:rFonts w:ascii="Arial" w:eastAsia="Calibri" w:hAnsi="Arial" w:cs="Calibri"/>
          <w:strike/>
          <w:color w:val="FF0000"/>
          <w:sz w:val="18"/>
          <w:szCs w:val="18"/>
        </w:rPr>
        <w:t>m</w:t>
      </w:r>
      <w:r w:rsidR="34693D49" w:rsidRPr="004A7B91">
        <w:rPr>
          <w:rFonts w:ascii="Arial" w:eastAsia="Calibri" w:hAnsi="Arial" w:cs="Calibri"/>
          <w:color w:val="FF0000"/>
          <w:sz w:val="18"/>
          <w:szCs w:val="18"/>
          <w:u w:val="double"/>
          <w:bdr w:val="nil"/>
        </w:rPr>
        <w:t>M</w:t>
      </w:r>
      <w:r w:rsidRPr="00B2143E">
        <w:rPr>
          <w:rFonts w:ascii="Arial" w:eastAsia="Calibri" w:hAnsi="Arial" w:cs="Calibri"/>
          <w:color w:val="000000"/>
          <w:sz w:val="18"/>
          <w:szCs w:val="18"/>
          <w:bdr w:val="nil"/>
        </w:rPr>
        <w:t>ethod</w:t>
      </w:r>
      <w:r w:rsidRPr="007140AC">
        <w:rPr>
          <w:rFonts w:ascii="Arial" w:eastAsia="Calibri" w:hAnsi="Arial" w:cs="Calibri"/>
          <w:color w:val="000000"/>
          <w:sz w:val="18"/>
          <w:szCs w:val="18"/>
          <w:u w:val="double" w:color="000000"/>
          <w:bdr w:val="nil"/>
        </w:rPr>
        <w:t>(</w:t>
      </w:r>
      <w:r w:rsidRPr="00B2143E">
        <w:rPr>
          <w:rFonts w:ascii="Arial" w:eastAsia="Calibri" w:hAnsi="Arial" w:cs="Calibri"/>
          <w:color w:val="000000"/>
          <w:sz w:val="18"/>
          <w:szCs w:val="18"/>
          <w:bdr w:val="nil"/>
        </w:rPr>
        <w:t>s</w:t>
      </w:r>
      <w:r w:rsidRPr="008D70A7">
        <w:rPr>
          <w:rFonts w:ascii="Arial" w:eastAsia="Calibri" w:hAnsi="Arial" w:cs="Calibri"/>
          <w:color w:val="000000"/>
          <w:sz w:val="18"/>
          <w:szCs w:val="18"/>
          <w:bdr w:val="nil"/>
        </w:rPr>
        <w:t xml:space="preserve">) </w:t>
      </w:r>
      <w:r w:rsidR="084A00FE" w:rsidRPr="004A7B91">
        <w:rPr>
          <w:rFonts w:ascii="Arial" w:eastAsia="Calibri" w:hAnsi="Arial" w:cs="Calibri"/>
          <w:color w:val="FF0000"/>
          <w:sz w:val="18"/>
          <w:szCs w:val="18"/>
          <w:u w:val="double"/>
          <w:bdr w:val="nil"/>
        </w:rPr>
        <w:t>have</w:t>
      </w:r>
      <w:r w:rsidR="084A00FE" w:rsidRPr="008D70A7">
        <w:rPr>
          <w:rFonts w:ascii="Arial" w:eastAsia="Calibri" w:hAnsi="Arial" w:cs="Calibri"/>
          <w:color w:val="000000"/>
          <w:sz w:val="18"/>
          <w:szCs w:val="18"/>
          <w:bdr w:val="nil"/>
        </w:rPr>
        <w:t xml:space="preserve"> </w:t>
      </w:r>
      <w:r w:rsidRPr="008D70A7">
        <w:rPr>
          <w:rFonts w:ascii="Arial" w:hAnsi="Arial" w:cs="Arial"/>
          <w:sz w:val="18"/>
          <w:szCs w:val="18"/>
        </w:rPr>
        <w:t xml:space="preserve">acceptable performance and operational characteristics under most </w:t>
      </w:r>
    </w:p>
    <w:p w14:paraId="678815B7" w14:textId="30AD95FE" w:rsidR="00E05853" w:rsidRPr="00B2143E" w:rsidRDefault="00E05853" w:rsidP="004A7B91">
      <w:pPr>
        <w:pBdr>
          <w:top w:val="nil"/>
          <w:left w:val="nil"/>
          <w:bottom w:val="nil"/>
          <w:right w:val="nil"/>
          <w:between w:val="nil"/>
          <w:bar w:val="nil"/>
        </w:pBdr>
        <w:spacing w:after="0" w:line="240" w:lineRule="auto"/>
        <w:ind w:left="1701"/>
        <w:rPr>
          <w:rFonts w:ascii="Arial" w:eastAsia="Arial" w:hAnsi="Arial" w:cs="Arial"/>
          <w:color w:val="000000"/>
          <w:sz w:val="18"/>
          <w:szCs w:val="18"/>
          <w:bdr w:val="nil"/>
        </w:rPr>
      </w:pPr>
      <w:r w:rsidRPr="5A2B776F">
        <w:rPr>
          <w:rFonts w:ascii="Arial" w:hAnsi="Arial" w:cs="Arial"/>
          <w:sz w:val="18"/>
          <w:szCs w:val="18"/>
          <w:bdr w:val="nil"/>
        </w:rPr>
        <w:t>circumstances</w:t>
      </w:r>
      <w:r w:rsidRPr="5A2B776F">
        <w:rPr>
          <w:rFonts w:ascii="Arial" w:eastAsia="Calibri" w:hAnsi="Arial" w:cs="Calibri"/>
          <w:color w:val="000000" w:themeColor="text1"/>
          <w:sz w:val="18"/>
          <w:szCs w:val="18"/>
        </w:rPr>
        <w:t xml:space="preserve">. </w:t>
      </w:r>
    </w:p>
    <w:p w14:paraId="6AB60AE8" w14:textId="6B8DA6C8" w:rsidR="00E05853" w:rsidRPr="00B2143E" w:rsidRDefault="00E05853" w:rsidP="00E05853">
      <w:pPr>
        <w:pBdr>
          <w:top w:val="nil"/>
          <w:left w:val="nil"/>
          <w:bottom w:val="nil"/>
          <w:right w:val="nil"/>
          <w:between w:val="nil"/>
          <w:bar w:val="nil"/>
        </w:pBdr>
        <w:spacing w:after="0" w:line="240" w:lineRule="auto"/>
        <w:ind w:left="1701" w:hanging="1701"/>
        <w:rPr>
          <w:rFonts w:ascii="Arial" w:eastAsia="Arial" w:hAnsi="Arial" w:cs="Arial"/>
          <w:color w:val="000000"/>
          <w:sz w:val="18"/>
          <w:szCs w:val="18"/>
          <w:bdr w:val="nil"/>
        </w:rPr>
      </w:pPr>
      <w:r w:rsidRPr="00B2143E">
        <w:rPr>
          <w:rFonts w:ascii="Arial" w:eastAsia="Calibri" w:hAnsi="Arial" w:cs="Calibri"/>
          <w:color w:val="000000"/>
          <w:sz w:val="18"/>
          <w:szCs w:val="18"/>
          <w:bdr w:val="nil"/>
        </w:rPr>
        <w:t xml:space="preserve">+ = </w:t>
      </w:r>
      <w:r w:rsidRPr="00B2143E">
        <w:rPr>
          <w:rFonts w:ascii="Arial" w:eastAsia="Calibri" w:hAnsi="Arial" w:cs="Calibri"/>
          <w:color w:val="000000"/>
          <w:sz w:val="18"/>
          <w:szCs w:val="18"/>
          <w:u w:color="000000"/>
          <w:bdr w:val="nil"/>
        </w:rPr>
        <w:tab/>
      </w:r>
      <w:r w:rsidRPr="00C64037">
        <w:rPr>
          <w:rFonts w:ascii="Arial" w:hAnsi="Arial" w:cs="Arial"/>
          <w:strike/>
          <w:color w:val="FF0000"/>
          <w:sz w:val="18"/>
          <w:szCs w:val="18"/>
        </w:rPr>
        <w:t>Less suitable m</w:t>
      </w:r>
      <w:r w:rsidR="5C302A1D" w:rsidRPr="00C64037">
        <w:rPr>
          <w:rFonts w:ascii="Arial" w:hAnsi="Arial" w:cs="Arial"/>
          <w:color w:val="FF0000"/>
          <w:sz w:val="18"/>
          <w:szCs w:val="18"/>
          <w:u w:val="double"/>
        </w:rPr>
        <w:t>M</w:t>
      </w:r>
      <w:r w:rsidRPr="008D70A7">
        <w:rPr>
          <w:rFonts w:ascii="Arial" w:hAnsi="Arial" w:cs="Arial"/>
          <w:sz w:val="18"/>
          <w:szCs w:val="18"/>
        </w:rPr>
        <w:t>ethod</w:t>
      </w:r>
      <w:r w:rsidR="22174DAE" w:rsidRPr="008D70A7">
        <w:rPr>
          <w:rFonts w:ascii="Arial" w:hAnsi="Arial" w:cs="Arial"/>
          <w:sz w:val="18"/>
          <w:szCs w:val="18"/>
        </w:rPr>
        <w:t>(</w:t>
      </w:r>
      <w:r w:rsidRPr="008D70A7">
        <w:rPr>
          <w:rFonts w:ascii="Arial" w:hAnsi="Arial" w:cs="Arial"/>
          <w:sz w:val="18"/>
          <w:szCs w:val="18"/>
        </w:rPr>
        <w:t>s</w:t>
      </w:r>
      <w:r w:rsidR="3B829CB6" w:rsidRPr="008D70A7">
        <w:rPr>
          <w:rFonts w:ascii="Arial" w:hAnsi="Arial" w:cs="Arial"/>
          <w:sz w:val="18"/>
          <w:szCs w:val="18"/>
        </w:rPr>
        <w:t>)</w:t>
      </w:r>
      <w:r w:rsidRPr="008D70A7">
        <w:rPr>
          <w:rFonts w:ascii="Arial" w:hAnsi="Arial" w:cs="Arial"/>
          <w:sz w:val="18"/>
          <w:szCs w:val="18"/>
        </w:rPr>
        <w:t xml:space="preserve"> performance or operational characteristics may significantly limit application</w:t>
      </w:r>
      <w:r w:rsidR="00435813">
        <w:rPr>
          <w:rFonts w:ascii="Arial" w:hAnsi="Arial" w:cs="Arial"/>
          <w:sz w:val="18"/>
          <w:szCs w:val="18"/>
        </w:rPr>
        <w:t xml:space="preserve"> </w:t>
      </w:r>
      <w:r w:rsidR="00435813" w:rsidRPr="00C64037">
        <w:rPr>
          <w:rFonts w:ascii="Arial" w:hAnsi="Arial" w:cs="Arial"/>
          <w:color w:val="FF0000"/>
          <w:sz w:val="18"/>
          <w:szCs w:val="18"/>
          <w:u w:val="double"/>
        </w:rPr>
        <w:t xml:space="preserve">and results should be </w:t>
      </w:r>
      <w:r w:rsidR="005C5E22" w:rsidRPr="00C64037">
        <w:rPr>
          <w:rFonts w:ascii="Arial" w:hAnsi="Arial" w:cs="Arial"/>
          <w:color w:val="FF0000"/>
          <w:sz w:val="18"/>
          <w:szCs w:val="18"/>
          <w:u w:val="double"/>
        </w:rPr>
        <w:t>carefully evaluated</w:t>
      </w:r>
      <w:r>
        <w:rPr>
          <w:rFonts w:ascii="Arial" w:eastAsia="Arial" w:hAnsi="Arial" w:cs="Arial"/>
          <w:color w:val="000000"/>
          <w:sz w:val="18"/>
          <w:szCs w:val="18"/>
          <w:bdr w:val="nil"/>
        </w:rPr>
        <w:t>.</w:t>
      </w:r>
      <w:r w:rsidRPr="008D70A7">
        <w:rPr>
          <w:rFonts w:ascii="Arial" w:eastAsia="Arial" w:hAnsi="Arial" w:cs="Arial"/>
          <w:color w:val="000000"/>
          <w:sz w:val="18"/>
          <w:szCs w:val="18"/>
          <w:bdr w:val="nil"/>
        </w:rPr>
        <w:t xml:space="preserve"> </w:t>
      </w:r>
    </w:p>
    <w:p w14:paraId="64CD6907" w14:textId="428C6812" w:rsidR="00E05853" w:rsidRDefault="00E05853" w:rsidP="00E05853">
      <w:pPr>
        <w:pBdr>
          <w:top w:val="nil"/>
          <w:left w:val="nil"/>
          <w:bottom w:val="nil"/>
          <w:right w:val="nil"/>
          <w:between w:val="nil"/>
          <w:bar w:val="nil"/>
        </w:pBdr>
        <w:spacing w:after="240" w:line="240" w:lineRule="auto"/>
        <w:ind w:left="1701" w:hanging="1701"/>
        <w:rPr>
          <w:rFonts w:ascii="Arial" w:eastAsia="Calibri" w:hAnsi="Arial" w:cs="Calibri"/>
          <w:color w:val="000000"/>
          <w:sz w:val="18"/>
          <w:szCs w:val="18"/>
          <w:u w:color="000000"/>
          <w:bdr w:val="nil"/>
        </w:rPr>
      </w:pPr>
      <w:r w:rsidRPr="00B2143E">
        <w:rPr>
          <w:rFonts w:ascii="Arial" w:eastAsia="Calibri" w:hAnsi="Arial" w:cs="Calibri"/>
          <w:color w:val="000000"/>
          <w:sz w:val="18"/>
          <w:szCs w:val="18"/>
          <w:u w:color="000000"/>
          <w:bdr w:val="nil"/>
        </w:rPr>
        <w:t xml:space="preserve">Shaded boxes = </w:t>
      </w:r>
      <w:r w:rsidRPr="00B2143E">
        <w:rPr>
          <w:rFonts w:ascii="Arial" w:eastAsia="Calibri" w:hAnsi="Arial" w:cs="Calibri"/>
          <w:color w:val="000000"/>
          <w:sz w:val="18"/>
          <w:szCs w:val="18"/>
          <w:u w:color="000000"/>
          <w:bdr w:val="nil"/>
        </w:rPr>
        <w:tab/>
        <w:t>Not appropriate for this purpose.</w:t>
      </w:r>
    </w:p>
    <w:p w14:paraId="1F02BD1E" w14:textId="0990957D" w:rsidR="00AA254D" w:rsidRPr="009B6794" w:rsidRDefault="004A7B91" w:rsidP="009B6794">
      <w:pPr>
        <w:spacing w:before="100" w:beforeAutospacing="1" w:after="100" w:afterAutospacing="1" w:line="240" w:lineRule="auto"/>
        <w:rPr>
          <w:rFonts w:ascii="Arial" w:hAnsi="Arial" w:cs="Arial"/>
          <w:color w:val="FF0000"/>
        </w:rPr>
      </w:pPr>
      <w:r w:rsidRPr="00AA254D">
        <w:rPr>
          <w:rFonts w:ascii="Arial" w:eastAsia="Calibri" w:hAnsi="Arial" w:cs="Arial"/>
          <w:b/>
          <w:bCs/>
          <w:color w:val="FF0000"/>
          <w:u w:color="000000"/>
          <w:bdr w:val="nil"/>
        </w:rPr>
        <w:t>RATIONALE:</w:t>
      </w:r>
      <w:r w:rsidRPr="00AA254D">
        <w:rPr>
          <w:rFonts w:ascii="Arial" w:eastAsia="Calibri" w:hAnsi="Arial" w:cs="Arial"/>
          <w:color w:val="FF0000"/>
          <w:u w:color="000000"/>
          <w:bdr w:val="nil"/>
        </w:rPr>
        <w:t xml:space="preserve"> </w:t>
      </w:r>
      <w:r w:rsidR="00E97CAE" w:rsidRPr="009B6794">
        <w:rPr>
          <w:rFonts w:ascii="Arial" w:hAnsi="Arial" w:cs="Arial"/>
          <w:color w:val="FF0000"/>
        </w:rPr>
        <w:t>The system/criteria used</w:t>
      </w:r>
      <w:r w:rsidR="00E97CAE">
        <w:rPr>
          <w:rFonts w:ascii="Arial" w:hAnsi="Arial" w:cs="Arial"/>
          <w:color w:val="FF0000"/>
        </w:rPr>
        <w:t xml:space="preserve"> in t</w:t>
      </w:r>
      <w:r w:rsidRPr="00AA254D">
        <w:rPr>
          <w:rFonts w:ascii="Arial" w:hAnsi="Arial" w:cs="Arial"/>
          <w:color w:val="FF0000"/>
        </w:rPr>
        <w:t xml:space="preserve">his rating/scoring section </w:t>
      </w:r>
      <w:r w:rsidR="00E97CAE">
        <w:rPr>
          <w:rFonts w:ascii="Arial" w:hAnsi="Arial" w:cs="Arial"/>
          <w:color w:val="FF0000"/>
        </w:rPr>
        <w:t>should be described</w:t>
      </w:r>
      <w:r w:rsidRPr="00AA254D">
        <w:rPr>
          <w:rFonts w:ascii="Arial" w:hAnsi="Arial" w:cs="Arial"/>
          <w:color w:val="FF0000"/>
        </w:rPr>
        <w:t xml:space="preserve"> to ensure the process of evaluating assays is comparable. As written, the guidance is so vague that it is hard to imagine how this language could be used to evaluate different assays in the same way</w:t>
      </w:r>
      <w:r w:rsidRPr="009B6794">
        <w:rPr>
          <w:rFonts w:ascii="Arial" w:hAnsi="Arial" w:cs="Arial"/>
          <w:color w:val="FF0000"/>
        </w:rPr>
        <w:t>.</w:t>
      </w:r>
      <w:r w:rsidR="00AA254D" w:rsidRPr="009B6794">
        <w:rPr>
          <w:rFonts w:ascii="Arial" w:eastAsia="Times New Roman" w:hAnsi="Arial" w:cs="Arial"/>
          <w:color w:val="FF0000"/>
        </w:rPr>
        <w:t xml:space="preserve"> </w:t>
      </w:r>
      <w:r w:rsidR="009B6794" w:rsidRPr="009B6794">
        <w:rPr>
          <w:rFonts w:ascii="Arial" w:eastAsia="Times New Roman" w:hAnsi="Arial" w:cs="Arial"/>
          <w:color w:val="FF0000"/>
        </w:rPr>
        <w:t>Specifically,</w:t>
      </w:r>
      <w:r w:rsidR="0041252A" w:rsidRPr="009B6794">
        <w:rPr>
          <w:rFonts w:ascii="Arial" w:eastAsia="Times New Roman" w:hAnsi="Arial" w:cs="Arial"/>
          <w:color w:val="FF0000"/>
        </w:rPr>
        <w:t xml:space="preserve"> </w:t>
      </w:r>
    </w:p>
    <w:p w14:paraId="471DE963" w14:textId="77777777" w:rsidR="00AA254D" w:rsidRPr="009B6794" w:rsidRDefault="00AA254D" w:rsidP="00AA254D">
      <w:pPr>
        <w:pStyle w:val="ListParagraph"/>
        <w:numPr>
          <w:ilvl w:val="0"/>
          <w:numId w:val="2"/>
        </w:numPr>
        <w:spacing w:before="100" w:beforeAutospacing="1" w:after="100" w:afterAutospacing="1" w:line="240" w:lineRule="auto"/>
        <w:rPr>
          <w:rFonts w:ascii="Arial" w:eastAsia="Times New Roman" w:hAnsi="Arial" w:cs="Arial"/>
          <w:color w:val="FF0000"/>
        </w:rPr>
      </w:pPr>
      <w:r w:rsidRPr="009B6794">
        <w:rPr>
          <w:rFonts w:ascii="Arial" w:eastAsia="Times New Roman" w:hAnsi="Arial" w:cs="Arial"/>
          <w:color w:val="FF0000"/>
        </w:rPr>
        <w:t xml:space="preserve">Benchmarks are needed so that it is clear for each rating (i.e., +/++/+++) what the expectation is for a given factor. For example, for a (+++) rating (desirable performance and operational characteristics), the OIE should provide an example of a “desirable” assay result for each performance and operational factor. The same should be provided for assays with “acceptable” (++) performance and operational characteristics. The same should be provided for assays (+) with performance or operational characteristics that may significantly limit application. Without benchmarks, it is not clear how the rating of an assay relates to each of the performance and operational factors. </w:t>
      </w:r>
    </w:p>
    <w:p w14:paraId="618F4B5C" w14:textId="77777777" w:rsidR="00AA254D" w:rsidRPr="009B6794" w:rsidRDefault="00AA254D" w:rsidP="00AA254D">
      <w:pPr>
        <w:pStyle w:val="ListParagraph"/>
        <w:spacing w:before="100" w:beforeAutospacing="1" w:after="100" w:afterAutospacing="1" w:line="240" w:lineRule="auto"/>
        <w:rPr>
          <w:rFonts w:ascii="Arial" w:hAnsi="Arial" w:cs="Arial"/>
          <w:color w:val="FF0000"/>
        </w:rPr>
      </w:pPr>
    </w:p>
    <w:p w14:paraId="514B04CD" w14:textId="77777777" w:rsidR="00AA254D" w:rsidRPr="009B6794" w:rsidRDefault="00AA254D" w:rsidP="00AA254D">
      <w:pPr>
        <w:pStyle w:val="ListParagraph"/>
        <w:numPr>
          <w:ilvl w:val="0"/>
          <w:numId w:val="2"/>
        </w:numPr>
        <w:spacing w:before="100" w:beforeAutospacing="1" w:after="100" w:afterAutospacing="1" w:line="240" w:lineRule="auto"/>
        <w:rPr>
          <w:rFonts w:ascii="Arial" w:eastAsia="Times New Roman" w:hAnsi="Arial" w:cs="Arial"/>
          <w:color w:val="FF0000"/>
        </w:rPr>
      </w:pPr>
      <w:r w:rsidRPr="009B6794">
        <w:rPr>
          <w:rFonts w:ascii="Arial" w:eastAsia="Times New Roman" w:hAnsi="Arial" w:cs="Arial"/>
          <w:color w:val="FF0000"/>
        </w:rPr>
        <w:t xml:space="preserve">Within the ratings against purposes of use assessment, the inclusion of performance factors (e.g., appropriate diagnostic performance characteristics, level of assay validation) would appear to overlap with the separate level of validation assessment. The ratings against purposes of use assessments and level of validation assessments should be independent. One solution would be to include only the operational factors (e.g., successful application by diagnostic laboratories, cost, timeliness, and sample throughput) in the ratings against purposes of use assessment. </w:t>
      </w:r>
    </w:p>
    <w:p w14:paraId="113F9D1C" w14:textId="46041A64" w:rsidR="00AA254D" w:rsidRPr="004A7B91" w:rsidRDefault="00AA254D" w:rsidP="004A7B91">
      <w:pPr>
        <w:pBdr>
          <w:top w:val="nil"/>
          <w:left w:val="nil"/>
          <w:bottom w:val="nil"/>
          <w:right w:val="nil"/>
          <w:between w:val="nil"/>
          <w:bar w:val="nil"/>
        </w:pBdr>
        <w:spacing w:after="240" w:line="240" w:lineRule="auto"/>
        <w:rPr>
          <w:rFonts w:ascii="Arial" w:eastAsia="Arial" w:hAnsi="Arial" w:cs="Arial"/>
          <w:color w:val="FF0000"/>
          <w:u w:color="000000"/>
          <w:bdr w:val="nil"/>
        </w:rPr>
      </w:pPr>
    </w:p>
    <w:p w14:paraId="37433053" w14:textId="77777777" w:rsidR="00E05853" w:rsidRPr="007140AC" w:rsidRDefault="00E05853" w:rsidP="00E05853">
      <w:pPr>
        <w:pStyle w:val="Para1"/>
        <w:rPr>
          <w:rFonts w:eastAsia="MS Mincho"/>
          <w:strike/>
          <w:u w:color="000000"/>
          <w:bdr w:val="nil"/>
        </w:rPr>
      </w:pPr>
      <w:r w:rsidRPr="007140AC">
        <w:rPr>
          <w:rFonts w:eastAsia="MS Mincho"/>
          <w:strike/>
          <w:u w:color="000000"/>
          <w:bdr w:val="nil"/>
        </w:rPr>
        <w:t xml:space="preserve">The selection of a test for a given purpose depends on the analytical and diagnostic sensitivities and specificities repeatability and reproducibility. OIE Reference Laboratories welcome feedback on diagnostic performance for assays, </w:t>
      </w:r>
      <w:r w:rsidRPr="007140AC">
        <w:rPr>
          <w:rFonts w:eastAsia="MS Mincho"/>
          <w:strike/>
          <w:u w:color="000000"/>
          <w:bdr w:val="nil"/>
        </w:rPr>
        <w:lastRenderedPageBreak/>
        <w:t>in particular PCR methods, for factors affecting assay analytical sensitivity or analytical specificity, such as tissue components inhibiting amplification, presence of nonspecific or uncertain bands, etc., and any assays that are in the +++ category.</w:t>
      </w:r>
    </w:p>
    <w:p w14:paraId="27A1A084" w14:textId="77777777" w:rsidR="00E05853" w:rsidRPr="007140AC" w:rsidRDefault="00E05853" w:rsidP="00E05853">
      <w:pPr>
        <w:spacing w:after="240" w:line="240" w:lineRule="auto"/>
        <w:jc w:val="both"/>
        <w:rPr>
          <w:rFonts w:ascii="Arial" w:hAnsi="Arial" w:cs="Arial"/>
          <w:sz w:val="18"/>
          <w:szCs w:val="18"/>
          <w:u w:val="double"/>
        </w:rPr>
      </w:pPr>
      <w:r w:rsidRPr="007140AC">
        <w:rPr>
          <w:rFonts w:ascii="Arial" w:hAnsi="Arial" w:cs="Arial"/>
          <w:b/>
          <w:bCs/>
          <w:sz w:val="18"/>
          <w:szCs w:val="18"/>
          <w:u w:val="double"/>
        </w:rPr>
        <w:t>Validation stage</w:t>
      </w:r>
      <w:r w:rsidRPr="007140AC">
        <w:rPr>
          <w:rFonts w:ascii="Arial" w:hAnsi="Arial" w:cs="Arial"/>
          <w:sz w:val="18"/>
          <w:szCs w:val="18"/>
          <w:u w:val="double"/>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7E97C2EA" w14:textId="77777777" w:rsidR="00E05853" w:rsidRPr="007140AC" w:rsidRDefault="00E05853" w:rsidP="00E05853">
      <w:pPr>
        <w:spacing w:after="240" w:line="240" w:lineRule="auto"/>
        <w:jc w:val="both"/>
        <w:rPr>
          <w:rFonts w:ascii="Arial" w:hAnsi="Arial" w:cs="Arial"/>
          <w:b/>
          <w:bCs/>
          <w:sz w:val="18"/>
          <w:szCs w:val="18"/>
          <w:u w:val="double"/>
        </w:rPr>
      </w:pPr>
      <w:r w:rsidRPr="007140AC">
        <w:rPr>
          <w:rFonts w:ascii="Arial" w:hAnsi="Arial" w:cs="Arial"/>
          <w:sz w:val="18"/>
          <w:szCs w:val="18"/>
          <w:u w:val="double"/>
        </w:rPr>
        <w:t>OIE Reference Laboratories welcome feedback on diagnostic performance of recommended assays, in particular PCR methods. Of particular interest are any factors affecting expected assay sensitivity (</w:t>
      </w:r>
      <w:proofErr w:type="gramStart"/>
      <w:r w:rsidRPr="007140AC">
        <w:rPr>
          <w:rFonts w:ascii="Arial" w:hAnsi="Arial" w:cs="Arial"/>
          <w:sz w:val="18"/>
          <w:szCs w:val="18"/>
          <w:u w:val="double"/>
        </w:rPr>
        <w:t>e.g.</w:t>
      </w:r>
      <w:proofErr w:type="gramEnd"/>
      <w:r w:rsidRPr="007140AC">
        <w:rPr>
          <w:rFonts w:ascii="Arial" w:hAnsi="Arial" w:cs="Arial"/>
          <w:sz w:val="18"/>
          <w:szCs w:val="18"/>
          <w:u w:val="double"/>
        </w:rPr>
        <w:t xml:space="preserve"> tissue components inhibiting amplification) or expected specificity (e.g. failure to detect particular genotypes). These issues should be communicated to the OIE Reference Laboratories so that advice can be provided to diagnostic laboratories and the standards amended if necessary. </w:t>
      </w:r>
    </w:p>
    <w:p w14:paraId="1F1D787B" w14:textId="77777777" w:rsidR="00E05853" w:rsidRPr="00AB6DA0" w:rsidRDefault="00E05853" w:rsidP="00E05853">
      <w:pPr>
        <w:jc w:val="center"/>
        <w:rPr>
          <w:rFonts w:ascii="Arial" w:eastAsia="Calibri" w:hAnsi="Arial" w:cs="Arial"/>
          <w:sz w:val="18"/>
          <w:szCs w:val="18"/>
        </w:rPr>
      </w:pPr>
      <w:r w:rsidRPr="00AB6DA0">
        <w:rPr>
          <w:rFonts w:ascii="Arial" w:eastAsia="Calibri" w:hAnsi="Arial" w:cs="Arial"/>
          <w:sz w:val="18"/>
          <w:szCs w:val="18"/>
        </w:rPr>
        <w:t>[…]</w:t>
      </w:r>
    </w:p>
    <w:p w14:paraId="48A3C8B2" w14:textId="77777777" w:rsidR="00E05853" w:rsidRPr="00AB6DA0" w:rsidRDefault="00E05853" w:rsidP="00E05853">
      <w:pPr>
        <w:overflowPunct w:val="0"/>
        <w:autoSpaceDE w:val="0"/>
        <w:autoSpaceDN w:val="0"/>
        <w:adjustRightInd w:val="0"/>
        <w:spacing w:after="240" w:line="240" w:lineRule="auto"/>
        <w:ind w:left="425" w:hanging="425"/>
        <w:jc w:val="center"/>
        <w:rPr>
          <w:rFonts w:ascii="Times New Roman" w:eastAsia="Calibri" w:hAnsi="Times New Roman" w:cs="Arial"/>
          <w:b/>
          <w:bCs/>
          <w:sz w:val="20"/>
          <w:szCs w:val="20"/>
          <w:lang w:val="en-GB" w:eastAsia="en-GB"/>
        </w:rPr>
      </w:pPr>
      <w:r w:rsidRPr="00AB6DA0">
        <w:rPr>
          <w:rFonts w:ascii="Times New Roman" w:eastAsia="Calibri" w:hAnsi="Times New Roman" w:cs="Arial"/>
          <w:b/>
          <w:bCs/>
          <w:sz w:val="20"/>
          <w:szCs w:val="20"/>
          <w:lang w:val="en-GB" w:eastAsia="en-GB"/>
        </w:rPr>
        <w:t>________________________</w:t>
      </w:r>
    </w:p>
    <w:p w14:paraId="638B3A0B" w14:textId="77777777" w:rsidR="00E357EB" w:rsidRDefault="00E357EB"/>
    <w:sectPr w:rsidR="00E35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51E32"/>
    <w:multiLevelType w:val="hybridMultilevel"/>
    <w:tmpl w:val="CBFC27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6653F80"/>
    <w:multiLevelType w:val="multilevel"/>
    <w:tmpl w:val="3698CBE4"/>
    <w:lvl w:ilvl="0">
      <w:start w:val="1"/>
      <w:numFmt w:val="decimal"/>
      <w:lvlText w:val="%1."/>
      <w:lvlJc w:val="left"/>
      <w:pPr>
        <w:ind w:left="502" w:hanging="360"/>
      </w:pPr>
      <w:rPr>
        <w:rFonts w:ascii="Times New Roman" w:hAnsi="Times New Roman" w:cs="Times New Roman" w:hint="default"/>
        <w:b/>
        <w:bCs/>
        <w:i w:val="0"/>
        <w:iCs w:val="0"/>
        <w:sz w:val="20"/>
        <w:szCs w:val="20"/>
      </w:rPr>
    </w:lvl>
    <w:lvl w:ilvl="1">
      <w:start w:val="1"/>
      <w:numFmt w:val="decimal"/>
      <w:lvlText w:val="%1.%2."/>
      <w:lvlJc w:val="left"/>
      <w:pPr>
        <w:ind w:left="792" w:hanging="432"/>
      </w:pPr>
    </w:lvl>
    <w:lvl w:ilvl="2">
      <w:start w:val="1"/>
      <w:numFmt w:val="decimal"/>
      <w:lvlText w:val="%1.%2.%3."/>
      <w:lvlJc w:val="left"/>
      <w:pPr>
        <w:ind w:left="1134" w:hanging="504"/>
      </w:pPr>
      <w:rPr>
        <w:rFonts w:ascii="Times New Roman" w:hAnsi="Times New Roman" w:cs="Times New Roman" w:hint="default"/>
      </w:rPr>
    </w:lvl>
    <w:lvl w:ilvl="3">
      <w:start w:val="1"/>
      <w:numFmt w:val="decimal"/>
      <w:lvlText w:val="%1.%2.%3.%4."/>
      <w:lvlJc w:val="left"/>
      <w:pPr>
        <w:ind w:left="8870" w:hanging="648"/>
      </w:pPr>
      <w:rPr>
        <w:rFonts w:ascii="Times New Roman" w:hAnsi="Times New Roman" w:cs="Times New Roman"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53"/>
    <w:rsid w:val="00001C7D"/>
    <w:rsid w:val="000042F5"/>
    <w:rsid w:val="00005376"/>
    <w:rsid w:val="00006F98"/>
    <w:rsid w:val="0001170F"/>
    <w:rsid w:val="00012E5E"/>
    <w:rsid w:val="000142CD"/>
    <w:rsid w:val="00014C4C"/>
    <w:rsid w:val="00015E1B"/>
    <w:rsid w:val="00016D01"/>
    <w:rsid w:val="00020B0B"/>
    <w:rsid w:val="00021D0E"/>
    <w:rsid w:val="00021DE5"/>
    <w:rsid w:val="0002214B"/>
    <w:rsid w:val="00023328"/>
    <w:rsid w:val="00023C39"/>
    <w:rsid w:val="000279B5"/>
    <w:rsid w:val="000303B8"/>
    <w:rsid w:val="000303EA"/>
    <w:rsid w:val="000310C4"/>
    <w:rsid w:val="00032125"/>
    <w:rsid w:val="00035B8A"/>
    <w:rsid w:val="00040214"/>
    <w:rsid w:val="0004238F"/>
    <w:rsid w:val="0004464F"/>
    <w:rsid w:val="00052201"/>
    <w:rsid w:val="00053DBD"/>
    <w:rsid w:val="00055B96"/>
    <w:rsid w:val="00056B89"/>
    <w:rsid w:val="000579BD"/>
    <w:rsid w:val="00057E6D"/>
    <w:rsid w:val="00060C9D"/>
    <w:rsid w:val="0006101B"/>
    <w:rsid w:val="0006261B"/>
    <w:rsid w:val="000630B2"/>
    <w:rsid w:val="00063EE8"/>
    <w:rsid w:val="000700D3"/>
    <w:rsid w:val="00070179"/>
    <w:rsid w:val="00076221"/>
    <w:rsid w:val="00076EF3"/>
    <w:rsid w:val="00077FEA"/>
    <w:rsid w:val="00080560"/>
    <w:rsid w:val="00080C4A"/>
    <w:rsid w:val="00080EB4"/>
    <w:rsid w:val="0008155C"/>
    <w:rsid w:val="00085CBB"/>
    <w:rsid w:val="0009049F"/>
    <w:rsid w:val="0009105E"/>
    <w:rsid w:val="000969A6"/>
    <w:rsid w:val="00097E0B"/>
    <w:rsid w:val="000A0778"/>
    <w:rsid w:val="000A1496"/>
    <w:rsid w:val="000A4CB5"/>
    <w:rsid w:val="000A5E7D"/>
    <w:rsid w:val="000A7BAF"/>
    <w:rsid w:val="000B1F19"/>
    <w:rsid w:val="000B49D0"/>
    <w:rsid w:val="000C0FEB"/>
    <w:rsid w:val="000C27E7"/>
    <w:rsid w:val="000C7E54"/>
    <w:rsid w:val="000D0427"/>
    <w:rsid w:val="000D3E3B"/>
    <w:rsid w:val="000D5305"/>
    <w:rsid w:val="000E3431"/>
    <w:rsid w:val="000E7577"/>
    <w:rsid w:val="000F0EA2"/>
    <w:rsid w:val="000F1486"/>
    <w:rsid w:val="000F29B8"/>
    <w:rsid w:val="000F4B4E"/>
    <w:rsid w:val="000F4F00"/>
    <w:rsid w:val="000F65BC"/>
    <w:rsid w:val="000F6D19"/>
    <w:rsid w:val="000F7867"/>
    <w:rsid w:val="00100E75"/>
    <w:rsid w:val="0011182F"/>
    <w:rsid w:val="001127BA"/>
    <w:rsid w:val="00112A7A"/>
    <w:rsid w:val="00112B05"/>
    <w:rsid w:val="001212B6"/>
    <w:rsid w:val="00121E28"/>
    <w:rsid w:val="00121F3F"/>
    <w:rsid w:val="00122E18"/>
    <w:rsid w:val="0012563E"/>
    <w:rsid w:val="00130DDE"/>
    <w:rsid w:val="00132358"/>
    <w:rsid w:val="00134738"/>
    <w:rsid w:val="0013564C"/>
    <w:rsid w:val="00141F89"/>
    <w:rsid w:val="00144CC0"/>
    <w:rsid w:val="00145D3D"/>
    <w:rsid w:val="00146050"/>
    <w:rsid w:val="0015109D"/>
    <w:rsid w:val="001510B7"/>
    <w:rsid w:val="00151418"/>
    <w:rsid w:val="00153F34"/>
    <w:rsid w:val="00155F89"/>
    <w:rsid w:val="00156980"/>
    <w:rsid w:val="00160B44"/>
    <w:rsid w:val="00161B44"/>
    <w:rsid w:val="00162CEC"/>
    <w:rsid w:val="0016334D"/>
    <w:rsid w:val="0016675A"/>
    <w:rsid w:val="0017122C"/>
    <w:rsid w:val="0017392B"/>
    <w:rsid w:val="00175072"/>
    <w:rsid w:val="00175382"/>
    <w:rsid w:val="00185159"/>
    <w:rsid w:val="00186AFF"/>
    <w:rsid w:val="001914B7"/>
    <w:rsid w:val="00192D33"/>
    <w:rsid w:val="00192EE0"/>
    <w:rsid w:val="00194296"/>
    <w:rsid w:val="001943B5"/>
    <w:rsid w:val="001949AC"/>
    <w:rsid w:val="0019577F"/>
    <w:rsid w:val="00195ED3"/>
    <w:rsid w:val="001A02A3"/>
    <w:rsid w:val="001A5096"/>
    <w:rsid w:val="001A7FEA"/>
    <w:rsid w:val="001C4CF6"/>
    <w:rsid w:val="001C4F97"/>
    <w:rsid w:val="001C6688"/>
    <w:rsid w:val="001C7A93"/>
    <w:rsid w:val="001D53CE"/>
    <w:rsid w:val="001D5EEF"/>
    <w:rsid w:val="001E05CE"/>
    <w:rsid w:val="001E0B0D"/>
    <w:rsid w:val="001E1B08"/>
    <w:rsid w:val="001E1E07"/>
    <w:rsid w:val="001E3A64"/>
    <w:rsid w:val="001E41A4"/>
    <w:rsid w:val="001E4DAE"/>
    <w:rsid w:val="001E6B73"/>
    <w:rsid w:val="001E7283"/>
    <w:rsid w:val="001F22C0"/>
    <w:rsid w:val="001F26F9"/>
    <w:rsid w:val="001F2A55"/>
    <w:rsid w:val="001F64F2"/>
    <w:rsid w:val="001F6665"/>
    <w:rsid w:val="001F66CC"/>
    <w:rsid w:val="001F77D0"/>
    <w:rsid w:val="002002B2"/>
    <w:rsid w:val="00201F57"/>
    <w:rsid w:val="00203A55"/>
    <w:rsid w:val="002062D8"/>
    <w:rsid w:val="0021011F"/>
    <w:rsid w:val="0021325E"/>
    <w:rsid w:val="0021749A"/>
    <w:rsid w:val="0022037D"/>
    <w:rsid w:val="00223E89"/>
    <w:rsid w:val="00225211"/>
    <w:rsid w:val="00227194"/>
    <w:rsid w:val="00233E74"/>
    <w:rsid w:val="00234011"/>
    <w:rsid w:val="00235AEE"/>
    <w:rsid w:val="00235C2A"/>
    <w:rsid w:val="002365D3"/>
    <w:rsid w:val="00236D34"/>
    <w:rsid w:val="002451EB"/>
    <w:rsid w:val="00245E21"/>
    <w:rsid w:val="00247BD1"/>
    <w:rsid w:val="00252A91"/>
    <w:rsid w:val="00254B59"/>
    <w:rsid w:val="002651AE"/>
    <w:rsid w:val="00265D39"/>
    <w:rsid w:val="002666E0"/>
    <w:rsid w:val="0026797A"/>
    <w:rsid w:val="00267E27"/>
    <w:rsid w:val="00270301"/>
    <w:rsid w:val="00271C30"/>
    <w:rsid w:val="00272CBD"/>
    <w:rsid w:val="0028037B"/>
    <w:rsid w:val="002830AD"/>
    <w:rsid w:val="00284BAA"/>
    <w:rsid w:val="0028731F"/>
    <w:rsid w:val="00290BCD"/>
    <w:rsid w:val="00291077"/>
    <w:rsid w:val="0029297A"/>
    <w:rsid w:val="00292AA6"/>
    <w:rsid w:val="00293A83"/>
    <w:rsid w:val="00296BC1"/>
    <w:rsid w:val="002A0E75"/>
    <w:rsid w:val="002A2218"/>
    <w:rsid w:val="002A362E"/>
    <w:rsid w:val="002A53D1"/>
    <w:rsid w:val="002B44A0"/>
    <w:rsid w:val="002B652E"/>
    <w:rsid w:val="002B76EC"/>
    <w:rsid w:val="002B7711"/>
    <w:rsid w:val="002C0D60"/>
    <w:rsid w:val="002C248A"/>
    <w:rsid w:val="002C292F"/>
    <w:rsid w:val="002C2F58"/>
    <w:rsid w:val="002C5DF3"/>
    <w:rsid w:val="002D0F84"/>
    <w:rsid w:val="002D7032"/>
    <w:rsid w:val="002E0279"/>
    <w:rsid w:val="002E19EA"/>
    <w:rsid w:val="002E21F8"/>
    <w:rsid w:val="002F4B29"/>
    <w:rsid w:val="002F534E"/>
    <w:rsid w:val="002F5BA8"/>
    <w:rsid w:val="003015E1"/>
    <w:rsid w:val="00302777"/>
    <w:rsid w:val="00305CFA"/>
    <w:rsid w:val="00306F6A"/>
    <w:rsid w:val="003146EE"/>
    <w:rsid w:val="00315114"/>
    <w:rsid w:val="00317F19"/>
    <w:rsid w:val="003203AE"/>
    <w:rsid w:val="003205C8"/>
    <w:rsid w:val="00326709"/>
    <w:rsid w:val="003301DE"/>
    <w:rsid w:val="00331226"/>
    <w:rsid w:val="00331874"/>
    <w:rsid w:val="00331EF4"/>
    <w:rsid w:val="00332B67"/>
    <w:rsid w:val="00333092"/>
    <w:rsid w:val="00334F49"/>
    <w:rsid w:val="00336AAD"/>
    <w:rsid w:val="00337CC1"/>
    <w:rsid w:val="00340D9A"/>
    <w:rsid w:val="00342A1C"/>
    <w:rsid w:val="00345052"/>
    <w:rsid w:val="003465A6"/>
    <w:rsid w:val="003474CA"/>
    <w:rsid w:val="00347800"/>
    <w:rsid w:val="003479C4"/>
    <w:rsid w:val="00347B8C"/>
    <w:rsid w:val="00347E5E"/>
    <w:rsid w:val="00351810"/>
    <w:rsid w:val="00351A86"/>
    <w:rsid w:val="00356144"/>
    <w:rsid w:val="003563ED"/>
    <w:rsid w:val="0035755F"/>
    <w:rsid w:val="00360F0A"/>
    <w:rsid w:val="0036465B"/>
    <w:rsid w:val="00365722"/>
    <w:rsid w:val="003670FF"/>
    <w:rsid w:val="00367398"/>
    <w:rsid w:val="003679D1"/>
    <w:rsid w:val="00370A97"/>
    <w:rsid w:val="00372A6A"/>
    <w:rsid w:val="00372E21"/>
    <w:rsid w:val="00373C8D"/>
    <w:rsid w:val="0037697E"/>
    <w:rsid w:val="003769C7"/>
    <w:rsid w:val="0038040F"/>
    <w:rsid w:val="0038097F"/>
    <w:rsid w:val="00381106"/>
    <w:rsid w:val="0038200B"/>
    <w:rsid w:val="00382093"/>
    <w:rsid w:val="00382252"/>
    <w:rsid w:val="00382300"/>
    <w:rsid w:val="003829CB"/>
    <w:rsid w:val="00382FEB"/>
    <w:rsid w:val="003837A6"/>
    <w:rsid w:val="0039292E"/>
    <w:rsid w:val="00392C59"/>
    <w:rsid w:val="0039413F"/>
    <w:rsid w:val="003943B3"/>
    <w:rsid w:val="003944DB"/>
    <w:rsid w:val="00396AC4"/>
    <w:rsid w:val="003A1746"/>
    <w:rsid w:val="003A245D"/>
    <w:rsid w:val="003A2CBE"/>
    <w:rsid w:val="003A34CC"/>
    <w:rsid w:val="003A5611"/>
    <w:rsid w:val="003A6DBE"/>
    <w:rsid w:val="003A6E7B"/>
    <w:rsid w:val="003A758E"/>
    <w:rsid w:val="003A76C3"/>
    <w:rsid w:val="003B07AD"/>
    <w:rsid w:val="003B2ED0"/>
    <w:rsid w:val="003B5FA0"/>
    <w:rsid w:val="003B7E88"/>
    <w:rsid w:val="003C100C"/>
    <w:rsid w:val="003C2D91"/>
    <w:rsid w:val="003D01DE"/>
    <w:rsid w:val="003D07F9"/>
    <w:rsid w:val="003D3C57"/>
    <w:rsid w:val="003D4494"/>
    <w:rsid w:val="003D6E7A"/>
    <w:rsid w:val="003D7F10"/>
    <w:rsid w:val="003E1114"/>
    <w:rsid w:val="003E1433"/>
    <w:rsid w:val="003E27E3"/>
    <w:rsid w:val="003E2A7C"/>
    <w:rsid w:val="003E2AED"/>
    <w:rsid w:val="003E2B6E"/>
    <w:rsid w:val="003E32B3"/>
    <w:rsid w:val="003E330B"/>
    <w:rsid w:val="003E385C"/>
    <w:rsid w:val="003E4E7A"/>
    <w:rsid w:val="003E4F14"/>
    <w:rsid w:val="003F1644"/>
    <w:rsid w:val="003F31D1"/>
    <w:rsid w:val="003F334E"/>
    <w:rsid w:val="003F3735"/>
    <w:rsid w:val="003F3C92"/>
    <w:rsid w:val="003F45F6"/>
    <w:rsid w:val="003F6386"/>
    <w:rsid w:val="00401640"/>
    <w:rsid w:val="00403E79"/>
    <w:rsid w:val="00406351"/>
    <w:rsid w:val="00406416"/>
    <w:rsid w:val="004068DA"/>
    <w:rsid w:val="00411976"/>
    <w:rsid w:val="0041252A"/>
    <w:rsid w:val="00414BB3"/>
    <w:rsid w:val="00416C40"/>
    <w:rsid w:val="00417630"/>
    <w:rsid w:val="00417969"/>
    <w:rsid w:val="00417AC9"/>
    <w:rsid w:val="00420601"/>
    <w:rsid w:val="00422299"/>
    <w:rsid w:val="004242A7"/>
    <w:rsid w:val="00426387"/>
    <w:rsid w:val="004269DC"/>
    <w:rsid w:val="0042715D"/>
    <w:rsid w:val="004312CA"/>
    <w:rsid w:val="0043172C"/>
    <w:rsid w:val="00433AB3"/>
    <w:rsid w:val="00435813"/>
    <w:rsid w:val="00435D42"/>
    <w:rsid w:val="00436CEE"/>
    <w:rsid w:val="00445634"/>
    <w:rsid w:val="00446561"/>
    <w:rsid w:val="00446692"/>
    <w:rsid w:val="004467AB"/>
    <w:rsid w:val="00447AEC"/>
    <w:rsid w:val="0045295B"/>
    <w:rsid w:val="004530FD"/>
    <w:rsid w:val="00453FB7"/>
    <w:rsid w:val="004631DD"/>
    <w:rsid w:val="00463546"/>
    <w:rsid w:val="004635FD"/>
    <w:rsid w:val="00464FD7"/>
    <w:rsid w:val="00465736"/>
    <w:rsid w:val="0046712A"/>
    <w:rsid w:val="00470D46"/>
    <w:rsid w:val="00477849"/>
    <w:rsid w:val="00482690"/>
    <w:rsid w:val="0048457A"/>
    <w:rsid w:val="00487E5E"/>
    <w:rsid w:val="00490B40"/>
    <w:rsid w:val="00493B41"/>
    <w:rsid w:val="00494D20"/>
    <w:rsid w:val="004953E1"/>
    <w:rsid w:val="0049663E"/>
    <w:rsid w:val="0049672A"/>
    <w:rsid w:val="00496A78"/>
    <w:rsid w:val="00497525"/>
    <w:rsid w:val="00497D86"/>
    <w:rsid w:val="004A19C7"/>
    <w:rsid w:val="004A19FC"/>
    <w:rsid w:val="004A26E3"/>
    <w:rsid w:val="004A51A7"/>
    <w:rsid w:val="004A7B91"/>
    <w:rsid w:val="004B04D2"/>
    <w:rsid w:val="004B0667"/>
    <w:rsid w:val="004B0CCE"/>
    <w:rsid w:val="004B2345"/>
    <w:rsid w:val="004B25DF"/>
    <w:rsid w:val="004B448B"/>
    <w:rsid w:val="004B53D2"/>
    <w:rsid w:val="004C192C"/>
    <w:rsid w:val="004C433E"/>
    <w:rsid w:val="004C4D3F"/>
    <w:rsid w:val="004C55AD"/>
    <w:rsid w:val="004C74D7"/>
    <w:rsid w:val="004D197C"/>
    <w:rsid w:val="004D5F3B"/>
    <w:rsid w:val="004D7219"/>
    <w:rsid w:val="004D7904"/>
    <w:rsid w:val="004D7B5F"/>
    <w:rsid w:val="004E2F27"/>
    <w:rsid w:val="004E675F"/>
    <w:rsid w:val="004E738A"/>
    <w:rsid w:val="004E7DEB"/>
    <w:rsid w:val="004F1153"/>
    <w:rsid w:val="004F1D10"/>
    <w:rsid w:val="004F2B25"/>
    <w:rsid w:val="004F4277"/>
    <w:rsid w:val="004F5CBA"/>
    <w:rsid w:val="004F5FD5"/>
    <w:rsid w:val="004F7054"/>
    <w:rsid w:val="0050083D"/>
    <w:rsid w:val="00501759"/>
    <w:rsid w:val="00504139"/>
    <w:rsid w:val="00505364"/>
    <w:rsid w:val="00505E2C"/>
    <w:rsid w:val="005060AB"/>
    <w:rsid w:val="005146AF"/>
    <w:rsid w:val="00516519"/>
    <w:rsid w:val="00517C48"/>
    <w:rsid w:val="005201BE"/>
    <w:rsid w:val="00523BEE"/>
    <w:rsid w:val="00526568"/>
    <w:rsid w:val="0053125F"/>
    <w:rsid w:val="0053181D"/>
    <w:rsid w:val="005322C2"/>
    <w:rsid w:val="005323E5"/>
    <w:rsid w:val="0053286B"/>
    <w:rsid w:val="005334F5"/>
    <w:rsid w:val="00533D41"/>
    <w:rsid w:val="005342B1"/>
    <w:rsid w:val="005348DC"/>
    <w:rsid w:val="00535F6F"/>
    <w:rsid w:val="00536006"/>
    <w:rsid w:val="0053715B"/>
    <w:rsid w:val="00537356"/>
    <w:rsid w:val="00541568"/>
    <w:rsid w:val="0054173F"/>
    <w:rsid w:val="00542294"/>
    <w:rsid w:val="005430EB"/>
    <w:rsid w:val="00544E74"/>
    <w:rsid w:val="00546E23"/>
    <w:rsid w:val="00547610"/>
    <w:rsid w:val="005509BD"/>
    <w:rsid w:val="00550CA0"/>
    <w:rsid w:val="00551266"/>
    <w:rsid w:val="00551FA9"/>
    <w:rsid w:val="00554C41"/>
    <w:rsid w:val="00555349"/>
    <w:rsid w:val="00555AC9"/>
    <w:rsid w:val="00557C4E"/>
    <w:rsid w:val="00560253"/>
    <w:rsid w:val="00560AA6"/>
    <w:rsid w:val="00561B96"/>
    <w:rsid w:val="00561CA8"/>
    <w:rsid w:val="00563952"/>
    <w:rsid w:val="00566EE2"/>
    <w:rsid w:val="005679FE"/>
    <w:rsid w:val="00570C39"/>
    <w:rsid w:val="00570FB4"/>
    <w:rsid w:val="00572CC9"/>
    <w:rsid w:val="005732E7"/>
    <w:rsid w:val="005748A0"/>
    <w:rsid w:val="00581106"/>
    <w:rsid w:val="005813D9"/>
    <w:rsid w:val="00583B79"/>
    <w:rsid w:val="0058465E"/>
    <w:rsid w:val="00584EFB"/>
    <w:rsid w:val="00585D8E"/>
    <w:rsid w:val="00585E8C"/>
    <w:rsid w:val="005879BA"/>
    <w:rsid w:val="005902F0"/>
    <w:rsid w:val="00590BEF"/>
    <w:rsid w:val="0059249E"/>
    <w:rsid w:val="0059418E"/>
    <w:rsid w:val="005A21C1"/>
    <w:rsid w:val="005A778A"/>
    <w:rsid w:val="005B0A22"/>
    <w:rsid w:val="005B1AEB"/>
    <w:rsid w:val="005B20B4"/>
    <w:rsid w:val="005B47EB"/>
    <w:rsid w:val="005B5487"/>
    <w:rsid w:val="005B57F7"/>
    <w:rsid w:val="005B5B85"/>
    <w:rsid w:val="005B69DC"/>
    <w:rsid w:val="005C098A"/>
    <w:rsid w:val="005C34FA"/>
    <w:rsid w:val="005C36D2"/>
    <w:rsid w:val="005C3BED"/>
    <w:rsid w:val="005C45DC"/>
    <w:rsid w:val="005C5E22"/>
    <w:rsid w:val="005C5F04"/>
    <w:rsid w:val="005C6209"/>
    <w:rsid w:val="005C7E81"/>
    <w:rsid w:val="005D054B"/>
    <w:rsid w:val="005D1462"/>
    <w:rsid w:val="005D237B"/>
    <w:rsid w:val="005D2AF0"/>
    <w:rsid w:val="005E0C38"/>
    <w:rsid w:val="005E29F8"/>
    <w:rsid w:val="005E6458"/>
    <w:rsid w:val="005E7F0A"/>
    <w:rsid w:val="005F0A35"/>
    <w:rsid w:val="005F2010"/>
    <w:rsid w:val="005F51C5"/>
    <w:rsid w:val="005F74DE"/>
    <w:rsid w:val="0060287F"/>
    <w:rsid w:val="00602FF6"/>
    <w:rsid w:val="00603F9B"/>
    <w:rsid w:val="00604340"/>
    <w:rsid w:val="00604A0B"/>
    <w:rsid w:val="00606995"/>
    <w:rsid w:val="006079F7"/>
    <w:rsid w:val="00610912"/>
    <w:rsid w:val="00615267"/>
    <w:rsid w:val="00616218"/>
    <w:rsid w:val="00620144"/>
    <w:rsid w:val="00622372"/>
    <w:rsid w:val="00623C7A"/>
    <w:rsid w:val="00624166"/>
    <w:rsid w:val="00626BA9"/>
    <w:rsid w:val="006307DB"/>
    <w:rsid w:val="0063250E"/>
    <w:rsid w:val="00632EEF"/>
    <w:rsid w:val="00633337"/>
    <w:rsid w:val="006356EA"/>
    <w:rsid w:val="00636D21"/>
    <w:rsid w:val="00641A14"/>
    <w:rsid w:val="006444F8"/>
    <w:rsid w:val="00645AC6"/>
    <w:rsid w:val="00646048"/>
    <w:rsid w:val="0064668D"/>
    <w:rsid w:val="006469EE"/>
    <w:rsid w:val="00654538"/>
    <w:rsid w:val="0065460F"/>
    <w:rsid w:val="00655313"/>
    <w:rsid w:val="00655D72"/>
    <w:rsid w:val="006565B4"/>
    <w:rsid w:val="00656617"/>
    <w:rsid w:val="006571CB"/>
    <w:rsid w:val="00657DD7"/>
    <w:rsid w:val="00660840"/>
    <w:rsid w:val="00660DDA"/>
    <w:rsid w:val="00661637"/>
    <w:rsid w:val="00664343"/>
    <w:rsid w:val="00665754"/>
    <w:rsid w:val="00666559"/>
    <w:rsid w:val="006666F4"/>
    <w:rsid w:val="00671205"/>
    <w:rsid w:val="00675B7F"/>
    <w:rsid w:val="00676C68"/>
    <w:rsid w:val="006772FB"/>
    <w:rsid w:val="006779CB"/>
    <w:rsid w:val="00680274"/>
    <w:rsid w:val="006824A5"/>
    <w:rsid w:val="00683928"/>
    <w:rsid w:val="00683E41"/>
    <w:rsid w:val="006869D8"/>
    <w:rsid w:val="00690310"/>
    <w:rsid w:val="00693AF8"/>
    <w:rsid w:val="0069409F"/>
    <w:rsid w:val="00696B0D"/>
    <w:rsid w:val="00697858"/>
    <w:rsid w:val="006A28A2"/>
    <w:rsid w:val="006A368C"/>
    <w:rsid w:val="006A59B3"/>
    <w:rsid w:val="006A611A"/>
    <w:rsid w:val="006B130E"/>
    <w:rsid w:val="006B1A71"/>
    <w:rsid w:val="006B1EEC"/>
    <w:rsid w:val="006B332A"/>
    <w:rsid w:val="006B349C"/>
    <w:rsid w:val="006B3DAF"/>
    <w:rsid w:val="006B723B"/>
    <w:rsid w:val="006B72B3"/>
    <w:rsid w:val="006B7B7E"/>
    <w:rsid w:val="006C190A"/>
    <w:rsid w:val="006C386E"/>
    <w:rsid w:val="006C5763"/>
    <w:rsid w:val="006D009C"/>
    <w:rsid w:val="006D0630"/>
    <w:rsid w:val="006D467E"/>
    <w:rsid w:val="006D5693"/>
    <w:rsid w:val="006D7413"/>
    <w:rsid w:val="006D7D05"/>
    <w:rsid w:val="006E1BC6"/>
    <w:rsid w:val="006E2B85"/>
    <w:rsid w:val="006E4B5D"/>
    <w:rsid w:val="006E538F"/>
    <w:rsid w:val="006F2F37"/>
    <w:rsid w:val="006F3746"/>
    <w:rsid w:val="006F5141"/>
    <w:rsid w:val="006F6A84"/>
    <w:rsid w:val="00701709"/>
    <w:rsid w:val="00702FCD"/>
    <w:rsid w:val="00705F67"/>
    <w:rsid w:val="00707AA9"/>
    <w:rsid w:val="0071007D"/>
    <w:rsid w:val="00721E31"/>
    <w:rsid w:val="00722A18"/>
    <w:rsid w:val="00724013"/>
    <w:rsid w:val="00724EA4"/>
    <w:rsid w:val="007261E2"/>
    <w:rsid w:val="00726411"/>
    <w:rsid w:val="00730C84"/>
    <w:rsid w:val="007321DE"/>
    <w:rsid w:val="00732494"/>
    <w:rsid w:val="0073613D"/>
    <w:rsid w:val="00736D2D"/>
    <w:rsid w:val="00747838"/>
    <w:rsid w:val="00747F8C"/>
    <w:rsid w:val="00752152"/>
    <w:rsid w:val="00752AC6"/>
    <w:rsid w:val="00754D78"/>
    <w:rsid w:val="00755913"/>
    <w:rsid w:val="00756E88"/>
    <w:rsid w:val="00760EE6"/>
    <w:rsid w:val="007618C2"/>
    <w:rsid w:val="00762DD5"/>
    <w:rsid w:val="007638C6"/>
    <w:rsid w:val="00764581"/>
    <w:rsid w:val="007653B1"/>
    <w:rsid w:val="00766D4A"/>
    <w:rsid w:val="00767224"/>
    <w:rsid w:val="00767BBE"/>
    <w:rsid w:val="0077164B"/>
    <w:rsid w:val="00772C36"/>
    <w:rsid w:val="007750BB"/>
    <w:rsid w:val="007750CD"/>
    <w:rsid w:val="007756D3"/>
    <w:rsid w:val="00777469"/>
    <w:rsid w:val="00780B38"/>
    <w:rsid w:val="00782A02"/>
    <w:rsid w:val="00784C79"/>
    <w:rsid w:val="0078587A"/>
    <w:rsid w:val="00786B28"/>
    <w:rsid w:val="0079056F"/>
    <w:rsid w:val="00794DF4"/>
    <w:rsid w:val="007957C8"/>
    <w:rsid w:val="007A0C99"/>
    <w:rsid w:val="007A150A"/>
    <w:rsid w:val="007A3561"/>
    <w:rsid w:val="007A3618"/>
    <w:rsid w:val="007A4E4D"/>
    <w:rsid w:val="007A6ABA"/>
    <w:rsid w:val="007B4592"/>
    <w:rsid w:val="007B4641"/>
    <w:rsid w:val="007B49D1"/>
    <w:rsid w:val="007C1CC8"/>
    <w:rsid w:val="007C238B"/>
    <w:rsid w:val="007C38AA"/>
    <w:rsid w:val="007C408C"/>
    <w:rsid w:val="007D0553"/>
    <w:rsid w:val="007D0B91"/>
    <w:rsid w:val="007D1F44"/>
    <w:rsid w:val="007D5686"/>
    <w:rsid w:val="007D7605"/>
    <w:rsid w:val="007D7EA8"/>
    <w:rsid w:val="007E016C"/>
    <w:rsid w:val="007E181C"/>
    <w:rsid w:val="007E1B44"/>
    <w:rsid w:val="007E2090"/>
    <w:rsid w:val="007E2E98"/>
    <w:rsid w:val="007E65E7"/>
    <w:rsid w:val="007F08B8"/>
    <w:rsid w:val="007F250A"/>
    <w:rsid w:val="007F2D8B"/>
    <w:rsid w:val="007F6145"/>
    <w:rsid w:val="007F6A14"/>
    <w:rsid w:val="00800CB2"/>
    <w:rsid w:val="00804B5D"/>
    <w:rsid w:val="00804EFD"/>
    <w:rsid w:val="00805310"/>
    <w:rsid w:val="00805969"/>
    <w:rsid w:val="00807BD8"/>
    <w:rsid w:val="00811D10"/>
    <w:rsid w:val="008162B4"/>
    <w:rsid w:val="00817986"/>
    <w:rsid w:val="0082007C"/>
    <w:rsid w:val="00825B80"/>
    <w:rsid w:val="00826A5A"/>
    <w:rsid w:val="00826C61"/>
    <w:rsid w:val="00826CDA"/>
    <w:rsid w:val="00827F3E"/>
    <w:rsid w:val="0083443D"/>
    <w:rsid w:val="00837CCE"/>
    <w:rsid w:val="00840F5A"/>
    <w:rsid w:val="00841CA5"/>
    <w:rsid w:val="0084307E"/>
    <w:rsid w:val="0084311B"/>
    <w:rsid w:val="00844026"/>
    <w:rsid w:val="00850990"/>
    <w:rsid w:val="00850C08"/>
    <w:rsid w:val="00852B2A"/>
    <w:rsid w:val="00860D7E"/>
    <w:rsid w:val="00860E0E"/>
    <w:rsid w:val="00865404"/>
    <w:rsid w:val="00865EFA"/>
    <w:rsid w:val="008677A6"/>
    <w:rsid w:val="008704FF"/>
    <w:rsid w:val="0087292A"/>
    <w:rsid w:val="00872BCB"/>
    <w:rsid w:val="00880EA4"/>
    <w:rsid w:val="00881F43"/>
    <w:rsid w:val="00883B5E"/>
    <w:rsid w:val="00884E54"/>
    <w:rsid w:val="00885389"/>
    <w:rsid w:val="00885F99"/>
    <w:rsid w:val="00886BB2"/>
    <w:rsid w:val="00887041"/>
    <w:rsid w:val="0089055B"/>
    <w:rsid w:val="00893E86"/>
    <w:rsid w:val="00894E0A"/>
    <w:rsid w:val="00895B4B"/>
    <w:rsid w:val="00896E39"/>
    <w:rsid w:val="00897C54"/>
    <w:rsid w:val="008A0972"/>
    <w:rsid w:val="008A24C2"/>
    <w:rsid w:val="008A27B5"/>
    <w:rsid w:val="008A3CA9"/>
    <w:rsid w:val="008B378C"/>
    <w:rsid w:val="008B48F9"/>
    <w:rsid w:val="008B4D77"/>
    <w:rsid w:val="008B6E1D"/>
    <w:rsid w:val="008B6ED3"/>
    <w:rsid w:val="008C2046"/>
    <w:rsid w:val="008C2F57"/>
    <w:rsid w:val="008C321F"/>
    <w:rsid w:val="008C6CA7"/>
    <w:rsid w:val="008C7702"/>
    <w:rsid w:val="008D29BF"/>
    <w:rsid w:val="008D2D1F"/>
    <w:rsid w:val="008D655E"/>
    <w:rsid w:val="008E0420"/>
    <w:rsid w:val="008E056A"/>
    <w:rsid w:val="008E0E5B"/>
    <w:rsid w:val="008E1162"/>
    <w:rsid w:val="008E1E03"/>
    <w:rsid w:val="008E3820"/>
    <w:rsid w:val="008E40DF"/>
    <w:rsid w:val="008E4650"/>
    <w:rsid w:val="008E4DAC"/>
    <w:rsid w:val="008E4FC1"/>
    <w:rsid w:val="008E6187"/>
    <w:rsid w:val="008E68A1"/>
    <w:rsid w:val="008F22C9"/>
    <w:rsid w:val="008F432E"/>
    <w:rsid w:val="008F5277"/>
    <w:rsid w:val="008F5B22"/>
    <w:rsid w:val="008F63C1"/>
    <w:rsid w:val="008F7A8A"/>
    <w:rsid w:val="008F7B55"/>
    <w:rsid w:val="0090128F"/>
    <w:rsid w:val="00901322"/>
    <w:rsid w:val="00901797"/>
    <w:rsid w:val="00903189"/>
    <w:rsid w:val="009113D0"/>
    <w:rsid w:val="009148AC"/>
    <w:rsid w:val="009149AA"/>
    <w:rsid w:val="00914AF1"/>
    <w:rsid w:val="009207B5"/>
    <w:rsid w:val="00921898"/>
    <w:rsid w:val="00930FB1"/>
    <w:rsid w:val="009371FE"/>
    <w:rsid w:val="009402B9"/>
    <w:rsid w:val="009442D5"/>
    <w:rsid w:val="009452B2"/>
    <w:rsid w:val="009456B1"/>
    <w:rsid w:val="009469DA"/>
    <w:rsid w:val="009506D8"/>
    <w:rsid w:val="00954544"/>
    <w:rsid w:val="00955619"/>
    <w:rsid w:val="0095616D"/>
    <w:rsid w:val="009572E9"/>
    <w:rsid w:val="009578B1"/>
    <w:rsid w:val="00957AC0"/>
    <w:rsid w:val="0096004A"/>
    <w:rsid w:val="009605E4"/>
    <w:rsid w:val="00963822"/>
    <w:rsid w:val="00963A23"/>
    <w:rsid w:val="00963BF2"/>
    <w:rsid w:val="0096557E"/>
    <w:rsid w:val="00966E52"/>
    <w:rsid w:val="0097018D"/>
    <w:rsid w:val="00977EE6"/>
    <w:rsid w:val="0098118C"/>
    <w:rsid w:val="009813FA"/>
    <w:rsid w:val="00983202"/>
    <w:rsid w:val="00985167"/>
    <w:rsid w:val="00985B99"/>
    <w:rsid w:val="00986660"/>
    <w:rsid w:val="00986BA5"/>
    <w:rsid w:val="00987A43"/>
    <w:rsid w:val="009938B8"/>
    <w:rsid w:val="0099554A"/>
    <w:rsid w:val="00997EEA"/>
    <w:rsid w:val="009A1498"/>
    <w:rsid w:val="009A1C08"/>
    <w:rsid w:val="009A1D4D"/>
    <w:rsid w:val="009A3582"/>
    <w:rsid w:val="009A44E3"/>
    <w:rsid w:val="009A5908"/>
    <w:rsid w:val="009A67F5"/>
    <w:rsid w:val="009A70DD"/>
    <w:rsid w:val="009B08EC"/>
    <w:rsid w:val="009B1F39"/>
    <w:rsid w:val="009B23EF"/>
    <w:rsid w:val="009B6794"/>
    <w:rsid w:val="009B6D84"/>
    <w:rsid w:val="009C09D8"/>
    <w:rsid w:val="009C1794"/>
    <w:rsid w:val="009C262E"/>
    <w:rsid w:val="009C2CAB"/>
    <w:rsid w:val="009C3B2B"/>
    <w:rsid w:val="009C6FB5"/>
    <w:rsid w:val="009C7E22"/>
    <w:rsid w:val="009D2ED1"/>
    <w:rsid w:val="009D3B0B"/>
    <w:rsid w:val="009D42A1"/>
    <w:rsid w:val="009D4A53"/>
    <w:rsid w:val="009D5C74"/>
    <w:rsid w:val="009D6C7C"/>
    <w:rsid w:val="009E22FD"/>
    <w:rsid w:val="009E31DC"/>
    <w:rsid w:val="009E3236"/>
    <w:rsid w:val="009E43C5"/>
    <w:rsid w:val="009E54A2"/>
    <w:rsid w:val="009E61B2"/>
    <w:rsid w:val="009F1718"/>
    <w:rsid w:val="009F41F2"/>
    <w:rsid w:val="00A008A0"/>
    <w:rsid w:val="00A04733"/>
    <w:rsid w:val="00A04FA4"/>
    <w:rsid w:val="00A05736"/>
    <w:rsid w:val="00A05DC9"/>
    <w:rsid w:val="00A062E8"/>
    <w:rsid w:val="00A06D72"/>
    <w:rsid w:val="00A07062"/>
    <w:rsid w:val="00A07E34"/>
    <w:rsid w:val="00A16D1B"/>
    <w:rsid w:val="00A17922"/>
    <w:rsid w:val="00A20289"/>
    <w:rsid w:val="00A22357"/>
    <w:rsid w:val="00A2409E"/>
    <w:rsid w:val="00A24F48"/>
    <w:rsid w:val="00A25A0D"/>
    <w:rsid w:val="00A260B9"/>
    <w:rsid w:val="00A261B9"/>
    <w:rsid w:val="00A26F2F"/>
    <w:rsid w:val="00A325CB"/>
    <w:rsid w:val="00A329D5"/>
    <w:rsid w:val="00A32B44"/>
    <w:rsid w:val="00A33E1B"/>
    <w:rsid w:val="00A35941"/>
    <w:rsid w:val="00A37B01"/>
    <w:rsid w:val="00A41174"/>
    <w:rsid w:val="00A416C3"/>
    <w:rsid w:val="00A4378B"/>
    <w:rsid w:val="00A4569C"/>
    <w:rsid w:val="00A4698A"/>
    <w:rsid w:val="00A46DD9"/>
    <w:rsid w:val="00A4769E"/>
    <w:rsid w:val="00A5059F"/>
    <w:rsid w:val="00A50C83"/>
    <w:rsid w:val="00A50F8A"/>
    <w:rsid w:val="00A51138"/>
    <w:rsid w:val="00A524F7"/>
    <w:rsid w:val="00A563A5"/>
    <w:rsid w:val="00A57C2F"/>
    <w:rsid w:val="00A6021C"/>
    <w:rsid w:val="00A61D57"/>
    <w:rsid w:val="00A64353"/>
    <w:rsid w:val="00A65D58"/>
    <w:rsid w:val="00A66E1F"/>
    <w:rsid w:val="00A670FB"/>
    <w:rsid w:val="00A7295E"/>
    <w:rsid w:val="00A730F4"/>
    <w:rsid w:val="00A77AAC"/>
    <w:rsid w:val="00A80E0A"/>
    <w:rsid w:val="00A830C7"/>
    <w:rsid w:val="00A847F0"/>
    <w:rsid w:val="00A851B8"/>
    <w:rsid w:val="00A85BFA"/>
    <w:rsid w:val="00A86FB6"/>
    <w:rsid w:val="00A87B92"/>
    <w:rsid w:val="00A91279"/>
    <w:rsid w:val="00A91CF3"/>
    <w:rsid w:val="00A921AF"/>
    <w:rsid w:val="00A97252"/>
    <w:rsid w:val="00AA2035"/>
    <w:rsid w:val="00AA2174"/>
    <w:rsid w:val="00AA254D"/>
    <w:rsid w:val="00AA2BED"/>
    <w:rsid w:val="00AA4A37"/>
    <w:rsid w:val="00AA51B3"/>
    <w:rsid w:val="00AA5558"/>
    <w:rsid w:val="00AA74F4"/>
    <w:rsid w:val="00AA78F7"/>
    <w:rsid w:val="00AB3897"/>
    <w:rsid w:val="00AB450B"/>
    <w:rsid w:val="00AB5026"/>
    <w:rsid w:val="00AB62DD"/>
    <w:rsid w:val="00AC070D"/>
    <w:rsid w:val="00AC372F"/>
    <w:rsid w:val="00AC48FB"/>
    <w:rsid w:val="00AC6B62"/>
    <w:rsid w:val="00AC6C9E"/>
    <w:rsid w:val="00AD0260"/>
    <w:rsid w:val="00AD02E7"/>
    <w:rsid w:val="00AD17A9"/>
    <w:rsid w:val="00AD2A27"/>
    <w:rsid w:val="00AD34FA"/>
    <w:rsid w:val="00AD48BF"/>
    <w:rsid w:val="00AD5962"/>
    <w:rsid w:val="00AD63FC"/>
    <w:rsid w:val="00AE4A87"/>
    <w:rsid w:val="00AE4F2C"/>
    <w:rsid w:val="00AE78AC"/>
    <w:rsid w:val="00AE7D6C"/>
    <w:rsid w:val="00AF201E"/>
    <w:rsid w:val="00AF2A3A"/>
    <w:rsid w:val="00AF3757"/>
    <w:rsid w:val="00AF5147"/>
    <w:rsid w:val="00AF574C"/>
    <w:rsid w:val="00B023CD"/>
    <w:rsid w:val="00B05647"/>
    <w:rsid w:val="00B0691D"/>
    <w:rsid w:val="00B06B93"/>
    <w:rsid w:val="00B06ECE"/>
    <w:rsid w:val="00B11250"/>
    <w:rsid w:val="00B12D72"/>
    <w:rsid w:val="00B14FBC"/>
    <w:rsid w:val="00B17715"/>
    <w:rsid w:val="00B20FB9"/>
    <w:rsid w:val="00B21185"/>
    <w:rsid w:val="00B22345"/>
    <w:rsid w:val="00B2508A"/>
    <w:rsid w:val="00B31118"/>
    <w:rsid w:val="00B33CAD"/>
    <w:rsid w:val="00B340B5"/>
    <w:rsid w:val="00B34874"/>
    <w:rsid w:val="00B35669"/>
    <w:rsid w:val="00B408D4"/>
    <w:rsid w:val="00B42D9E"/>
    <w:rsid w:val="00B46DC1"/>
    <w:rsid w:val="00B47681"/>
    <w:rsid w:val="00B5245E"/>
    <w:rsid w:val="00B54893"/>
    <w:rsid w:val="00B60689"/>
    <w:rsid w:val="00B60D08"/>
    <w:rsid w:val="00B6286F"/>
    <w:rsid w:val="00B6583E"/>
    <w:rsid w:val="00B65E50"/>
    <w:rsid w:val="00B66808"/>
    <w:rsid w:val="00B71B2F"/>
    <w:rsid w:val="00B74941"/>
    <w:rsid w:val="00B77326"/>
    <w:rsid w:val="00B77919"/>
    <w:rsid w:val="00B81449"/>
    <w:rsid w:val="00B8319B"/>
    <w:rsid w:val="00B8329C"/>
    <w:rsid w:val="00B852D5"/>
    <w:rsid w:val="00B86E4C"/>
    <w:rsid w:val="00B87047"/>
    <w:rsid w:val="00B87D20"/>
    <w:rsid w:val="00B92096"/>
    <w:rsid w:val="00B9406C"/>
    <w:rsid w:val="00B96D73"/>
    <w:rsid w:val="00B9721A"/>
    <w:rsid w:val="00BA00EC"/>
    <w:rsid w:val="00BA138C"/>
    <w:rsid w:val="00BA1EAF"/>
    <w:rsid w:val="00BA1FE6"/>
    <w:rsid w:val="00BA26C3"/>
    <w:rsid w:val="00BA369A"/>
    <w:rsid w:val="00BA489B"/>
    <w:rsid w:val="00BA7E12"/>
    <w:rsid w:val="00BB3639"/>
    <w:rsid w:val="00BB4331"/>
    <w:rsid w:val="00BB513D"/>
    <w:rsid w:val="00BB5683"/>
    <w:rsid w:val="00BB6886"/>
    <w:rsid w:val="00BB7EEF"/>
    <w:rsid w:val="00BC3E63"/>
    <w:rsid w:val="00BC64E0"/>
    <w:rsid w:val="00BC683D"/>
    <w:rsid w:val="00BD0666"/>
    <w:rsid w:val="00BD0E2E"/>
    <w:rsid w:val="00BD2692"/>
    <w:rsid w:val="00BD4B2B"/>
    <w:rsid w:val="00BD5151"/>
    <w:rsid w:val="00BD6032"/>
    <w:rsid w:val="00BD7EE7"/>
    <w:rsid w:val="00BE0B63"/>
    <w:rsid w:val="00BE14A9"/>
    <w:rsid w:val="00BE445E"/>
    <w:rsid w:val="00BE54B9"/>
    <w:rsid w:val="00BE75E0"/>
    <w:rsid w:val="00BF0EE3"/>
    <w:rsid w:val="00BF2D25"/>
    <w:rsid w:val="00BF4FFC"/>
    <w:rsid w:val="00BF7A34"/>
    <w:rsid w:val="00C01F52"/>
    <w:rsid w:val="00C0225F"/>
    <w:rsid w:val="00C103CE"/>
    <w:rsid w:val="00C1362C"/>
    <w:rsid w:val="00C14278"/>
    <w:rsid w:val="00C1443B"/>
    <w:rsid w:val="00C1548E"/>
    <w:rsid w:val="00C17D9C"/>
    <w:rsid w:val="00C20DFD"/>
    <w:rsid w:val="00C22E08"/>
    <w:rsid w:val="00C244E3"/>
    <w:rsid w:val="00C24FD8"/>
    <w:rsid w:val="00C25E50"/>
    <w:rsid w:val="00C302D2"/>
    <w:rsid w:val="00C30FA2"/>
    <w:rsid w:val="00C31EB2"/>
    <w:rsid w:val="00C32677"/>
    <w:rsid w:val="00C340AA"/>
    <w:rsid w:val="00C36702"/>
    <w:rsid w:val="00C37BD7"/>
    <w:rsid w:val="00C37EE0"/>
    <w:rsid w:val="00C434BA"/>
    <w:rsid w:val="00C44A62"/>
    <w:rsid w:val="00C4560D"/>
    <w:rsid w:val="00C45A25"/>
    <w:rsid w:val="00C47B79"/>
    <w:rsid w:val="00C50811"/>
    <w:rsid w:val="00C50E85"/>
    <w:rsid w:val="00C51B9F"/>
    <w:rsid w:val="00C559AA"/>
    <w:rsid w:val="00C55CFB"/>
    <w:rsid w:val="00C563D9"/>
    <w:rsid w:val="00C57967"/>
    <w:rsid w:val="00C62EAE"/>
    <w:rsid w:val="00C63DBE"/>
    <w:rsid w:val="00C64037"/>
    <w:rsid w:val="00C64C9E"/>
    <w:rsid w:val="00C66B23"/>
    <w:rsid w:val="00C74656"/>
    <w:rsid w:val="00C755B9"/>
    <w:rsid w:val="00C76954"/>
    <w:rsid w:val="00C76F41"/>
    <w:rsid w:val="00C773D5"/>
    <w:rsid w:val="00C77DCF"/>
    <w:rsid w:val="00C80385"/>
    <w:rsid w:val="00C80C90"/>
    <w:rsid w:val="00C8130D"/>
    <w:rsid w:val="00C81FA3"/>
    <w:rsid w:val="00C83C78"/>
    <w:rsid w:val="00C85279"/>
    <w:rsid w:val="00C854D9"/>
    <w:rsid w:val="00C858D1"/>
    <w:rsid w:val="00C86BF0"/>
    <w:rsid w:val="00C87358"/>
    <w:rsid w:val="00C879D3"/>
    <w:rsid w:val="00C90080"/>
    <w:rsid w:val="00C90544"/>
    <w:rsid w:val="00C906A9"/>
    <w:rsid w:val="00C9098A"/>
    <w:rsid w:val="00C9219F"/>
    <w:rsid w:val="00C95E16"/>
    <w:rsid w:val="00C9718B"/>
    <w:rsid w:val="00CA1561"/>
    <w:rsid w:val="00CA2740"/>
    <w:rsid w:val="00CA2C47"/>
    <w:rsid w:val="00CA2C49"/>
    <w:rsid w:val="00CA4507"/>
    <w:rsid w:val="00CA6CFB"/>
    <w:rsid w:val="00CB058E"/>
    <w:rsid w:val="00CB0672"/>
    <w:rsid w:val="00CB2A80"/>
    <w:rsid w:val="00CB2DBF"/>
    <w:rsid w:val="00CB3DBD"/>
    <w:rsid w:val="00CB4AB0"/>
    <w:rsid w:val="00CB63FF"/>
    <w:rsid w:val="00CB673B"/>
    <w:rsid w:val="00CB6DF5"/>
    <w:rsid w:val="00CC0BA9"/>
    <w:rsid w:val="00CC1164"/>
    <w:rsid w:val="00CC22C7"/>
    <w:rsid w:val="00CC2ED5"/>
    <w:rsid w:val="00CC4CDE"/>
    <w:rsid w:val="00CC5BB6"/>
    <w:rsid w:val="00CD0DC7"/>
    <w:rsid w:val="00CD1326"/>
    <w:rsid w:val="00CD24C8"/>
    <w:rsid w:val="00CD63AF"/>
    <w:rsid w:val="00CD7415"/>
    <w:rsid w:val="00CD741D"/>
    <w:rsid w:val="00CE4A67"/>
    <w:rsid w:val="00CE5A8C"/>
    <w:rsid w:val="00CE667C"/>
    <w:rsid w:val="00CF07B6"/>
    <w:rsid w:val="00CF251A"/>
    <w:rsid w:val="00CF387F"/>
    <w:rsid w:val="00CF3CA8"/>
    <w:rsid w:val="00CF5644"/>
    <w:rsid w:val="00CF56C3"/>
    <w:rsid w:val="00CF5E2A"/>
    <w:rsid w:val="00CF651B"/>
    <w:rsid w:val="00CF688F"/>
    <w:rsid w:val="00CF6E1E"/>
    <w:rsid w:val="00D010F1"/>
    <w:rsid w:val="00D01348"/>
    <w:rsid w:val="00D02D00"/>
    <w:rsid w:val="00D04B32"/>
    <w:rsid w:val="00D0572D"/>
    <w:rsid w:val="00D112DD"/>
    <w:rsid w:val="00D12BE2"/>
    <w:rsid w:val="00D14730"/>
    <w:rsid w:val="00D14CDB"/>
    <w:rsid w:val="00D14F91"/>
    <w:rsid w:val="00D151D0"/>
    <w:rsid w:val="00D16680"/>
    <w:rsid w:val="00D22A10"/>
    <w:rsid w:val="00D23AB0"/>
    <w:rsid w:val="00D23E1E"/>
    <w:rsid w:val="00D2466C"/>
    <w:rsid w:val="00D25122"/>
    <w:rsid w:val="00D301F4"/>
    <w:rsid w:val="00D30FFF"/>
    <w:rsid w:val="00D354C3"/>
    <w:rsid w:val="00D36AE6"/>
    <w:rsid w:val="00D40F11"/>
    <w:rsid w:val="00D43146"/>
    <w:rsid w:val="00D43F6E"/>
    <w:rsid w:val="00D46279"/>
    <w:rsid w:val="00D47730"/>
    <w:rsid w:val="00D50462"/>
    <w:rsid w:val="00D51541"/>
    <w:rsid w:val="00D51C81"/>
    <w:rsid w:val="00D55725"/>
    <w:rsid w:val="00D5586C"/>
    <w:rsid w:val="00D56807"/>
    <w:rsid w:val="00D57BEA"/>
    <w:rsid w:val="00D61485"/>
    <w:rsid w:val="00D63861"/>
    <w:rsid w:val="00D64D34"/>
    <w:rsid w:val="00D654DF"/>
    <w:rsid w:val="00D66A41"/>
    <w:rsid w:val="00D70ACB"/>
    <w:rsid w:val="00D7253C"/>
    <w:rsid w:val="00D72D0A"/>
    <w:rsid w:val="00D735C6"/>
    <w:rsid w:val="00D735CF"/>
    <w:rsid w:val="00D73612"/>
    <w:rsid w:val="00D74461"/>
    <w:rsid w:val="00D74B84"/>
    <w:rsid w:val="00D752A8"/>
    <w:rsid w:val="00D7693B"/>
    <w:rsid w:val="00D811E3"/>
    <w:rsid w:val="00D826E8"/>
    <w:rsid w:val="00D848AC"/>
    <w:rsid w:val="00D85473"/>
    <w:rsid w:val="00D8551B"/>
    <w:rsid w:val="00D92455"/>
    <w:rsid w:val="00D92926"/>
    <w:rsid w:val="00D929F2"/>
    <w:rsid w:val="00D92EBF"/>
    <w:rsid w:val="00D957C7"/>
    <w:rsid w:val="00D9762E"/>
    <w:rsid w:val="00DB102D"/>
    <w:rsid w:val="00DB1D4D"/>
    <w:rsid w:val="00DB1DCE"/>
    <w:rsid w:val="00DB37D0"/>
    <w:rsid w:val="00DB4560"/>
    <w:rsid w:val="00DB76B9"/>
    <w:rsid w:val="00DC00CD"/>
    <w:rsid w:val="00DC0FEF"/>
    <w:rsid w:val="00DC2E74"/>
    <w:rsid w:val="00DC4E6E"/>
    <w:rsid w:val="00DC7EA8"/>
    <w:rsid w:val="00DD2960"/>
    <w:rsid w:val="00DD6765"/>
    <w:rsid w:val="00DE1638"/>
    <w:rsid w:val="00DE56AB"/>
    <w:rsid w:val="00DE598D"/>
    <w:rsid w:val="00DE7707"/>
    <w:rsid w:val="00DF1D2C"/>
    <w:rsid w:val="00DF60B2"/>
    <w:rsid w:val="00DF6D85"/>
    <w:rsid w:val="00E006F8"/>
    <w:rsid w:val="00E02614"/>
    <w:rsid w:val="00E05853"/>
    <w:rsid w:val="00E07554"/>
    <w:rsid w:val="00E1019E"/>
    <w:rsid w:val="00E10FB9"/>
    <w:rsid w:val="00E12169"/>
    <w:rsid w:val="00E130C0"/>
    <w:rsid w:val="00E13417"/>
    <w:rsid w:val="00E14172"/>
    <w:rsid w:val="00E14C89"/>
    <w:rsid w:val="00E21793"/>
    <w:rsid w:val="00E24113"/>
    <w:rsid w:val="00E2499B"/>
    <w:rsid w:val="00E264EC"/>
    <w:rsid w:val="00E26963"/>
    <w:rsid w:val="00E274BA"/>
    <w:rsid w:val="00E278A8"/>
    <w:rsid w:val="00E27B3B"/>
    <w:rsid w:val="00E357EB"/>
    <w:rsid w:val="00E3645D"/>
    <w:rsid w:val="00E403A4"/>
    <w:rsid w:val="00E40EC6"/>
    <w:rsid w:val="00E4354C"/>
    <w:rsid w:val="00E43FC8"/>
    <w:rsid w:val="00E46E43"/>
    <w:rsid w:val="00E51EB5"/>
    <w:rsid w:val="00E522CD"/>
    <w:rsid w:val="00E54189"/>
    <w:rsid w:val="00E54E0B"/>
    <w:rsid w:val="00E551AE"/>
    <w:rsid w:val="00E56108"/>
    <w:rsid w:val="00E60DAA"/>
    <w:rsid w:val="00E61F05"/>
    <w:rsid w:val="00E623AF"/>
    <w:rsid w:val="00E63BBB"/>
    <w:rsid w:val="00E645D4"/>
    <w:rsid w:val="00E65140"/>
    <w:rsid w:val="00E65EA6"/>
    <w:rsid w:val="00E662ED"/>
    <w:rsid w:val="00E66AD8"/>
    <w:rsid w:val="00E67F02"/>
    <w:rsid w:val="00E717DF"/>
    <w:rsid w:val="00E82318"/>
    <w:rsid w:val="00E82CC2"/>
    <w:rsid w:val="00E8628A"/>
    <w:rsid w:val="00E943B3"/>
    <w:rsid w:val="00E9551D"/>
    <w:rsid w:val="00E9564C"/>
    <w:rsid w:val="00E966B4"/>
    <w:rsid w:val="00E96C37"/>
    <w:rsid w:val="00E96DA5"/>
    <w:rsid w:val="00E9772C"/>
    <w:rsid w:val="00E97CAB"/>
    <w:rsid w:val="00E97CAE"/>
    <w:rsid w:val="00E97D28"/>
    <w:rsid w:val="00E97FEF"/>
    <w:rsid w:val="00EA26D8"/>
    <w:rsid w:val="00EA376B"/>
    <w:rsid w:val="00EA4579"/>
    <w:rsid w:val="00EA6BED"/>
    <w:rsid w:val="00EA7109"/>
    <w:rsid w:val="00EB009C"/>
    <w:rsid w:val="00EB28E1"/>
    <w:rsid w:val="00EB434C"/>
    <w:rsid w:val="00EB4789"/>
    <w:rsid w:val="00EB4E27"/>
    <w:rsid w:val="00EB7C3A"/>
    <w:rsid w:val="00EC172A"/>
    <w:rsid w:val="00EC1E34"/>
    <w:rsid w:val="00EC790E"/>
    <w:rsid w:val="00EC7F05"/>
    <w:rsid w:val="00ED03FC"/>
    <w:rsid w:val="00ED1F91"/>
    <w:rsid w:val="00ED2D31"/>
    <w:rsid w:val="00ED2FA6"/>
    <w:rsid w:val="00ED3B79"/>
    <w:rsid w:val="00ED4A45"/>
    <w:rsid w:val="00ED6C92"/>
    <w:rsid w:val="00ED7829"/>
    <w:rsid w:val="00EE1E2B"/>
    <w:rsid w:val="00EE40DE"/>
    <w:rsid w:val="00EE54D1"/>
    <w:rsid w:val="00EF19E8"/>
    <w:rsid w:val="00EF29B0"/>
    <w:rsid w:val="00EF6108"/>
    <w:rsid w:val="00EF6C79"/>
    <w:rsid w:val="00EF6E9F"/>
    <w:rsid w:val="00EF764A"/>
    <w:rsid w:val="00EF7981"/>
    <w:rsid w:val="00EF7EF4"/>
    <w:rsid w:val="00F0137A"/>
    <w:rsid w:val="00F02606"/>
    <w:rsid w:val="00F027E1"/>
    <w:rsid w:val="00F02FDA"/>
    <w:rsid w:val="00F04011"/>
    <w:rsid w:val="00F10C90"/>
    <w:rsid w:val="00F11B07"/>
    <w:rsid w:val="00F12891"/>
    <w:rsid w:val="00F137D9"/>
    <w:rsid w:val="00F1488F"/>
    <w:rsid w:val="00F14986"/>
    <w:rsid w:val="00F175F8"/>
    <w:rsid w:val="00F208DA"/>
    <w:rsid w:val="00F22CFF"/>
    <w:rsid w:val="00F24087"/>
    <w:rsid w:val="00F2415B"/>
    <w:rsid w:val="00F25338"/>
    <w:rsid w:val="00F254BA"/>
    <w:rsid w:val="00F316DB"/>
    <w:rsid w:val="00F32127"/>
    <w:rsid w:val="00F34A80"/>
    <w:rsid w:val="00F34DF5"/>
    <w:rsid w:val="00F37668"/>
    <w:rsid w:val="00F400AD"/>
    <w:rsid w:val="00F42232"/>
    <w:rsid w:val="00F42334"/>
    <w:rsid w:val="00F472A4"/>
    <w:rsid w:val="00F50CCF"/>
    <w:rsid w:val="00F57BA3"/>
    <w:rsid w:val="00F63A37"/>
    <w:rsid w:val="00F67D99"/>
    <w:rsid w:val="00F67EAF"/>
    <w:rsid w:val="00F703F5"/>
    <w:rsid w:val="00F73262"/>
    <w:rsid w:val="00F73552"/>
    <w:rsid w:val="00F74D31"/>
    <w:rsid w:val="00F76C75"/>
    <w:rsid w:val="00F77205"/>
    <w:rsid w:val="00F8176F"/>
    <w:rsid w:val="00F818B6"/>
    <w:rsid w:val="00F81D28"/>
    <w:rsid w:val="00F8372A"/>
    <w:rsid w:val="00F849DF"/>
    <w:rsid w:val="00F84E43"/>
    <w:rsid w:val="00F85522"/>
    <w:rsid w:val="00F87BA8"/>
    <w:rsid w:val="00F90134"/>
    <w:rsid w:val="00F90BA7"/>
    <w:rsid w:val="00F927C0"/>
    <w:rsid w:val="00F945D1"/>
    <w:rsid w:val="00F95795"/>
    <w:rsid w:val="00F96B20"/>
    <w:rsid w:val="00F974A5"/>
    <w:rsid w:val="00F97927"/>
    <w:rsid w:val="00FA1C97"/>
    <w:rsid w:val="00FA432A"/>
    <w:rsid w:val="00FA49A3"/>
    <w:rsid w:val="00FA5FB3"/>
    <w:rsid w:val="00FB02CA"/>
    <w:rsid w:val="00FB042C"/>
    <w:rsid w:val="00FB0918"/>
    <w:rsid w:val="00FB4DC4"/>
    <w:rsid w:val="00FB5059"/>
    <w:rsid w:val="00FB61C4"/>
    <w:rsid w:val="00FC0351"/>
    <w:rsid w:val="00FC035F"/>
    <w:rsid w:val="00FC1158"/>
    <w:rsid w:val="00FC1C2E"/>
    <w:rsid w:val="00FC5165"/>
    <w:rsid w:val="00FC6742"/>
    <w:rsid w:val="00FD1186"/>
    <w:rsid w:val="00FD469E"/>
    <w:rsid w:val="00FD5F54"/>
    <w:rsid w:val="00FD6F66"/>
    <w:rsid w:val="00FD783D"/>
    <w:rsid w:val="00FD7D7B"/>
    <w:rsid w:val="00FE0A8F"/>
    <w:rsid w:val="00FE0F74"/>
    <w:rsid w:val="00FE2F14"/>
    <w:rsid w:val="00FE6AE2"/>
    <w:rsid w:val="00FE6E2A"/>
    <w:rsid w:val="00FE7EA3"/>
    <w:rsid w:val="00FF3D4C"/>
    <w:rsid w:val="00FF4435"/>
    <w:rsid w:val="00FF50BC"/>
    <w:rsid w:val="00FF5DF5"/>
    <w:rsid w:val="02ABC080"/>
    <w:rsid w:val="072563CA"/>
    <w:rsid w:val="084A00FE"/>
    <w:rsid w:val="158E1FC7"/>
    <w:rsid w:val="17AD24EE"/>
    <w:rsid w:val="22174DAE"/>
    <w:rsid w:val="2456D1D6"/>
    <w:rsid w:val="24FC3623"/>
    <w:rsid w:val="305D43F5"/>
    <w:rsid w:val="319E1CFF"/>
    <w:rsid w:val="34693D49"/>
    <w:rsid w:val="3A8FA1EA"/>
    <w:rsid w:val="3B829CB6"/>
    <w:rsid w:val="4D8AF783"/>
    <w:rsid w:val="588FA70E"/>
    <w:rsid w:val="5A2B776F"/>
    <w:rsid w:val="5C302A1D"/>
    <w:rsid w:val="644BC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240B1"/>
  <w15:chartTrackingRefBased/>
  <w15:docId w15:val="{D44E48CE-E6DB-496E-9F9D-0A42795F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85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ar"/>
    <w:uiPriority w:val="99"/>
    <w:qFormat/>
    <w:rsid w:val="00E05853"/>
    <w:pPr>
      <w:spacing w:after="240" w:line="240" w:lineRule="auto"/>
      <w:ind w:left="284" w:hanging="284"/>
      <w:jc w:val="both"/>
    </w:pPr>
    <w:rPr>
      <w:rFonts w:ascii="Ottawa" w:eastAsia="MS Mincho" w:hAnsi="Ottawa" w:cs="Times New Roman"/>
      <w:b/>
      <w:szCs w:val="20"/>
      <w:lang w:val="fr-BE" w:eastAsia="fr-FR"/>
    </w:rPr>
  </w:style>
  <w:style w:type="character" w:customStyle="1" w:styleId="1Car">
    <w:name w:val="1. Car"/>
    <w:link w:val="1"/>
    <w:uiPriority w:val="99"/>
    <w:locked/>
    <w:rsid w:val="00E05853"/>
    <w:rPr>
      <w:rFonts w:ascii="Ottawa" w:eastAsia="MS Mincho" w:hAnsi="Ottawa" w:cs="Times New Roman"/>
      <w:b/>
      <w:szCs w:val="20"/>
      <w:lang w:val="fr-BE" w:eastAsia="fr-FR"/>
    </w:rPr>
  </w:style>
  <w:style w:type="paragraph" w:customStyle="1" w:styleId="Para1">
    <w:name w:val="Para 1"/>
    <w:basedOn w:val="Normal"/>
    <w:link w:val="Para1Car"/>
    <w:rsid w:val="00E05853"/>
    <w:pPr>
      <w:spacing w:after="240" w:line="240" w:lineRule="auto"/>
      <w:jc w:val="both"/>
    </w:pPr>
    <w:rPr>
      <w:rFonts w:ascii="Arial" w:eastAsia="Times New Roman" w:hAnsi="Arial" w:cs="Times New Roman"/>
      <w:sz w:val="18"/>
      <w:lang w:val="en-IE" w:bidi="en-US"/>
    </w:rPr>
  </w:style>
  <w:style w:type="character" w:customStyle="1" w:styleId="Para1Car">
    <w:name w:val="Para 1 Car"/>
    <w:link w:val="Para1"/>
    <w:rsid w:val="00E05853"/>
    <w:rPr>
      <w:rFonts w:ascii="Arial" w:eastAsia="Times New Roman" w:hAnsi="Arial" w:cs="Times New Roman"/>
      <w:sz w:val="18"/>
      <w:lang w:val="en-IE" w:bidi="en-US"/>
    </w:rPr>
  </w:style>
  <w:style w:type="character" w:styleId="Hyperlink">
    <w:name w:val="Hyperlink"/>
    <w:basedOn w:val="DefaultParagraphFont"/>
    <w:uiPriority w:val="99"/>
    <w:unhideWhenUsed/>
    <w:rsid w:val="00F81D28"/>
    <w:rPr>
      <w:color w:val="0563C1" w:themeColor="hyperlink"/>
      <w:u w:val="single"/>
    </w:rPr>
  </w:style>
  <w:style w:type="paragraph" w:styleId="BalloonText">
    <w:name w:val="Balloon Text"/>
    <w:basedOn w:val="Normal"/>
    <w:link w:val="BalloonTextChar"/>
    <w:uiPriority w:val="99"/>
    <w:semiHidden/>
    <w:unhideWhenUsed/>
    <w:rsid w:val="00287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31F"/>
    <w:rPr>
      <w:rFonts w:ascii="Segoe UI" w:hAnsi="Segoe UI" w:cs="Segoe UI"/>
      <w:sz w:val="18"/>
      <w:szCs w:val="18"/>
      <w:lang w:val="en-CA"/>
    </w:rPr>
  </w:style>
  <w:style w:type="character" w:styleId="CommentReference">
    <w:name w:val="annotation reference"/>
    <w:basedOn w:val="DefaultParagraphFont"/>
    <w:uiPriority w:val="99"/>
    <w:semiHidden/>
    <w:unhideWhenUsed/>
    <w:rsid w:val="0028731F"/>
    <w:rPr>
      <w:sz w:val="16"/>
      <w:szCs w:val="16"/>
    </w:rPr>
  </w:style>
  <w:style w:type="paragraph" w:styleId="CommentText">
    <w:name w:val="annotation text"/>
    <w:basedOn w:val="Normal"/>
    <w:link w:val="CommentTextChar"/>
    <w:uiPriority w:val="99"/>
    <w:semiHidden/>
    <w:unhideWhenUsed/>
    <w:rsid w:val="0028731F"/>
    <w:pPr>
      <w:spacing w:line="240" w:lineRule="auto"/>
    </w:pPr>
    <w:rPr>
      <w:sz w:val="20"/>
      <w:szCs w:val="20"/>
    </w:rPr>
  </w:style>
  <w:style w:type="character" w:customStyle="1" w:styleId="CommentTextChar">
    <w:name w:val="Comment Text Char"/>
    <w:basedOn w:val="DefaultParagraphFont"/>
    <w:link w:val="CommentText"/>
    <w:uiPriority w:val="99"/>
    <w:semiHidden/>
    <w:rsid w:val="0028731F"/>
    <w:rPr>
      <w:sz w:val="20"/>
      <w:szCs w:val="20"/>
      <w:lang w:val="en-CA"/>
    </w:rPr>
  </w:style>
  <w:style w:type="paragraph" w:styleId="CommentSubject">
    <w:name w:val="annotation subject"/>
    <w:basedOn w:val="CommentText"/>
    <w:next w:val="CommentText"/>
    <w:link w:val="CommentSubjectChar"/>
    <w:uiPriority w:val="99"/>
    <w:semiHidden/>
    <w:unhideWhenUsed/>
    <w:rsid w:val="0028731F"/>
    <w:rPr>
      <w:b/>
      <w:bCs/>
    </w:rPr>
  </w:style>
  <w:style w:type="character" w:customStyle="1" w:styleId="CommentSubjectChar">
    <w:name w:val="Comment Subject Char"/>
    <w:basedOn w:val="CommentTextChar"/>
    <w:link w:val="CommentSubject"/>
    <w:uiPriority w:val="99"/>
    <w:semiHidden/>
    <w:rsid w:val="0028731F"/>
    <w:rPr>
      <w:b/>
      <w:bCs/>
      <w:sz w:val="20"/>
      <w:szCs w:val="20"/>
      <w:lang w:val="en-CA"/>
    </w:rPr>
  </w:style>
  <w:style w:type="paragraph" w:styleId="ListParagraph">
    <w:name w:val="List Paragraph"/>
    <w:basedOn w:val="Normal"/>
    <w:uiPriority w:val="34"/>
    <w:qFormat/>
    <w:rsid w:val="00AA254D"/>
    <w:pPr>
      <w:spacing w:line="252" w:lineRule="auto"/>
      <w:ind w:left="720"/>
      <w:contextualSpacing/>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91259-68FD-4F23-8424-3337B787A9E0}">
  <ds:schemaRefs>
    <ds:schemaRef ds:uri="http://schemas.microsoft.com/sharepoint/v3/contenttype/forms"/>
  </ds:schemaRefs>
</ds:datastoreItem>
</file>

<file path=customXml/itemProps2.xml><?xml version="1.0" encoding="utf-8"?>
<ds:datastoreItem xmlns:ds="http://schemas.openxmlformats.org/officeDocument/2006/customXml" ds:itemID="{0C4A6161-0660-4E34-85A1-CB6724CAFB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146CCA-A4AA-44B5-A155-471CD155C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24 Table 4.1 Diagnostic Methods USA comments</dc:title>
  <dc:subject/>
  <dc:creator>Marston, Alicia R - APHIS</dc:creator>
  <cp:keywords/>
  <dc:description/>
  <cp:lastModifiedBy>Wattenberg, Jay L - APHIS</cp:lastModifiedBy>
  <cp:revision>8</cp:revision>
  <dcterms:created xsi:type="dcterms:W3CDTF">2021-12-14T09:20:00Z</dcterms:created>
  <dcterms:modified xsi:type="dcterms:W3CDTF">2022-01-04T16:50:00Z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