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3B61" w14:textId="76F02126" w:rsidR="00FB52DE" w:rsidRPr="002E0DF3" w:rsidRDefault="009E2F26">
      <w:pPr>
        <w:pStyle w:val="Chatperno"/>
        <w:tabs>
          <w:tab w:val="clear" w:pos="-720"/>
        </w:tabs>
      </w:pPr>
      <w:r w:rsidRPr="002E0DF3">
        <w:rPr>
          <w:caps w:val="0"/>
        </w:rPr>
        <w:t xml:space="preserve">CHAPTER </w:t>
      </w:r>
      <w:r w:rsidR="00513B20">
        <w:t>3</w:t>
      </w:r>
      <w:r w:rsidR="00FB52DE" w:rsidRPr="002E0DF3">
        <w:t>.</w:t>
      </w:r>
      <w:r w:rsidR="00E365D9" w:rsidRPr="002E0DF3">
        <w:t>3</w:t>
      </w:r>
      <w:r w:rsidR="00FB52DE" w:rsidRPr="002E0DF3">
        <w:t>.15.</w:t>
      </w:r>
    </w:p>
    <w:p w14:paraId="11E2EA5B" w14:textId="62315118" w:rsidR="00F67717" w:rsidRPr="00103A6B" w:rsidRDefault="00FB52DE" w:rsidP="00F67717">
      <w:pPr>
        <w:pStyle w:val="Chaptertitle"/>
        <w:tabs>
          <w:tab w:val="clear" w:pos="-720"/>
        </w:tabs>
        <w:rPr>
          <w:bCs/>
          <w:szCs w:val="32"/>
        </w:rPr>
      </w:pPr>
      <w:r w:rsidRPr="002E0DF3">
        <w:rPr>
          <w:bCs/>
          <w:szCs w:val="32"/>
        </w:rPr>
        <w:t xml:space="preserve">turkey rhinotracheitis </w:t>
      </w:r>
      <w:r w:rsidRPr="002E0DF3">
        <w:rPr>
          <w:bCs/>
          <w:szCs w:val="32"/>
        </w:rPr>
        <w:br/>
      </w:r>
      <w:r w:rsidR="00103A6B" w:rsidRPr="00103A6B">
        <w:rPr>
          <w:bCs/>
          <w:caps w:val="0"/>
          <w:szCs w:val="32"/>
        </w:rPr>
        <w:t>(AVIAN METAPNEUMOVIRUS INFECTIONS)</w:t>
      </w:r>
    </w:p>
    <w:p w14:paraId="49457109" w14:textId="77777777" w:rsidR="00F67717" w:rsidRPr="002E0DF3" w:rsidRDefault="00F67717" w:rsidP="00124355">
      <w:pPr>
        <w:pStyle w:val="Summarytitle"/>
      </w:pPr>
      <w:r w:rsidRPr="002E0DF3">
        <w:t>SUMMARY</w:t>
      </w:r>
    </w:p>
    <w:p w14:paraId="12DD8ABA" w14:textId="1A4FB37F" w:rsidR="00E54D48" w:rsidRPr="002E0DF3" w:rsidRDefault="00E54D48" w:rsidP="00E54D48">
      <w:pPr>
        <w:pStyle w:val="sumtexte"/>
      </w:pPr>
      <w:r w:rsidRPr="002E0DF3">
        <w:t xml:space="preserve">Avian metapneumovirus </w:t>
      </w:r>
      <w:r w:rsidRPr="002E0DF3">
        <w:rPr>
          <w:i w:val="0"/>
          <w:iCs w:val="0"/>
        </w:rPr>
        <w:t>(</w:t>
      </w:r>
      <w:proofErr w:type="spellStart"/>
      <w:r w:rsidRPr="002E0DF3">
        <w:t>aMPV</w:t>
      </w:r>
      <w:proofErr w:type="spellEnd"/>
      <w:r w:rsidRPr="002E0DF3">
        <w:rPr>
          <w:i w:val="0"/>
          <w:iCs w:val="0"/>
        </w:rPr>
        <w:t>)</w:t>
      </w:r>
      <w:r w:rsidRPr="002E0DF3">
        <w:t xml:space="preserve"> </w:t>
      </w:r>
      <w:r w:rsidR="009B17DF" w:rsidRPr="00162C31">
        <w:rPr>
          <w:u w:val="double"/>
        </w:rPr>
        <w:t>principally</w:t>
      </w:r>
      <w:r w:rsidR="009B17DF">
        <w:t xml:space="preserve"> </w:t>
      </w:r>
      <w:r w:rsidRPr="002E0DF3">
        <w:t xml:space="preserve">causes an acute highly contagious upper respiratory tract infection </w:t>
      </w:r>
      <w:r w:rsidR="003F7418" w:rsidRPr="00162C31">
        <w:rPr>
          <w:u w:val="double"/>
        </w:rPr>
        <w:t>sometimes combined with reproductive disorders,</w:t>
      </w:r>
      <w:r w:rsidR="003F7418">
        <w:t xml:space="preserve"> </w:t>
      </w:r>
      <w:r w:rsidRPr="002E0DF3">
        <w:t>primaril</w:t>
      </w:r>
      <w:r w:rsidRPr="002E0DF3">
        <w:rPr>
          <w:color w:val="000000"/>
        </w:rPr>
        <w:t>y</w:t>
      </w:r>
      <w:r w:rsidRPr="002E0DF3">
        <w:t xml:space="preserve"> of turkeys</w:t>
      </w:r>
      <w:r w:rsidR="0073663C" w:rsidRPr="006E5C4E">
        <w:t>,</w:t>
      </w:r>
      <w:r w:rsidR="0073663C">
        <w:rPr>
          <w:strike/>
        </w:rPr>
        <w:t xml:space="preserve"> </w:t>
      </w:r>
      <w:r w:rsidR="0073663C" w:rsidRPr="00665A3A">
        <w:rPr>
          <w:strike/>
        </w:rPr>
        <w:t>and</w:t>
      </w:r>
      <w:r w:rsidR="00AC330E">
        <w:t xml:space="preserve"> </w:t>
      </w:r>
      <w:r w:rsidRPr="002E0DF3">
        <w:t>chickens</w:t>
      </w:r>
      <w:r>
        <w:t xml:space="preserve"> </w:t>
      </w:r>
      <w:r w:rsidRPr="0073663C">
        <w:rPr>
          <w:u w:val="double"/>
        </w:rPr>
        <w:t>and ducks</w:t>
      </w:r>
      <w:r w:rsidRPr="002E0DF3">
        <w:t xml:space="preserve">. The disease produced by </w:t>
      </w:r>
      <w:proofErr w:type="spellStart"/>
      <w:r w:rsidRPr="002E0DF3">
        <w:t>aMPV</w:t>
      </w:r>
      <w:proofErr w:type="spellEnd"/>
      <w:r w:rsidRPr="002E0DF3">
        <w:t xml:space="preserve"> was originally referred to as avian </w:t>
      </w:r>
      <w:proofErr w:type="spellStart"/>
      <w:r w:rsidRPr="002E0DF3">
        <w:t>pneumovirus</w:t>
      </w:r>
      <w:proofErr w:type="spellEnd"/>
      <w:r w:rsidRPr="002E0DF3">
        <w:t xml:space="preserve"> infection and avian rhinotracheitis; it also has been referred to as turkey rhinotracheitis</w:t>
      </w:r>
      <w:r w:rsidR="004C2C49">
        <w:t xml:space="preserve"> </w:t>
      </w:r>
      <w:r w:rsidR="004C2C49" w:rsidRPr="004C2C49">
        <w:rPr>
          <w:i w:val="0"/>
          <w:iCs w:val="0"/>
        </w:rPr>
        <w:t>(</w:t>
      </w:r>
      <w:r w:rsidR="004C2C49">
        <w:t>TRT</w:t>
      </w:r>
      <w:r w:rsidR="004C2C49" w:rsidRPr="004C2C49">
        <w:rPr>
          <w:i w:val="0"/>
          <w:iCs w:val="0"/>
        </w:rPr>
        <w:t>)</w:t>
      </w:r>
      <w:r w:rsidRPr="002E0DF3">
        <w:t xml:space="preserve"> in turkeys and </w:t>
      </w:r>
      <w:r w:rsidRPr="0073663C">
        <w:rPr>
          <w:u w:val="double"/>
        </w:rPr>
        <w:t>as the triggering pathogen</w:t>
      </w:r>
      <w:r>
        <w:t xml:space="preserve"> in </w:t>
      </w:r>
      <w:r w:rsidRPr="002E0DF3">
        <w:t xml:space="preserve">swollen head syndrome </w:t>
      </w:r>
      <w:r w:rsidRPr="008C4A6F">
        <w:rPr>
          <w:i w:val="0"/>
        </w:rPr>
        <w:t>(</w:t>
      </w:r>
      <w:r w:rsidRPr="002E0DF3">
        <w:t>SHS</w:t>
      </w:r>
      <w:r w:rsidRPr="008C4A6F">
        <w:rPr>
          <w:i w:val="0"/>
        </w:rPr>
        <w:t>)</w:t>
      </w:r>
      <w:r w:rsidRPr="002E0DF3">
        <w:t xml:space="preserve"> in chickens. </w:t>
      </w:r>
      <w:r w:rsidR="0073663C" w:rsidRPr="0073663C">
        <w:rPr>
          <w:strike/>
        </w:rPr>
        <w:t xml:space="preserve">The </w:t>
      </w:r>
      <w:proofErr w:type="spellStart"/>
      <w:r w:rsidR="00DA37BA">
        <w:t>a</w:t>
      </w:r>
      <w:r w:rsidRPr="002E0DF3">
        <w:t>MPV</w:t>
      </w:r>
      <w:proofErr w:type="spellEnd"/>
      <w:r w:rsidRPr="002E0DF3">
        <w:t xml:space="preserve"> is a single-stranded non-segmented negative-sense RNA virus belonging to the family </w:t>
      </w:r>
      <w:proofErr w:type="spellStart"/>
      <w:r w:rsidR="0073663C" w:rsidRPr="00665A3A">
        <w:rPr>
          <w:i w:val="0"/>
          <w:iCs w:val="0"/>
          <w:strike/>
        </w:rPr>
        <w:t>Paramyxoviridae</w:t>
      </w:r>
      <w:proofErr w:type="spellEnd"/>
      <w:r w:rsidR="0073663C">
        <w:rPr>
          <w:i w:val="0"/>
          <w:iCs w:val="0"/>
          <w:strike/>
        </w:rPr>
        <w:t xml:space="preserve"> </w:t>
      </w:r>
      <w:proofErr w:type="spellStart"/>
      <w:r w:rsidRPr="006E5C4E">
        <w:rPr>
          <w:i w:val="0"/>
          <w:iCs w:val="0"/>
          <w:u w:val="double"/>
        </w:rPr>
        <w:t>Pneumoviridae</w:t>
      </w:r>
      <w:proofErr w:type="spellEnd"/>
      <w:r w:rsidRPr="006E5C4E">
        <w:rPr>
          <w:i w:val="0"/>
          <w:iCs w:val="0"/>
        </w:rPr>
        <w:t xml:space="preserve">, </w:t>
      </w:r>
      <w:r w:rsidRPr="002E0DF3">
        <w:t xml:space="preserve">genus </w:t>
      </w:r>
      <w:r w:rsidRPr="002E0DF3">
        <w:rPr>
          <w:i w:val="0"/>
          <w:iCs w:val="0"/>
        </w:rPr>
        <w:t>Metapneumovirus</w:t>
      </w:r>
      <w:r w:rsidRPr="002E0DF3">
        <w:t>. The disease can cause significant economic losses</w:t>
      </w:r>
      <w:r w:rsidR="0073663C">
        <w:t xml:space="preserve"> </w:t>
      </w:r>
      <w:r w:rsidR="0073663C" w:rsidRPr="00665A3A">
        <w:rPr>
          <w:strike/>
        </w:rPr>
        <w:t>in turkey and chicken flocks</w:t>
      </w:r>
      <w:r w:rsidRPr="0073663C">
        <w:rPr>
          <w:strike/>
        </w:rPr>
        <w:t xml:space="preserve"> </w:t>
      </w:r>
      <w:r w:rsidRPr="0073663C">
        <w:rPr>
          <w:u w:val="double"/>
        </w:rPr>
        <w:t>for the poultry industry</w:t>
      </w:r>
      <w:r w:rsidRPr="002E0DF3">
        <w:t xml:space="preserve">, particularly when exacerbated by secondary pathogens. </w:t>
      </w:r>
      <w:r w:rsidR="0073663C" w:rsidRPr="00665A3A">
        <w:rPr>
          <w:strike/>
        </w:rPr>
        <w:t>The only</w:t>
      </w:r>
      <w:r w:rsidR="0073663C">
        <w:rPr>
          <w:strike/>
        </w:rPr>
        <w:t xml:space="preserve"> </w:t>
      </w:r>
      <w:r w:rsidRPr="0073663C">
        <w:rPr>
          <w:u w:val="double"/>
        </w:rPr>
        <w:t>Other</w:t>
      </w:r>
      <w:r w:rsidRPr="002E0DF3">
        <w:t xml:space="preserve"> avian species known to support the replication of </w:t>
      </w:r>
      <w:proofErr w:type="spellStart"/>
      <w:r w:rsidRPr="002E0DF3">
        <w:t>aMPVs</w:t>
      </w:r>
      <w:proofErr w:type="spellEnd"/>
      <w:r w:rsidRPr="002E0DF3">
        <w:t>, other than turkeys</w:t>
      </w:r>
      <w:r w:rsidR="0073663C" w:rsidRPr="0073663C">
        <w:rPr>
          <w:strike/>
        </w:rPr>
        <w:t xml:space="preserve"> </w:t>
      </w:r>
      <w:r w:rsidR="0073663C" w:rsidRPr="00665A3A">
        <w:rPr>
          <w:strike/>
        </w:rPr>
        <w:t>and</w:t>
      </w:r>
      <w:r>
        <w:t>,</w:t>
      </w:r>
      <w:r w:rsidR="00AC330E">
        <w:t xml:space="preserve"> </w:t>
      </w:r>
      <w:r w:rsidRPr="002E0DF3">
        <w:t>chickens</w:t>
      </w:r>
      <w:r w:rsidR="00AC330E">
        <w:t>,</w:t>
      </w:r>
      <w:r w:rsidRPr="000747A7">
        <w:t xml:space="preserve"> </w:t>
      </w:r>
      <w:r w:rsidR="0073663C" w:rsidRPr="00665A3A">
        <w:rPr>
          <w:strike/>
        </w:rPr>
        <w:t xml:space="preserve">are pheasants, </w:t>
      </w:r>
      <w:r w:rsidRPr="002E0DF3">
        <w:t>Muscovy</w:t>
      </w:r>
      <w:r w:rsidR="0073663C" w:rsidRPr="00103A6B">
        <w:t xml:space="preserve"> </w:t>
      </w:r>
      <w:r w:rsidR="0073663C" w:rsidRPr="00665A3A">
        <w:rPr>
          <w:strike/>
        </w:rPr>
        <w:t>ducks,</w:t>
      </w:r>
      <w:r w:rsidR="0073663C">
        <w:rPr>
          <w:strike/>
        </w:rPr>
        <w:t xml:space="preserve"> </w:t>
      </w:r>
      <w:r w:rsidRPr="0073663C">
        <w:rPr>
          <w:u w:val="double"/>
        </w:rPr>
        <w:t>and</w:t>
      </w:r>
      <w:r>
        <w:t xml:space="preserve"> Peking </w:t>
      </w:r>
      <w:r w:rsidRPr="002E0DF3">
        <w:t>ducks</w:t>
      </w:r>
      <w:r w:rsidRPr="0073663C">
        <w:rPr>
          <w:u w:val="double"/>
        </w:rPr>
        <w:t>, are pheasants</w:t>
      </w:r>
      <w:r w:rsidRPr="002E0DF3">
        <w:t>, and guinea fowl. The disease has global distribution in poultry-producing regions</w:t>
      </w:r>
      <w:r w:rsidR="00AC330E">
        <w:t>,</w:t>
      </w:r>
      <w:r w:rsidRPr="002E0DF3">
        <w:t xml:space="preserve"> with only Oceania and Canada reported to be free of </w:t>
      </w:r>
      <w:proofErr w:type="spellStart"/>
      <w:r w:rsidRPr="002E0DF3">
        <w:t>aMPV</w:t>
      </w:r>
      <w:proofErr w:type="spellEnd"/>
      <w:r w:rsidRPr="002E0DF3">
        <w:t xml:space="preserve"> infection. Four antigenically distinct </w:t>
      </w:r>
      <w:r w:rsidR="0073663C" w:rsidRPr="00665A3A">
        <w:rPr>
          <w:strike/>
        </w:rPr>
        <w:t>subtypes</w:t>
      </w:r>
      <w:r w:rsidR="0073663C">
        <w:rPr>
          <w:strike/>
        </w:rPr>
        <w:t xml:space="preserve"> </w:t>
      </w:r>
      <w:r>
        <w:t>s</w:t>
      </w:r>
      <w:r w:rsidRPr="0073663C">
        <w:rPr>
          <w:u w:val="double"/>
        </w:rPr>
        <w:t>ubgroups</w:t>
      </w:r>
      <w:r w:rsidRPr="002E0DF3">
        <w:t xml:space="preserve">, A, B, C and D, of </w:t>
      </w:r>
      <w:proofErr w:type="spellStart"/>
      <w:r w:rsidRPr="002E0DF3">
        <w:t>aMPV</w:t>
      </w:r>
      <w:proofErr w:type="spellEnd"/>
      <w:r w:rsidRPr="002E0DF3">
        <w:t xml:space="preserve"> have been identified by neutralisation with monoclonal antibodies, possible limited cross reactivity in enzyme-linked immunosorbent assay </w:t>
      </w:r>
      <w:r w:rsidRPr="002E0DF3">
        <w:rPr>
          <w:i w:val="0"/>
        </w:rPr>
        <w:t>(</w:t>
      </w:r>
      <w:r w:rsidRPr="002E0DF3">
        <w:t>ELISA</w:t>
      </w:r>
      <w:r w:rsidRPr="002E0DF3">
        <w:rPr>
          <w:i w:val="0"/>
        </w:rPr>
        <w:t>),</w:t>
      </w:r>
      <w:r w:rsidRPr="002E0DF3">
        <w:t xml:space="preserve"> and sequence analysis of the attachment </w:t>
      </w:r>
      <w:proofErr w:type="spellStart"/>
      <w:r w:rsidRPr="002E0DF3">
        <w:t>glyco</w:t>
      </w:r>
      <w:proofErr w:type="spellEnd"/>
      <w:r w:rsidRPr="002E0DF3">
        <w:t xml:space="preserve"> protein, G.</w:t>
      </w:r>
      <w:r w:rsidR="00AB40D0">
        <w:t xml:space="preserve"> </w:t>
      </w:r>
      <w:r w:rsidR="00AB40D0" w:rsidRPr="003F598E">
        <w:rPr>
          <w:u w:val="double"/>
        </w:rPr>
        <w:t>Recent sequence data suggest that additional subgroups may exist in gulls and parakeets.</w:t>
      </w:r>
    </w:p>
    <w:p w14:paraId="26CC77B0" w14:textId="2A1197B4" w:rsidR="00FB52DE" w:rsidRPr="00162C31" w:rsidRDefault="00FB52DE">
      <w:pPr>
        <w:pStyle w:val="sumtexte"/>
        <w:rPr>
          <w:strike/>
        </w:rPr>
      </w:pPr>
      <w:r w:rsidRPr="00162C31">
        <w:rPr>
          <w:strike/>
        </w:rPr>
        <w:t>In susceptible turkeys, infection of the respiratory tract can occur at any age although young poults appear to be more sever</w:t>
      </w:r>
      <w:r w:rsidR="006669F3" w:rsidRPr="00162C31">
        <w:rPr>
          <w:strike/>
        </w:rPr>
        <w:t>e</w:t>
      </w:r>
      <w:r w:rsidRPr="00162C31">
        <w:rPr>
          <w:strike/>
        </w:rPr>
        <w:t xml:space="preserve">ly affected. The </w:t>
      </w:r>
      <w:r w:rsidR="007B0B03" w:rsidRPr="00162C31">
        <w:rPr>
          <w:strike/>
        </w:rPr>
        <w:t>severity</w:t>
      </w:r>
      <w:r w:rsidRPr="00162C31">
        <w:rPr>
          <w:strike/>
        </w:rPr>
        <w:t xml:space="preserve"> of disease and mortality rate </w:t>
      </w:r>
      <w:r w:rsidR="006669F3" w:rsidRPr="00162C31">
        <w:rPr>
          <w:strike/>
        </w:rPr>
        <w:t xml:space="preserve">are </w:t>
      </w:r>
      <w:r w:rsidRPr="00162C31">
        <w:rPr>
          <w:strike/>
        </w:rPr>
        <w:t>largely influenced by secondary bacterial infection</w:t>
      </w:r>
      <w:r w:rsidR="006669F3" w:rsidRPr="00162C31">
        <w:rPr>
          <w:strike/>
        </w:rPr>
        <w:t>,</w:t>
      </w:r>
      <w:r w:rsidR="006669F3" w:rsidRPr="00162C31">
        <w:rPr>
          <w:strike/>
          <w:sz w:val="24"/>
          <w:szCs w:val="24"/>
          <w:lang w:eastAsia="en-GB"/>
        </w:rPr>
        <w:t xml:space="preserve"> </w:t>
      </w:r>
      <w:r w:rsidR="006669F3" w:rsidRPr="00162C31">
        <w:rPr>
          <w:strike/>
          <w:szCs w:val="24"/>
          <w:lang w:eastAsia="en-GB"/>
        </w:rPr>
        <w:t>but other husbandry factors can also ex</w:t>
      </w:r>
      <w:r w:rsidR="00C819C3" w:rsidRPr="00162C31">
        <w:rPr>
          <w:strike/>
          <w:szCs w:val="24"/>
          <w:lang w:eastAsia="en-GB"/>
        </w:rPr>
        <w:t>a</w:t>
      </w:r>
      <w:r w:rsidR="006669F3" w:rsidRPr="00162C31">
        <w:rPr>
          <w:strike/>
          <w:szCs w:val="24"/>
          <w:lang w:eastAsia="en-GB"/>
        </w:rPr>
        <w:t>cerbate the severity of disease. Variability in the severity of clinical signs and morbidity can also be apparent between birds in a flock and between flocks.</w:t>
      </w:r>
      <w:r w:rsidRPr="00162C31">
        <w:rPr>
          <w:strike/>
        </w:rPr>
        <w:t xml:space="preserve"> Infection with </w:t>
      </w:r>
      <w:proofErr w:type="spellStart"/>
      <w:r w:rsidRPr="00162C31">
        <w:rPr>
          <w:strike/>
        </w:rPr>
        <w:t>aMPV</w:t>
      </w:r>
      <w:proofErr w:type="spellEnd"/>
      <w:r w:rsidRPr="00162C31">
        <w:rPr>
          <w:strike/>
        </w:rPr>
        <w:t xml:space="preserve"> can result in serious egg production problems in turkey and duck</w:t>
      </w:r>
      <w:r w:rsidRPr="00162C31">
        <w:rPr>
          <w:strike/>
          <w:color w:val="FF0000"/>
        </w:rPr>
        <w:t xml:space="preserve"> </w:t>
      </w:r>
      <w:r w:rsidRPr="00162C31">
        <w:rPr>
          <w:strike/>
        </w:rPr>
        <w:t xml:space="preserve">breeding flocks. </w:t>
      </w:r>
      <w:r w:rsidR="006669F3" w:rsidRPr="00162C31">
        <w:rPr>
          <w:strike/>
        </w:rPr>
        <w:t>Other c</w:t>
      </w:r>
      <w:r w:rsidRPr="00162C31">
        <w:rPr>
          <w:strike/>
        </w:rPr>
        <w:t xml:space="preserve">linical signs include sneezing, </w:t>
      </w:r>
      <w:r w:rsidR="006669F3" w:rsidRPr="00162C31">
        <w:rPr>
          <w:strike/>
          <w:szCs w:val="24"/>
          <w:lang w:eastAsia="en-GB"/>
        </w:rPr>
        <w:t>depression, snicking</w:t>
      </w:r>
      <w:r w:rsidR="006669F3" w:rsidRPr="00162C31">
        <w:rPr>
          <w:strike/>
          <w:sz w:val="24"/>
          <w:szCs w:val="24"/>
          <w:lang w:eastAsia="en-GB"/>
        </w:rPr>
        <w:t>,</w:t>
      </w:r>
      <w:r w:rsidR="005D2CB6" w:rsidRPr="00162C31">
        <w:rPr>
          <w:strike/>
          <w:sz w:val="24"/>
          <w:szCs w:val="24"/>
          <w:lang w:eastAsia="en-GB"/>
        </w:rPr>
        <w:t xml:space="preserve"> </w:t>
      </w:r>
      <w:r w:rsidRPr="00162C31">
        <w:rPr>
          <w:strike/>
        </w:rPr>
        <w:t>tracheal rales,</w:t>
      </w:r>
      <w:r w:rsidR="005D2CB6" w:rsidRPr="00162C31">
        <w:rPr>
          <w:strike/>
        </w:rPr>
        <w:t xml:space="preserve"> gasping,</w:t>
      </w:r>
      <w:r w:rsidRPr="00162C31">
        <w:rPr>
          <w:strike/>
        </w:rPr>
        <w:t xml:space="preserve"> nasal and ocular discharge</w:t>
      </w:r>
      <w:r w:rsidR="00740D33" w:rsidRPr="00162C31">
        <w:rPr>
          <w:strike/>
        </w:rPr>
        <w:t>,</w:t>
      </w:r>
      <w:r w:rsidRPr="00162C31">
        <w:rPr>
          <w:strike/>
        </w:rPr>
        <w:t xml:space="preserve"> swollen infraorbital sinuses and conjunctivitis. The onset of clinical signs and spread of infection through a flock can be rapid occurring as quickly as 2–4 hours. In chickens</w:t>
      </w:r>
      <w:r w:rsidRPr="00162C31">
        <w:rPr>
          <w:i w:val="0"/>
          <w:strike/>
        </w:rPr>
        <w:t>,</w:t>
      </w:r>
      <w:r w:rsidR="005D2CB6" w:rsidRPr="00162C31">
        <w:rPr>
          <w:i w:val="0"/>
          <w:strike/>
        </w:rPr>
        <w:t xml:space="preserve"> </w:t>
      </w:r>
      <w:proofErr w:type="spellStart"/>
      <w:r w:rsidR="005D2CB6" w:rsidRPr="00162C31">
        <w:rPr>
          <w:strike/>
          <w:szCs w:val="24"/>
          <w:lang w:eastAsia="en-GB"/>
        </w:rPr>
        <w:t>aMPV</w:t>
      </w:r>
      <w:proofErr w:type="spellEnd"/>
      <w:r w:rsidR="005D2CB6" w:rsidRPr="00162C31">
        <w:rPr>
          <w:strike/>
          <w:szCs w:val="24"/>
          <w:lang w:eastAsia="en-GB"/>
        </w:rPr>
        <w:t xml:space="preserve"> infections are less well understood and are typically associated with upper respiratory tract signs with decreased egg production in breeders and layers. Disease may also be characterised by the development of swellings of the </w:t>
      </w:r>
      <w:r w:rsidR="00CB1A48" w:rsidRPr="00162C31">
        <w:rPr>
          <w:strike/>
          <w:szCs w:val="24"/>
          <w:lang w:eastAsia="en-GB"/>
        </w:rPr>
        <w:t xml:space="preserve">periorbital and </w:t>
      </w:r>
      <w:r w:rsidR="005D2CB6" w:rsidRPr="00162C31">
        <w:rPr>
          <w:strike/>
          <w:szCs w:val="24"/>
          <w:lang w:eastAsia="en-GB"/>
        </w:rPr>
        <w:t>infraorbital sinuses and face, known as SHS</w:t>
      </w:r>
      <w:r w:rsidR="005D2CB6" w:rsidRPr="00162C31">
        <w:rPr>
          <w:iCs w:val="0"/>
          <w:strike/>
          <w:szCs w:val="24"/>
          <w:lang w:eastAsia="en-GB"/>
        </w:rPr>
        <w:t>.</w:t>
      </w:r>
      <w:r w:rsidRPr="00162C31">
        <w:rPr>
          <w:strike/>
        </w:rPr>
        <w:t xml:space="preserve"> Cerebral disorientation, torticollis</w:t>
      </w:r>
      <w:r w:rsidR="005D2CB6" w:rsidRPr="00162C31">
        <w:rPr>
          <w:strike/>
        </w:rPr>
        <w:t>,</w:t>
      </w:r>
      <w:r w:rsidR="00CB1A48" w:rsidRPr="00162C31">
        <w:rPr>
          <w:strike/>
        </w:rPr>
        <w:t xml:space="preserve"> </w:t>
      </w:r>
      <w:r w:rsidRPr="00162C31">
        <w:rPr>
          <w:strike/>
        </w:rPr>
        <w:t>and opisthoton</w:t>
      </w:r>
      <w:r w:rsidR="00C819C3" w:rsidRPr="00162C31">
        <w:rPr>
          <w:strike/>
        </w:rPr>
        <w:t>o</w:t>
      </w:r>
      <w:r w:rsidRPr="00162C31">
        <w:rPr>
          <w:strike/>
        </w:rPr>
        <w:t>s</w:t>
      </w:r>
      <w:r w:rsidR="005D2CB6" w:rsidRPr="00162C31">
        <w:rPr>
          <w:strike/>
        </w:rPr>
        <w:t xml:space="preserve"> may</w:t>
      </w:r>
      <w:r w:rsidRPr="00162C31">
        <w:rPr>
          <w:strike/>
        </w:rPr>
        <w:t xml:space="preserve"> frequently follow. In broilers, </w:t>
      </w:r>
      <w:proofErr w:type="spellStart"/>
      <w:r w:rsidRPr="00162C31">
        <w:rPr>
          <w:strike/>
        </w:rPr>
        <w:t>aMPV</w:t>
      </w:r>
      <w:proofErr w:type="spellEnd"/>
      <w:r w:rsidRPr="00162C31">
        <w:rPr>
          <w:strike/>
        </w:rPr>
        <w:t xml:space="preserve"> is not</w:t>
      </w:r>
      <w:r w:rsidR="00484CBA" w:rsidRPr="00162C31">
        <w:rPr>
          <w:strike/>
        </w:rPr>
        <w:t xml:space="preserve"> </w:t>
      </w:r>
      <w:r w:rsidR="00484CBA" w:rsidRPr="00162C31">
        <w:rPr>
          <w:strike/>
          <w:szCs w:val="24"/>
          <w:lang w:eastAsia="en-GB"/>
        </w:rPr>
        <w:t>considered as either a sole or</w:t>
      </w:r>
      <w:r w:rsidRPr="00162C31">
        <w:rPr>
          <w:strike/>
        </w:rPr>
        <w:t xml:space="preserve"> a primary pathogen, but</w:t>
      </w:r>
      <w:r w:rsidR="00484CBA" w:rsidRPr="00162C31">
        <w:rPr>
          <w:strike/>
        </w:rPr>
        <w:t xml:space="preserve"> instead</w:t>
      </w:r>
      <w:r w:rsidRPr="00162C31">
        <w:rPr>
          <w:strike/>
        </w:rPr>
        <w:t xml:space="preserve"> is involved with other agents in SHS or other</w:t>
      </w:r>
      <w:r w:rsidR="00484CBA" w:rsidRPr="00162C31">
        <w:rPr>
          <w:strike/>
        </w:rPr>
        <w:t xml:space="preserve"> </w:t>
      </w:r>
      <w:r w:rsidR="00484CBA" w:rsidRPr="00162C31">
        <w:rPr>
          <w:strike/>
          <w:szCs w:val="24"/>
          <w:lang w:eastAsia="en-GB"/>
        </w:rPr>
        <w:t>multi-factorial</w:t>
      </w:r>
      <w:r w:rsidRPr="00162C31">
        <w:rPr>
          <w:strike/>
        </w:rPr>
        <w:t xml:space="preserve"> respiratory disease</w:t>
      </w:r>
      <w:r w:rsidR="00484CBA" w:rsidRPr="00162C31">
        <w:rPr>
          <w:strike/>
        </w:rPr>
        <w:t xml:space="preserve"> </w:t>
      </w:r>
      <w:r w:rsidRPr="00162C31">
        <w:rPr>
          <w:strike/>
        </w:rPr>
        <w:t xml:space="preserve">complexes. </w:t>
      </w:r>
    </w:p>
    <w:p w14:paraId="4EB7E96D" w14:textId="77777777" w:rsidR="00C26811" w:rsidRPr="006E5C4E" w:rsidRDefault="00C26811" w:rsidP="006E5C4E">
      <w:pPr>
        <w:pStyle w:val="sumtextelastpara"/>
        <w:spacing w:after="120"/>
        <w:rPr>
          <w:bCs/>
          <w:u w:val="double"/>
        </w:rPr>
      </w:pPr>
      <w:r w:rsidRPr="006E5C4E">
        <w:rPr>
          <w:b/>
          <w:bCs/>
          <w:u w:val="double"/>
        </w:rPr>
        <w:t>Public health significance:</w:t>
      </w:r>
      <w:r w:rsidRPr="006E5C4E">
        <w:rPr>
          <w:u w:val="double"/>
        </w:rPr>
        <w:t xml:space="preserve"> </w:t>
      </w:r>
      <w:proofErr w:type="spellStart"/>
      <w:r w:rsidRPr="006E5C4E">
        <w:rPr>
          <w:bCs/>
          <w:u w:val="double"/>
        </w:rPr>
        <w:t>aMPV</w:t>
      </w:r>
      <w:proofErr w:type="spellEnd"/>
      <w:r w:rsidRPr="006E5C4E">
        <w:rPr>
          <w:bCs/>
          <w:u w:val="double"/>
        </w:rPr>
        <w:t xml:space="preserve"> has not been reported to cause human infections. A human MPV has been identified worldwide as a pathogen causing bronchiolitis in infants, the elderly or the immunocompromised but the two viruses are clearly different. </w:t>
      </w:r>
    </w:p>
    <w:p w14:paraId="0D052469" w14:textId="3FF7A391" w:rsidR="009227EF" w:rsidRPr="002E0DF3" w:rsidRDefault="00D02A14" w:rsidP="009227EF">
      <w:pPr>
        <w:pStyle w:val="sumtexte"/>
      </w:pPr>
      <w:r w:rsidRPr="00103A6B">
        <w:rPr>
          <w:b/>
          <w:bCs/>
        </w:rPr>
        <w:t>Detection</w:t>
      </w:r>
      <w:r w:rsidR="00FB52DE" w:rsidRPr="002E0DF3">
        <w:rPr>
          <w:b/>
          <w:bCs/>
        </w:rPr>
        <w:t xml:space="preserve"> of the agent</w:t>
      </w:r>
      <w:r w:rsidR="00FB52DE" w:rsidRPr="002E0DF3">
        <w:rPr>
          <w:b/>
        </w:rPr>
        <w:t>:</w:t>
      </w:r>
      <w:r w:rsidR="00FB52DE" w:rsidRPr="002E0DF3">
        <w:t xml:space="preserve"> </w:t>
      </w:r>
      <w:r w:rsidR="009227EF" w:rsidRPr="002E0DF3">
        <w:t>Virus isolation in cell cultures, embryonat</w:t>
      </w:r>
      <w:r w:rsidR="00C422FD">
        <w:t>ed</w:t>
      </w:r>
      <w:r w:rsidR="009227EF" w:rsidRPr="002E0DF3">
        <w:t xml:space="preserve"> chicken eggs, and tracheal organ cultures</w:t>
      </w:r>
      <w:r w:rsidR="0073663C" w:rsidRPr="00162C31">
        <w:t>,</w:t>
      </w:r>
      <w:r w:rsidR="00702F4A" w:rsidRPr="00162C31">
        <w:t xml:space="preserve"> </w:t>
      </w:r>
      <w:r w:rsidR="009227EF" w:rsidRPr="002E0DF3">
        <w:t xml:space="preserve">as well as molecular methods for identification of the nucleic acid, have all been used successfully to detect </w:t>
      </w:r>
      <w:proofErr w:type="spellStart"/>
      <w:r w:rsidR="009227EF" w:rsidRPr="002E0DF3">
        <w:t>aMPV</w:t>
      </w:r>
      <w:proofErr w:type="spellEnd"/>
      <w:r w:rsidR="009227EF" w:rsidRPr="002E0DF3">
        <w:t xml:space="preserve">. The degree of success depends on the strain of virus, type and timeliness of sample collection, as well as storage and handling of specimens. Electron microscopy, virus neutralisation and molecular techniques </w:t>
      </w:r>
      <w:r w:rsidR="0073663C" w:rsidRPr="00665A3A">
        <w:rPr>
          <w:strike/>
        </w:rPr>
        <w:t>are widely</w:t>
      </w:r>
      <w:r w:rsidR="0073663C">
        <w:rPr>
          <w:strike/>
        </w:rPr>
        <w:t xml:space="preserve"> </w:t>
      </w:r>
      <w:r w:rsidR="009227EF" w:rsidRPr="0073663C">
        <w:rPr>
          <w:u w:val="double"/>
        </w:rPr>
        <w:t>can be</w:t>
      </w:r>
      <w:r w:rsidR="009227EF">
        <w:t xml:space="preserve"> used </w:t>
      </w:r>
      <w:r w:rsidR="009227EF" w:rsidRPr="002E0DF3">
        <w:t xml:space="preserve">to identify the virus. </w:t>
      </w:r>
      <w:r w:rsidR="00F231E6" w:rsidRPr="00162C31">
        <w:rPr>
          <w:u w:val="double"/>
        </w:rPr>
        <w:t>Infectious virus can only usually be isolated for approximately ten days after infection.</w:t>
      </w:r>
      <w:r w:rsidR="00F231E6">
        <w:t xml:space="preserve"> </w:t>
      </w:r>
      <w:r w:rsidR="009227EF" w:rsidRPr="00162C31">
        <w:rPr>
          <w:strike/>
        </w:rPr>
        <w:t>Virus detection</w:t>
      </w:r>
      <w:r w:rsidR="009227EF" w:rsidRPr="00162C31">
        <w:rPr>
          <w:strike/>
          <w:color w:val="0000FF"/>
        </w:rPr>
        <w:t xml:space="preserve"> </w:t>
      </w:r>
      <w:r w:rsidR="009227EF" w:rsidRPr="00162C31">
        <w:rPr>
          <w:strike/>
        </w:rPr>
        <w:t xml:space="preserve">and identification can be difficult unless samples are taken early in the course of the disease. Both attenuated and virulent strains of </w:t>
      </w:r>
      <w:proofErr w:type="spellStart"/>
      <w:r w:rsidR="009227EF" w:rsidRPr="00162C31">
        <w:rPr>
          <w:strike/>
        </w:rPr>
        <w:t>aMPV</w:t>
      </w:r>
      <w:proofErr w:type="spellEnd"/>
      <w:r w:rsidR="009227EF" w:rsidRPr="00162C31">
        <w:rPr>
          <w:strike/>
        </w:rPr>
        <w:t xml:space="preserve"> replicate to the highest titre in the upper respiratory tract tissues of young turkeys</w:t>
      </w:r>
      <w:r w:rsidR="009227EF" w:rsidRPr="0009654B">
        <w:rPr>
          <w:i w:val="0"/>
          <w:iCs w:val="0"/>
          <w:strike/>
        </w:rPr>
        <w:t>;</w:t>
      </w:r>
      <w:r w:rsidR="009227EF" w:rsidRPr="00162C31">
        <w:rPr>
          <w:strike/>
        </w:rPr>
        <w:t xml:space="preserve"> the virus can</w:t>
      </w:r>
      <w:r w:rsidR="0073663C" w:rsidRPr="00162C31">
        <w:rPr>
          <w:strike/>
        </w:rPr>
        <w:t xml:space="preserve"> only</w:t>
      </w:r>
      <w:r w:rsidR="009227EF" w:rsidRPr="00162C31">
        <w:rPr>
          <w:strike/>
        </w:rPr>
        <w:t xml:space="preserve"> be isolated for approximately 10 days.</w:t>
      </w:r>
    </w:p>
    <w:p w14:paraId="19529694" w14:textId="4F9AA9C1" w:rsidR="009227EF" w:rsidRPr="002E0DF3" w:rsidRDefault="009227EF" w:rsidP="009227EF">
      <w:pPr>
        <w:pStyle w:val="sumtexte"/>
      </w:pPr>
      <w:r w:rsidRPr="002E0DF3">
        <w:lastRenderedPageBreak/>
        <w:t>Monoclonal antibodies to the spike glycoprotein</w:t>
      </w:r>
      <w:r>
        <w:t>, G,</w:t>
      </w:r>
      <w:r w:rsidRPr="002E0DF3">
        <w:t xml:space="preserve"> have been used in virus neutralisation tests to differentiate </w:t>
      </w:r>
      <w:r w:rsidR="0073663C" w:rsidRPr="00665A3A">
        <w:rPr>
          <w:strike/>
        </w:rPr>
        <w:t>subtypes</w:t>
      </w:r>
      <w:r w:rsidR="0073663C">
        <w:rPr>
          <w:strike/>
        </w:rPr>
        <w:t xml:space="preserve"> </w:t>
      </w:r>
      <w:r w:rsidR="0073663C">
        <w:t>s</w:t>
      </w:r>
      <w:r w:rsidR="0073663C" w:rsidRPr="0073663C">
        <w:rPr>
          <w:u w:val="double"/>
        </w:rPr>
        <w:t>ubgroups</w:t>
      </w:r>
      <w:r w:rsidR="0073663C" w:rsidRPr="002E0DF3">
        <w:t xml:space="preserve"> </w:t>
      </w:r>
      <w:r w:rsidRPr="002E0DF3">
        <w:t xml:space="preserve">A and B, while neutralisation tests using polyclonal antiserum have shown that </w:t>
      </w:r>
      <w:r w:rsidR="0073663C" w:rsidRPr="00665A3A">
        <w:rPr>
          <w:strike/>
        </w:rPr>
        <w:t>subtypes</w:t>
      </w:r>
      <w:r w:rsidR="0073663C">
        <w:rPr>
          <w:strike/>
        </w:rPr>
        <w:t xml:space="preserve"> </w:t>
      </w:r>
      <w:r w:rsidR="0073663C">
        <w:t>s</w:t>
      </w:r>
      <w:r w:rsidR="0073663C" w:rsidRPr="0073663C">
        <w:rPr>
          <w:u w:val="double"/>
        </w:rPr>
        <w:t>ubgroups</w:t>
      </w:r>
      <w:r w:rsidR="0073663C" w:rsidRPr="002E0DF3">
        <w:t xml:space="preserve"> </w:t>
      </w:r>
      <w:r w:rsidRPr="002E0DF3">
        <w:t xml:space="preserve">A and B belong to a single serotype. </w:t>
      </w:r>
      <w:r w:rsidR="00BA1285" w:rsidRPr="00665A3A">
        <w:rPr>
          <w:strike/>
        </w:rPr>
        <w:t>Subtypes</w:t>
      </w:r>
      <w:r w:rsidR="00BA1285">
        <w:rPr>
          <w:strike/>
        </w:rPr>
        <w:t xml:space="preserve"> </w:t>
      </w:r>
      <w:r w:rsidR="00BA1285">
        <w:t>S</w:t>
      </w:r>
      <w:r w:rsidR="00BA1285" w:rsidRPr="0073663C">
        <w:rPr>
          <w:u w:val="double"/>
        </w:rPr>
        <w:t>ubgroup</w:t>
      </w:r>
      <w:r w:rsidR="00BA1285" w:rsidRPr="002E0DF3">
        <w:t xml:space="preserve"> </w:t>
      </w:r>
      <w:r w:rsidRPr="002E0DF3">
        <w:t xml:space="preserve">C is neutralised poorly by </w:t>
      </w:r>
      <w:r w:rsidR="00BA1285" w:rsidRPr="00665A3A">
        <w:rPr>
          <w:strike/>
        </w:rPr>
        <w:t>subtype</w:t>
      </w:r>
      <w:r w:rsidR="00BA1285">
        <w:rPr>
          <w:strike/>
        </w:rPr>
        <w:t xml:space="preserve"> </w:t>
      </w:r>
      <w:r w:rsidR="00BA1285">
        <w:t>s</w:t>
      </w:r>
      <w:r w:rsidR="00BA1285" w:rsidRPr="0073663C">
        <w:rPr>
          <w:u w:val="double"/>
        </w:rPr>
        <w:t>ubgroup</w:t>
      </w:r>
      <w:r w:rsidR="00BA1285" w:rsidRPr="002E0DF3">
        <w:t xml:space="preserve"> </w:t>
      </w:r>
      <w:r w:rsidRPr="002E0DF3">
        <w:t xml:space="preserve">A or B monospecific antiserum, and not by monoclonal antibodies that differentiate </w:t>
      </w:r>
      <w:r w:rsidR="00BA1285" w:rsidRPr="00665A3A">
        <w:rPr>
          <w:strike/>
        </w:rPr>
        <w:t>subtype</w:t>
      </w:r>
      <w:r w:rsidR="00BA1285">
        <w:rPr>
          <w:strike/>
        </w:rPr>
        <w:t xml:space="preserve"> </w:t>
      </w:r>
      <w:r w:rsidR="00BA1285">
        <w:t>s</w:t>
      </w:r>
      <w:r w:rsidR="00BA1285" w:rsidRPr="0073663C">
        <w:rPr>
          <w:u w:val="double"/>
        </w:rPr>
        <w:t>ubgroup</w:t>
      </w:r>
      <w:r w:rsidR="003E40DC">
        <w:rPr>
          <w:u w:val="double"/>
        </w:rPr>
        <w:t>s</w:t>
      </w:r>
      <w:r w:rsidR="00BA1285" w:rsidRPr="002E0DF3">
        <w:t xml:space="preserve"> </w:t>
      </w:r>
      <w:r w:rsidRPr="002E0DF3">
        <w:t xml:space="preserve">A and B. These data suggest that </w:t>
      </w:r>
      <w:r w:rsidR="00BA1285" w:rsidRPr="00665A3A">
        <w:rPr>
          <w:strike/>
        </w:rPr>
        <w:t>subtype</w:t>
      </w:r>
      <w:r w:rsidR="00BA1285">
        <w:rPr>
          <w:strike/>
        </w:rPr>
        <w:t xml:space="preserve"> </w:t>
      </w:r>
      <w:r w:rsidR="00BA1285">
        <w:t>s</w:t>
      </w:r>
      <w:r w:rsidR="00BA1285" w:rsidRPr="0073663C">
        <w:rPr>
          <w:u w:val="double"/>
        </w:rPr>
        <w:t>ubgroup</w:t>
      </w:r>
      <w:r w:rsidR="00BA1285" w:rsidRPr="002E0DF3">
        <w:t xml:space="preserve"> </w:t>
      </w:r>
      <w:r w:rsidRPr="002E0DF3">
        <w:t xml:space="preserve">C represents a second serotype of </w:t>
      </w:r>
      <w:proofErr w:type="spellStart"/>
      <w:r w:rsidRPr="002E0DF3">
        <w:t>aMPV</w:t>
      </w:r>
      <w:proofErr w:type="spellEnd"/>
      <w:r w:rsidRPr="002E0DF3">
        <w:t xml:space="preserve">. Monospecific antiserum and monoclonal antibodies can be used for agent identification by virus neutralisation and immunofluorescence staining of infected cell cultures; however antigenic characteristics need to be considered. The immunodiffusion test has also been used to confirm </w:t>
      </w:r>
      <w:proofErr w:type="spellStart"/>
      <w:r w:rsidRPr="002E0DF3">
        <w:t>aMPV</w:t>
      </w:r>
      <w:proofErr w:type="spellEnd"/>
      <w:r w:rsidRPr="002E0DF3">
        <w:t xml:space="preserve"> isolates.</w:t>
      </w:r>
    </w:p>
    <w:p w14:paraId="0383EA22" w14:textId="6A71C2B8" w:rsidR="009227EF" w:rsidRDefault="009227EF" w:rsidP="00961A01">
      <w:pPr>
        <w:pStyle w:val="sumtexte"/>
      </w:pPr>
      <w:r w:rsidRPr="002E0DF3">
        <w:t xml:space="preserve">Molecular procedures based on the </w:t>
      </w:r>
      <w:r w:rsidR="00BA1285" w:rsidRPr="00BA1285">
        <w:rPr>
          <w:szCs w:val="24"/>
          <w:u w:val="double"/>
          <w:lang w:eastAsia="en-GB"/>
        </w:rPr>
        <w:t>nucleoprotein</w:t>
      </w:r>
      <w:r w:rsidRPr="00BA1285">
        <w:rPr>
          <w:szCs w:val="24"/>
          <w:u w:val="double"/>
          <w:lang w:eastAsia="en-GB"/>
        </w:rPr>
        <w:t xml:space="preserve"> </w:t>
      </w:r>
      <w:r w:rsidRPr="00BA1285">
        <w:rPr>
          <w:i w:val="0"/>
          <w:szCs w:val="24"/>
          <w:u w:val="double"/>
          <w:lang w:eastAsia="en-GB"/>
        </w:rPr>
        <w:t>(</w:t>
      </w:r>
      <w:r w:rsidRPr="00BA1285">
        <w:rPr>
          <w:szCs w:val="24"/>
          <w:u w:val="double"/>
          <w:lang w:eastAsia="en-GB"/>
        </w:rPr>
        <w:t>N</w:t>
      </w:r>
      <w:r w:rsidRPr="00BA1285">
        <w:rPr>
          <w:i w:val="0"/>
          <w:szCs w:val="24"/>
          <w:u w:val="double"/>
          <w:lang w:eastAsia="en-GB"/>
        </w:rPr>
        <w:t>),</w:t>
      </w:r>
      <w:r w:rsidRPr="00BA1285">
        <w:rPr>
          <w:u w:val="double"/>
        </w:rPr>
        <w:t xml:space="preserve"> </w:t>
      </w:r>
      <w:r w:rsidR="00BA1285" w:rsidRPr="00BA1285">
        <w:rPr>
          <w:szCs w:val="24"/>
          <w:u w:val="double"/>
          <w:lang w:eastAsia="en-GB"/>
        </w:rPr>
        <w:t xml:space="preserve">matrix </w:t>
      </w:r>
      <w:r w:rsidRPr="00BA1285">
        <w:rPr>
          <w:i w:val="0"/>
          <w:szCs w:val="24"/>
          <w:u w:val="double"/>
          <w:lang w:eastAsia="en-GB"/>
        </w:rPr>
        <w:t>(</w:t>
      </w:r>
      <w:r w:rsidRPr="00BA1285">
        <w:rPr>
          <w:szCs w:val="24"/>
          <w:u w:val="double"/>
          <w:lang w:eastAsia="en-GB"/>
        </w:rPr>
        <w:t>M</w:t>
      </w:r>
      <w:r w:rsidRPr="00BA1285">
        <w:rPr>
          <w:i w:val="0"/>
          <w:szCs w:val="24"/>
          <w:u w:val="double"/>
          <w:lang w:eastAsia="en-GB"/>
        </w:rPr>
        <w:t>),</w:t>
      </w:r>
      <w:r w:rsidRPr="002E0DF3">
        <w:rPr>
          <w:szCs w:val="24"/>
          <w:lang w:eastAsia="en-GB"/>
        </w:rPr>
        <w:t xml:space="preserve"> </w:t>
      </w:r>
      <w:r w:rsidR="00BA1285" w:rsidRPr="002E0DF3">
        <w:rPr>
          <w:szCs w:val="24"/>
          <w:lang w:eastAsia="en-GB"/>
        </w:rPr>
        <w:t xml:space="preserve">fusion </w:t>
      </w:r>
      <w:r w:rsidRPr="0018723B">
        <w:rPr>
          <w:i w:val="0"/>
          <w:szCs w:val="24"/>
          <w:lang w:eastAsia="en-GB"/>
        </w:rPr>
        <w:t>(</w:t>
      </w:r>
      <w:r w:rsidRPr="002E0DF3">
        <w:rPr>
          <w:szCs w:val="24"/>
          <w:lang w:eastAsia="en-GB"/>
        </w:rPr>
        <w:t>F</w:t>
      </w:r>
      <w:r w:rsidRPr="0018723B">
        <w:rPr>
          <w:i w:val="0"/>
          <w:szCs w:val="24"/>
          <w:lang w:eastAsia="en-GB"/>
        </w:rPr>
        <w:t xml:space="preserve">), </w:t>
      </w:r>
      <w:r w:rsidRPr="00BA1285">
        <w:rPr>
          <w:szCs w:val="24"/>
          <w:u w:val="double"/>
          <w:lang w:eastAsia="en-GB"/>
        </w:rPr>
        <w:t xml:space="preserve">small hydrophobic </w:t>
      </w:r>
      <w:r w:rsidRPr="00BA1285">
        <w:rPr>
          <w:i w:val="0"/>
          <w:iCs w:val="0"/>
          <w:szCs w:val="24"/>
          <w:u w:val="double"/>
          <w:lang w:eastAsia="en-GB"/>
        </w:rPr>
        <w:t>(</w:t>
      </w:r>
      <w:r w:rsidRPr="00BA1285">
        <w:rPr>
          <w:szCs w:val="24"/>
          <w:u w:val="double"/>
          <w:lang w:eastAsia="en-GB"/>
        </w:rPr>
        <w:t>SH</w:t>
      </w:r>
      <w:r w:rsidRPr="00BA1285">
        <w:rPr>
          <w:i w:val="0"/>
          <w:iCs w:val="0"/>
          <w:szCs w:val="24"/>
          <w:u w:val="double"/>
          <w:lang w:eastAsia="en-GB"/>
        </w:rPr>
        <w:t>),</w:t>
      </w:r>
      <w:r w:rsidRPr="00BA1285">
        <w:rPr>
          <w:i w:val="0"/>
          <w:iCs w:val="0"/>
          <w:szCs w:val="24"/>
          <w:lang w:eastAsia="en-GB"/>
        </w:rPr>
        <w:t xml:space="preserve"> </w:t>
      </w:r>
      <w:r w:rsidR="00BA1285" w:rsidRPr="002E0DF3">
        <w:rPr>
          <w:szCs w:val="24"/>
          <w:lang w:eastAsia="en-GB"/>
        </w:rPr>
        <w:t>G</w:t>
      </w:r>
      <w:r w:rsidR="00BA1285" w:rsidRPr="000E5AAA">
        <w:rPr>
          <w:strike/>
          <w:szCs w:val="24"/>
          <w:lang w:eastAsia="en-GB"/>
        </w:rPr>
        <w:t xml:space="preserve">, Matrix </w:t>
      </w:r>
      <w:r w:rsidR="00BA1285" w:rsidRPr="000E5AAA">
        <w:rPr>
          <w:i w:val="0"/>
          <w:strike/>
          <w:szCs w:val="24"/>
          <w:lang w:eastAsia="en-GB"/>
        </w:rPr>
        <w:t>(</w:t>
      </w:r>
      <w:r w:rsidR="00BA1285" w:rsidRPr="000E5AAA">
        <w:rPr>
          <w:strike/>
          <w:szCs w:val="24"/>
          <w:lang w:eastAsia="en-GB"/>
        </w:rPr>
        <w:t>M</w:t>
      </w:r>
      <w:r w:rsidR="00BA1285" w:rsidRPr="000E5AAA">
        <w:rPr>
          <w:i w:val="0"/>
          <w:strike/>
          <w:szCs w:val="24"/>
          <w:lang w:eastAsia="en-GB"/>
        </w:rPr>
        <w:t>)</w:t>
      </w:r>
      <w:r w:rsidR="00BA1285">
        <w:rPr>
          <w:szCs w:val="24"/>
          <w:lang w:eastAsia="en-GB"/>
        </w:rPr>
        <w:t xml:space="preserve"> and </w:t>
      </w:r>
      <w:r w:rsidR="00BA1285" w:rsidRPr="000E5AAA">
        <w:rPr>
          <w:strike/>
          <w:szCs w:val="24"/>
          <w:lang w:eastAsia="en-GB"/>
        </w:rPr>
        <w:t xml:space="preserve">Nucleoprotein </w:t>
      </w:r>
      <w:r w:rsidR="00BA1285" w:rsidRPr="000E5AAA">
        <w:rPr>
          <w:i w:val="0"/>
          <w:strike/>
          <w:szCs w:val="24"/>
          <w:lang w:eastAsia="en-GB"/>
        </w:rPr>
        <w:t>(</w:t>
      </w:r>
      <w:r w:rsidR="00BA1285" w:rsidRPr="000E5AAA">
        <w:rPr>
          <w:strike/>
          <w:szCs w:val="24"/>
          <w:lang w:eastAsia="en-GB"/>
        </w:rPr>
        <w:t>N</w:t>
      </w:r>
      <w:r w:rsidR="00BA1285" w:rsidRPr="000E5AAA">
        <w:rPr>
          <w:i w:val="0"/>
          <w:strike/>
          <w:szCs w:val="24"/>
          <w:lang w:eastAsia="en-GB"/>
        </w:rPr>
        <w:t>)</w:t>
      </w:r>
      <w:r w:rsidR="00BA1285">
        <w:rPr>
          <w:i w:val="0"/>
          <w:strike/>
          <w:szCs w:val="24"/>
          <w:lang w:eastAsia="en-GB"/>
        </w:rPr>
        <w:t xml:space="preserve"> </w:t>
      </w:r>
      <w:r w:rsidR="00BA1285" w:rsidRPr="000E5AAA">
        <w:rPr>
          <w:szCs w:val="24"/>
          <w:u w:val="double"/>
          <w:lang w:eastAsia="en-GB"/>
        </w:rPr>
        <w:t>polymerase L</w:t>
      </w:r>
      <w:r w:rsidR="00BA1285" w:rsidRPr="002E0DF3">
        <w:t xml:space="preserve"> </w:t>
      </w:r>
      <w:r w:rsidRPr="002E0DF3">
        <w:t xml:space="preserve">genes of </w:t>
      </w:r>
      <w:proofErr w:type="spellStart"/>
      <w:r w:rsidRPr="002E0DF3">
        <w:t>aMPV</w:t>
      </w:r>
      <w:proofErr w:type="spellEnd"/>
      <w:r w:rsidRPr="002E0DF3">
        <w:t xml:space="preserve"> have been used for the detection and or genomic sub</w:t>
      </w:r>
      <w:r>
        <w:t>grou</w:t>
      </w:r>
      <w:r w:rsidRPr="002E0DF3">
        <w:t xml:space="preserve">ping of </w:t>
      </w:r>
      <w:proofErr w:type="spellStart"/>
      <w:r w:rsidRPr="002E0DF3">
        <w:t>aMPV</w:t>
      </w:r>
      <w:proofErr w:type="spellEnd"/>
      <w:r w:rsidRPr="002E0DF3">
        <w:t>.</w:t>
      </w:r>
      <w:r w:rsidR="00162C31">
        <w:t xml:space="preserve"> </w:t>
      </w:r>
      <w:r w:rsidRPr="00162C31">
        <w:rPr>
          <w:strike/>
        </w:rPr>
        <w:t>Proteins coded by the F and G genes are major immunogens. Nucleotide sequence analysis of the G gene has been used to confirm previous virus neutralisation studies differentiating subgroups A and B.</w:t>
      </w:r>
      <w:r w:rsidRPr="002E0DF3">
        <w:t xml:space="preserve"> Conventional reverse-</w:t>
      </w:r>
      <w:r w:rsidRPr="002E0DF3">
        <w:rPr>
          <w:szCs w:val="24"/>
          <w:lang w:eastAsia="en-GB"/>
        </w:rPr>
        <w:t>transcription</w:t>
      </w:r>
      <w:r w:rsidRPr="002E0DF3">
        <w:t xml:space="preserve"> polymerase chain reaction </w:t>
      </w:r>
      <w:r w:rsidRPr="002E0DF3">
        <w:rPr>
          <w:i w:val="0"/>
          <w:iCs w:val="0"/>
        </w:rPr>
        <w:t>(</w:t>
      </w:r>
      <w:r w:rsidRPr="002E0DF3">
        <w:t>RT-PCR</w:t>
      </w:r>
      <w:r w:rsidRPr="002E0DF3">
        <w:rPr>
          <w:i w:val="0"/>
          <w:iCs w:val="0"/>
        </w:rPr>
        <w:t>)</w:t>
      </w:r>
      <w:r w:rsidRPr="002E0DF3">
        <w:t xml:space="preserve"> procedures can </w:t>
      </w:r>
      <w:r w:rsidRPr="003F598E">
        <w:rPr>
          <w:strike/>
        </w:rPr>
        <w:t xml:space="preserve">also </w:t>
      </w:r>
      <w:r w:rsidRPr="002E0DF3">
        <w:t xml:space="preserve">be used for </w:t>
      </w:r>
      <w:proofErr w:type="spellStart"/>
      <w:r w:rsidRPr="002E0DF3">
        <w:t>aMPV</w:t>
      </w:r>
      <w:proofErr w:type="spellEnd"/>
      <w:r w:rsidRPr="002E0DF3">
        <w:t xml:space="preserve"> </w:t>
      </w:r>
      <w:r w:rsidRPr="003F598E">
        <w:rPr>
          <w:strike/>
        </w:rPr>
        <w:t xml:space="preserve">A and B </w:t>
      </w:r>
      <w:r w:rsidRPr="002E0DF3">
        <w:t xml:space="preserve">genomic </w:t>
      </w:r>
      <w:r w:rsidR="00BA1285" w:rsidRPr="000E5AAA">
        <w:rPr>
          <w:strike/>
        </w:rPr>
        <w:t>subtyping</w:t>
      </w:r>
      <w:r w:rsidR="00BA1285">
        <w:rPr>
          <w:strike/>
        </w:rPr>
        <w:t xml:space="preserve"> </w:t>
      </w:r>
      <w:r w:rsidR="00BA1285" w:rsidRPr="000E5AAA">
        <w:rPr>
          <w:u w:val="double"/>
        </w:rPr>
        <w:t>subgrouping</w:t>
      </w:r>
      <w:r w:rsidRPr="002E0DF3">
        <w:t xml:space="preserve">. </w:t>
      </w:r>
      <w:r w:rsidR="00821296" w:rsidRPr="003F598E">
        <w:rPr>
          <w:u w:val="double"/>
        </w:rPr>
        <w:t>Different sets of ei</w:t>
      </w:r>
      <w:r w:rsidR="00702F4A" w:rsidRPr="003F598E">
        <w:rPr>
          <w:u w:val="double"/>
        </w:rPr>
        <w:t>ther subgroup</w:t>
      </w:r>
      <w:r w:rsidR="00103A6B">
        <w:rPr>
          <w:u w:val="double"/>
        </w:rPr>
        <w:t>-</w:t>
      </w:r>
      <w:r w:rsidR="00702F4A" w:rsidRPr="003F598E">
        <w:rPr>
          <w:u w:val="double"/>
        </w:rPr>
        <w:t>specific or broad</w:t>
      </w:r>
      <w:r w:rsidR="00821296" w:rsidRPr="003F598E">
        <w:rPr>
          <w:u w:val="double"/>
        </w:rPr>
        <w:t>ly reactive PCR primers have been defined</w:t>
      </w:r>
      <w:r w:rsidR="003F598E" w:rsidRPr="003F598E">
        <w:rPr>
          <w:strike/>
        </w:rPr>
        <w:t xml:space="preserve"> </w:t>
      </w:r>
      <w:r w:rsidRPr="003F598E">
        <w:rPr>
          <w:strike/>
        </w:rPr>
        <w:t xml:space="preserve">Moreover, nucleotide sequence analysis of the gene encoding the matrix protein </w:t>
      </w:r>
      <w:r w:rsidRPr="003F598E">
        <w:rPr>
          <w:i w:val="0"/>
          <w:iCs w:val="0"/>
          <w:strike/>
        </w:rPr>
        <w:t>(</w:t>
      </w:r>
      <w:r w:rsidRPr="003F598E">
        <w:rPr>
          <w:strike/>
        </w:rPr>
        <w:t>M</w:t>
      </w:r>
      <w:r w:rsidRPr="003F598E">
        <w:rPr>
          <w:i w:val="0"/>
          <w:iCs w:val="0"/>
          <w:strike/>
        </w:rPr>
        <w:t>),</w:t>
      </w:r>
      <w:r w:rsidRPr="003F598E">
        <w:rPr>
          <w:strike/>
        </w:rPr>
        <w:t xml:space="preserve"> further supports the subgroup A and B division. Sequence analysis of the M gene of subgroup C </w:t>
      </w:r>
      <w:proofErr w:type="spellStart"/>
      <w:r w:rsidRPr="003F598E">
        <w:rPr>
          <w:strike/>
        </w:rPr>
        <w:t>aMPV</w:t>
      </w:r>
      <w:proofErr w:type="spellEnd"/>
      <w:r w:rsidRPr="003F598E">
        <w:rPr>
          <w:strike/>
        </w:rPr>
        <w:t xml:space="preserve"> shows the United States of America isolate to be distinct from subgroup A and B viruses. RT-PCR assays directed to the F and M genes are subgroup specific and useful for detection of </w:t>
      </w:r>
      <w:proofErr w:type="spellStart"/>
      <w:r w:rsidRPr="003F598E">
        <w:rPr>
          <w:strike/>
        </w:rPr>
        <w:t>aMPV</w:t>
      </w:r>
      <w:proofErr w:type="spellEnd"/>
      <w:r w:rsidRPr="003F598E">
        <w:rPr>
          <w:strike/>
        </w:rPr>
        <w:t xml:space="preserve"> when subgroup identity of the virus is known.</w:t>
      </w:r>
      <w:r w:rsidR="00821296" w:rsidRPr="003F598E">
        <w:rPr>
          <w:u w:val="double"/>
        </w:rPr>
        <w:t>,</w:t>
      </w:r>
      <w:r w:rsidR="003F598E" w:rsidRPr="003F598E">
        <w:t xml:space="preserve"> </w:t>
      </w:r>
      <w:r w:rsidR="00821296" w:rsidRPr="003F598E">
        <w:t>h</w:t>
      </w:r>
      <w:r w:rsidRPr="003F598E">
        <w:t>owever</w:t>
      </w:r>
      <w:r w:rsidRPr="002E0DF3">
        <w:t xml:space="preserve">, a single set of RT-PCR primers directed to the N gene have been shown to detect </w:t>
      </w:r>
      <w:r w:rsidR="00BA1285" w:rsidRPr="000E5AAA">
        <w:rPr>
          <w:strike/>
        </w:rPr>
        <w:t>subtypes</w:t>
      </w:r>
      <w:r w:rsidR="00BA1285">
        <w:rPr>
          <w:strike/>
        </w:rPr>
        <w:t xml:space="preserve"> </w:t>
      </w:r>
      <w:r w:rsidR="00BA1285" w:rsidRPr="000E5AAA">
        <w:rPr>
          <w:u w:val="double"/>
        </w:rPr>
        <w:t>subgroups</w:t>
      </w:r>
      <w:r w:rsidR="00BA1285" w:rsidRPr="0018723B">
        <w:t xml:space="preserve"> </w:t>
      </w:r>
      <w:r w:rsidRPr="0018723B">
        <w:rPr>
          <w:rFonts w:ascii="Arial (W1)" w:hAnsi="Arial (W1)"/>
        </w:rPr>
        <w:t>A, B</w:t>
      </w:r>
      <w:r w:rsidRPr="0018723B">
        <w:t xml:space="preserve">, C </w:t>
      </w:r>
      <w:r w:rsidRPr="0018723B">
        <w:rPr>
          <w:rFonts w:ascii="Arial (W1)" w:hAnsi="Arial (W1)"/>
        </w:rPr>
        <w:t>and D</w:t>
      </w:r>
      <w:r w:rsidRPr="0018723B">
        <w:t xml:space="preserve"> and could</w:t>
      </w:r>
      <w:r w:rsidRPr="002E0DF3">
        <w:t xml:space="preserve"> possibly be used as universal primers for the detection of </w:t>
      </w:r>
      <w:proofErr w:type="spellStart"/>
      <w:r w:rsidRPr="002E0DF3">
        <w:t>aMPV</w:t>
      </w:r>
      <w:proofErr w:type="spellEnd"/>
      <w:r w:rsidRPr="002E0DF3">
        <w:t>.</w:t>
      </w:r>
      <w:r w:rsidR="00821296">
        <w:t xml:space="preserve"> </w:t>
      </w:r>
      <w:r w:rsidR="00821296" w:rsidRPr="003F598E">
        <w:rPr>
          <w:u w:val="double"/>
        </w:rPr>
        <w:t>A pan-MPV</w:t>
      </w:r>
      <w:r w:rsidR="00991A49" w:rsidRPr="003F598E">
        <w:rPr>
          <w:u w:val="double"/>
        </w:rPr>
        <w:t xml:space="preserve"> real</w:t>
      </w:r>
      <w:r w:rsidR="003F598E">
        <w:rPr>
          <w:u w:val="double"/>
        </w:rPr>
        <w:t>-</w:t>
      </w:r>
      <w:r w:rsidR="00991A49" w:rsidRPr="003F598E">
        <w:rPr>
          <w:u w:val="double"/>
        </w:rPr>
        <w:t xml:space="preserve">time RT-PCR, that detects both </w:t>
      </w:r>
      <w:proofErr w:type="spellStart"/>
      <w:r w:rsidR="00991A49" w:rsidRPr="003F598E">
        <w:rPr>
          <w:u w:val="double"/>
        </w:rPr>
        <w:t>aMPV</w:t>
      </w:r>
      <w:proofErr w:type="spellEnd"/>
      <w:r w:rsidR="00991A49" w:rsidRPr="003F598E">
        <w:rPr>
          <w:u w:val="double"/>
        </w:rPr>
        <w:t xml:space="preserve"> and human MPV </w:t>
      </w:r>
      <w:r w:rsidR="00991A49" w:rsidRPr="003F598E">
        <w:rPr>
          <w:i w:val="0"/>
          <w:iCs w:val="0"/>
          <w:u w:val="double"/>
        </w:rPr>
        <w:t>(</w:t>
      </w:r>
      <w:r w:rsidR="00991A49" w:rsidRPr="003F598E">
        <w:rPr>
          <w:u w:val="double"/>
        </w:rPr>
        <w:t>see below</w:t>
      </w:r>
      <w:r w:rsidR="00991A49" w:rsidRPr="003F598E">
        <w:rPr>
          <w:i w:val="0"/>
          <w:iCs w:val="0"/>
          <w:u w:val="double"/>
        </w:rPr>
        <w:t>)</w:t>
      </w:r>
      <w:r w:rsidR="00821296" w:rsidRPr="003F598E">
        <w:rPr>
          <w:u w:val="double"/>
        </w:rPr>
        <w:t xml:space="preserve"> has also been </w:t>
      </w:r>
      <w:r w:rsidR="00991A49" w:rsidRPr="003F598E">
        <w:rPr>
          <w:u w:val="double"/>
        </w:rPr>
        <w:t>developed</w:t>
      </w:r>
      <w:r w:rsidR="00821296" w:rsidRPr="003F598E">
        <w:rPr>
          <w:u w:val="double"/>
        </w:rPr>
        <w:t>.</w:t>
      </w:r>
    </w:p>
    <w:p w14:paraId="0E367036" w14:textId="6E8E83EA" w:rsidR="00FB52DE" w:rsidRPr="002E0DF3" w:rsidRDefault="00FB52DE">
      <w:pPr>
        <w:pStyle w:val="sumtexte"/>
      </w:pPr>
      <w:r w:rsidRPr="002E0DF3">
        <w:rPr>
          <w:b/>
          <w:bCs/>
        </w:rPr>
        <w:t>Serological tests:</w:t>
      </w:r>
      <w:r w:rsidRPr="002E0DF3">
        <w:t xml:space="preserve"> </w:t>
      </w:r>
      <w:r w:rsidRPr="00162C31">
        <w:rPr>
          <w:strike/>
        </w:rPr>
        <w:t xml:space="preserve">Due to difficulties in isolating and identifying </w:t>
      </w:r>
      <w:proofErr w:type="spellStart"/>
      <w:r w:rsidRPr="00162C31">
        <w:rPr>
          <w:strike/>
        </w:rPr>
        <w:t>aMPV</w:t>
      </w:r>
      <w:proofErr w:type="spellEnd"/>
      <w:r w:rsidRPr="00162C31">
        <w:rPr>
          <w:strike/>
        </w:rPr>
        <w:t xml:space="preserve">, confirmation of infection is often achieved by serological methods, particularly in unvaccinated flocks. </w:t>
      </w:r>
      <w:r w:rsidRPr="002E0DF3">
        <w:t>The most commonly employed method is the ELISA</w:t>
      </w:r>
      <w:r w:rsidRPr="002E0DF3">
        <w:rPr>
          <w:i w:val="0"/>
          <w:iCs w:val="0"/>
        </w:rPr>
        <w:t xml:space="preserve">. </w:t>
      </w:r>
      <w:r w:rsidRPr="002E0DF3">
        <w:t xml:space="preserve">Other methods that have been used are virus neutralisation </w:t>
      </w:r>
      <w:r w:rsidRPr="002E0DF3">
        <w:rPr>
          <w:i w:val="0"/>
          <w:iCs w:val="0"/>
        </w:rPr>
        <w:t>(</w:t>
      </w:r>
      <w:r w:rsidRPr="002E0DF3">
        <w:t>VN</w:t>
      </w:r>
      <w:r w:rsidRPr="002E0DF3">
        <w:rPr>
          <w:i w:val="0"/>
          <w:iCs w:val="0"/>
        </w:rPr>
        <w:t>)</w:t>
      </w:r>
      <w:r w:rsidRPr="002E0DF3">
        <w:t xml:space="preserve">, immunofluorescence and immunodiffusion tests. The VN test can be performed in </w:t>
      </w:r>
      <w:r w:rsidR="001F2C72" w:rsidRPr="002E0DF3">
        <w:t xml:space="preserve">primary </w:t>
      </w:r>
      <w:r w:rsidRPr="002E0DF3">
        <w:t xml:space="preserve">tracheal organ cultures, chicken embryo fibroblast </w:t>
      </w:r>
      <w:r w:rsidRPr="002E0DF3">
        <w:rPr>
          <w:i w:val="0"/>
          <w:iCs w:val="0"/>
        </w:rPr>
        <w:t>(</w:t>
      </w:r>
      <w:r w:rsidRPr="002E0DF3">
        <w:t>CEF</w:t>
      </w:r>
      <w:r w:rsidRPr="002E0DF3">
        <w:rPr>
          <w:i w:val="0"/>
          <w:iCs w:val="0"/>
        </w:rPr>
        <w:t>)</w:t>
      </w:r>
      <w:r w:rsidR="001F2C72" w:rsidRPr="002E0DF3">
        <w:rPr>
          <w:i w:val="0"/>
          <w:iCs w:val="0"/>
        </w:rPr>
        <w:t xml:space="preserve"> and</w:t>
      </w:r>
      <w:r w:rsidRPr="002E0DF3">
        <w:t xml:space="preserve"> chicken embryo liver</w:t>
      </w:r>
      <w:r w:rsidRPr="002E0DF3">
        <w:rPr>
          <w:i w:val="0"/>
          <w:iCs w:val="0"/>
        </w:rPr>
        <w:t xml:space="preserve"> (</w:t>
      </w:r>
      <w:r w:rsidRPr="002E0DF3">
        <w:t>CEL</w:t>
      </w:r>
      <w:r w:rsidRPr="002E0DF3">
        <w:rPr>
          <w:i w:val="0"/>
          <w:iCs w:val="0"/>
        </w:rPr>
        <w:t>)</w:t>
      </w:r>
      <w:r w:rsidR="001F2C72" w:rsidRPr="002E0DF3">
        <w:rPr>
          <w:i w:val="0"/>
          <w:iCs w:val="0"/>
        </w:rPr>
        <w:t>;</w:t>
      </w:r>
      <w:r w:rsidRPr="002E0DF3">
        <w:t xml:space="preserve"> several cell lines such as </w:t>
      </w:r>
      <w:r w:rsidR="0018723B" w:rsidRPr="002E0DF3">
        <w:t>Vero,</w:t>
      </w:r>
      <w:r w:rsidRPr="002E0DF3">
        <w:t xml:space="preserve"> MA104 or QT35</w:t>
      </w:r>
      <w:r w:rsidR="001F2C72" w:rsidRPr="002E0DF3">
        <w:t xml:space="preserve"> have also been used successfully</w:t>
      </w:r>
      <w:r w:rsidRPr="002E0DF3">
        <w:t>.</w:t>
      </w:r>
      <w:r w:rsidR="00162C31">
        <w:t xml:space="preserve"> </w:t>
      </w:r>
      <w:r w:rsidRPr="00162C31">
        <w:rPr>
          <w:strike/>
        </w:rPr>
        <w:t xml:space="preserve">However, the VN and ELISA show similar sensitivity and the ELISA is the most commonly used assay. </w:t>
      </w:r>
      <w:r w:rsidRPr="002E0DF3">
        <w:t>Numerous commercial ELISA kits</w:t>
      </w:r>
      <w:r w:rsidR="001F2C72" w:rsidRPr="002E0DF3">
        <w:t>,</w:t>
      </w:r>
      <w:r w:rsidRPr="002E0DF3">
        <w:t xml:space="preserve"> as well as in-house assays</w:t>
      </w:r>
      <w:r w:rsidR="001F2C72" w:rsidRPr="002E0DF3">
        <w:t>,</w:t>
      </w:r>
      <w:r w:rsidRPr="002E0DF3">
        <w:t xml:space="preserve"> have been developed.</w:t>
      </w:r>
      <w:r w:rsidR="00162C31">
        <w:t xml:space="preserve"> </w:t>
      </w:r>
      <w:r w:rsidRPr="00162C31">
        <w:rPr>
          <w:strike/>
        </w:rPr>
        <w:t xml:space="preserve">Differences in sensitivity and specificity between tests have been reported to occur between commercial kits. </w:t>
      </w:r>
      <w:r w:rsidR="00702F4A" w:rsidRPr="003F598E">
        <w:rPr>
          <w:u w:val="double"/>
        </w:rPr>
        <w:t>For optimal sensitivity,</w:t>
      </w:r>
      <w:r w:rsidR="00702F4A">
        <w:t xml:space="preserve"> </w:t>
      </w:r>
      <w:r w:rsidRPr="003F598E">
        <w:rPr>
          <w:strike/>
        </w:rPr>
        <w:t xml:space="preserve">A </w:t>
      </w:r>
      <w:r w:rsidRPr="002E0DF3">
        <w:t xml:space="preserve">homologous strain of </w:t>
      </w:r>
      <w:proofErr w:type="spellStart"/>
      <w:r w:rsidRPr="002E0DF3">
        <w:t>aMPV</w:t>
      </w:r>
      <w:proofErr w:type="spellEnd"/>
      <w:r w:rsidRPr="002E0DF3">
        <w:t xml:space="preserve"> should be used as antigen </w:t>
      </w:r>
      <w:r w:rsidR="001F2C72" w:rsidRPr="002E0DF3">
        <w:t>because of</w:t>
      </w:r>
      <w:r w:rsidRPr="002E0DF3">
        <w:t xml:space="preserve"> </w:t>
      </w:r>
      <w:r w:rsidR="00702F4A" w:rsidRPr="003F598E">
        <w:rPr>
          <w:u w:val="double"/>
        </w:rPr>
        <w:t>inter-subgroup</w:t>
      </w:r>
      <w:r w:rsidR="00702F4A">
        <w:t xml:space="preserve"> </w:t>
      </w:r>
      <w:r w:rsidRPr="002E0DF3">
        <w:t>variations in antigenicity. In many countries where the disease is endemic, vaccination is</w:t>
      </w:r>
      <w:r w:rsidR="001F2C72" w:rsidRPr="002E0DF3">
        <w:t xml:space="preserve"> also</w:t>
      </w:r>
      <w:r w:rsidRPr="002E0DF3">
        <w:t xml:space="preserve"> practised</w:t>
      </w:r>
      <w:r w:rsidR="001F2C72" w:rsidRPr="002E0DF3">
        <w:t>,</w:t>
      </w:r>
      <w:r w:rsidRPr="002E0DF3">
        <w:t xml:space="preserve"> complicating interpretation of the results. Ideally, serum samples from </w:t>
      </w:r>
      <w:r w:rsidR="001F2C72" w:rsidRPr="002E0DF3">
        <w:t>birds</w:t>
      </w:r>
      <w:r w:rsidRPr="002E0DF3">
        <w:t xml:space="preserve"> in the acute phase of disease and</w:t>
      </w:r>
      <w:r w:rsidR="00612A04" w:rsidRPr="002E0DF3">
        <w:t xml:space="preserve"> also</w:t>
      </w:r>
      <w:r w:rsidRPr="002E0DF3">
        <w:t xml:space="preserve"> from convalescent </w:t>
      </w:r>
      <w:r w:rsidR="0018723B" w:rsidRPr="002E0DF3">
        <w:t>birds should</w:t>
      </w:r>
      <w:r w:rsidRPr="002E0DF3">
        <w:t xml:space="preserve"> be obtained for testing.</w:t>
      </w:r>
      <w:r w:rsidR="003F598E">
        <w:t xml:space="preserve"> </w:t>
      </w:r>
      <w:r w:rsidRPr="003F598E">
        <w:rPr>
          <w:strike/>
        </w:rPr>
        <w:t xml:space="preserve">In chickens the serological response to </w:t>
      </w:r>
      <w:proofErr w:type="spellStart"/>
      <w:r w:rsidRPr="003F598E">
        <w:rPr>
          <w:strike/>
        </w:rPr>
        <w:t>aMPV</w:t>
      </w:r>
      <w:proofErr w:type="spellEnd"/>
      <w:r w:rsidRPr="003F598E">
        <w:rPr>
          <w:strike/>
        </w:rPr>
        <w:t xml:space="preserve"> infection is weak when compared with the response in turkeys.</w:t>
      </w:r>
    </w:p>
    <w:p w14:paraId="597B795E" w14:textId="2DAC2297" w:rsidR="00FB52DE" w:rsidRDefault="00FB52DE" w:rsidP="006E5C4E">
      <w:pPr>
        <w:pStyle w:val="sumtextelastpara"/>
      </w:pPr>
      <w:r w:rsidRPr="002E0DF3">
        <w:rPr>
          <w:b/>
          <w:bCs/>
        </w:rPr>
        <w:t>Requirements for vaccines</w:t>
      </w:r>
      <w:r w:rsidRPr="006E5C4E">
        <w:rPr>
          <w:b/>
          <w:bCs/>
          <w:strike/>
        </w:rPr>
        <w:t xml:space="preserve"> and diagnostic biologicals</w:t>
      </w:r>
      <w:r w:rsidRPr="002E0DF3">
        <w:rPr>
          <w:b/>
          <w:bCs/>
        </w:rPr>
        <w:t xml:space="preserve">: </w:t>
      </w:r>
      <w:r w:rsidR="003F116E" w:rsidRPr="002E0DF3">
        <w:t xml:space="preserve">Two types of vaccine are commercially available for the control of TRT: live attenuated vaccines, </w:t>
      </w:r>
      <w:r w:rsidR="00612A04" w:rsidRPr="002E0DF3">
        <w:t>and</w:t>
      </w:r>
      <w:r w:rsidR="003F116E" w:rsidRPr="002E0DF3">
        <w:t xml:space="preserve"> inactivated oil-emulsion adjuvanted vaccines</w:t>
      </w:r>
      <w:r w:rsidRPr="002E0DF3">
        <w:t>.</w:t>
      </w:r>
    </w:p>
    <w:p w14:paraId="70EBFC5D" w14:textId="77777777" w:rsidR="00FB52DE" w:rsidRPr="002E0DF3" w:rsidRDefault="00FB52DE">
      <w:pPr>
        <w:pStyle w:val="A0"/>
      </w:pPr>
      <w:r w:rsidRPr="002E0DF3">
        <w:t>A.  introduction</w:t>
      </w:r>
    </w:p>
    <w:p w14:paraId="283D673C" w14:textId="0E409F92" w:rsidR="00FB52DE" w:rsidRPr="003F598E" w:rsidRDefault="00FB52DE">
      <w:pPr>
        <w:pStyle w:val="paraA0"/>
      </w:pPr>
      <w:r w:rsidRPr="002E0DF3">
        <w:t>Avian metapneumovirus (</w:t>
      </w:r>
      <w:proofErr w:type="spellStart"/>
      <w:r w:rsidRPr="002E0DF3">
        <w:t>aMPV</w:t>
      </w:r>
      <w:proofErr w:type="spellEnd"/>
      <w:r w:rsidRPr="002E0DF3">
        <w:t>)</w:t>
      </w:r>
      <w:r w:rsidR="005E7905" w:rsidRPr="002E0DF3">
        <w:t>,</w:t>
      </w:r>
      <w:r w:rsidRPr="002E0DF3">
        <w:t xml:space="preserve"> previously referred to as avian </w:t>
      </w:r>
      <w:proofErr w:type="spellStart"/>
      <w:r w:rsidRPr="002E0DF3">
        <w:t>pneumovirus</w:t>
      </w:r>
      <w:proofErr w:type="spellEnd"/>
      <w:r w:rsidRPr="002E0DF3">
        <w:t xml:space="preserve"> (APV) and avian rhinotracheitis (ART) virus</w:t>
      </w:r>
      <w:r w:rsidR="005E7905" w:rsidRPr="002E0DF3">
        <w:t>,</w:t>
      </w:r>
      <w:r w:rsidRPr="002E0DF3">
        <w:t xml:space="preserve"> cause</w:t>
      </w:r>
      <w:r w:rsidR="005E7905" w:rsidRPr="002E0DF3">
        <w:t>s</w:t>
      </w:r>
      <w:r w:rsidRPr="002E0DF3">
        <w:t xml:space="preserve"> an acute, highly contagious upper respiratory tract infection of turkeys and chickens</w:t>
      </w:r>
      <w:r w:rsidR="00380B5E">
        <w:t xml:space="preserve"> </w:t>
      </w:r>
      <w:r w:rsidR="00380B5E" w:rsidRPr="001C2BDF">
        <w:rPr>
          <w:u w:val="double"/>
        </w:rPr>
        <w:t>and ducks</w:t>
      </w:r>
      <w:r w:rsidRPr="002E0DF3">
        <w:t>.</w:t>
      </w:r>
      <w:r w:rsidR="009B17DF" w:rsidRPr="009B17DF">
        <w:t xml:space="preserve"> </w:t>
      </w:r>
      <w:r w:rsidR="009B17DF" w:rsidRPr="00162C31">
        <w:rPr>
          <w:u w:val="double"/>
        </w:rPr>
        <w:t>The onset of clinical signs and spread of infection through a flock can be rapid occurring as quickly as 2–4 hours</w:t>
      </w:r>
      <w:r w:rsidR="00A61BCC" w:rsidRPr="00162C31">
        <w:rPr>
          <w:u w:val="double"/>
        </w:rPr>
        <w:t>.</w:t>
      </w:r>
      <w:r w:rsidRPr="002E0DF3">
        <w:t xml:space="preserve"> In turkeys, the virus causes a disease known as turkey rhinotracheitis (TRT). The aetiological agent is an enveloped virus with an unsegmented single-stranded negative-sense RNA virus of </w:t>
      </w:r>
      <w:r w:rsidRPr="0018723B">
        <w:t xml:space="preserve">approximately </w:t>
      </w:r>
      <w:r w:rsidR="0018723B" w:rsidRPr="0018723B">
        <w:t>14 kilo</w:t>
      </w:r>
      <w:r w:rsidRPr="0018723B">
        <w:t xml:space="preserve"> bases</w:t>
      </w:r>
      <w:r w:rsidRPr="002E0DF3">
        <w:t xml:space="preserve"> contained in a nucleocapsid</w:t>
      </w:r>
      <w:r w:rsidRPr="002E0DF3">
        <w:rPr>
          <w:color w:val="FF6600"/>
        </w:rPr>
        <w:t xml:space="preserve"> </w:t>
      </w:r>
      <w:r w:rsidRPr="002E0DF3">
        <w:t>with a helical symmetry</w:t>
      </w:r>
      <w:r w:rsidRPr="001E291E">
        <w:rPr>
          <w:strike/>
        </w:rPr>
        <w:t xml:space="preserve"> (</w:t>
      </w:r>
      <w:r w:rsidR="00332BC3" w:rsidRPr="001E291E">
        <w:rPr>
          <w:strike/>
        </w:rPr>
        <w:t>Gough, 2003</w:t>
      </w:r>
      <w:r w:rsidRPr="001E291E">
        <w:rPr>
          <w:strike/>
        </w:rPr>
        <w:t>)</w:t>
      </w:r>
      <w:r w:rsidRPr="002E0DF3">
        <w:t xml:space="preserve">. The virus exhibits some characteristics </w:t>
      </w:r>
      <w:r w:rsidR="0018723B" w:rsidRPr="002E0DF3">
        <w:t>of a</w:t>
      </w:r>
      <w:r w:rsidRPr="002E0DF3">
        <w:t xml:space="preserve"> </w:t>
      </w:r>
      <w:proofErr w:type="spellStart"/>
      <w:r w:rsidRPr="002E0DF3">
        <w:t>pneumovirus</w:t>
      </w:r>
      <w:proofErr w:type="spellEnd"/>
      <w:r w:rsidRPr="002E0DF3">
        <w:t xml:space="preserve">, </w:t>
      </w:r>
      <w:r w:rsidRPr="003F598E">
        <w:t xml:space="preserve">but differs from mammalian </w:t>
      </w:r>
      <w:proofErr w:type="spellStart"/>
      <w:r w:rsidRPr="003F598E">
        <w:t>pneumoviruses</w:t>
      </w:r>
      <w:proofErr w:type="spellEnd"/>
      <w:r w:rsidRPr="003F598E">
        <w:t xml:space="preserve"> at the molecular level</w:t>
      </w:r>
      <w:r w:rsidR="001C2BDF" w:rsidRPr="001C2BDF">
        <w:rPr>
          <w:strike/>
        </w:rPr>
        <w:t xml:space="preserve"> </w:t>
      </w:r>
      <w:r w:rsidR="001C2BDF" w:rsidRPr="000E5AAA">
        <w:rPr>
          <w:strike/>
        </w:rPr>
        <w:t>and has recently been classified as</w:t>
      </w:r>
      <w:r w:rsidR="001C2BDF" w:rsidRPr="001C2BDF">
        <w:rPr>
          <w:u w:val="double"/>
        </w:rPr>
        <w:t xml:space="preserve">. </w:t>
      </w:r>
      <w:proofErr w:type="spellStart"/>
      <w:r w:rsidR="00380B5E" w:rsidRPr="001C2BDF">
        <w:rPr>
          <w:u w:val="double"/>
        </w:rPr>
        <w:t>aMPV</w:t>
      </w:r>
      <w:proofErr w:type="spellEnd"/>
      <w:r w:rsidR="00380B5E" w:rsidRPr="001C2BDF">
        <w:rPr>
          <w:u w:val="double"/>
        </w:rPr>
        <w:t xml:space="preserve"> is</w:t>
      </w:r>
      <w:r w:rsidRPr="003F598E">
        <w:t xml:space="preserve"> the type strain of</w:t>
      </w:r>
      <w:r w:rsidR="001C2BDF">
        <w:t xml:space="preserve"> </w:t>
      </w:r>
      <w:r w:rsidR="001C2BDF" w:rsidRPr="001C2BDF">
        <w:rPr>
          <w:strike/>
        </w:rPr>
        <w:t>a new</w:t>
      </w:r>
      <w:r w:rsidRPr="001C2BDF">
        <w:rPr>
          <w:strike/>
        </w:rPr>
        <w:t xml:space="preserve"> </w:t>
      </w:r>
      <w:r w:rsidR="00380B5E" w:rsidRPr="001C2BDF">
        <w:rPr>
          <w:u w:val="double"/>
        </w:rPr>
        <w:t>the</w:t>
      </w:r>
      <w:r w:rsidRPr="003F598E">
        <w:t xml:space="preserve"> genus, </w:t>
      </w:r>
      <w:r w:rsidRPr="003F598E">
        <w:rPr>
          <w:i/>
        </w:rPr>
        <w:t xml:space="preserve">Metapneumovirus, </w:t>
      </w:r>
      <w:r w:rsidRPr="003F598E">
        <w:t xml:space="preserve">in the family </w:t>
      </w:r>
      <w:proofErr w:type="spellStart"/>
      <w:r w:rsidR="001C2BDF" w:rsidRPr="001C2BDF">
        <w:rPr>
          <w:i/>
          <w:strike/>
        </w:rPr>
        <w:t>Paramyxoviridae</w:t>
      </w:r>
      <w:proofErr w:type="spellEnd"/>
      <w:r w:rsidR="001C2BDF" w:rsidRPr="001C2BDF">
        <w:rPr>
          <w:strike/>
        </w:rPr>
        <w:t xml:space="preserve"> (</w:t>
      </w:r>
      <w:r w:rsidR="001C2BDF" w:rsidRPr="000E5AAA">
        <w:rPr>
          <w:strike/>
        </w:rPr>
        <w:t>Pedersen</w:t>
      </w:r>
      <w:r w:rsidR="001C2BDF">
        <w:rPr>
          <w:strike/>
        </w:rPr>
        <w:t xml:space="preserve"> </w:t>
      </w:r>
      <w:proofErr w:type="spellStart"/>
      <w:r w:rsidR="00380B5E" w:rsidRPr="001C2BDF">
        <w:rPr>
          <w:i/>
          <w:u w:val="double"/>
        </w:rPr>
        <w:t>Pneumoviridae</w:t>
      </w:r>
      <w:proofErr w:type="spellEnd"/>
      <w:r w:rsidRPr="001C2BDF">
        <w:rPr>
          <w:u w:val="double"/>
        </w:rPr>
        <w:t xml:space="preserve"> </w:t>
      </w:r>
      <w:r w:rsidR="004B2A3F" w:rsidRPr="001C2BDF">
        <w:rPr>
          <w:u w:val="double"/>
        </w:rPr>
        <w:t>(Kuhn</w:t>
      </w:r>
      <w:r w:rsidR="004B2A3F" w:rsidRPr="003F598E">
        <w:rPr>
          <w:u w:val="double"/>
        </w:rPr>
        <w:t xml:space="preserve"> </w:t>
      </w:r>
      <w:r w:rsidR="004B2A3F" w:rsidRPr="003F598E">
        <w:rPr>
          <w:i/>
          <w:iCs/>
          <w:u w:val="double"/>
        </w:rPr>
        <w:t>et al.,</w:t>
      </w:r>
      <w:r w:rsidR="004B2A3F" w:rsidRPr="003F598E">
        <w:rPr>
          <w:u w:val="double"/>
        </w:rPr>
        <w:t xml:space="preserve"> 2020)</w:t>
      </w:r>
      <w:r w:rsidR="0018723B" w:rsidRPr="003F598E">
        <w:t>.</w:t>
      </w:r>
      <w:r w:rsidRPr="003F598E">
        <w:t xml:space="preserve"> </w:t>
      </w:r>
      <w:r w:rsidR="0018723B" w:rsidRPr="003F598E">
        <w:t>Metapneumoviruses have</w:t>
      </w:r>
      <w:r w:rsidRPr="003F598E">
        <w:t xml:space="preserve"> been detected in humans </w:t>
      </w:r>
      <w:r w:rsidR="00612A04" w:rsidRPr="003F598E">
        <w:t xml:space="preserve">and are </w:t>
      </w:r>
      <w:r w:rsidRPr="003F598E">
        <w:t>associated with respiratory tract infection in children (</w:t>
      </w:r>
      <w:r w:rsidR="00793D7F" w:rsidRPr="003F598E">
        <w:rPr>
          <w:strike/>
        </w:rPr>
        <w:t>Naylor &amp; Jones, 1993</w:t>
      </w:r>
      <w:r w:rsidR="00221851" w:rsidRPr="003F598E">
        <w:rPr>
          <w:strike/>
        </w:rPr>
        <w:t>;</w:t>
      </w:r>
      <w:r w:rsidRPr="003F598E">
        <w:rPr>
          <w:strike/>
        </w:rPr>
        <w:t xml:space="preserve"> </w:t>
      </w:r>
      <w:proofErr w:type="spellStart"/>
      <w:r w:rsidR="00A74CEF" w:rsidRPr="003F598E">
        <w:rPr>
          <w:strike/>
        </w:rPr>
        <w:t>Toquin</w:t>
      </w:r>
      <w:proofErr w:type="spellEnd"/>
      <w:r w:rsidR="00A74CEF" w:rsidRPr="003F598E">
        <w:rPr>
          <w:strike/>
        </w:rPr>
        <w:t xml:space="preserve"> </w:t>
      </w:r>
      <w:r w:rsidR="00B7724F" w:rsidRPr="003F598E">
        <w:rPr>
          <w:i/>
          <w:strike/>
        </w:rPr>
        <w:t>et al</w:t>
      </w:r>
      <w:r w:rsidR="00A74CEF" w:rsidRPr="003F598E">
        <w:rPr>
          <w:strike/>
        </w:rPr>
        <w:t>., 2003</w:t>
      </w:r>
      <w:r w:rsidR="00221851" w:rsidRPr="003F598E">
        <w:rPr>
          <w:strike/>
        </w:rPr>
        <w:t>;</w:t>
      </w:r>
      <w:r w:rsidRPr="009733A1">
        <w:rPr>
          <w:strike/>
        </w:rPr>
        <w:t xml:space="preserve"> </w:t>
      </w:r>
      <w:r w:rsidR="00DC6D28" w:rsidRPr="003F598E">
        <w:t xml:space="preserve">Van Den </w:t>
      </w:r>
      <w:proofErr w:type="spellStart"/>
      <w:r w:rsidR="00DC6D28" w:rsidRPr="003F598E">
        <w:t>Hoogen</w:t>
      </w:r>
      <w:proofErr w:type="spellEnd"/>
      <w:r w:rsidR="00DC6D28" w:rsidRPr="003F598E">
        <w:t xml:space="preserve"> </w:t>
      </w:r>
      <w:r w:rsidR="00B7724F" w:rsidRPr="003F598E">
        <w:rPr>
          <w:i/>
        </w:rPr>
        <w:t>et al</w:t>
      </w:r>
      <w:r w:rsidR="00283403" w:rsidRPr="003F598E">
        <w:t>., 2001</w:t>
      </w:r>
      <w:r w:rsidRPr="003F598E">
        <w:t xml:space="preserve">). Avian </w:t>
      </w:r>
      <w:r w:rsidR="00516D7B" w:rsidRPr="003F598E">
        <w:rPr>
          <w:u w:val="double"/>
        </w:rPr>
        <w:t>and human</w:t>
      </w:r>
      <w:r w:rsidR="00516D7B" w:rsidRPr="003F598E">
        <w:t xml:space="preserve"> </w:t>
      </w:r>
      <w:r w:rsidRPr="003F598E">
        <w:t>metapneumovirus</w:t>
      </w:r>
      <w:r w:rsidR="00516D7B" w:rsidRPr="003F598E">
        <w:rPr>
          <w:u w:val="double"/>
        </w:rPr>
        <w:t>es</w:t>
      </w:r>
      <w:r w:rsidRPr="003F598E">
        <w:t xml:space="preserve"> </w:t>
      </w:r>
      <w:r w:rsidRPr="003F598E">
        <w:rPr>
          <w:strike/>
        </w:rPr>
        <w:t xml:space="preserve">has </w:t>
      </w:r>
      <w:r w:rsidR="00516D7B" w:rsidRPr="003F598E">
        <w:rPr>
          <w:u w:val="double"/>
        </w:rPr>
        <w:t>have</w:t>
      </w:r>
      <w:r w:rsidR="00516D7B" w:rsidRPr="003F598E">
        <w:t xml:space="preserve"> </w:t>
      </w:r>
      <w:r w:rsidRPr="003F598E">
        <w:t>no non-structural NS1 and NS2 proteins and the</w:t>
      </w:r>
      <w:r w:rsidR="00516D7B" w:rsidRPr="003F598E">
        <w:rPr>
          <w:u w:val="double"/>
        </w:rPr>
        <w:t>ir</w:t>
      </w:r>
      <w:r w:rsidRPr="003F598E">
        <w:t xml:space="preserve"> gene order (3’-N-P-M-F-M2-SH-G-L-</w:t>
      </w:r>
      <w:smartTag w:uri="urn:schemas-microsoft-com:office:smarttags" w:element="metricconverter">
        <w:smartTagPr>
          <w:attr w:name="ProductID" w:val="5’"/>
        </w:smartTagPr>
        <w:r w:rsidRPr="003F598E">
          <w:t>5’</w:t>
        </w:r>
      </w:smartTag>
      <w:r w:rsidRPr="003F598E">
        <w:t xml:space="preserve">) is different from that of mammalian </w:t>
      </w:r>
      <w:proofErr w:type="spellStart"/>
      <w:r w:rsidRPr="003F598E">
        <w:t>pneumoviruses</w:t>
      </w:r>
      <w:proofErr w:type="spellEnd"/>
      <w:r w:rsidRPr="003F598E">
        <w:t xml:space="preserve"> (3’-NS1-NS2-N-P-M-SH-G-F-M2-L-</w:t>
      </w:r>
      <w:smartTag w:uri="urn:schemas-microsoft-com:office:smarttags" w:element="metricconverter">
        <w:smartTagPr>
          <w:attr w:name="ProductID" w:val="5’"/>
        </w:smartTagPr>
        <w:r w:rsidRPr="003F598E">
          <w:t>5’</w:t>
        </w:r>
      </w:smartTag>
      <w:r w:rsidRPr="003F598E">
        <w:t>) (</w:t>
      </w:r>
      <w:r w:rsidR="00A74CEF" w:rsidRPr="003F598E">
        <w:t xml:space="preserve">Tanaka </w:t>
      </w:r>
      <w:r w:rsidR="00B7724F" w:rsidRPr="003F598E">
        <w:rPr>
          <w:i/>
        </w:rPr>
        <w:t>et al</w:t>
      </w:r>
      <w:r w:rsidR="00A74CEF" w:rsidRPr="003F598E">
        <w:t>., 1995</w:t>
      </w:r>
      <w:r w:rsidRPr="003F598E">
        <w:t>).</w:t>
      </w:r>
      <w:r w:rsidR="00516D7B" w:rsidRPr="003F598E">
        <w:t xml:space="preserve"> </w:t>
      </w:r>
      <w:r w:rsidR="00322D31" w:rsidRPr="00F74BA4">
        <w:rPr>
          <w:strike/>
        </w:rPr>
        <w:t xml:space="preserve">The avian metapneumovirus has been classified into four subtypes: A, B, C and D based on nucleotide </w:t>
      </w:r>
      <w:r w:rsidR="00322D31" w:rsidRPr="00F74BA4">
        <w:rPr>
          <w:strike/>
        </w:rPr>
        <w:lastRenderedPageBreak/>
        <w:t>sequence analysis.</w:t>
      </w:r>
      <w:r w:rsidR="00322D31">
        <w:rPr>
          <w:strike/>
        </w:rPr>
        <w:t xml:space="preserve"> </w:t>
      </w:r>
      <w:proofErr w:type="spellStart"/>
      <w:r w:rsidR="005D4BF2" w:rsidRPr="00322D31">
        <w:rPr>
          <w:u w:val="double"/>
        </w:rPr>
        <w:t>aMPV</w:t>
      </w:r>
      <w:proofErr w:type="spellEnd"/>
      <w:r w:rsidRPr="00322D31">
        <w:rPr>
          <w:u w:val="double"/>
        </w:rPr>
        <w:t xml:space="preserve"> has be</w:t>
      </w:r>
      <w:r w:rsidR="00D4082A" w:rsidRPr="00322D31">
        <w:rPr>
          <w:u w:val="double"/>
        </w:rPr>
        <w:t xml:space="preserve">en </w:t>
      </w:r>
      <w:r w:rsidR="00AB40D0" w:rsidRPr="00322D31">
        <w:rPr>
          <w:u w:val="double"/>
        </w:rPr>
        <w:t xml:space="preserve">further </w:t>
      </w:r>
      <w:r w:rsidR="00D4082A" w:rsidRPr="00322D31">
        <w:rPr>
          <w:u w:val="double"/>
        </w:rPr>
        <w:t>classified into four subgroups</w:t>
      </w:r>
      <w:r w:rsidR="00612A04" w:rsidRPr="00322D31">
        <w:rPr>
          <w:u w:val="double"/>
        </w:rPr>
        <w:t>:</w:t>
      </w:r>
      <w:r w:rsidRPr="00322D31">
        <w:rPr>
          <w:u w:val="double"/>
        </w:rPr>
        <w:t xml:space="preserve"> A, B, C and D</w:t>
      </w:r>
      <w:r w:rsidR="00612A04" w:rsidRPr="00322D31">
        <w:rPr>
          <w:u w:val="double"/>
        </w:rPr>
        <w:t xml:space="preserve"> </w:t>
      </w:r>
      <w:r w:rsidRPr="00322D31">
        <w:rPr>
          <w:u w:val="double"/>
        </w:rPr>
        <w:t>based on</w:t>
      </w:r>
      <w:r w:rsidRPr="003F598E">
        <w:t xml:space="preserve"> </w:t>
      </w:r>
      <w:r w:rsidRPr="003F598E">
        <w:rPr>
          <w:strike/>
        </w:rPr>
        <w:t>nucleotide sequence analysis</w:t>
      </w:r>
      <w:r w:rsidR="00AB40D0" w:rsidRPr="003F598E">
        <w:rPr>
          <w:strike/>
        </w:rPr>
        <w:t xml:space="preserve"> </w:t>
      </w:r>
      <w:r w:rsidR="00AB40D0" w:rsidRPr="00322D31">
        <w:rPr>
          <w:u w:val="double"/>
        </w:rPr>
        <w:t xml:space="preserve">reactivity against monoclonal antibodies, cross reactivity in </w:t>
      </w:r>
      <w:r w:rsidR="00FD4D88">
        <w:rPr>
          <w:u w:val="double"/>
        </w:rPr>
        <w:t xml:space="preserve">the </w:t>
      </w:r>
      <w:r w:rsidR="00AB40D0" w:rsidRPr="00322D31">
        <w:rPr>
          <w:u w:val="double"/>
        </w:rPr>
        <w:t>enzyme-linked immunosorbent assay (ELISA) and neutralisation tests</w:t>
      </w:r>
      <w:r w:rsidR="008F50A9" w:rsidRPr="00322D31">
        <w:rPr>
          <w:u w:val="double"/>
        </w:rPr>
        <w:t>, and nucleotide sequence analysis</w:t>
      </w:r>
      <w:r w:rsidR="00A26810" w:rsidRPr="00322D31">
        <w:rPr>
          <w:u w:val="double"/>
        </w:rPr>
        <w:t xml:space="preserve"> (</w:t>
      </w:r>
      <w:r w:rsidR="00AB40D0" w:rsidRPr="00322D31">
        <w:rPr>
          <w:u w:val="double"/>
        </w:rPr>
        <w:t xml:space="preserve">Cook </w:t>
      </w:r>
      <w:r w:rsidR="00AB40D0" w:rsidRPr="00322D31">
        <w:rPr>
          <w:i/>
          <w:u w:val="double"/>
        </w:rPr>
        <w:t>et al</w:t>
      </w:r>
      <w:r w:rsidR="00AB40D0" w:rsidRPr="00322D31">
        <w:rPr>
          <w:u w:val="double"/>
        </w:rPr>
        <w:t>., 1993a</w:t>
      </w:r>
      <w:r w:rsidR="00A26810" w:rsidRPr="00322D31">
        <w:rPr>
          <w:u w:val="double"/>
        </w:rPr>
        <w:t>)</w:t>
      </w:r>
      <w:r w:rsidR="00AB40D0" w:rsidRPr="00322D31">
        <w:rPr>
          <w:u w:val="double"/>
        </w:rPr>
        <w:t>. H</w:t>
      </w:r>
      <w:r w:rsidR="00D4082A" w:rsidRPr="00322D31">
        <w:rPr>
          <w:u w:val="double"/>
        </w:rPr>
        <w:t>owever recent reports from North America suggest the existence of two new genotypes</w:t>
      </w:r>
      <w:r w:rsidR="00974C48" w:rsidRPr="00322D31">
        <w:rPr>
          <w:u w:val="double"/>
        </w:rPr>
        <w:t xml:space="preserve"> that</w:t>
      </w:r>
      <w:r w:rsidR="0081319F" w:rsidRPr="00322D31">
        <w:rPr>
          <w:u w:val="double"/>
        </w:rPr>
        <w:t xml:space="preserve"> are </w:t>
      </w:r>
      <w:r w:rsidR="0024354C" w:rsidRPr="00322D31">
        <w:rPr>
          <w:u w:val="double"/>
        </w:rPr>
        <w:t>distinct from A, B, C and D subgroups</w:t>
      </w:r>
      <w:r w:rsidR="003F009E" w:rsidRPr="00322D31">
        <w:rPr>
          <w:u w:val="double"/>
        </w:rPr>
        <w:t xml:space="preserve">. Phylogenetic analysis based on L gene sequences show that they are </w:t>
      </w:r>
      <w:r w:rsidR="00974C48" w:rsidRPr="00322D31">
        <w:rPr>
          <w:u w:val="double"/>
        </w:rPr>
        <w:t>clos</w:t>
      </w:r>
      <w:r w:rsidR="0024354C" w:rsidRPr="00322D31">
        <w:rPr>
          <w:u w:val="double"/>
        </w:rPr>
        <w:t>er</w:t>
      </w:r>
      <w:r w:rsidR="0081319F" w:rsidRPr="00322D31">
        <w:rPr>
          <w:u w:val="double"/>
        </w:rPr>
        <w:t xml:space="preserve"> to</w:t>
      </w:r>
      <w:r w:rsidR="00974C48" w:rsidRPr="00322D31">
        <w:rPr>
          <w:u w:val="double"/>
        </w:rPr>
        <w:t xml:space="preserve"> the subgroup </w:t>
      </w:r>
      <w:r w:rsidR="003F009E" w:rsidRPr="00322D31">
        <w:rPr>
          <w:u w:val="double"/>
        </w:rPr>
        <w:t>C viruses than to A, B and D</w:t>
      </w:r>
      <w:r w:rsidR="003F009E" w:rsidRPr="00322D31">
        <w:t xml:space="preserve"> </w:t>
      </w:r>
      <w:r w:rsidR="00D4082A" w:rsidRPr="00322D31">
        <w:rPr>
          <w:strike/>
        </w:rPr>
        <w:t xml:space="preserve">based on full genome sequence analysis </w:t>
      </w:r>
      <w:r w:rsidR="00D4082A" w:rsidRPr="00322D31">
        <w:rPr>
          <w:u w:val="double"/>
        </w:rPr>
        <w:t>(</w:t>
      </w:r>
      <w:proofErr w:type="spellStart"/>
      <w:r w:rsidR="004E7C01" w:rsidRPr="00322D31">
        <w:rPr>
          <w:u w:val="double"/>
        </w:rPr>
        <w:t>Canuti</w:t>
      </w:r>
      <w:proofErr w:type="spellEnd"/>
      <w:r w:rsidR="004E7C01" w:rsidRPr="00322D31">
        <w:rPr>
          <w:u w:val="double"/>
        </w:rPr>
        <w:t xml:space="preserve"> </w:t>
      </w:r>
      <w:r w:rsidR="004E7C01" w:rsidRPr="00322D31">
        <w:rPr>
          <w:i/>
          <w:iCs/>
          <w:u w:val="double"/>
        </w:rPr>
        <w:t>et al.,</w:t>
      </w:r>
      <w:r w:rsidR="004E7C01" w:rsidRPr="00322D31">
        <w:rPr>
          <w:u w:val="double"/>
        </w:rPr>
        <w:t xml:space="preserve"> 2019</w:t>
      </w:r>
      <w:r w:rsidR="00322D31">
        <w:rPr>
          <w:u w:val="double"/>
        </w:rPr>
        <w:t>;</w:t>
      </w:r>
      <w:r w:rsidR="005D4BF2" w:rsidRPr="00322D31">
        <w:rPr>
          <w:u w:val="double"/>
        </w:rPr>
        <w:t xml:space="preserve"> Retallack </w:t>
      </w:r>
      <w:r w:rsidR="005D4BF2" w:rsidRPr="00322D31">
        <w:rPr>
          <w:i/>
          <w:iCs/>
          <w:u w:val="double"/>
        </w:rPr>
        <w:t>et al.,</w:t>
      </w:r>
      <w:r w:rsidR="005D4BF2" w:rsidRPr="00322D31">
        <w:rPr>
          <w:u w:val="double"/>
        </w:rPr>
        <w:t xml:space="preserve"> 2019</w:t>
      </w:r>
      <w:r w:rsidR="004E7C01" w:rsidRPr="00322D31">
        <w:rPr>
          <w:u w:val="double"/>
        </w:rPr>
        <w:t>)</w:t>
      </w:r>
      <w:r w:rsidR="00612A04" w:rsidRPr="00322D31">
        <w:rPr>
          <w:u w:val="double"/>
        </w:rPr>
        <w:t>.</w:t>
      </w:r>
      <w:r w:rsidR="00612A04" w:rsidRPr="003F598E">
        <w:t xml:space="preserve"> </w:t>
      </w:r>
      <w:r w:rsidR="00612A04" w:rsidRPr="003F598E">
        <w:rPr>
          <w:strike/>
        </w:rPr>
        <w:t>Using monoclonal antibodies</w:t>
      </w:r>
      <w:r w:rsidRPr="003F598E">
        <w:rPr>
          <w:strike/>
        </w:rPr>
        <w:t xml:space="preserve"> limited cross reactivity</w:t>
      </w:r>
      <w:r w:rsidR="00612A04" w:rsidRPr="003F598E">
        <w:rPr>
          <w:strike/>
        </w:rPr>
        <w:t xml:space="preserve"> between subtypes has been observed</w:t>
      </w:r>
      <w:r w:rsidRPr="003F598E">
        <w:rPr>
          <w:strike/>
        </w:rPr>
        <w:t xml:space="preserve"> in </w:t>
      </w:r>
      <w:r w:rsidR="00F67717" w:rsidRPr="003F598E">
        <w:rPr>
          <w:strike/>
        </w:rPr>
        <w:t>enzyme-linked immunosorbent assay (</w:t>
      </w:r>
      <w:r w:rsidRPr="003F598E">
        <w:rPr>
          <w:strike/>
        </w:rPr>
        <w:t>ELISA</w:t>
      </w:r>
      <w:r w:rsidR="00F67717" w:rsidRPr="003F598E">
        <w:rPr>
          <w:strike/>
        </w:rPr>
        <w:t>)</w:t>
      </w:r>
      <w:r w:rsidRPr="003F598E">
        <w:rPr>
          <w:strike/>
        </w:rPr>
        <w:t xml:space="preserve"> and neutralisation </w:t>
      </w:r>
      <w:r w:rsidR="0018723B" w:rsidRPr="003F598E">
        <w:rPr>
          <w:strike/>
        </w:rPr>
        <w:t>test (</w:t>
      </w:r>
      <w:r w:rsidR="00332BC3" w:rsidRPr="003F598E">
        <w:rPr>
          <w:strike/>
        </w:rPr>
        <w:t xml:space="preserve">Collins </w:t>
      </w:r>
      <w:r w:rsidR="00B7724F" w:rsidRPr="003F598E">
        <w:rPr>
          <w:i/>
          <w:strike/>
        </w:rPr>
        <w:t>et al</w:t>
      </w:r>
      <w:r w:rsidR="00332BC3" w:rsidRPr="003F598E">
        <w:rPr>
          <w:strike/>
        </w:rPr>
        <w:t>., 1993</w:t>
      </w:r>
      <w:r w:rsidR="00221851" w:rsidRPr="003F598E">
        <w:rPr>
          <w:strike/>
        </w:rPr>
        <w:t>;</w:t>
      </w:r>
      <w:r w:rsidRPr="003F598E">
        <w:rPr>
          <w:strike/>
        </w:rPr>
        <w:t xml:space="preserve"> </w:t>
      </w:r>
      <w:r w:rsidR="00D311EB" w:rsidRPr="003F598E">
        <w:rPr>
          <w:strike/>
        </w:rPr>
        <w:t xml:space="preserve">Cook </w:t>
      </w:r>
      <w:r w:rsidR="00B7724F" w:rsidRPr="003F598E">
        <w:rPr>
          <w:i/>
          <w:strike/>
        </w:rPr>
        <w:t>et al</w:t>
      </w:r>
      <w:r w:rsidR="00D311EB" w:rsidRPr="003F598E">
        <w:rPr>
          <w:strike/>
        </w:rPr>
        <w:t>., 1993a</w:t>
      </w:r>
      <w:r w:rsidRPr="003F598E">
        <w:rPr>
          <w:strike/>
        </w:rPr>
        <w:t>). Other subtypes may exist</w:t>
      </w:r>
      <w:r w:rsidR="0072759C" w:rsidRPr="003F598E">
        <w:rPr>
          <w:strike/>
        </w:rPr>
        <w:t>,</w:t>
      </w:r>
      <w:r w:rsidRPr="003F598E">
        <w:rPr>
          <w:strike/>
        </w:rPr>
        <w:t xml:space="preserve"> but have not yet been detected and identified. </w:t>
      </w:r>
      <w:r w:rsidR="00297506" w:rsidRPr="00322D31">
        <w:rPr>
          <w:u w:val="double"/>
        </w:rPr>
        <w:t>A recent book chapter has been dedicated to these aspects and can be sourced for further reading</w:t>
      </w:r>
      <w:r w:rsidR="008A7BDD" w:rsidRPr="00322D31">
        <w:rPr>
          <w:u w:val="double"/>
        </w:rPr>
        <w:t xml:space="preserve"> (Brown </w:t>
      </w:r>
      <w:r w:rsidR="003F598E" w:rsidRPr="00322D31">
        <w:rPr>
          <w:u w:val="double"/>
        </w:rPr>
        <w:t>&amp;</w:t>
      </w:r>
      <w:r w:rsidR="008A7BDD" w:rsidRPr="00322D31">
        <w:rPr>
          <w:u w:val="double"/>
        </w:rPr>
        <w:t xml:space="preserve"> </w:t>
      </w:r>
      <w:proofErr w:type="spellStart"/>
      <w:r w:rsidR="008A7BDD" w:rsidRPr="00322D31">
        <w:rPr>
          <w:u w:val="double"/>
        </w:rPr>
        <w:t>Eterradossi</w:t>
      </w:r>
      <w:proofErr w:type="spellEnd"/>
      <w:r w:rsidR="008A7BDD" w:rsidRPr="00322D31">
        <w:rPr>
          <w:u w:val="double"/>
        </w:rPr>
        <w:t xml:space="preserve"> 2019)</w:t>
      </w:r>
      <w:r w:rsidR="00297506" w:rsidRPr="00322D31">
        <w:rPr>
          <w:u w:val="double"/>
        </w:rPr>
        <w:t>.</w:t>
      </w:r>
    </w:p>
    <w:p w14:paraId="57E17A66" w14:textId="1C1FD9A8" w:rsidR="006401F6" w:rsidRDefault="00FB52DE">
      <w:pPr>
        <w:pStyle w:val="paraA0"/>
      </w:pPr>
      <w:r w:rsidRPr="002E0DF3">
        <w:t xml:space="preserve">Infection with </w:t>
      </w:r>
      <w:proofErr w:type="spellStart"/>
      <w:r w:rsidRPr="002E0DF3">
        <w:t>aMPV</w:t>
      </w:r>
      <w:proofErr w:type="spellEnd"/>
      <w:r w:rsidRPr="002E0DF3">
        <w:t xml:space="preserve"> can occur from a very young age in turkeys and is characterised by snicking, rales, sneezing, nasal discharge, foaming conjunctivitis, swelling of the infraorbital sinuses and submandibular </w:t>
      </w:r>
      <w:r w:rsidR="00221851">
        <w:t>o</w:t>
      </w:r>
      <w:r w:rsidRPr="002E0DF3">
        <w:t>edema (</w:t>
      </w:r>
      <w:r w:rsidR="00A74CEF" w:rsidRPr="003F598E">
        <w:rPr>
          <w:lang w:val="en-IE"/>
        </w:rPr>
        <w:t>Pringle, 1998</w:t>
      </w:r>
      <w:r w:rsidRPr="002E0DF3">
        <w:t xml:space="preserve">). Secondary adventitious agents can dramatically exacerbate the clinical signs. In an uncomplicated infection, recovery is rapid and the birds appear normal in approximately 14 days. When husbandry is poor or secondary bacterial infection occurs, </w:t>
      </w:r>
      <w:proofErr w:type="spellStart"/>
      <w:r w:rsidRPr="002E0DF3">
        <w:t>airsacculitis</w:t>
      </w:r>
      <w:proofErr w:type="spellEnd"/>
      <w:r w:rsidRPr="002E0DF3">
        <w:t xml:space="preserve">, pericarditis, pneumonia, and perihepatitis may </w:t>
      </w:r>
      <w:r w:rsidR="00612A04" w:rsidRPr="002E0DF3">
        <w:t xml:space="preserve">prolong the disease and there may </w:t>
      </w:r>
      <w:r w:rsidRPr="002E0DF3">
        <w:t>be</w:t>
      </w:r>
      <w:r w:rsidR="00612A04" w:rsidRPr="002E0DF3">
        <w:t xml:space="preserve"> </w:t>
      </w:r>
      <w:r w:rsidR="0018723B" w:rsidRPr="002E0DF3">
        <w:t>an increase</w:t>
      </w:r>
      <w:r w:rsidRPr="002E0DF3">
        <w:t xml:space="preserve"> </w:t>
      </w:r>
      <w:r w:rsidR="00612A04" w:rsidRPr="002E0DF3">
        <w:t xml:space="preserve">in </w:t>
      </w:r>
      <w:r w:rsidRPr="002E0DF3">
        <w:t xml:space="preserve">morbidity and </w:t>
      </w:r>
      <w:r w:rsidR="0018723B" w:rsidRPr="002E0DF3">
        <w:t>mortality (</w:t>
      </w:r>
      <w:r w:rsidR="00BD7156" w:rsidRPr="00115864">
        <w:rPr>
          <w:strike/>
        </w:rPr>
        <w:t xml:space="preserve">Cook </w:t>
      </w:r>
      <w:r w:rsidR="00B7724F" w:rsidRPr="00115864">
        <w:rPr>
          <w:i/>
          <w:strike/>
        </w:rPr>
        <w:t>et al</w:t>
      </w:r>
      <w:r w:rsidR="00BD7156" w:rsidRPr="00115864">
        <w:rPr>
          <w:strike/>
        </w:rPr>
        <w:t>., 1991</w:t>
      </w:r>
      <w:r w:rsidR="00221851" w:rsidRPr="00115864">
        <w:rPr>
          <w:strike/>
        </w:rPr>
        <w:t>;</w:t>
      </w:r>
      <w:r w:rsidRPr="00115864">
        <w:rPr>
          <w:strike/>
        </w:rPr>
        <w:t xml:space="preserve"> </w:t>
      </w:r>
      <w:proofErr w:type="spellStart"/>
      <w:r w:rsidR="00793D7F" w:rsidRPr="003F598E">
        <w:rPr>
          <w:lang w:val="en-IE"/>
        </w:rPr>
        <w:t>Mekkes</w:t>
      </w:r>
      <w:proofErr w:type="spellEnd"/>
      <w:r w:rsidR="00793D7F" w:rsidRPr="003F598E">
        <w:rPr>
          <w:lang w:val="en-IE"/>
        </w:rPr>
        <w:t xml:space="preserve"> &amp; De Wit, 1999</w:t>
      </w:r>
      <w:r w:rsidRPr="002E0DF3">
        <w:t xml:space="preserve">). </w:t>
      </w:r>
      <w:r w:rsidR="008F50A9" w:rsidRPr="008E7CC4">
        <w:rPr>
          <w:u w:val="double"/>
        </w:rPr>
        <w:t>Among</w:t>
      </w:r>
      <w:r w:rsidR="008F50A9">
        <w:t xml:space="preserve"> s</w:t>
      </w:r>
      <w:r w:rsidRPr="002E0DF3">
        <w:t xml:space="preserve">econdary agents that have been shown to exacerbate and prolong clinical disease are </w:t>
      </w:r>
      <w:r w:rsidRPr="002E0DF3">
        <w:rPr>
          <w:i/>
        </w:rPr>
        <w:t>Bordetella avium</w:t>
      </w:r>
      <w:r w:rsidRPr="002E0DF3">
        <w:t xml:space="preserve">, </w:t>
      </w:r>
      <w:r w:rsidRPr="002E0DF3">
        <w:rPr>
          <w:i/>
        </w:rPr>
        <w:t>Pasteurella</w:t>
      </w:r>
      <w:r w:rsidRPr="002E0DF3">
        <w:t xml:space="preserve">-like organisms, </w:t>
      </w:r>
      <w:r w:rsidRPr="002E0DF3">
        <w:rPr>
          <w:i/>
        </w:rPr>
        <w:t xml:space="preserve">Mycoplasma </w:t>
      </w:r>
      <w:proofErr w:type="spellStart"/>
      <w:r w:rsidRPr="002E0DF3">
        <w:rPr>
          <w:i/>
        </w:rPr>
        <w:t>gallisepticum</w:t>
      </w:r>
      <w:proofErr w:type="spellEnd"/>
      <w:r w:rsidRPr="002E0DF3">
        <w:t xml:space="preserve">, </w:t>
      </w:r>
      <w:r w:rsidRPr="002E0DF3">
        <w:rPr>
          <w:i/>
          <w:iCs/>
        </w:rPr>
        <w:t>Chlamydophila</w:t>
      </w:r>
      <w:r w:rsidRPr="002E0DF3">
        <w:t xml:space="preserve"> and </w:t>
      </w:r>
      <w:proofErr w:type="spellStart"/>
      <w:r w:rsidRPr="002E0DF3">
        <w:rPr>
          <w:i/>
        </w:rPr>
        <w:t>Ornithobacterium</w:t>
      </w:r>
      <w:proofErr w:type="spellEnd"/>
      <w:r w:rsidRPr="002E0DF3">
        <w:rPr>
          <w:i/>
        </w:rPr>
        <w:t xml:space="preserve"> </w:t>
      </w:r>
      <w:proofErr w:type="spellStart"/>
      <w:r w:rsidR="0018723B" w:rsidRPr="002E0DF3">
        <w:rPr>
          <w:i/>
        </w:rPr>
        <w:t>rhinotracheale</w:t>
      </w:r>
      <w:proofErr w:type="spellEnd"/>
      <w:r w:rsidR="0018723B" w:rsidRPr="002E0DF3">
        <w:rPr>
          <w:i/>
        </w:rPr>
        <w:t xml:space="preserve"> </w:t>
      </w:r>
      <w:r w:rsidR="0018723B" w:rsidRPr="00221851">
        <w:t>(</w:t>
      </w:r>
      <w:proofErr w:type="spellStart"/>
      <w:r w:rsidR="00221851" w:rsidRPr="00B7724F">
        <w:t>Alkhalaf</w:t>
      </w:r>
      <w:proofErr w:type="spellEnd"/>
      <w:r w:rsidR="00221851" w:rsidRPr="00B7724F">
        <w:t xml:space="preserve"> </w:t>
      </w:r>
      <w:r w:rsidR="00B7724F" w:rsidRPr="00B7724F">
        <w:rPr>
          <w:i/>
        </w:rPr>
        <w:t>et al</w:t>
      </w:r>
      <w:r w:rsidR="00221851" w:rsidRPr="00B7724F">
        <w:t xml:space="preserve">., </w:t>
      </w:r>
      <w:r w:rsidR="00221851" w:rsidRPr="002E0DF3">
        <w:t>2002</w:t>
      </w:r>
      <w:r w:rsidR="00221851">
        <w:t>;</w:t>
      </w:r>
      <w:r w:rsidRPr="002E0DF3">
        <w:t xml:space="preserve"> </w:t>
      </w:r>
      <w:r w:rsidR="00BD7156" w:rsidRPr="00115864">
        <w:rPr>
          <w:strike/>
        </w:rPr>
        <w:t xml:space="preserve">Cook </w:t>
      </w:r>
      <w:r w:rsidR="00B7724F" w:rsidRPr="00115864">
        <w:rPr>
          <w:i/>
          <w:strike/>
        </w:rPr>
        <w:t>et al</w:t>
      </w:r>
      <w:r w:rsidR="00BD7156" w:rsidRPr="00115864">
        <w:rPr>
          <w:strike/>
        </w:rPr>
        <w:t>., 1991</w:t>
      </w:r>
      <w:r w:rsidR="00221851" w:rsidRPr="00115864">
        <w:rPr>
          <w:strike/>
        </w:rPr>
        <w:t>;</w:t>
      </w:r>
      <w:r w:rsidRPr="00115864">
        <w:rPr>
          <w:strike/>
        </w:rPr>
        <w:t xml:space="preserve"> </w:t>
      </w:r>
      <w:r w:rsidR="00C16CFF">
        <w:t xml:space="preserve">Jirjis </w:t>
      </w:r>
      <w:r w:rsidR="00B7724F" w:rsidRPr="00B7724F">
        <w:rPr>
          <w:i/>
        </w:rPr>
        <w:t>et al</w:t>
      </w:r>
      <w:r w:rsidR="00C16CFF">
        <w:t>., 2004</w:t>
      </w:r>
      <w:r w:rsidR="00221851">
        <w:t>;</w:t>
      </w:r>
      <w:r w:rsidRPr="002E0DF3">
        <w:t xml:space="preserve"> </w:t>
      </w:r>
      <w:r w:rsidR="00A74CEF">
        <w:t xml:space="preserve">Senne </w:t>
      </w:r>
      <w:r w:rsidR="00B7724F" w:rsidRPr="00B7724F">
        <w:rPr>
          <w:i/>
        </w:rPr>
        <w:t>et al</w:t>
      </w:r>
      <w:r w:rsidR="00A74CEF">
        <w:t>., 1997</w:t>
      </w:r>
      <w:r w:rsidR="00221851">
        <w:t>;</w:t>
      </w:r>
      <w:r w:rsidRPr="002E0DF3">
        <w:t xml:space="preserve"> </w:t>
      </w:r>
      <w:r w:rsidR="00B7724F">
        <w:t xml:space="preserve">Van Loock </w:t>
      </w:r>
      <w:r w:rsidR="00B7724F" w:rsidRPr="00B7724F">
        <w:rPr>
          <w:i/>
        </w:rPr>
        <w:t>et al</w:t>
      </w:r>
      <w:r w:rsidR="00B7724F">
        <w:t>., 2006</w:t>
      </w:r>
      <w:r w:rsidRPr="002E0DF3">
        <w:t>). Morbidity can be as high as 100%, with mortality ranging from 0.5% in adult turkeys to 80% in young poults (</w:t>
      </w:r>
      <w:r w:rsidR="00332BC3" w:rsidRPr="00115864">
        <w:rPr>
          <w:strike/>
        </w:rPr>
        <w:t xml:space="preserve">Buys </w:t>
      </w:r>
      <w:r w:rsidR="00B7724F" w:rsidRPr="00115864">
        <w:rPr>
          <w:i/>
          <w:strike/>
        </w:rPr>
        <w:t>et al</w:t>
      </w:r>
      <w:r w:rsidR="00332BC3" w:rsidRPr="00115864">
        <w:rPr>
          <w:strike/>
        </w:rPr>
        <w:t>., 1989</w:t>
      </w:r>
      <w:r w:rsidR="00221851" w:rsidRPr="00115864">
        <w:rPr>
          <w:strike/>
        </w:rPr>
        <w:t>;</w:t>
      </w:r>
      <w:r w:rsidRPr="00115864">
        <w:rPr>
          <w:strike/>
        </w:rPr>
        <w:t xml:space="preserve"> </w:t>
      </w:r>
      <w:r w:rsidR="00332BC3" w:rsidRPr="001E291E">
        <w:rPr>
          <w:strike/>
        </w:rPr>
        <w:t>Gough, 2003</w:t>
      </w:r>
      <w:r w:rsidR="00221851" w:rsidRPr="001E291E">
        <w:rPr>
          <w:strike/>
        </w:rPr>
        <w:t>;</w:t>
      </w:r>
      <w:r w:rsidRPr="001E291E">
        <w:rPr>
          <w:strike/>
        </w:rPr>
        <w:t xml:space="preserve"> </w:t>
      </w:r>
      <w:r w:rsidR="00DC6D28">
        <w:t xml:space="preserve">Van De </w:t>
      </w:r>
      <w:r w:rsidR="00B7724F">
        <w:t xml:space="preserve">Zande </w:t>
      </w:r>
      <w:r w:rsidR="00B7724F" w:rsidRPr="00B7724F">
        <w:rPr>
          <w:i/>
        </w:rPr>
        <w:t>et al</w:t>
      </w:r>
      <w:r w:rsidR="00B7724F">
        <w:t>., 1999</w:t>
      </w:r>
      <w:r w:rsidRPr="002E0DF3">
        <w:t xml:space="preserve">). Clinical signs of infection in chickens are less characteristic than those in turkeys. Severe respiratory distress may occur in broiler chickens particularly when exacerbated by secondary pathogens such as infectious bronchitis virus, mycoplasmas, and </w:t>
      </w:r>
      <w:r w:rsidRPr="002E0DF3">
        <w:rPr>
          <w:i/>
          <w:iCs/>
        </w:rPr>
        <w:t>Escherichia</w:t>
      </w:r>
      <w:r w:rsidRPr="002E0DF3">
        <w:rPr>
          <w:iCs/>
        </w:rPr>
        <w:t xml:space="preserve"> </w:t>
      </w:r>
      <w:r w:rsidRPr="002E0DF3">
        <w:rPr>
          <w:i/>
          <w:iCs/>
        </w:rPr>
        <w:t>coli</w:t>
      </w:r>
      <w:r w:rsidRPr="002E0DF3">
        <w:t xml:space="preserve"> (</w:t>
      </w:r>
      <w:r w:rsidR="00A74CEF" w:rsidRPr="00B7724F">
        <w:t xml:space="preserve">O’Brien, </w:t>
      </w:r>
      <w:r w:rsidR="00A74CEF" w:rsidRPr="002E0DF3">
        <w:t>1985</w:t>
      </w:r>
      <w:r w:rsidR="00221851">
        <w:t>;</w:t>
      </w:r>
      <w:r w:rsidRPr="002E0DF3">
        <w:t xml:space="preserve"> </w:t>
      </w:r>
      <w:r w:rsidR="00A74CEF">
        <w:t xml:space="preserve">Pattison </w:t>
      </w:r>
      <w:r w:rsidR="00B7724F" w:rsidRPr="00B7724F">
        <w:rPr>
          <w:i/>
        </w:rPr>
        <w:t>et al</w:t>
      </w:r>
      <w:r w:rsidR="00A74CEF">
        <w:t>., 1989</w:t>
      </w:r>
      <w:r w:rsidRPr="002E0DF3">
        <w:t xml:space="preserve">). Unlike </w:t>
      </w:r>
      <w:r w:rsidRPr="008E7CC4">
        <w:rPr>
          <w:strike/>
        </w:rPr>
        <w:t>subtype</w:t>
      </w:r>
      <w:r w:rsidR="008E7CC4">
        <w:rPr>
          <w:strike/>
        </w:rPr>
        <w:t xml:space="preserve"> </w:t>
      </w:r>
      <w:r w:rsidR="0051090E" w:rsidRPr="008E7CC4">
        <w:rPr>
          <w:u w:val="double"/>
        </w:rPr>
        <w:t>subgroup</w:t>
      </w:r>
      <w:r w:rsidRPr="002E0DF3">
        <w:t xml:space="preserve"> A and B, the United States of America (USA) strain</w:t>
      </w:r>
      <w:r w:rsidR="00FE762F" w:rsidRPr="002E0DF3">
        <w:t xml:space="preserve"> </w:t>
      </w:r>
      <w:r w:rsidR="00FE762F" w:rsidRPr="0018723B">
        <w:t xml:space="preserve">– Colorado, or </w:t>
      </w:r>
      <w:r w:rsidR="008E7CC4" w:rsidRPr="008E7CC4">
        <w:rPr>
          <w:strike/>
        </w:rPr>
        <w:t>subtype</w:t>
      </w:r>
      <w:r w:rsidR="008E7CC4">
        <w:rPr>
          <w:strike/>
        </w:rPr>
        <w:t xml:space="preserve"> </w:t>
      </w:r>
      <w:r w:rsidR="008E7CC4" w:rsidRPr="008E7CC4">
        <w:rPr>
          <w:u w:val="double"/>
        </w:rPr>
        <w:t>subgroup</w:t>
      </w:r>
      <w:r w:rsidR="00FE762F" w:rsidRPr="0018723B">
        <w:t xml:space="preserve"> C</w:t>
      </w:r>
      <w:r w:rsidR="0018723B">
        <w:t xml:space="preserve"> – </w:t>
      </w:r>
      <w:r w:rsidRPr="002E0DF3">
        <w:t>has not been shown to naturally induce disease in chickens</w:t>
      </w:r>
      <w:r w:rsidR="00612A04" w:rsidRPr="002E0DF3">
        <w:t>,</w:t>
      </w:r>
      <w:r w:rsidRPr="002E0DF3">
        <w:t xml:space="preserve"> although experimentally infected chickens were shown to be susceptible to a </w:t>
      </w:r>
      <w:r w:rsidR="008E7CC4" w:rsidRPr="008E7CC4">
        <w:rPr>
          <w:strike/>
        </w:rPr>
        <w:t>subtype</w:t>
      </w:r>
      <w:r w:rsidR="008E7CC4">
        <w:rPr>
          <w:strike/>
        </w:rPr>
        <w:t xml:space="preserve"> </w:t>
      </w:r>
      <w:r w:rsidR="008E7CC4" w:rsidRPr="008E7CC4">
        <w:rPr>
          <w:u w:val="double"/>
        </w:rPr>
        <w:t>subgroup</w:t>
      </w:r>
      <w:r w:rsidRPr="002E0DF3">
        <w:t xml:space="preserve"> C turkey isolate of </w:t>
      </w:r>
      <w:proofErr w:type="spellStart"/>
      <w:r w:rsidRPr="002E0DF3">
        <w:t>aMPV</w:t>
      </w:r>
      <w:proofErr w:type="spellEnd"/>
      <w:r w:rsidRPr="009733A1">
        <w:rPr>
          <w:strike/>
        </w:rPr>
        <w:t xml:space="preserve"> (</w:t>
      </w:r>
      <w:r w:rsidR="00A74CEF" w:rsidRPr="009733A1">
        <w:rPr>
          <w:strike/>
        </w:rPr>
        <w:t xml:space="preserve">Shin </w:t>
      </w:r>
      <w:r w:rsidR="00B7724F" w:rsidRPr="009733A1">
        <w:rPr>
          <w:i/>
          <w:strike/>
        </w:rPr>
        <w:t>et al</w:t>
      </w:r>
      <w:r w:rsidR="00A74CEF" w:rsidRPr="009733A1">
        <w:rPr>
          <w:strike/>
        </w:rPr>
        <w:t>., 2000</w:t>
      </w:r>
      <w:r w:rsidRPr="009733A1">
        <w:rPr>
          <w:strike/>
        </w:rPr>
        <w:t>)</w:t>
      </w:r>
      <w:r w:rsidRPr="002E0DF3">
        <w:t xml:space="preserve">. Different strains of </w:t>
      </w:r>
      <w:proofErr w:type="spellStart"/>
      <w:r w:rsidRPr="002E0DF3">
        <w:t>aMPV</w:t>
      </w:r>
      <w:proofErr w:type="spellEnd"/>
      <w:r w:rsidRPr="002E0DF3">
        <w:t xml:space="preserve"> have been shown to have a specific tropism</w:t>
      </w:r>
      <w:r w:rsidR="0018723B">
        <w:t xml:space="preserve"> for chickens or turkeys (</w:t>
      </w:r>
      <w:r w:rsidR="00D311EB">
        <w:t xml:space="preserve">Cook </w:t>
      </w:r>
      <w:r w:rsidR="00B7724F" w:rsidRPr="00B7724F">
        <w:rPr>
          <w:i/>
        </w:rPr>
        <w:t>et al</w:t>
      </w:r>
      <w:r w:rsidR="00D311EB">
        <w:t>., 1993b</w:t>
      </w:r>
      <w:r w:rsidR="0018723B">
        <w:t xml:space="preserve">). </w:t>
      </w:r>
      <w:r w:rsidR="00612A04" w:rsidRPr="002E0DF3">
        <w:t>O</w:t>
      </w:r>
      <w:r w:rsidRPr="002E0DF3">
        <w:t xml:space="preserve">ther species of birds </w:t>
      </w:r>
      <w:r w:rsidR="00612A04" w:rsidRPr="002E0DF3">
        <w:t xml:space="preserve">have been reported to have </w:t>
      </w:r>
      <w:r w:rsidR="0018723B" w:rsidRPr="002E0DF3">
        <w:t>been infected</w:t>
      </w:r>
      <w:r w:rsidRPr="002E0DF3">
        <w:t xml:space="preserve"> with </w:t>
      </w:r>
      <w:proofErr w:type="spellStart"/>
      <w:r w:rsidRPr="002E0DF3">
        <w:t>aMPV</w:t>
      </w:r>
      <w:proofErr w:type="spellEnd"/>
      <w:r w:rsidRPr="002E0DF3">
        <w:t>, however clinical signs have rarely been reported</w:t>
      </w:r>
      <w:r w:rsidRPr="009733A1">
        <w:rPr>
          <w:strike/>
        </w:rPr>
        <w:t xml:space="preserve"> (</w:t>
      </w:r>
      <w:r w:rsidR="00332BC3" w:rsidRPr="009733A1">
        <w:rPr>
          <w:strike/>
        </w:rPr>
        <w:t xml:space="preserve">Gough </w:t>
      </w:r>
      <w:r w:rsidR="00B7724F" w:rsidRPr="009733A1">
        <w:rPr>
          <w:i/>
          <w:strike/>
        </w:rPr>
        <w:t>et al</w:t>
      </w:r>
      <w:r w:rsidR="00332BC3" w:rsidRPr="009733A1">
        <w:rPr>
          <w:strike/>
        </w:rPr>
        <w:t>., 1988</w:t>
      </w:r>
      <w:r w:rsidRPr="009733A1">
        <w:rPr>
          <w:strike/>
        </w:rPr>
        <w:t>)</w:t>
      </w:r>
      <w:r w:rsidRPr="002E0DF3">
        <w:t xml:space="preserve">. Viruses </w:t>
      </w:r>
      <w:r w:rsidR="0014428D" w:rsidRPr="002E0DF3">
        <w:t>characteri</w:t>
      </w:r>
      <w:r w:rsidR="0018723B">
        <w:t>s</w:t>
      </w:r>
      <w:r w:rsidR="0014428D" w:rsidRPr="002E0DF3">
        <w:t xml:space="preserve">ed as </w:t>
      </w:r>
      <w:r w:rsidR="008E7CC4" w:rsidRPr="008E7CC4">
        <w:rPr>
          <w:strike/>
        </w:rPr>
        <w:t>subtype</w:t>
      </w:r>
      <w:r w:rsidR="008E7CC4">
        <w:rPr>
          <w:strike/>
        </w:rPr>
        <w:t xml:space="preserve"> </w:t>
      </w:r>
      <w:r w:rsidR="008E7CC4" w:rsidRPr="008E7CC4">
        <w:rPr>
          <w:u w:val="double"/>
        </w:rPr>
        <w:t>subgroup</w:t>
      </w:r>
      <w:r w:rsidR="0014428D" w:rsidRPr="002E0DF3">
        <w:t xml:space="preserve"> C </w:t>
      </w:r>
      <w:proofErr w:type="spellStart"/>
      <w:r w:rsidR="0014428D" w:rsidRPr="002E0DF3">
        <w:t>aMPV</w:t>
      </w:r>
      <w:proofErr w:type="spellEnd"/>
      <w:r w:rsidR="0014428D" w:rsidRPr="002E0DF3">
        <w:t xml:space="preserve"> </w:t>
      </w:r>
      <w:r w:rsidR="0018723B" w:rsidRPr="002E0DF3">
        <w:t>and shown</w:t>
      </w:r>
      <w:r w:rsidR="0014428D" w:rsidRPr="002E0DF3">
        <w:t xml:space="preserve"> to have 75</w:t>
      </w:r>
      <w:r w:rsidR="0018723B">
        <w:t>–</w:t>
      </w:r>
      <w:r w:rsidR="0014428D" w:rsidRPr="002E0DF3">
        <w:t xml:space="preserve">83% nucleotide identity to the US Colorado </w:t>
      </w:r>
      <w:r w:rsidR="008E7CC4" w:rsidRPr="008E7CC4">
        <w:rPr>
          <w:strike/>
        </w:rPr>
        <w:t>subtype</w:t>
      </w:r>
      <w:r w:rsidR="008E7CC4">
        <w:rPr>
          <w:strike/>
        </w:rPr>
        <w:t xml:space="preserve"> </w:t>
      </w:r>
      <w:r w:rsidR="008E7CC4" w:rsidRPr="008E7CC4">
        <w:rPr>
          <w:u w:val="double"/>
        </w:rPr>
        <w:t>subgroup</w:t>
      </w:r>
      <w:r w:rsidR="0014428D" w:rsidRPr="002E0DF3">
        <w:t xml:space="preserve"> C </w:t>
      </w:r>
      <w:proofErr w:type="spellStart"/>
      <w:r w:rsidR="0014428D" w:rsidRPr="002E0DF3">
        <w:t>aMPV</w:t>
      </w:r>
      <w:proofErr w:type="spellEnd"/>
      <w:r w:rsidR="0014428D" w:rsidRPr="002E0DF3">
        <w:t xml:space="preserve"> have been associated with respiratory signs and decreased egg production in ducks in France (</w:t>
      </w:r>
      <w:proofErr w:type="spellStart"/>
      <w:r w:rsidR="00A74CEF">
        <w:t>Toquin</w:t>
      </w:r>
      <w:proofErr w:type="spellEnd"/>
      <w:r w:rsidR="00A74CEF">
        <w:t xml:space="preserve"> </w:t>
      </w:r>
      <w:r w:rsidR="00B7724F" w:rsidRPr="00B7724F">
        <w:rPr>
          <w:i/>
        </w:rPr>
        <w:t>et al</w:t>
      </w:r>
      <w:r w:rsidR="00A74CEF">
        <w:t xml:space="preserve">., </w:t>
      </w:r>
      <w:r w:rsidR="00A74CEF" w:rsidRPr="009733A1">
        <w:rPr>
          <w:strike/>
        </w:rPr>
        <w:t>1999</w:t>
      </w:r>
      <w:r w:rsidR="00221851" w:rsidRPr="009733A1">
        <w:rPr>
          <w:strike/>
        </w:rPr>
        <w:t>;</w:t>
      </w:r>
      <w:r w:rsidR="0018723B">
        <w:t xml:space="preserve"> </w:t>
      </w:r>
      <w:r w:rsidR="00A74CEF">
        <w:t>2006</w:t>
      </w:r>
      <w:r w:rsidR="0014428D" w:rsidRPr="002E0DF3">
        <w:t xml:space="preserve">). </w:t>
      </w:r>
      <w:r w:rsidRPr="002E0DF3">
        <w:t xml:space="preserve">Retrospective molecular analysis of viruses isolated in the 1980s from turkeys in France indicates the presence of a fourth </w:t>
      </w:r>
      <w:r w:rsidR="008E7CC4" w:rsidRPr="008E7CC4">
        <w:rPr>
          <w:strike/>
        </w:rPr>
        <w:t>subtype</w:t>
      </w:r>
      <w:r w:rsidR="008E7CC4">
        <w:rPr>
          <w:strike/>
        </w:rPr>
        <w:t xml:space="preserve"> </w:t>
      </w:r>
      <w:r w:rsidR="008E7CC4" w:rsidRPr="008E7CC4">
        <w:rPr>
          <w:u w:val="double"/>
        </w:rPr>
        <w:t>subgroup</w:t>
      </w:r>
      <w:r w:rsidRPr="002E0DF3">
        <w:t xml:space="preserve"> of </w:t>
      </w:r>
      <w:proofErr w:type="spellStart"/>
      <w:r w:rsidRPr="002E0DF3">
        <w:t>aMPV</w:t>
      </w:r>
      <w:proofErr w:type="spellEnd"/>
      <w:r w:rsidRPr="002E0DF3">
        <w:t xml:space="preserve"> designated </w:t>
      </w:r>
      <w:r w:rsidR="008E7CC4" w:rsidRPr="008E7CC4">
        <w:rPr>
          <w:strike/>
        </w:rPr>
        <w:t>subtype</w:t>
      </w:r>
      <w:r w:rsidR="008E7CC4">
        <w:rPr>
          <w:strike/>
        </w:rPr>
        <w:t xml:space="preserve"> </w:t>
      </w:r>
      <w:r w:rsidR="008E7CC4" w:rsidRPr="008E7CC4">
        <w:rPr>
          <w:u w:val="double"/>
        </w:rPr>
        <w:t>subgroup</w:t>
      </w:r>
      <w:r w:rsidRPr="002E0DF3">
        <w:t xml:space="preserve"> D</w:t>
      </w:r>
      <w:r w:rsidRPr="00115864">
        <w:rPr>
          <w:strike/>
        </w:rPr>
        <w:t xml:space="preserve"> (</w:t>
      </w:r>
      <w:proofErr w:type="spellStart"/>
      <w:r w:rsidR="00381877" w:rsidRPr="00115864">
        <w:rPr>
          <w:strike/>
        </w:rPr>
        <w:t>B</w:t>
      </w:r>
      <w:r w:rsidR="007879D4" w:rsidRPr="00115864">
        <w:rPr>
          <w:strike/>
        </w:rPr>
        <w:t>a</w:t>
      </w:r>
      <w:r w:rsidR="00381877" w:rsidRPr="00115864">
        <w:rPr>
          <w:strike/>
        </w:rPr>
        <w:t>yon-Auboyer</w:t>
      </w:r>
      <w:proofErr w:type="spellEnd"/>
      <w:r w:rsidR="00381877" w:rsidRPr="00115864">
        <w:rPr>
          <w:strike/>
        </w:rPr>
        <w:t xml:space="preserve"> </w:t>
      </w:r>
      <w:r w:rsidR="00B7724F" w:rsidRPr="00115864">
        <w:rPr>
          <w:i/>
          <w:strike/>
        </w:rPr>
        <w:t>et al</w:t>
      </w:r>
      <w:r w:rsidR="00381877" w:rsidRPr="00115864">
        <w:rPr>
          <w:strike/>
        </w:rPr>
        <w:t>., 2000</w:t>
      </w:r>
      <w:r w:rsidRPr="00115864">
        <w:rPr>
          <w:strike/>
        </w:rPr>
        <w:t>)</w:t>
      </w:r>
      <w:r w:rsidRPr="002E0DF3">
        <w:t xml:space="preserve">. </w:t>
      </w:r>
    </w:p>
    <w:p w14:paraId="56AE2E8E" w14:textId="0566A543" w:rsidR="00FB52DE" w:rsidRPr="002E0DF3" w:rsidRDefault="00D4082A">
      <w:pPr>
        <w:pStyle w:val="paraA0"/>
      </w:pPr>
      <w:r w:rsidRPr="008E7CC4">
        <w:rPr>
          <w:u w:val="double"/>
        </w:rPr>
        <w:t xml:space="preserve">Most recently </w:t>
      </w:r>
      <w:r w:rsidR="005D4BF2" w:rsidRPr="008E7CC4">
        <w:rPr>
          <w:u w:val="double"/>
        </w:rPr>
        <w:t xml:space="preserve">a series of experimental studies was published in which the host range of </w:t>
      </w:r>
      <w:proofErr w:type="spellStart"/>
      <w:r w:rsidR="005D4BF2" w:rsidRPr="008E7CC4">
        <w:rPr>
          <w:u w:val="double"/>
        </w:rPr>
        <w:t>aMPV</w:t>
      </w:r>
      <w:proofErr w:type="spellEnd"/>
      <w:r w:rsidR="005D4BF2" w:rsidRPr="008E7CC4">
        <w:rPr>
          <w:u w:val="double"/>
        </w:rPr>
        <w:t xml:space="preserve"> A, B, C and D was assessed in turkey</w:t>
      </w:r>
      <w:r w:rsidR="007879D4">
        <w:rPr>
          <w:u w:val="double"/>
        </w:rPr>
        <w:t>s,</w:t>
      </w:r>
      <w:r w:rsidR="005D4BF2" w:rsidRPr="008E7CC4">
        <w:rPr>
          <w:u w:val="double"/>
        </w:rPr>
        <w:t xml:space="preserve"> chickens and </w:t>
      </w:r>
      <w:r w:rsidR="009E2F26" w:rsidRPr="008E7CC4">
        <w:rPr>
          <w:u w:val="double"/>
        </w:rPr>
        <w:t>Muscovy</w:t>
      </w:r>
      <w:r w:rsidR="005D4BF2" w:rsidRPr="008E7CC4">
        <w:rPr>
          <w:u w:val="double"/>
        </w:rPr>
        <w:t xml:space="preserve"> ducks</w:t>
      </w:r>
      <w:r w:rsidR="000035A0" w:rsidRPr="008E7CC4">
        <w:rPr>
          <w:u w:val="double"/>
        </w:rPr>
        <w:t xml:space="preserve"> (Brown </w:t>
      </w:r>
      <w:r w:rsidR="000035A0" w:rsidRPr="008E7CC4">
        <w:rPr>
          <w:i/>
          <w:iCs/>
          <w:u w:val="double"/>
        </w:rPr>
        <w:t>et al.,</w:t>
      </w:r>
      <w:r w:rsidR="000035A0" w:rsidRPr="008E7CC4">
        <w:rPr>
          <w:u w:val="double"/>
        </w:rPr>
        <w:t xml:space="preserve"> 2019)</w:t>
      </w:r>
      <w:r w:rsidR="005D4BF2" w:rsidRPr="008E7CC4">
        <w:rPr>
          <w:u w:val="double"/>
        </w:rPr>
        <w:t xml:space="preserve">. </w:t>
      </w:r>
      <w:r w:rsidR="000035A0" w:rsidRPr="008E7CC4">
        <w:rPr>
          <w:u w:val="double"/>
        </w:rPr>
        <w:t>Overall t</w:t>
      </w:r>
      <w:r w:rsidR="005D4BF2" w:rsidRPr="008E7CC4">
        <w:rPr>
          <w:u w:val="double"/>
        </w:rPr>
        <w:t xml:space="preserve">hese trials showed that </w:t>
      </w:r>
      <w:proofErr w:type="spellStart"/>
      <w:r w:rsidR="007879D4">
        <w:rPr>
          <w:u w:val="double"/>
        </w:rPr>
        <w:t>a</w:t>
      </w:r>
      <w:r w:rsidR="005D4BF2" w:rsidRPr="008E7CC4">
        <w:rPr>
          <w:u w:val="double"/>
        </w:rPr>
        <w:t>MPV</w:t>
      </w:r>
      <w:proofErr w:type="spellEnd"/>
      <w:r w:rsidR="005D4BF2" w:rsidRPr="008E7CC4">
        <w:rPr>
          <w:u w:val="double"/>
        </w:rPr>
        <w:t>-A, B, Turkey C and D were viruses well adapted to Galliformes, especially turkeys</w:t>
      </w:r>
      <w:r w:rsidR="000035A0" w:rsidRPr="008E7CC4">
        <w:rPr>
          <w:u w:val="double"/>
        </w:rPr>
        <w:t xml:space="preserve">. An </w:t>
      </w:r>
      <w:proofErr w:type="spellStart"/>
      <w:r w:rsidR="000035A0" w:rsidRPr="008E7CC4">
        <w:rPr>
          <w:u w:val="double"/>
        </w:rPr>
        <w:t>a</w:t>
      </w:r>
      <w:r w:rsidR="005D4BF2" w:rsidRPr="008E7CC4">
        <w:rPr>
          <w:u w:val="double"/>
        </w:rPr>
        <w:t>MPV</w:t>
      </w:r>
      <w:proofErr w:type="spellEnd"/>
      <w:r w:rsidR="005D4BF2" w:rsidRPr="008E7CC4">
        <w:rPr>
          <w:u w:val="double"/>
        </w:rPr>
        <w:t xml:space="preserve">-C </w:t>
      </w:r>
      <w:r w:rsidR="000035A0" w:rsidRPr="008E7CC4">
        <w:rPr>
          <w:u w:val="double"/>
        </w:rPr>
        <w:t>duck isolate was well adapted to ducks</w:t>
      </w:r>
      <w:r w:rsidR="005D4BF2" w:rsidRPr="008E7CC4">
        <w:rPr>
          <w:u w:val="double"/>
        </w:rPr>
        <w:t>, however chickens and turkeys seroconverted and were positive by virus isolation.</w:t>
      </w:r>
      <w:r w:rsidR="005D4BF2" w:rsidRPr="008E7CC4">
        <w:t xml:space="preserve"> </w:t>
      </w:r>
      <w:r w:rsidR="005D4BF2" w:rsidRPr="008E7CC4">
        <w:rPr>
          <w:strike/>
        </w:rPr>
        <w:t>Interestingly in chicken</w:t>
      </w:r>
      <w:r w:rsidR="00DA37BA" w:rsidRPr="008E7CC4">
        <w:rPr>
          <w:strike/>
        </w:rPr>
        <w:t xml:space="preserve">s and turkeys, duck </w:t>
      </w:r>
      <w:proofErr w:type="spellStart"/>
      <w:r w:rsidR="00DA37BA" w:rsidRPr="008E7CC4">
        <w:rPr>
          <w:strike/>
        </w:rPr>
        <w:t>a</w:t>
      </w:r>
      <w:r w:rsidR="005D4BF2" w:rsidRPr="008E7CC4">
        <w:rPr>
          <w:strike/>
        </w:rPr>
        <w:t>MPV</w:t>
      </w:r>
      <w:proofErr w:type="spellEnd"/>
      <w:r w:rsidR="005D4BF2" w:rsidRPr="008E7CC4">
        <w:rPr>
          <w:strike/>
        </w:rPr>
        <w:t>-C isolation was possible despite a lack of detection of v</w:t>
      </w:r>
      <w:r w:rsidR="00DA37BA" w:rsidRPr="008E7CC4">
        <w:rPr>
          <w:strike/>
        </w:rPr>
        <w:t xml:space="preserve">iral RNA. </w:t>
      </w:r>
      <w:r w:rsidR="00DA37BA" w:rsidRPr="00322D31">
        <w:rPr>
          <w:u w:val="double"/>
        </w:rPr>
        <w:t xml:space="preserve">Likewise, the turkey </w:t>
      </w:r>
      <w:proofErr w:type="spellStart"/>
      <w:r w:rsidR="00DA37BA" w:rsidRPr="00322D31">
        <w:rPr>
          <w:u w:val="double"/>
        </w:rPr>
        <w:t>a</w:t>
      </w:r>
      <w:r w:rsidR="005D4BF2" w:rsidRPr="00322D31">
        <w:rPr>
          <w:u w:val="double"/>
        </w:rPr>
        <w:t>MPV</w:t>
      </w:r>
      <w:proofErr w:type="spellEnd"/>
      <w:r w:rsidR="005D4BF2" w:rsidRPr="00322D31">
        <w:rPr>
          <w:u w:val="double"/>
        </w:rPr>
        <w:t>-C virus was well adapted to turkeys yet was also isolated from chickens</w:t>
      </w:r>
      <w:r w:rsidR="005D4BF2" w:rsidRPr="008E7CC4">
        <w:rPr>
          <w:strike/>
        </w:rPr>
        <w:t xml:space="preserve"> despite a lack of detection of viral RNA</w:t>
      </w:r>
      <w:r w:rsidR="000035A0" w:rsidRPr="008E7CC4">
        <w:t xml:space="preserve">. </w:t>
      </w:r>
      <w:r w:rsidR="000035A0" w:rsidRPr="00322D31">
        <w:rPr>
          <w:u w:val="double"/>
        </w:rPr>
        <w:t>Other</w:t>
      </w:r>
      <w:r w:rsidR="00FB52DE" w:rsidRPr="00322D31">
        <w:rPr>
          <w:u w:val="double"/>
        </w:rPr>
        <w:t xml:space="preserve"> experimental studies</w:t>
      </w:r>
      <w:r w:rsidR="00FB52DE" w:rsidRPr="008E7CC4">
        <w:t xml:space="preserve"> suggest that direct contact is necessary for bird-to-bird spread of the </w:t>
      </w:r>
      <w:r w:rsidR="0051090E" w:rsidRPr="008E7CC4">
        <w:rPr>
          <w:u w:val="double"/>
        </w:rPr>
        <w:t>disease</w:t>
      </w:r>
      <w:r w:rsidR="0051090E" w:rsidRPr="008E7CC4">
        <w:t xml:space="preserve"> </w:t>
      </w:r>
      <w:r w:rsidR="00FB52DE" w:rsidRPr="008E7CC4">
        <w:rPr>
          <w:strike/>
        </w:rPr>
        <w:t xml:space="preserve">virus </w:t>
      </w:r>
      <w:r w:rsidR="00FB52DE" w:rsidRPr="008E7CC4">
        <w:t>(</w:t>
      </w:r>
      <w:r w:rsidR="00221851" w:rsidRPr="008E7CC4">
        <w:t xml:space="preserve">Alkhalaf </w:t>
      </w:r>
      <w:r w:rsidR="00B7724F" w:rsidRPr="008E7CC4">
        <w:rPr>
          <w:i/>
        </w:rPr>
        <w:t>et al</w:t>
      </w:r>
      <w:r w:rsidR="00221851" w:rsidRPr="008E7CC4">
        <w:t>., 2002</w:t>
      </w:r>
      <w:r w:rsidR="00221851" w:rsidRPr="00115864">
        <w:rPr>
          <w:strike/>
        </w:rPr>
        <w:t>;</w:t>
      </w:r>
      <w:r w:rsidR="00FB52DE" w:rsidRPr="00115864">
        <w:rPr>
          <w:strike/>
        </w:rPr>
        <w:t xml:space="preserve"> </w:t>
      </w:r>
      <w:r w:rsidR="00BD7156" w:rsidRPr="00115864">
        <w:rPr>
          <w:strike/>
        </w:rPr>
        <w:t xml:space="preserve">Cook </w:t>
      </w:r>
      <w:r w:rsidR="00B7724F" w:rsidRPr="00115864">
        <w:rPr>
          <w:i/>
          <w:strike/>
        </w:rPr>
        <w:t>et al</w:t>
      </w:r>
      <w:r w:rsidR="00BD7156" w:rsidRPr="00115864">
        <w:rPr>
          <w:strike/>
        </w:rPr>
        <w:t>., 1991</w:t>
      </w:r>
      <w:r w:rsidR="00FB52DE" w:rsidRPr="008E7CC4">
        <w:t xml:space="preserve">). In commercial conditions </w:t>
      </w:r>
      <w:proofErr w:type="spellStart"/>
      <w:r w:rsidR="00FE762F" w:rsidRPr="008E7CC4">
        <w:rPr>
          <w:szCs w:val="24"/>
          <w:lang w:eastAsia="en-GB"/>
        </w:rPr>
        <w:t>aerogenous</w:t>
      </w:r>
      <w:proofErr w:type="spellEnd"/>
      <w:r w:rsidR="00FE762F" w:rsidRPr="008E7CC4">
        <w:rPr>
          <w:szCs w:val="24"/>
          <w:lang w:eastAsia="en-GB"/>
        </w:rPr>
        <w:t xml:space="preserve"> infection following</w:t>
      </w:r>
      <w:r w:rsidR="00FE762F" w:rsidRPr="008E7CC4">
        <w:t xml:space="preserve"> </w:t>
      </w:r>
      <w:r w:rsidR="002E7F2A" w:rsidRPr="008E7CC4">
        <w:t xml:space="preserve">airborne </w:t>
      </w:r>
      <w:r w:rsidR="00FB52DE" w:rsidRPr="008E7CC4">
        <w:t>transmission is</w:t>
      </w:r>
      <w:r w:rsidR="00FE762F" w:rsidRPr="008E7CC4">
        <w:t xml:space="preserve"> </w:t>
      </w:r>
      <w:r w:rsidR="0018723B" w:rsidRPr="008E7CC4">
        <w:t>also likely as</w:t>
      </w:r>
      <w:r w:rsidR="00FB52DE" w:rsidRPr="008E7CC4">
        <w:t xml:space="preserve"> the disease is restricted to the respiratory tract. Following experimental infection of 2-week-old turkeys </w:t>
      </w:r>
      <w:r w:rsidR="002E7F2A" w:rsidRPr="008E7CC4">
        <w:t xml:space="preserve">with </w:t>
      </w:r>
      <w:proofErr w:type="spellStart"/>
      <w:r w:rsidR="002E7F2A" w:rsidRPr="008E7CC4">
        <w:t>aMPV</w:t>
      </w:r>
      <w:proofErr w:type="spellEnd"/>
      <w:r w:rsidR="002E7F2A" w:rsidRPr="008E7CC4">
        <w:t xml:space="preserve"> alone, </w:t>
      </w:r>
      <w:r w:rsidR="00FB52DE" w:rsidRPr="008E7CC4">
        <w:t xml:space="preserve">the virus was detected in the respiratory tract for only a </w:t>
      </w:r>
      <w:r w:rsidR="00FB52DE" w:rsidRPr="002E0DF3">
        <w:t>few days (</w:t>
      </w:r>
      <w:proofErr w:type="spellStart"/>
      <w:r w:rsidR="00381877" w:rsidRPr="00B7724F">
        <w:t>B</w:t>
      </w:r>
      <w:r w:rsidR="007879D4">
        <w:t>a</w:t>
      </w:r>
      <w:r w:rsidR="00381877" w:rsidRPr="00B7724F">
        <w:t>yon-Auboyer</w:t>
      </w:r>
      <w:proofErr w:type="spellEnd"/>
      <w:r w:rsidR="00381877" w:rsidRPr="00B7724F">
        <w:t xml:space="preserve"> </w:t>
      </w:r>
      <w:r w:rsidR="00B7724F" w:rsidRPr="00B7724F">
        <w:rPr>
          <w:i/>
        </w:rPr>
        <w:t>et al</w:t>
      </w:r>
      <w:r w:rsidR="00381877" w:rsidRPr="00B7724F">
        <w:t xml:space="preserve">., </w:t>
      </w:r>
      <w:r w:rsidR="00381877">
        <w:t>1999</w:t>
      </w:r>
      <w:r w:rsidR="00FB52DE" w:rsidRPr="002E0DF3">
        <w:t xml:space="preserve">). However, in birds inoculated with </w:t>
      </w:r>
      <w:proofErr w:type="spellStart"/>
      <w:r w:rsidR="00FB52DE" w:rsidRPr="002E0DF3">
        <w:t>aMPV</w:t>
      </w:r>
      <w:proofErr w:type="spellEnd"/>
      <w:r w:rsidR="00FB52DE" w:rsidRPr="002E0DF3">
        <w:t xml:space="preserve"> and </w:t>
      </w:r>
      <w:r w:rsidR="002E7F2A" w:rsidRPr="002E0DF3">
        <w:rPr>
          <w:i/>
          <w:iCs/>
        </w:rPr>
        <w:t>B. </w:t>
      </w:r>
      <w:r w:rsidR="00FB52DE" w:rsidRPr="002E0DF3">
        <w:rPr>
          <w:i/>
          <w:iCs/>
        </w:rPr>
        <w:t>avium</w:t>
      </w:r>
      <w:r w:rsidR="002E7F2A" w:rsidRPr="002E0DF3">
        <w:rPr>
          <w:i/>
          <w:iCs/>
        </w:rPr>
        <w:t>,</w:t>
      </w:r>
      <w:r w:rsidR="00FB52DE" w:rsidRPr="002E0DF3">
        <w:t xml:space="preserve"> virus was detected for up to 7 days post-inoculation (dpi) (</w:t>
      </w:r>
      <w:r w:rsidR="00894526" w:rsidRPr="00B7724F">
        <w:t>Collins &amp; Gough,</w:t>
      </w:r>
      <w:r w:rsidR="00894526">
        <w:t xml:space="preserve"> </w:t>
      </w:r>
      <w:r w:rsidR="00894526" w:rsidRPr="002E0DF3">
        <w:t>1988</w:t>
      </w:r>
      <w:r w:rsidR="00221851">
        <w:t>;</w:t>
      </w:r>
      <w:r w:rsidR="008F1E7E">
        <w:t xml:space="preserve"> </w:t>
      </w:r>
      <w:r w:rsidR="00D311EB">
        <w:t xml:space="preserve">Cook </w:t>
      </w:r>
      <w:r w:rsidR="00B7724F" w:rsidRPr="00B7724F">
        <w:rPr>
          <w:i/>
        </w:rPr>
        <w:t>et al</w:t>
      </w:r>
      <w:r w:rsidR="00D311EB">
        <w:t>., 1993b</w:t>
      </w:r>
      <w:r w:rsidR="00221851" w:rsidRPr="009733A1">
        <w:rPr>
          <w:strike/>
        </w:rPr>
        <w:t xml:space="preserve">; </w:t>
      </w:r>
      <w:r w:rsidR="00793D7F" w:rsidRPr="009733A1">
        <w:rPr>
          <w:strike/>
        </w:rPr>
        <w:t>Naylor &amp; Jones, 1993</w:t>
      </w:r>
      <w:r w:rsidR="00FB52DE" w:rsidRPr="002E0DF3">
        <w:t xml:space="preserve">). There is no evidence that </w:t>
      </w:r>
      <w:proofErr w:type="spellStart"/>
      <w:r w:rsidR="00FB52DE" w:rsidRPr="002E0DF3">
        <w:t>aMPV</w:t>
      </w:r>
      <w:proofErr w:type="spellEnd"/>
      <w:r w:rsidR="00FB52DE" w:rsidRPr="002E0DF3">
        <w:t xml:space="preserve"> can result in a latent infection and no carrier state is known to exist. Although neonatal turkeys are occasionally infected (</w:t>
      </w:r>
      <w:r w:rsidR="00A74CEF">
        <w:t xml:space="preserve">Shin </w:t>
      </w:r>
      <w:r w:rsidR="00B7724F" w:rsidRPr="00B7724F">
        <w:rPr>
          <w:i/>
        </w:rPr>
        <w:t>et al</w:t>
      </w:r>
      <w:r w:rsidR="00A74CEF">
        <w:t>., 2002a</w:t>
      </w:r>
      <w:r w:rsidR="00FB52DE" w:rsidRPr="002E0DF3">
        <w:t>)</w:t>
      </w:r>
      <w:r w:rsidR="002E7F2A" w:rsidRPr="002E0DF3">
        <w:t>,</w:t>
      </w:r>
      <w:r w:rsidR="00FB52DE" w:rsidRPr="002E0DF3">
        <w:t xml:space="preserve"> there </w:t>
      </w:r>
      <w:r w:rsidR="002E7F2A" w:rsidRPr="002E0DF3">
        <w:t>have been</w:t>
      </w:r>
      <w:r w:rsidR="00FB52DE" w:rsidRPr="002E0DF3">
        <w:t xml:space="preserve"> no reports of vertical transmission of </w:t>
      </w:r>
      <w:proofErr w:type="spellStart"/>
      <w:r w:rsidR="00FB52DE" w:rsidRPr="002E0DF3">
        <w:t>aMPV</w:t>
      </w:r>
      <w:proofErr w:type="spellEnd"/>
      <w:r w:rsidR="00FB52DE" w:rsidRPr="002E0DF3">
        <w:t>.</w:t>
      </w:r>
    </w:p>
    <w:p w14:paraId="733CDB8B" w14:textId="77777777" w:rsidR="00FB52DE" w:rsidRPr="002E0DF3" w:rsidRDefault="00FB52DE">
      <w:pPr>
        <w:pStyle w:val="paraA0"/>
      </w:pPr>
      <w:r w:rsidRPr="002E0DF3">
        <w:t>In growing turkeys</w:t>
      </w:r>
      <w:r w:rsidR="00414616" w:rsidRPr="002E0DF3">
        <w:t>,</w:t>
      </w:r>
      <w:r w:rsidRPr="002E0DF3">
        <w:t xml:space="preserve"> virus replication is limited to the upper respiratory tract </w:t>
      </w:r>
      <w:r w:rsidR="00414616" w:rsidRPr="002E0DF3">
        <w:t xml:space="preserve">with a short </w:t>
      </w:r>
      <w:r w:rsidR="0018723B" w:rsidRPr="002E0DF3">
        <w:t xml:space="preserve">viraemia. </w:t>
      </w:r>
      <w:r w:rsidRPr="002E0DF3">
        <w:t xml:space="preserve">Replication of both attenuated and virulent strains of </w:t>
      </w:r>
      <w:proofErr w:type="spellStart"/>
      <w:r w:rsidRPr="002E0DF3">
        <w:t>aMPV</w:t>
      </w:r>
      <w:proofErr w:type="spellEnd"/>
      <w:r w:rsidRPr="002E0DF3">
        <w:t xml:space="preserve"> persists for approximately 10 dpi (</w:t>
      </w:r>
      <w:r w:rsidR="00BD7156" w:rsidRPr="00115864">
        <w:rPr>
          <w:strike/>
        </w:rPr>
        <w:t xml:space="preserve">Cook </w:t>
      </w:r>
      <w:r w:rsidR="00B7724F" w:rsidRPr="00115864">
        <w:rPr>
          <w:i/>
          <w:strike/>
        </w:rPr>
        <w:t>et al</w:t>
      </w:r>
      <w:r w:rsidR="00BD7156" w:rsidRPr="00115864">
        <w:rPr>
          <w:strike/>
        </w:rPr>
        <w:t>., 1991</w:t>
      </w:r>
      <w:r w:rsidR="00221851" w:rsidRPr="00115864">
        <w:rPr>
          <w:strike/>
        </w:rPr>
        <w:t xml:space="preserve">; </w:t>
      </w:r>
      <w:r w:rsidR="00DC6D28">
        <w:t xml:space="preserve">Van De </w:t>
      </w:r>
      <w:r w:rsidR="00B7724F">
        <w:t xml:space="preserve">Zande </w:t>
      </w:r>
      <w:r w:rsidR="00B7724F" w:rsidRPr="00B7724F">
        <w:rPr>
          <w:i/>
        </w:rPr>
        <w:t>et al</w:t>
      </w:r>
      <w:r w:rsidR="00B7724F">
        <w:t>., 1999</w:t>
      </w:r>
      <w:r w:rsidRPr="002E0DF3">
        <w:t>). Limited replication occurs in the trachea, and lung, but virus has not been shown to replicate in other tissues following natural infection (</w:t>
      </w:r>
      <w:r w:rsidR="00894526" w:rsidRPr="00B7724F">
        <w:t>Cook</w:t>
      </w:r>
      <w:r w:rsidR="00C2157B" w:rsidRPr="00B7724F">
        <w:t>,</w:t>
      </w:r>
      <w:r w:rsidR="00894526" w:rsidRPr="002E0DF3">
        <w:t xml:space="preserve"> </w:t>
      </w:r>
      <w:r w:rsidR="00894526" w:rsidRPr="00115864">
        <w:rPr>
          <w:strike/>
        </w:rPr>
        <w:t>2000a</w:t>
      </w:r>
      <w:r w:rsidR="00C2157B" w:rsidRPr="00115864">
        <w:rPr>
          <w:strike/>
        </w:rPr>
        <w:t xml:space="preserve">; </w:t>
      </w:r>
      <w:r w:rsidR="00C2157B">
        <w:t>2000</w:t>
      </w:r>
      <w:r w:rsidR="00C2157B" w:rsidRPr="00115864">
        <w:rPr>
          <w:strike/>
        </w:rPr>
        <w:t>b</w:t>
      </w:r>
      <w:r w:rsidRPr="002E0DF3">
        <w:t xml:space="preserve">). Sequential histopathological and immunocytochemical studies have shown viral replication in the </w:t>
      </w:r>
      <w:proofErr w:type="spellStart"/>
      <w:r w:rsidRPr="002E0DF3">
        <w:t>turbinates</w:t>
      </w:r>
      <w:proofErr w:type="spellEnd"/>
      <w:r w:rsidRPr="002E0DF3">
        <w:t xml:space="preserve"> causing a serious rhinitis with increased glandular activity, epithelial exfoliation, focal loss of cilia, hyperaemia and mild mononuclear infiltration in the submucosa and eosinophilic intracytoplasmic inclusions in the ciliated cells of the </w:t>
      </w:r>
      <w:proofErr w:type="spellStart"/>
      <w:r w:rsidRPr="002E0DF3">
        <w:t>turbinates</w:t>
      </w:r>
      <w:proofErr w:type="spellEnd"/>
      <w:r w:rsidRPr="002E0DF3">
        <w:t xml:space="preserve"> at 2 dpi. A catarrhal rhinitis with mucopurulent exudate, damage to the epithelial layer and a copious mononuclear inflammatory infiltration in the submucosa was seen 3–4 dpi. Transient lesions were seen in the trachea, with little or no lesions present in the conjunctiva and other tissues (</w:t>
      </w:r>
      <w:r w:rsidR="00D311EB">
        <w:t xml:space="preserve">Giraud </w:t>
      </w:r>
      <w:r w:rsidR="00B7724F" w:rsidRPr="00B7724F">
        <w:rPr>
          <w:i/>
        </w:rPr>
        <w:t>et al</w:t>
      </w:r>
      <w:r w:rsidR="00D311EB">
        <w:t>., 1988</w:t>
      </w:r>
      <w:r w:rsidR="00221851">
        <w:t>;</w:t>
      </w:r>
      <w:r w:rsidRPr="002E0DF3">
        <w:t xml:space="preserve"> </w:t>
      </w:r>
      <w:r w:rsidR="00C14374">
        <w:t xml:space="preserve">Majo </w:t>
      </w:r>
      <w:r w:rsidR="00B7724F" w:rsidRPr="00B7724F">
        <w:rPr>
          <w:i/>
        </w:rPr>
        <w:t>et al</w:t>
      </w:r>
      <w:r w:rsidR="00C14374">
        <w:t>., 1995</w:t>
      </w:r>
      <w:r w:rsidRPr="002E0DF3">
        <w:t>). Respiratory infection is less severe in laying turkeys; however, there may be a drop in egg production of up to 70% (</w:t>
      </w:r>
      <w:r w:rsidR="00A74CEF" w:rsidRPr="00B7724F">
        <w:t>Stuart, 1989</w:t>
      </w:r>
      <w:r w:rsidRPr="002E0DF3">
        <w:t xml:space="preserve">) and the quality of eggs during the recovery period, up to 3 weeks, may be </w:t>
      </w:r>
      <w:r w:rsidRPr="003D7CFA">
        <w:t xml:space="preserve">poor. In experimentally </w:t>
      </w:r>
      <w:r w:rsidRPr="002E0DF3">
        <w:t>infected laying turkeys, viral replication has been demonstrated in both the respira</w:t>
      </w:r>
      <w:r w:rsidR="006F3FEF" w:rsidRPr="002E0DF3">
        <w:t xml:space="preserve">tory and genital tracts </w:t>
      </w:r>
      <w:r w:rsidR="00414616" w:rsidRPr="002E0DF3">
        <w:t xml:space="preserve">up </w:t>
      </w:r>
      <w:r w:rsidR="006F3FEF" w:rsidRPr="002E0DF3">
        <w:t>to 9 </w:t>
      </w:r>
      <w:r w:rsidRPr="002E0DF3">
        <w:t>dpi</w:t>
      </w:r>
      <w:r w:rsidRPr="009733A1">
        <w:rPr>
          <w:strike/>
        </w:rPr>
        <w:t xml:space="preserve"> (</w:t>
      </w:r>
      <w:r w:rsidR="00C16CFF" w:rsidRPr="009733A1">
        <w:rPr>
          <w:strike/>
        </w:rPr>
        <w:t xml:space="preserve">Jones </w:t>
      </w:r>
      <w:r w:rsidR="00B7724F" w:rsidRPr="009733A1">
        <w:rPr>
          <w:i/>
          <w:strike/>
        </w:rPr>
        <w:t>et al</w:t>
      </w:r>
      <w:r w:rsidR="00C16CFF" w:rsidRPr="009733A1">
        <w:rPr>
          <w:strike/>
        </w:rPr>
        <w:t>., 1988</w:t>
      </w:r>
      <w:r w:rsidRPr="009733A1">
        <w:rPr>
          <w:strike/>
        </w:rPr>
        <w:t>)</w:t>
      </w:r>
      <w:r w:rsidRPr="002E0DF3">
        <w:t>.</w:t>
      </w:r>
    </w:p>
    <w:p w14:paraId="00BF5B29" w14:textId="77777777" w:rsidR="00FB52DE" w:rsidRPr="002E0DF3" w:rsidRDefault="00FB52DE">
      <w:pPr>
        <w:pStyle w:val="paraA0"/>
      </w:pPr>
      <w:r w:rsidRPr="002E0DF3">
        <w:t>In chickens</w:t>
      </w:r>
      <w:r w:rsidR="00414616" w:rsidRPr="002E0DF3">
        <w:t>,</w:t>
      </w:r>
      <w:r w:rsidRPr="002E0DF3">
        <w:t xml:space="preserve"> there is strong evidence to suggest </w:t>
      </w:r>
      <w:proofErr w:type="spellStart"/>
      <w:r w:rsidRPr="002E0DF3">
        <w:t>aMPV</w:t>
      </w:r>
      <w:proofErr w:type="spellEnd"/>
      <w:r w:rsidRPr="002E0DF3">
        <w:t xml:space="preserve"> is one of the aetiological agents of swollen head syndrome (SHS). The syndrome is characterised by respiratory disease, apathy, swelling of </w:t>
      </w:r>
      <w:proofErr w:type="spellStart"/>
      <w:r w:rsidRPr="002E0DF3">
        <w:t>infraborbital</w:t>
      </w:r>
      <w:proofErr w:type="spellEnd"/>
      <w:r w:rsidRPr="002E0DF3">
        <w:t xml:space="preserve"> sinuses and unilateral or bilateral</w:t>
      </w:r>
      <w:r w:rsidR="003822FD" w:rsidRPr="002E0DF3">
        <w:t xml:space="preserve"> </w:t>
      </w:r>
      <w:r w:rsidR="003822FD" w:rsidRPr="002E0DF3">
        <w:rPr>
          <w:szCs w:val="24"/>
          <w:lang w:eastAsia="en-GB"/>
        </w:rPr>
        <w:t>periorbital and</w:t>
      </w:r>
      <w:r w:rsidRPr="002E0DF3">
        <w:t xml:space="preserve"> facial swelling, extending over the head. These signs are frequently followed by cerebral disorientation, torticollis and opisthotonos. Although mortality does not usually exceed 1–2%, morbidity may reach </w:t>
      </w:r>
      <w:r w:rsidRPr="002E0DF3">
        <w:lastRenderedPageBreak/>
        <w:t>10%, and egg production is frequently affected (</w:t>
      </w:r>
      <w:r w:rsidR="00894526" w:rsidRPr="00B7724F">
        <w:t xml:space="preserve">Gough </w:t>
      </w:r>
      <w:r w:rsidR="00B7724F" w:rsidRPr="00B7724F">
        <w:rPr>
          <w:i/>
        </w:rPr>
        <w:t>et al</w:t>
      </w:r>
      <w:r w:rsidR="00894526" w:rsidRPr="00B7724F">
        <w:t xml:space="preserve">., </w:t>
      </w:r>
      <w:r w:rsidR="00894526" w:rsidRPr="002E0DF3">
        <w:t>19</w:t>
      </w:r>
      <w:r w:rsidR="00894526">
        <w:t>94</w:t>
      </w:r>
      <w:r w:rsidR="00221851">
        <w:t>;</w:t>
      </w:r>
      <w:r w:rsidRPr="002E0DF3">
        <w:t xml:space="preserve"> </w:t>
      </w:r>
      <w:r w:rsidR="00793D7F" w:rsidRPr="00B7724F">
        <w:t xml:space="preserve">Morley &amp;Thomson, </w:t>
      </w:r>
      <w:r w:rsidR="00793D7F" w:rsidRPr="002E0DF3">
        <w:t>1984</w:t>
      </w:r>
      <w:r w:rsidR="00221851">
        <w:t>;</w:t>
      </w:r>
      <w:r w:rsidRPr="002E0DF3">
        <w:t xml:space="preserve"> </w:t>
      </w:r>
      <w:r w:rsidR="00A74CEF" w:rsidRPr="00B7724F">
        <w:t xml:space="preserve">O’Brien, </w:t>
      </w:r>
      <w:r w:rsidR="00A74CEF" w:rsidRPr="002E0DF3">
        <w:t>1985</w:t>
      </w:r>
      <w:r w:rsidR="00221851">
        <w:t>;</w:t>
      </w:r>
      <w:r w:rsidRPr="002E0DF3">
        <w:t xml:space="preserve"> </w:t>
      </w:r>
      <w:r w:rsidR="00A74CEF">
        <w:t xml:space="preserve">Pattison </w:t>
      </w:r>
      <w:r w:rsidR="00B7724F" w:rsidRPr="00B7724F">
        <w:rPr>
          <w:i/>
        </w:rPr>
        <w:t>et al</w:t>
      </w:r>
      <w:r w:rsidR="00A74CEF">
        <w:t>., 1989</w:t>
      </w:r>
      <w:r w:rsidR="00221851">
        <w:t>;</w:t>
      </w:r>
      <w:r w:rsidRPr="002E0DF3">
        <w:t xml:space="preserve"> </w:t>
      </w:r>
      <w:proofErr w:type="spellStart"/>
      <w:r w:rsidR="00A74CEF">
        <w:t>Picault</w:t>
      </w:r>
      <w:proofErr w:type="spellEnd"/>
      <w:r w:rsidR="00A74CEF">
        <w:t xml:space="preserve"> </w:t>
      </w:r>
      <w:r w:rsidR="00B7724F" w:rsidRPr="00B7724F">
        <w:rPr>
          <w:i/>
        </w:rPr>
        <w:t>et al</w:t>
      </w:r>
      <w:r w:rsidR="00A74CEF">
        <w:t>., 1987</w:t>
      </w:r>
      <w:r w:rsidR="00221851">
        <w:t>;</w:t>
      </w:r>
      <w:r w:rsidRPr="002E0DF3">
        <w:t xml:space="preserve"> </w:t>
      </w:r>
      <w:r w:rsidR="00A74CEF">
        <w:t xml:space="preserve">Tanaka </w:t>
      </w:r>
      <w:r w:rsidR="00B7724F" w:rsidRPr="00B7724F">
        <w:rPr>
          <w:i/>
        </w:rPr>
        <w:t>et al</w:t>
      </w:r>
      <w:r w:rsidR="00A74CEF">
        <w:t>., 1995</w:t>
      </w:r>
      <w:r w:rsidRPr="002E0DF3">
        <w:t>).</w:t>
      </w:r>
    </w:p>
    <w:p w14:paraId="4818EA84" w14:textId="5AB33270" w:rsidR="00FB52DE" w:rsidRPr="00B97B8D" w:rsidRDefault="00FB52DE" w:rsidP="006E5C4E">
      <w:pPr>
        <w:pStyle w:val="paraA0"/>
      </w:pPr>
      <w:r w:rsidRPr="002E0DF3">
        <w:t xml:space="preserve">Serological evidence suggests </w:t>
      </w:r>
      <w:proofErr w:type="spellStart"/>
      <w:r w:rsidRPr="002E0DF3">
        <w:t>aMPV</w:t>
      </w:r>
      <w:proofErr w:type="spellEnd"/>
      <w:r w:rsidRPr="002E0DF3">
        <w:t xml:space="preserve"> is widespread throughout the world and of considerable economic importance, particularly in turkeys. Oceania and Canada are the only regions that have not reported </w:t>
      </w:r>
      <w:proofErr w:type="spellStart"/>
      <w:r w:rsidRPr="002E0DF3">
        <w:t>aMPV</w:t>
      </w:r>
      <w:proofErr w:type="spellEnd"/>
      <w:r w:rsidR="00A85671">
        <w:t xml:space="preserve"> </w:t>
      </w:r>
      <w:r w:rsidR="00A85671" w:rsidRPr="00162C31">
        <w:rPr>
          <w:u w:val="double"/>
        </w:rPr>
        <w:t>in poultry</w:t>
      </w:r>
      <w:r w:rsidRPr="002E0DF3">
        <w:t xml:space="preserve"> (</w:t>
      </w:r>
      <w:r w:rsidR="00C2157B" w:rsidRPr="00B7724F">
        <w:t>Cook,</w:t>
      </w:r>
      <w:r w:rsidR="00C2157B" w:rsidRPr="002E0DF3">
        <w:t xml:space="preserve"> </w:t>
      </w:r>
      <w:r w:rsidR="00C2157B" w:rsidRPr="00115864">
        <w:rPr>
          <w:strike/>
        </w:rPr>
        <w:t>2000a;</w:t>
      </w:r>
      <w:r w:rsidR="00C2157B" w:rsidRPr="001E291E">
        <w:rPr>
          <w:strike/>
        </w:rPr>
        <w:t xml:space="preserve"> </w:t>
      </w:r>
      <w:r w:rsidR="00C2157B">
        <w:t>2000</w:t>
      </w:r>
      <w:r w:rsidR="00C2157B" w:rsidRPr="00115864">
        <w:rPr>
          <w:strike/>
        </w:rPr>
        <w:t>b</w:t>
      </w:r>
      <w:r w:rsidR="00221851" w:rsidRPr="001E291E">
        <w:rPr>
          <w:strike/>
        </w:rPr>
        <w:t>;</w:t>
      </w:r>
      <w:r w:rsidRPr="001E291E">
        <w:rPr>
          <w:strike/>
        </w:rPr>
        <w:t xml:space="preserve"> </w:t>
      </w:r>
      <w:r w:rsidR="00332BC3" w:rsidRPr="001E291E">
        <w:rPr>
          <w:strike/>
        </w:rPr>
        <w:t>Gough, 2003</w:t>
      </w:r>
      <w:r w:rsidRPr="002E0DF3">
        <w:t xml:space="preserve">). There is serological and molecular evidence that </w:t>
      </w:r>
      <w:proofErr w:type="spellStart"/>
      <w:r w:rsidRPr="002E0DF3">
        <w:t>aMPV</w:t>
      </w:r>
      <w:proofErr w:type="spellEnd"/>
      <w:r w:rsidRPr="002E0DF3">
        <w:t xml:space="preserve"> occurs in a variety of other avian species, including pheasants, guinea fowl, ostriches, passerines and various waterfowl (</w:t>
      </w:r>
      <w:r w:rsidR="00894526" w:rsidRPr="00115864">
        <w:rPr>
          <w:strike/>
          <w:lang w:val="en-IE"/>
        </w:rPr>
        <w:t xml:space="preserve">Bennett </w:t>
      </w:r>
      <w:r w:rsidR="00B7724F" w:rsidRPr="00115864">
        <w:rPr>
          <w:i/>
          <w:strike/>
          <w:lang w:val="en-IE"/>
        </w:rPr>
        <w:t>et al</w:t>
      </w:r>
      <w:r w:rsidR="00894526" w:rsidRPr="00115864">
        <w:rPr>
          <w:strike/>
          <w:lang w:val="en-IE"/>
        </w:rPr>
        <w:t>., 2004</w:t>
      </w:r>
      <w:r w:rsidR="00221851" w:rsidRPr="00115864">
        <w:rPr>
          <w:strike/>
        </w:rPr>
        <w:t>;</w:t>
      </w:r>
      <w:r w:rsidRPr="00115864">
        <w:rPr>
          <w:strike/>
        </w:rPr>
        <w:t xml:space="preserve"> </w:t>
      </w:r>
      <w:r w:rsidR="00332BC3" w:rsidRPr="001E291E">
        <w:rPr>
          <w:strike/>
        </w:rPr>
        <w:t>Gough, 2003</w:t>
      </w:r>
      <w:r w:rsidR="00221851" w:rsidRPr="001E291E">
        <w:rPr>
          <w:strike/>
        </w:rPr>
        <w:t>;</w:t>
      </w:r>
      <w:r w:rsidRPr="001E291E">
        <w:rPr>
          <w:strike/>
        </w:rPr>
        <w:t xml:space="preserve"> </w:t>
      </w:r>
      <w:r w:rsidR="00C16CFF" w:rsidRPr="001E291E">
        <w:rPr>
          <w:strike/>
        </w:rPr>
        <w:t>Lee</w:t>
      </w:r>
      <w:r w:rsidR="00C16CFF" w:rsidRPr="009733A1">
        <w:rPr>
          <w:strike/>
        </w:rPr>
        <w:t xml:space="preserve"> </w:t>
      </w:r>
      <w:r w:rsidR="00B7724F" w:rsidRPr="009733A1">
        <w:rPr>
          <w:i/>
          <w:strike/>
        </w:rPr>
        <w:t>et al</w:t>
      </w:r>
      <w:r w:rsidR="00C16CFF" w:rsidRPr="009733A1">
        <w:rPr>
          <w:strike/>
        </w:rPr>
        <w:t>., 2007</w:t>
      </w:r>
      <w:r w:rsidR="00221851" w:rsidRPr="009733A1">
        <w:rPr>
          <w:strike/>
        </w:rPr>
        <w:t>;</w:t>
      </w:r>
      <w:r w:rsidR="001315CE" w:rsidRPr="009733A1">
        <w:rPr>
          <w:strike/>
        </w:rPr>
        <w:t xml:space="preserve"> </w:t>
      </w:r>
      <w:r w:rsidR="00A74CEF">
        <w:t xml:space="preserve">Shin </w:t>
      </w:r>
      <w:r w:rsidR="00B7724F" w:rsidRPr="00B7724F">
        <w:rPr>
          <w:i/>
        </w:rPr>
        <w:t>et al</w:t>
      </w:r>
      <w:r w:rsidR="00A74CEF">
        <w:t>., 2002b</w:t>
      </w:r>
      <w:r w:rsidRPr="002E0DF3">
        <w:t>),</w:t>
      </w:r>
      <w:r w:rsidRPr="002E0DF3">
        <w:rPr>
          <w:color w:val="0000FF"/>
        </w:rPr>
        <w:t xml:space="preserve"> </w:t>
      </w:r>
      <w:r w:rsidRPr="002E0DF3">
        <w:t>but there is no evidence of</w:t>
      </w:r>
      <w:r w:rsidR="002D579F">
        <w:t xml:space="preserve"> </w:t>
      </w:r>
      <w:r w:rsidRPr="002E0DF3">
        <w:t>disease</w:t>
      </w:r>
      <w:r w:rsidRPr="002E0DF3">
        <w:rPr>
          <w:color w:val="0000FF"/>
        </w:rPr>
        <w:t>.</w:t>
      </w:r>
    </w:p>
    <w:p w14:paraId="56765036" w14:textId="459A5B60" w:rsidR="00860CE1" w:rsidRDefault="00860CE1" w:rsidP="003D7CFA">
      <w:pPr>
        <w:pStyle w:val="paraA0"/>
        <w:rPr>
          <w:u w:val="double"/>
        </w:rPr>
      </w:pPr>
      <w:proofErr w:type="spellStart"/>
      <w:r w:rsidRPr="006E5C4E">
        <w:rPr>
          <w:u w:val="double"/>
        </w:rPr>
        <w:t>aMPV</w:t>
      </w:r>
      <w:proofErr w:type="spellEnd"/>
      <w:r w:rsidRPr="006E5C4E">
        <w:rPr>
          <w:u w:val="double"/>
        </w:rPr>
        <w:t xml:space="preserve"> has not been reported to cause human infections. A human MPV has been identified worldwide as a pathogen causing bronchiolitis in infants, the elderly or the immunocompromised. hMPV is genetically most related to </w:t>
      </w:r>
      <w:proofErr w:type="spellStart"/>
      <w:r w:rsidRPr="006E5C4E">
        <w:rPr>
          <w:u w:val="double"/>
        </w:rPr>
        <w:t>aMPV</w:t>
      </w:r>
      <w:proofErr w:type="spellEnd"/>
      <w:r w:rsidRPr="006E5C4E">
        <w:rPr>
          <w:u w:val="double"/>
        </w:rPr>
        <w:t xml:space="preserve"> subgroup C (amino acid identity can be 88% or higher for the most conserved proteins). However hMPV and </w:t>
      </w:r>
      <w:proofErr w:type="spellStart"/>
      <w:r w:rsidRPr="006E5C4E">
        <w:rPr>
          <w:u w:val="double"/>
        </w:rPr>
        <w:t>aMPV</w:t>
      </w:r>
      <w:proofErr w:type="spellEnd"/>
      <w:r w:rsidRPr="006E5C4E">
        <w:rPr>
          <w:u w:val="double"/>
        </w:rPr>
        <w:t xml:space="preserve">-C exhibit striking differences in their SH and G proteins (approximately 30% amino acid identity) demonstrating the two viruses are clearly different. </w:t>
      </w:r>
    </w:p>
    <w:p w14:paraId="4A5B4CD9" w14:textId="31C233C7" w:rsidR="003D7CFA" w:rsidRPr="0009654B" w:rsidRDefault="003D7CFA" w:rsidP="003D7CFA">
      <w:pPr>
        <w:pStyle w:val="para1"/>
        <w:spacing w:after="480"/>
        <w:rPr>
          <w:u w:val="double"/>
        </w:rPr>
      </w:pPr>
      <w:r w:rsidRPr="0009654B">
        <w:rPr>
          <w:u w:val="double"/>
        </w:rPr>
        <w:t xml:space="preserve">A more detailed account of the disease and its causal virus may be found in Swayne </w:t>
      </w:r>
      <w:r w:rsidRPr="0009654B">
        <w:rPr>
          <w:i/>
          <w:iCs/>
          <w:u w:val="double"/>
        </w:rPr>
        <w:t>et al.</w:t>
      </w:r>
      <w:r w:rsidRPr="0009654B">
        <w:rPr>
          <w:u w:val="double"/>
        </w:rPr>
        <w:t xml:space="preserve"> (2020).</w:t>
      </w:r>
    </w:p>
    <w:p w14:paraId="7EE9B3C0" w14:textId="4D77C217" w:rsidR="00FB52DE" w:rsidRPr="00CB72CB" w:rsidRDefault="00FB52DE">
      <w:pPr>
        <w:pStyle w:val="A0"/>
        <w:rPr>
          <w:lang w:val="en-US"/>
        </w:rPr>
      </w:pPr>
      <w:r w:rsidRPr="00CB72CB">
        <w:rPr>
          <w:lang w:val="en-US"/>
        </w:rPr>
        <w:t>B.  diagnostic techniques</w:t>
      </w:r>
    </w:p>
    <w:p w14:paraId="1C94E33A" w14:textId="0AF54CAE" w:rsidR="0024425B" w:rsidRPr="00322D31" w:rsidRDefault="0024425B" w:rsidP="0024425B">
      <w:pPr>
        <w:pStyle w:val="paraA0"/>
        <w:rPr>
          <w:u w:val="double"/>
          <w:lang w:val="en-IE"/>
        </w:rPr>
      </w:pPr>
      <w:r w:rsidRPr="00322D31">
        <w:rPr>
          <w:u w:val="double"/>
          <w:lang w:val="en-IE"/>
        </w:rPr>
        <w:t xml:space="preserve">Isolation and identification of the agent provide the most certain diagnosis of </w:t>
      </w:r>
      <w:proofErr w:type="spellStart"/>
      <w:r w:rsidRPr="00322D31">
        <w:rPr>
          <w:u w:val="double"/>
          <w:lang w:val="en-IE"/>
        </w:rPr>
        <w:t>aMPV</w:t>
      </w:r>
      <w:proofErr w:type="spellEnd"/>
      <w:r w:rsidRPr="00322D31">
        <w:rPr>
          <w:u w:val="double"/>
          <w:lang w:val="en-IE"/>
        </w:rPr>
        <w:t>, but are not usually attempted for routine diagnostic purposes as the virus may prove difficult to isolate</w:t>
      </w:r>
      <w:r w:rsidR="007C5980" w:rsidRPr="00322D31">
        <w:rPr>
          <w:u w:val="double"/>
          <w:lang w:val="en-IE"/>
        </w:rPr>
        <w:t xml:space="preserve"> and these tests are labour intensive</w:t>
      </w:r>
      <w:r w:rsidRPr="00322D31">
        <w:rPr>
          <w:u w:val="double"/>
          <w:lang w:val="en-IE"/>
        </w:rPr>
        <w:t xml:space="preserve">. </w:t>
      </w:r>
      <w:r w:rsidR="007C5980" w:rsidRPr="00322D31">
        <w:rPr>
          <w:u w:val="double"/>
          <w:lang w:val="en-IE"/>
        </w:rPr>
        <w:t xml:space="preserve">Thus indirect tests are more frequent: i) </w:t>
      </w:r>
      <w:r w:rsidR="00C94963" w:rsidRPr="00322D31">
        <w:rPr>
          <w:u w:val="double"/>
          <w:lang w:val="en-IE"/>
        </w:rPr>
        <w:t xml:space="preserve">immunological </w:t>
      </w:r>
      <w:r w:rsidR="007C5980" w:rsidRPr="00322D31">
        <w:rPr>
          <w:u w:val="double"/>
          <w:lang w:val="en-IE"/>
        </w:rPr>
        <w:t>demonstration</w:t>
      </w:r>
      <w:r w:rsidRPr="00322D31">
        <w:rPr>
          <w:u w:val="double"/>
          <w:lang w:val="en-IE"/>
        </w:rPr>
        <w:t xml:space="preserve"> of sp</w:t>
      </w:r>
      <w:r w:rsidR="0064090F" w:rsidRPr="00322D31">
        <w:rPr>
          <w:u w:val="double"/>
          <w:lang w:val="en-IE"/>
        </w:rPr>
        <w:t xml:space="preserve">ecific antibodies to the virus in serum or </w:t>
      </w:r>
      <w:r w:rsidR="007C5980" w:rsidRPr="00322D31">
        <w:rPr>
          <w:u w:val="double"/>
          <w:lang w:val="en-IE"/>
        </w:rPr>
        <w:t>ii)</w:t>
      </w:r>
      <w:r w:rsidR="00C94963">
        <w:rPr>
          <w:u w:val="double"/>
          <w:lang w:val="en-IE"/>
        </w:rPr>
        <w:t> </w:t>
      </w:r>
      <w:r w:rsidR="00C94963" w:rsidRPr="00322D31">
        <w:rPr>
          <w:u w:val="double"/>
          <w:lang w:val="en-IE"/>
        </w:rPr>
        <w:t xml:space="preserve">molecular </w:t>
      </w:r>
      <w:r w:rsidR="007C5980" w:rsidRPr="00322D31">
        <w:rPr>
          <w:u w:val="double"/>
          <w:lang w:val="en-IE"/>
        </w:rPr>
        <w:t xml:space="preserve">demonstration of </w:t>
      </w:r>
      <w:r w:rsidRPr="00322D31">
        <w:rPr>
          <w:u w:val="double"/>
          <w:lang w:val="en-IE"/>
        </w:rPr>
        <w:t>viral RNA</w:t>
      </w:r>
      <w:r w:rsidR="0064090F" w:rsidRPr="00322D31">
        <w:rPr>
          <w:u w:val="double"/>
          <w:lang w:val="en-IE"/>
        </w:rPr>
        <w:t xml:space="preserve"> in tissues or tissue </w:t>
      </w:r>
      <w:r w:rsidR="007C5980" w:rsidRPr="00322D31">
        <w:rPr>
          <w:u w:val="double"/>
          <w:lang w:val="en-IE"/>
        </w:rPr>
        <w:t>secretions</w:t>
      </w:r>
      <w:r w:rsidR="0019154C" w:rsidRPr="00322D31">
        <w:rPr>
          <w:u w:val="double"/>
          <w:lang w:val="en-IE"/>
        </w:rPr>
        <w:t>. A</w:t>
      </w:r>
      <w:r w:rsidRPr="00322D31">
        <w:rPr>
          <w:u w:val="double"/>
          <w:lang w:val="en-IE"/>
        </w:rPr>
        <w:t xml:space="preserve">vailable </w:t>
      </w:r>
      <w:r w:rsidR="0019154C" w:rsidRPr="00322D31">
        <w:rPr>
          <w:u w:val="double"/>
          <w:lang w:val="en-IE"/>
        </w:rPr>
        <w:t xml:space="preserve">methods </w:t>
      </w:r>
      <w:r w:rsidRPr="00322D31">
        <w:rPr>
          <w:u w:val="double"/>
          <w:lang w:val="en-IE"/>
        </w:rPr>
        <w:t xml:space="preserve">for diagnosis </w:t>
      </w:r>
      <w:r w:rsidR="0019154C" w:rsidRPr="00322D31">
        <w:rPr>
          <w:u w:val="double"/>
          <w:lang w:val="en-IE"/>
        </w:rPr>
        <w:t xml:space="preserve">are shown in Table 1 and will have different degrees of usage </w:t>
      </w:r>
      <w:r w:rsidRPr="00322D31">
        <w:rPr>
          <w:u w:val="double"/>
          <w:lang w:val="en-IE"/>
        </w:rPr>
        <w:t>depending on the objectives.</w:t>
      </w:r>
    </w:p>
    <w:p w14:paraId="4ED24B26" w14:textId="1B37E5FC" w:rsidR="00193B3E" w:rsidRPr="008E7CC4" w:rsidRDefault="00193B3E" w:rsidP="00193B3E">
      <w:pPr>
        <w:pStyle w:val="Tabletitle"/>
        <w:rPr>
          <w:b w:val="0"/>
          <w:u w:val="double"/>
        </w:rPr>
      </w:pPr>
      <w:r w:rsidRPr="008E7CC4">
        <w:rPr>
          <w:u w:val="double"/>
        </w:rPr>
        <w:t xml:space="preserve">Table </w:t>
      </w:r>
      <w:r w:rsidRPr="008E7CC4">
        <w:rPr>
          <w:noProof/>
          <w:u w:val="double"/>
        </w:rPr>
        <w:t>1</w:t>
      </w:r>
      <w:r w:rsidRPr="008E7CC4">
        <w:rPr>
          <w:u w:val="double"/>
        </w:rPr>
        <w:t xml:space="preserve">. </w:t>
      </w:r>
      <w:r w:rsidRPr="008E7CC4">
        <w:rPr>
          <w:b w:val="0"/>
          <w:u w:val="double"/>
        </w:rPr>
        <w:t>Test methods available and their purpose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6" w:type="dxa"/>
          <w:right w:w="96" w:type="dxa"/>
        </w:tblCellMar>
        <w:tblLook w:val="0000" w:firstRow="0" w:lastRow="0" w:firstColumn="0" w:lastColumn="0" w:noHBand="0" w:noVBand="0"/>
      </w:tblPr>
      <w:tblGrid>
        <w:gridCol w:w="1552"/>
        <w:gridCol w:w="992"/>
        <w:gridCol w:w="1417"/>
        <w:gridCol w:w="1130"/>
        <w:gridCol w:w="1134"/>
        <w:gridCol w:w="1134"/>
        <w:gridCol w:w="1688"/>
      </w:tblGrid>
      <w:tr w:rsidR="00193B3E" w:rsidRPr="008E7CC4" w14:paraId="5F0626DC" w14:textId="77777777" w:rsidTr="008E7CC4">
        <w:trPr>
          <w:trHeight w:val="402"/>
          <w:tblHeader/>
          <w:jc w:val="center"/>
        </w:trPr>
        <w:tc>
          <w:tcPr>
            <w:tcW w:w="1552" w:type="dxa"/>
            <w:vMerge w:val="restart"/>
            <w:vAlign w:val="center"/>
          </w:tcPr>
          <w:p w14:paraId="7499D08F" w14:textId="54A18159" w:rsidR="00193B3E" w:rsidRPr="008E7CC4" w:rsidRDefault="00193B3E" w:rsidP="007F75C6">
            <w:pPr>
              <w:tabs>
                <w:tab w:val="clear" w:pos="-720"/>
              </w:tabs>
              <w:spacing w:before="120" w:after="120" w:line="240" w:lineRule="auto"/>
              <w:jc w:val="center"/>
              <w:rPr>
                <w:rFonts w:ascii="Arial" w:hAnsi="Arial" w:cs="Arial"/>
                <w:sz w:val="16"/>
                <w:szCs w:val="16"/>
                <w:u w:val="double"/>
                <w:lang w:eastAsia="en-US"/>
              </w:rPr>
            </w:pPr>
            <w:r w:rsidRPr="008E7CC4">
              <w:rPr>
                <w:rFonts w:ascii="Arial" w:hAnsi="Arial" w:cs="Arial"/>
                <w:b/>
                <w:bCs/>
                <w:sz w:val="18"/>
                <w:szCs w:val="18"/>
                <w:u w:val="double"/>
                <w:lang w:eastAsia="en-US"/>
              </w:rPr>
              <w:t>Method</w:t>
            </w:r>
            <w:r w:rsidRPr="008E7CC4">
              <w:rPr>
                <w:rFonts w:ascii="Arial" w:hAnsi="Arial" w:cs="Arial"/>
                <w:b/>
                <w:bCs/>
                <w:sz w:val="18"/>
                <w:szCs w:val="18"/>
                <w:u w:val="double"/>
                <w:lang w:eastAsia="en-US"/>
              </w:rPr>
              <w:br/>
            </w:r>
          </w:p>
        </w:tc>
        <w:tc>
          <w:tcPr>
            <w:tcW w:w="7495" w:type="dxa"/>
            <w:gridSpan w:val="6"/>
            <w:vAlign w:val="center"/>
          </w:tcPr>
          <w:p w14:paraId="4BE30365" w14:textId="77777777" w:rsidR="00193B3E" w:rsidRPr="008E7CC4" w:rsidRDefault="00193B3E" w:rsidP="00193B3E">
            <w:pPr>
              <w:tabs>
                <w:tab w:val="clear" w:pos="-720"/>
              </w:tabs>
              <w:spacing w:before="120" w:after="120" w:line="240" w:lineRule="auto"/>
              <w:jc w:val="center"/>
              <w:rPr>
                <w:rFonts w:ascii="Arial" w:hAnsi="Arial" w:cs="Arial"/>
                <w:b/>
                <w:bCs/>
                <w:sz w:val="16"/>
                <w:szCs w:val="16"/>
                <w:u w:val="double"/>
                <w:lang w:eastAsia="en-US"/>
              </w:rPr>
            </w:pPr>
            <w:r w:rsidRPr="008E7CC4">
              <w:rPr>
                <w:rFonts w:ascii="Arial" w:hAnsi="Arial" w:cs="Arial"/>
                <w:b/>
                <w:bCs/>
                <w:sz w:val="18"/>
                <w:szCs w:val="18"/>
                <w:u w:val="double"/>
                <w:lang w:eastAsia="en-US"/>
              </w:rPr>
              <w:t>Purpose</w:t>
            </w:r>
          </w:p>
        </w:tc>
      </w:tr>
      <w:tr w:rsidR="00193B3E" w:rsidRPr="008E7CC4" w14:paraId="213F64F3" w14:textId="77777777" w:rsidTr="008E7CC4">
        <w:trPr>
          <w:trHeight w:val="402"/>
          <w:tblHeader/>
          <w:jc w:val="center"/>
        </w:trPr>
        <w:tc>
          <w:tcPr>
            <w:tcW w:w="1552" w:type="dxa"/>
            <w:vMerge/>
            <w:vAlign w:val="center"/>
          </w:tcPr>
          <w:p w14:paraId="0A0DB8B7" w14:textId="77777777" w:rsidR="00193B3E" w:rsidRPr="008E7CC4" w:rsidRDefault="00193B3E" w:rsidP="00193B3E">
            <w:pPr>
              <w:tabs>
                <w:tab w:val="clear" w:pos="-720"/>
              </w:tabs>
              <w:spacing w:before="120" w:after="120" w:line="240" w:lineRule="auto"/>
              <w:rPr>
                <w:rFonts w:ascii="Arial" w:hAnsi="Arial" w:cs="Arial"/>
                <w:b/>
                <w:bCs/>
                <w:sz w:val="16"/>
                <w:szCs w:val="16"/>
                <w:u w:val="double"/>
                <w:lang w:eastAsia="en-US"/>
              </w:rPr>
            </w:pPr>
          </w:p>
        </w:tc>
        <w:tc>
          <w:tcPr>
            <w:tcW w:w="992" w:type="dxa"/>
            <w:vAlign w:val="center"/>
          </w:tcPr>
          <w:p w14:paraId="4B740272" w14:textId="77777777" w:rsidR="00193B3E" w:rsidRPr="008E7CC4" w:rsidRDefault="00193B3E" w:rsidP="00193B3E">
            <w:pPr>
              <w:tabs>
                <w:tab w:val="clear" w:pos="-720"/>
              </w:tabs>
              <w:spacing w:before="120" w:after="120" w:line="240" w:lineRule="auto"/>
              <w:jc w:val="center"/>
              <w:rPr>
                <w:rFonts w:ascii="Arial" w:hAnsi="Arial" w:cs="Arial"/>
                <w:sz w:val="16"/>
                <w:szCs w:val="16"/>
                <w:u w:val="double"/>
                <w:lang w:eastAsia="en-US"/>
              </w:rPr>
            </w:pPr>
            <w:r w:rsidRPr="008E7CC4">
              <w:rPr>
                <w:rFonts w:ascii="Arial" w:hAnsi="Arial" w:cs="Arial"/>
                <w:sz w:val="16"/>
                <w:szCs w:val="16"/>
                <w:u w:val="double"/>
                <w:lang w:eastAsia="en-US"/>
              </w:rPr>
              <w:t>Population freedom from infection</w:t>
            </w:r>
          </w:p>
        </w:tc>
        <w:tc>
          <w:tcPr>
            <w:tcW w:w="1417" w:type="dxa"/>
            <w:vAlign w:val="center"/>
          </w:tcPr>
          <w:p w14:paraId="3C8EB192" w14:textId="77777777" w:rsidR="00193B3E" w:rsidRPr="008E7CC4" w:rsidRDefault="00193B3E" w:rsidP="00193B3E">
            <w:pPr>
              <w:tabs>
                <w:tab w:val="clear" w:pos="-720"/>
              </w:tabs>
              <w:spacing w:before="120" w:after="120" w:line="240" w:lineRule="auto"/>
              <w:jc w:val="center"/>
              <w:rPr>
                <w:rFonts w:ascii="Arial" w:hAnsi="Arial" w:cs="Arial"/>
                <w:sz w:val="16"/>
                <w:szCs w:val="16"/>
                <w:u w:val="double"/>
                <w:lang w:eastAsia="en-US"/>
              </w:rPr>
            </w:pPr>
            <w:r w:rsidRPr="008E7CC4">
              <w:rPr>
                <w:rFonts w:ascii="Arial" w:hAnsi="Arial" w:cs="Arial"/>
                <w:sz w:val="16"/>
                <w:szCs w:val="16"/>
                <w:u w:val="double"/>
                <w:lang w:eastAsia="en-US"/>
              </w:rPr>
              <w:t>Individual animal freedom from infection prior to movement</w:t>
            </w:r>
          </w:p>
        </w:tc>
        <w:tc>
          <w:tcPr>
            <w:tcW w:w="1130" w:type="dxa"/>
            <w:vAlign w:val="center"/>
          </w:tcPr>
          <w:p w14:paraId="493F05EE" w14:textId="77777777" w:rsidR="00193B3E" w:rsidRPr="008E7CC4" w:rsidRDefault="00193B3E" w:rsidP="00193B3E">
            <w:pPr>
              <w:tabs>
                <w:tab w:val="clear" w:pos="-720"/>
              </w:tabs>
              <w:spacing w:before="120" w:after="120" w:line="240" w:lineRule="auto"/>
              <w:jc w:val="center"/>
              <w:rPr>
                <w:rFonts w:ascii="Arial" w:hAnsi="Arial" w:cs="Arial"/>
                <w:sz w:val="16"/>
                <w:szCs w:val="16"/>
                <w:u w:val="double"/>
                <w:lang w:eastAsia="en-US"/>
              </w:rPr>
            </w:pPr>
            <w:r w:rsidRPr="008E7CC4">
              <w:rPr>
                <w:rFonts w:ascii="Arial" w:hAnsi="Arial" w:cs="Arial"/>
                <w:sz w:val="16"/>
                <w:szCs w:val="16"/>
                <w:u w:val="double"/>
                <w:lang w:eastAsia="en-US"/>
              </w:rPr>
              <w:t>Contribute to eradication policies</w:t>
            </w:r>
          </w:p>
        </w:tc>
        <w:tc>
          <w:tcPr>
            <w:tcW w:w="1134" w:type="dxa"/>
            <w:vAlign w:val="center"/>
          </w:tcPr>
          <w:p w14:paraId="11D357C7" w14:textId="77777777" w:rsidR="00193B3E" w:rsidRPr="008E7CC4" w:rsidRDefault="00193B3E" w:rsidP="00193B3E">
            <w:pPr>
              <w:tabs>
                <w:tab w:val="clear" w:pos="-720"/>
              </w:tabs>
              <w:spacing w:before="120" w:after="120" w:line="240" w:lineRule="auto"/>
              <w:jc w:val="center"/>
              <w:rPr>
                <w:rFonts w:ascii="Arial" w:hAnsi="Arial" w:cs="Arial"/>
                <w:sz w:val="16"/>
                <w:szCs w:val="16"/>
                <w:u w:val="double"/>
                <w:lang w:eastAsia="en-US"/>
              </w:rPr>
            </w:pPr>
            <w:r w:rsidRPr="008E7CC4">
              <w:rPr>
                <w:rFonts w:ascii="Arial" w:hAnsi="Arial" w:cs="Arial"/>
                <w:sz w:val="16"/>
                <w:szCs w:val="16"/>
                <w:u w:val="double"/>
                <w:lang w:eastAsia="en-US"/>
              </w:rPr>
              <w:t>Confirmation of clinical cases</w:t>
            </w:r>
          </w:p>
        </w:tc>
        <w:tc>
          <w:tcPr>
            <w:tcW w:w="1134" w:type="dxa"/>
            <w:vAlign w:val="center"/>
          </w:tcPr>
          <w:p w14:paraId="73DB1860" w14:textId="77777777" w:rsidR="00193B3E" w:rsidRPr="008E7CC4" w:rsidRDefault="00193B3E" w:rsidP="00193B3E">
            <w:pPr>
              <w:tabs>
                <w:tab w:val="clear" w:pos="-720"/>
              </w:tabs>
              <w:spacing w:before="120" w:after="120" w:line="240" w:lineRule="auto"/>
              <w:jc w:val="center"/>
              <w:rPr>
                <w:rFonts w:ascii="Arial" w:hAnsi="Arial" w:cs="Arial"/>
                <w:sz w:val="16"/>
                <w:szCs w:val="16"/>
                <w:u w:val="double"/>
                <w:lang w:eastAsia="en-US"/>
              </w:rPr>
            </w:pPr>
            <w:r w:rsidRPr="008E7CC4">
              <w:rPr>
                <w:rFonts w:ascii="Arial" w:hAnsi="Arial" w:cs="Arial"/>
                <w:sz w:val="16"/>
                <w:szCs w:val="16"/>
                <w:u w:val="double"/>
                <w:lang w:eastAsia="en-US"/>
              </w:rPr>
              <w:t>Prevalence of infection – surveillance</w:t>
            </w:r>
          </w:p>
        </w:tc>
        <w:tc>
          <w:tcPr>
            <w:tcW w:w="1688" w:type="dxa"/>
            <w:vAlign w:val="center"/>
          </w:tcPr>
          <w:p w14:paraId="374305B9" w14:textId="77777777" w:rsidR="00193B3E" w:rsidRPr="008E7CC4" w:rsidRDefault="00193B3E" w:rsidP="00193B3E">
            <w:pPr>
              <w:tabs>
                <w:tab w:val="clear" w:pos="-720"/>
              </w:tabs>
              <w:spacing w:before="120" w:after="120" w:line="240" w:lineRule="auto"/>
              <w:jc w:val="center"/>
              <w:rPr>
                <w:rFonts w:ascii="Arial" w:hAnsi="Arial" w:cs="Arial"/>
                <w:sz w:val="16"/>
                <w:szCs w:val="16"/>
                <w:u w:val="double"/>
                <w:lang w:eastAsia="en-US"/>
              </w:rPr>
            </w:pPr>
            <w:r w:rsidRPr="008E7CC4">
              <w:rPr>
                <w:rFonts w:ascii="Arial" w:hAnsi="Arial" w:cs="Arial"/>
                <w:sz w:val="16"/>
                <w:szCs w:val="16"/>
                <w:u w:val="double"/>
                <w:lang w:eastAsia="en-US"/>
              </w:rPr>
              <w:t>Immune status in individual animals or populations post-vaccination</w:t>
            </w:r>
          </w:p>
        </w:tc>
      </w:tr>
      <w:tr w:rsidR="00193B3E" w:rsidRPr="008E7CC4" w14:paraId="49B7ECFC" w14:textId="77777777" w:rsidTr="008E7CC4">
        <w:trPr>
          <w:trHeight w:val="402"/>
          <w:jc w:val="center"/>
        </w:trPr>
        <w:tc>
          <w:tcPr>
            <w:tcW w:w="9047" w:type="dxa"/>
            <w:gridSpan w:val="7"/>
            <w:shd w:val="pct10" w:color="auto" w:fill="auto"/>
          </w:tcPr>
          <w:p w14:paraId="1810707B" w14:textId="28D4F1FA" w:rsidR="00193B3E" w:rsidRPr="008E7CC4" w:rsidRDefault="00D02A14" w:rsidP="00193B3E">
            <w:pPr>
              <w:tabs>
                <w:tab w:val="clear" w:pos="-720"/>
              </w:tabs>
              <w:spacing w:before="120" w:after="120" w:line="240" w:lineRule="auto"/>
              <w:jc w:val="center"/>
              <w:rPr>
                <w:rFonts w:ascii="Arial" w:hAnsi="Arial" w:cs="Arial"/>
                <w:sz w:val="18"/>
                <w:szCs w:val="18"/>
                <w:u w:val="double"/>
                <w:lang w:eastAsia="en-US"/>
              </w:rPr>
            </w:pPr>
            <w:r w:rsidRPr="008E7CC4">
              <w:rPr>
                <w:rFonts w:ascii="Arial" w:hAnsi="Arial" w:cs="Arial"/>
                <w:b/>
                <w:bCs/>
                <w:sz w:val="16"/>
                <w:szCs w:val="16"/>
                <w:u w:val="double"/>
                <w:lang w:val="en-IE" w:eastAsia="en-US"/>
              </w:rPr>
              <w:t>Detection of the agent</w:t>
            </w:r>
            <w:r w:rsidR="00193B3E" w:rsidRPr="008E7CC4">
              <w:rPr>
                <w:rFonts w:ascii="Arial" w:hAnsi="Arial" w:cs="Arial"/>
                <w:b/>
                <w:bCs/>
                <w:position w:val="6"/>
                <w:sz w:val="12"/>
                <w:szCs w:val="12"/>
                <w:u w:val="double"/>
                <w:lang w:val="en-IE" w:eastAsia="en-US"/>
              </w:rPr>
              <w:footnoteReference w:id="1"/>
            </w:r>
            <w:r w:rsidR="00193B3E" w:rsidRPr="008E7CC4">
              <w:rPr>
                <w:rFonts w:ascii="Arial" w:hAnsi="Arial" w:cs="Arial"/>
                <w:b/>
                <w:bCs/>
                <w:sz w:val="16"/>
                <w:szCs w:val="16"/>
                <w:u w:val="double"/>
                <w:lang w:val="en-IE" w:eastAsia="en-US"/>
              </w:rPr>
              <w:t xml:space="preserve"> </w:t>
            </w:r>
          </w:p>
        </w:tc>
      </w:tr>
      <w:tr w:rsidR="00193B3E" w:rsidRPr="008E7CC4" w14:paraId="7D22E3D4" w14:textId="77777777" w:rsidTr="008E7CC4">
        <w:trPr>
          <w:trHeight w:val="402"/>
          <w:jc w:val="center"/>
        </w:trPr>
        <w:tc>
          <w:tcPr>
            <w:tcW w:w="1552" w:type="dxa"/>
            <w:vAlign w:val="center"/>
          </w:tcPr>
          <w:p w14:paraId="300B5245" w14:textId="77777777" w:rsidR="00193B3E" w:rsidRPr="008E7CC4" w:rsidRDefault="00193B3E" w:rsidP="00193B3E">
            <w:pPr>
              <w:tabs>
                <w:tab w:val="clear" w:pos="-720"/>
              </w:tabs>
              <w:spacing w:before="120" w:after="120" w:line="240" w:lineRule="auto"/>
              <w:jc w:val="center"/>
              <w:rPr>
                <w:rFonts w:ascii="Arial" w:hAnsi="Arial" w:cs="Arial"/>
                <w:b/>
                <w:bCs/>
                <w:sz w:val="16"/>
                <w:szCs w:val="16"/>
                <w:u w:val="double"/>
              </w:rPr>
            </w:pPr>
            <w:r w:rsidRPr="008E7CC4">
              <w:rPr>
                <w:rFonts w:ascii="Arial" w:hAnsi="Arial" w:cs="Arial"/>
                <w:b/>
                <w:bCs/>
                <w:sz w:val="16"/>
                <w:szCs w:val="16"/>
                <w:u w:val="double"/>
              </w:rPr>
              <w:t>Agent isolation</w:t>
            </w:r>
          </w:p>
        </w:tc>
        <w:tc>
          <w:tcPr>
            <w:tcW w:w="992" w:type="dxa"/>
            <w:vAlign w:val="center"/>
          </w:tcPr>
          <w:p w14:paraId="3D5FE8EC" w14:textId="0896943F" w:rsidR="00193B3E" w:rsidRPr="000E3906" w:rsidRDefault="0099375F"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r w:rsidRPr="000E3906">
              <w:rPr>
                <w:rFonts w:ascii="Arial" w:hAnsi="Arial" w:cs="Arial"/>
                <w:sz w:val="16"/>
                <w:szCs w:val="16"/>
                <w:u w:val="double"/>
                <w:vertAlign w:val="superscript"/>
              </w:rPr>
              <w:t>a</w:t>
            </w:r>
          </w:p>
        </w:tc>
        <w:tc>
          <w:tcPr>
            <w:tcW w:w="1417" w:type="dxa"/>
            <w:vAlign w:val="center"/>
          </w:tcPr>
          <w:p w14:paraId="237786FE" w14:textId="04B4982B" w:rsidR="00193B3E"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130" w:type="dxa"/>
            <w:vAlign w:val="center"/>
          </w:tcPr>
          <w:p w14:paraId="3B828F46" w14:textId="1095A206" w:rsidR="00193B3E"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134" w:type="dxa"/>
            <w:vAlign w:val="center"/>
          </w:tcPr>
          <w:p w14:paraId="1ABF3178" w14:textId="1E589410" w:rsidR="00193B3E" w:rsidRPr="000E3906" w:rsidRDefault="0099375F"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r w:rsidRPr="000E3906">
              <w:rPr>
                <w:rFonts w:ascii="Arial" w:hAnsi="Arial" w:cs="Arial"/>
                <w:sz w:val="16"/>
                <w:szCs w:val="16"/>
                <w:u w:val="double"/>
                <w:vertAlign w:val="superscript"/>
              </w:rPr>
              <w:t>d</w:t>
            </w:r>
          </w:p>
        </w:tc>
        <w:tc>
          <w:tcPr>
            <w:tcW w:w="1134" w:type="dxa"/>
            <w:vAlign w:val="center"/>
          </w:tcPr>
          <w:p w14:paraId="33D9958C" w14:textId="51B470C0" w:rsidR="00193B3E"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688" w:type="dxa"/>
            <w:vAlign w:val="center"/>
          </w:tcPr>
          <w:p w14:paraId="3D4AE43E" w14:textId="00AFAC7C" w:rsidR="00193B3E"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r>
      <w:tr w:rsidR="00193B3E" w:rsidRPr="008E7CC4" w14:paraId="37C0290C" w14:textId="77777777" w:rsidTr="008E7CC4">
        <w:trPr>
          <w:trHeight w:val="402"/>
          <w:jc w:val="center"/>
        </w:trPr>
        <w:tc>
          <w:tcPr>
            <w:tcW w:w="1552" w:type="dxa"/>
            <w:vAlign w:val="center"/>
          </w:tcPr>
          <w:p w14:paraId="3E8B3CE5" w14:textId="32497BFE" w:rsidR="00193B3E" w:rsidRPr="008E7CC4" w:rsidRDefault="0064090F" w:rsidP="00193B3E">
            <w:pPr>
              <w:tabs>
                <w:tab w:val="clear" w:pos="-720"/>
              </w:tabs>
              <w:spacing w:before="120" w:after="120" w:line="240" w:lineRule="auto"/>
              <w:jc w:val="center"/>
              <w:rPr>
                <w:rFonts w:ascii="Arial" w:hAnsi="Arial" w:cs="Arial"/>
                <w:b/>
                <w:bCs/>
                <w:sz w:val="16"/>
                <w:szCs w:val="16"/>
                <w:u w:val="double"/>
              </w:rPr>
            </w:pPr>
            <w:r w:rsidRPr="008E7CC4">
              <w:rPr>
                <w:rFonts w:ascii="Arial" w:hAnsi="Arial" w:cs="Arial"/>
                <w:b/>
                <w:bCs/>
                <w:sz w:val="16"/>
                <w:szCs w:val="16"/>
                <w:u w:val="double"/>
                <w:lang w:val="en-IE"/>
              </w:rPr>
              <w:t>Virus detection by RT-PCR</w:t>
            </w:r>
          </w:p>
        </w:tc>
        <w:tc>
          <w:tcPr>
            <w:tcW w:w="992" w:type="dxa"/>
            <w:vAlign w:val="center"/>
          </w:tcPr>
          <w:p w14:paraId="7EABE0D9" w14:textId="67C73800" w:rsidR="00193B3E" w:rsidRPr="000E3906" w:rsidRDefault="0099375F"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r w:rsidRPr="000E3906">
              <w:rPr>
                <w:rFonts w:ascii="Arial" w:hAnsi="Arial" w:cs="Arial"/>
                <w:sz w:val="16"/>
                <w:szCs w:val="16"/>
                <w:u w:val="double"/>
                <w:vertAlign w:val="superscript"/>
              </w:rPr>
              <w:t>a</w:t>
            </w:r>
          </w:p>
        </w:tc>
        <w:tc>
          <w:tcPr>
            <w:tcW w:w="1417" w:type="dxa"/>
            <w:vAlign w:val="center"/>
          </w:tcPr>
          <w:p w14:paraId="22DDE5DC" w14:textId="184DAD8A" w:rsidR="00193B3E" w:rsidRPr="000E3906" w:rsidRDefault="00A479DF"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r w:rsidR="0099375F" w:rsidRPr="000E3906">
              <w:rPr>
                <w:rFonts w:ascii="Arial" w:hAnsi="Arial" w:cs="Arial"/>
                <w:sz w:val="16"/>
                <w:szCs w:val="16"/>
                <w:u w:val="double"/>
              </w:rPr>
              <w:t>+</w:t>
            </w:r>
            <w:r w:rsidR="0099375F" w:rsidRPr="000E3906">
              <w:rPr>
                <w:rFonts w:ascii="Arial" w:hAnsi="Arial" w:cs="Arial"/>
                <w:sz w:val="16"/>
                <w:szCs w:val="16"/>
                <w:u w:val="double"/>
                <w:vertAlign w:val="superscript"/>
              </w:rPr>
              <w:t>c</w:t>
            </w:r>
          </w:p>
        </w:tc>
        <w:tc>
          <w:tcPr>
            <w:tcW w:w="1130" w:type="dxa"/>
            <w:vAlign w:val="center"/>
          </w:tcPr>
          <w:p w14:paraId="35C7FAAB" w14:textId="22B8A3E5" w:rsidR="00193B3E"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r w:rsidR="0099375F" w:rsidRPr="000E3906">
              <w:rPr>
                <w:rFonts w:ascii="Arial" w:hAnsi="Arial" w:cs="Arial"/>
                <w:sz w:val="16"/>
                <w:szCs w:val="16"/>
                <w:u w:val="double"/>
                <w:vertAlign w:val="superscript"/>
              </w:rPr>
              <w:t>a</w:t>
            </w:r>
          </w:p>
        </w:tc>
        <w:tc>
          <w:tcPr>
            <w:tcW w:w="1134" w:type="dxa"/>
            <w:vAlign w:val="center"/>
          </w:tcPr>
          <w:p w14:paraId="53E8527A" w14:textId="22E7233C" w:rsidR="00193B3E" w:rsidRPr="000E3906" w:rsidRDefault="0099375F"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p>
        </w:tc>
        <w:tc>
          <w:tcPr>
            <w:tcW w:w="1134" w:type="dxa"/>
            <w:vAlign w:val="center"/>
          </w:tcPr>
          <w:p w14:paraId="12B102CA" w14:textId="6CF85B01" w:rsidR="00193B3E"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688" w:type="dxa"/>
            <w:vAlign w:val="center"/>
          </w:tcPr>
          <w:p w14:paraId="2BC4CB83" w14:textId="3FA0CD1B" w:rsidR="00193B3E" w:rsidRPr="000E3906" w:rsidRDefault="0099375F"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r w:rsidRPr="000E3906">
              <w:rPr>
                <w:rFonts w:ascii="Arial" w:hAnsi="Arial" w:cs="Arial"/>
                <w:sz w:val="16"/>
                <w:szCs w:val="16"/>
                <w:u w:val="double"/>
                <w:vertAlign w:val="superscript"/>
              </w:rPr>
              <w:t>b</w:t>
            </w:r>
          </w:p>
        </w:tc>
      </w:tr>
      <w:tr w:rsidR="009161D3" w:rsidRPr="008E7CC4" w14:paraId="71C1865D" w14:textId="77777777" w:rsidTr="008E7CC4">
        <w:trPr>
          <w:trHeight w:val="402"/>
          <w:jc w:val="center"/>
        </w:trPr>
        <w:tc>
          <w:tcPr>
            <w:tcW w:w="1552" w:type="dxa"/>
            <w:vAlign w:val="center"/>
          </w:tcPr>
          <w:p w14:paraId="4F6C07A8" w14:textId="22435880" w:rsidR="009161D3" w:rsidRPr="008E7CC4" w:rsidRDefault="009161D3" w:rsidP="0064090F">
            <w:pPr>
              <w:tabs>
                <w:tab w:val="clear" w:pos="-720"/>
              </w:tabs>
              <w:spacing w:before="120" w:after="120" w:line="240" w:lineRule="auto"/>
              <w:jc w:val="center"/>
              <w:rPr>
                <w:rFonts w:ascii="Arial" w:hAnsi="Arial" w:cs="Arial"/>
                <w:b/>
                <w:bCs/>
                <w:sz w:val="16"/>
                <w:szCs w:val="16"/>
                <w:u w:val="double"/>
              </w:rPr>
            </w:pPr>
            <w:r w:rsidRPr="008E7CC4">
              <w:rPr>
                <w:rFonts w:ascii="Arial" w:hAnsi="Arial" w:cs="Arial"/>
                <w:b/>
                <w:bCs/>
                <w:sz w:val="16"/>
                <w:szCs w:val="16"/>
                <w:u w:val="double"/>
                <w:lang w:val="en-IE"/>
              </w:rPr>
              <w:t>Virus characterisation</w:t>
            </w:r>
            <w:r w:rsidRPr="008E7CC4">
              <w:rPr>
                <w:rFonts w:ascii="Arial" w:hAnsi="Arial" w:cs="Arial"/>
                <w:b/>
                <w:bCs/>
                <w:sz w:val="16"/>
                <w:szCs w:val="16"/>
                <w:u w:val="double"/>
                <w:lang w:val="en-IE"/>
              </w:rPr>
              <w:br/>
              <w:t>(nucleotide sequencing)</w:t>
            </w:r>
          </w:p>
        </w:tc>
        <w:tc>
          <w:tcPr>
            <w:tcW w:w="992" w:type="dxa"/>
            <w:vAlign w:val="center"/>
          </w:tcPr>
          <w:p w14:paraId="7E6EA520" w14:textId="6BBAC968" w:rsidR="009161D3" w:rsidRPr="000E3906" w:rsidRDefault="0099375F"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p>
        </w:tc>
        <w:tc>
          <w:tcPr>
            <w:tcW w:w="1417" w:type="dxa"/>
            <w:vAlign w:val="center"/>
          </w:tcPr>
          <w:p w14:paraId="75C1A872" w14:textId="1B8C14A5" w:rsidR="009161D3"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130" w:type="dxa"/>
            <w:vAlign w:val="center"/>
          </w:tcPr>
          <w:p w14:paraId="216805F1" w14:textId="7784724E" w:rsidR="009161D3"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134" w:type="dxa"/>
            <w:vAlign w:val="center"/>
          </w:tcPr>
          <w:p w14:paraId="2EB8B103" w14:textId="374E4AB7" w:rsidR="009161D3" w:rsidRPr="000E3906" w:rsidRDefault="0099375F"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p>
        </w:tc>
        <w:tc>
          <w:tcPr>
            <w:tcW w:w="1134" w:type="dxa"/>
            <w:vAlign w:val="center"/>
          </w:tcPr>
          <w:p w14:paraId="7E6B9E59" w14:textId="23C8819C" w:rsidR="009161D3"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688" w:type="dxa"/>
            <w:vAlign w:val="center"/>
          </w:tcPr>
          <w:p w14:paraId="01A6A982" w14:textId="121F77A7" w:rsidR="009161D3"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r>
      <w:tr w:rsidR="00193B3E" w:rsidRPr="008E7CC4" w14:paraId="409662B6" w14:textId="77777777" w:rsidTr="008E7CC4">
        <w:trPr>
          <w:trHeight w:val="402"/>
          <w:jc w:val="center"/>
        </w:trPr>
        <w:tc>
          <w:tcPr>
            <w:tcW w:w="1552" w:type="dxa"/>
            <w:vAlign w:val="center"/>
          </w:tcPr>
          <w:p w14:paraId="61F37DA2" w14:textId="4796A8D1" w:rsidR="00193B3E" w:rsidRPr="008E7CC4" w:rsidRDefault="009161D3" w:rsidP="00193B3E">
            <w:pPr>
              <w:tabs>
                <w:tab w:val="clear" w:pos="-720"/>
              </w:tabs>
              <w:spacing w:before="120" w:after="120" w:line="240" w:lineRule="auto"/>
              <w:jc w:val="center"/>
              <w:rPr>
                <w:rFonts w:ascii="Arial" w:hAnsi="Arial" w:cs="Arial"/>
                <w:b/>
                <w:bCs/>
                <w:sz w:val="16"/>
                <w:szCs w:val="16"/>
                <w:u w:val="double"/>
              </w:rPr>
            </w:pPr>
            <w:r w:rsidRPr="008E7CC4">
              <w:rPr>
                <w:rFonts w:ascii="Arial" w:hAnsi="Arial" w:cs="Arial"/>
                <w:b/>
                <w:bCs/>
                <w:sz w:val="16"/>
                <w:szCs w:val="16"/>
                <w:u w:val="double"/>
              </w:rPr>
              <w:t>Antigen detection</w:t>
            </w:r>
            <w:r w:rsidR="00466864" w:rsidRPr="008E7CC4">
              <w:rPr>
                <w:rFonts w:ascii="Arial" w:hAnsi="Arial" w:cs="Arial"/>
                <w:b/>
                <w:bCs/>
                <w:sz w:val="16"/>
                <w:szCs w:val="16"/>
                <w:u w:val="double"/>
              </w:rPr>
              <w:t xml:space="preserve"> in respiratory tissues</w:t>
            </w:r>
          </w:p>
        </w:tc>
        <w:tc>
          <w:tcPr>
            <w:tcW w:w="992" w:type="dxa"/>
            <w:vAlign w:val="center"/>
          </w:tcPr>
          <w:p w14:paraId="5527AC9B" w14:textId="2DD7B157" w:rsidR="00193B3E" w:rsidRPr="000E3906" w:rsidRDefault="0099375F"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r w:rsidRPr="000E3906">
              <w:rPr>
                <w:rFonts w:ascii="Arial" w:hAnsi="Arial" w:cs="Arial"/>
                <w:sz w:val="16"/>
                <w:szCs w:val="16"/>
                <w:u w:val="double"/>
                <w:vertAlign w:val="superscript"/>
              </w:rPr>
              <w:t>a</w:t>
            </w:r>
          </w:p>
        </w:tc>
        <w:tc>
          <w:tcPr>
            <w:tcW w:w="1417" w:type="dxa"/>
            <w:vAlign w:val="center"/>
          </w:tcPr>
          <w:p w14:paraId="6E15A0B4" w14:textId="30949D36" w:rsidR="00193B3E"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130" w:type="dxa"/>
            <w:vAlign w:val="center"/>
          </w:tcPr>
          <w:p w14:paraId="4EC316E5" w14:textId="60D7FE91" w:rsidR="00193B3E"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134" w:type="dxa"/>
            <w:vAlign w:val="center"/>
          </w:tcPr>
          <w:p w14:paraId="2D52329F" w14:textId="417F9AC9" w:rsidR="00193B3E" w:rsidRPr="000E3906" w:rsidRDefault="0099375F"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p>
        </w:tc>
        <w:tc>
          <w:tcPr>
            <w:tcW w:w="1134" w:type="dxa"/>
            <w:vAlign w:val="center"/>
          </w:tcPr>
          <w:p w14:paraId="456CD906" w14:textId="6686662B" w:rsidR="00193B3E"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688" w:type="dxa"/>
            <w:vAlign w:val="center"/>
          </w:tcPr>
          <w:p w14:paraId="7BCE9E28" w14:textId="6C3FD06D" w:rsidR="00193B3E" w:rsidRPr="000E3906" w:rsidRDefault="000E3906" w:rsidP="00193B3E">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r>
      <w:tr w:rsidR="00193B3E" w:rsidRPr="008E7CC4" w14:paraId="471F456F" w14:textId="77777777" w:rsidTr="008E7CC4">
        <w:trPr>
          <w:trHeight w:val="402"/>
          <w:jc w:val="center"/>
        </w:trPr>
        <w:tc>
          <w:tcPr>
            <w:tcW w:w="9047" w:type="dxa"/>
            <w:gridSpan w:val="7"/>
            <w:shd w:val="pct10" w:color="auto" w:fill="auto"/>
          </w:tcPr>
          <w:p w14:paraId="6455B575" w14:textId="77777777" w:rsidR="00193B3E" w:rsidRPr="000E3906" w:rsidRDefault="00193B3E" w:rsidP="00193B3E">
            <w:pPr>
              <w:tabs>
                <w:tab w:val="clear" w:pos="-720"/>
              </w:tabs>
              <w:spacing w:before="120" w:after="120" w:line="240" w:lineRule="auto"/>
              <w:jc w:val="center"/>
              <w:rPr>
                <w:rFonts w:ascii="Arial" w:hAnsi="Arial" w:cs="Arial"/>
                <w:sz w:val="18"/>
                <w:szCs w:val="18"/>
                <w:u w:val="double"/>
                <w:lang w:eastAsia="en-US"/>
              </w:rPr>
            </w:pPr>
            <w:r w:rsidRPr="000E3906">
              <w:rPr>
                <w:rFonts w:ascii="Arial" w:hAnsi="Arial" w:cs="Arial"/>
                <w:b/>
                <w:bCs/>
                <w:sz w:val="16"/>
                <w:szCs w:val="16"/>
                <w:u w:val="double"/>
                <w:lang w:val="en-IE" w:eastAsia="en-US"/>
              </w:rPr>
              <w:t>Detection of immune response</w:t>
            </w:r>
          </w:p>
        </w:tc>
      </w:tr>
      <w:tr w:rsidR="0099375F" w:rsidRPr="008E7CC4" w14:paraId="334FF38A" w14:textId="77777777" w:rsidTr="008E7CC4">
        <w:trPr>
          <w:trHeight w:val="402"/>
          <w:jc w:val="center"/>
        </w:trPr>
        <w:tc>
          <w:tcPr>
            <w:tcW w:w="1552" w:type="dxa"/>
            <w:vAlign w:val="center"/>
          </w:tcPr>
          <w:p w14:paraId="2397B8E6" w14:textId="77777777" w:rsidR="0099375F" w:rsidRPr="008E7CC4" w:rsidRDefault="0099375F" w:rsidP="0099375F">
            <w:pPr>
              <w:tabs>
                <w:tab w:val="clear" w:pos="-720"/>
              </w:tabs>
              <w:spacing w:before="120" w:after="120" w:line="240" w:lineRule="auto"/>
              <w:jc w:val="center"/>
              <w:rPr>
                <w:rFonts w:ascii="Arial" w:hAnsi="Arial" w:cs="Arial"/>
                <w:b/>
                <w:bCs/>
                <w:sz w:val="16"/>
                <w:szCs w:val="16"/>
                <w:u w:val="double"/>
              </w:rPr>
            </w:pPr>
            <w:r w:rsidRPr="008E7CC4">
              <w:rPr>
                <w:rFonts w:ascii="Arial" w:hAnsi="Arial" w:cs="Arial"/>
                <w:b/>
                <w:bCs/>
                <w:sz w:val="16"/>
                <w:szCs w:val="16"/>
                <w:u w:val="double"/>
              </w:rPr>
              <w:t>ELISA</w:t>
            </w:r>
          </w:p>
        </w:tc>
        <w:tc>
          <w:tcPr>
            <w:tcW w:w="992" w:type="dxa"/>
            <w:vAlign w:val="center"/>
          </w:tcPr>
          <w:p w14:paraId="0E9D1252" w14:textId="353DF981" w:rsidR="0099375F" w:rsidRPr="000E3906" w:rsidRDefault="0099375F" w:rsidP="0099375F">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r w:rsidRPr="000E3906">
              <w:rPr>
                <w:rFonts w:ascii="Arial" w:hAnsi="Arial" w:cs="Arial"/>
                <w:sz w:val="16"/>
                <w:szCs w:val="16"/>
                <w:u w:val="double"/>
                <w:vertAlign w:val="superscript"/>
              </w:rPr>
              <w:t>a</w:t>
            </w:r>
          </w:p>
        </w:tc>
        <w:tc>
          <w:tcPr>
            <w:tcW w:w="1417" w:type="dxa"/>
            <w:vAlign w:val="center"/>
          </w:tcPr>
          <w:p w14:paraId="3AD48132" w14:textId="6D59A1EC" w:rsidR="0099375F" w:rsidRPr="000E3906" w:rsidRDefault="0099375F" w:rsidP="0099375F">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p>
        </w:tc>
        <w:tc>
          <w:tcPr>
            <w:tcW w:w="1130" w:type="dxa"/>
            <w:vAlign w:val="center"/>
          </w:tcPr>
          <w:p w14:paraId="056D37DB" w14:textId="2ACFEF9E" w:rsidR="0099375F" w:rsidRPr="000E3906" w:rsidRDefault="0099375F" w:rsidP="0099375F">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p>
        </w:tc>
        <w:tc>
          <w:tcPr>
            <w:tcW w:w="1134" w:type="dxa"/>
            <w:vAlign w:val="center"/>
          </w:tcPr>
          <w:p w14:paraId="4A04741F" w14:textId="0EC02961" w:rsidR="0099375F" w:rsidRPr="000E3906" w:rsidRDefault="00E60A08" w:rsidP="000E3906">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r w:rsidRPr="000E3906">
              <w:rPr>
                <w:rFonts w:ascii="Arial" w:hAnsi="Arial" w:cs="Arial"/>
                <w:sz w:val="16"/>
                <w:szCs w:val="16"/>
                <w:u w:val="double"/>
                <w:vertAlign w:val="superscript"/>
              </w:rPr>
              <w:t>f</w:t>
            </w:r>
          </w:p>
        </w:tc>
        <w:tc>
          <w:tcPr>
            <w:tcW w:w="1134" w:type="dxa"/>
            <w:vAlign w:val="center"/>
          </w:tcPr>
          <w:p w14:paraId="27E79F82" w14:textId="0C7914B9" w:rsidR="0099375F" w:rsidRPr="000E3906" w:rsidRDefault="0099375F" w:rsidP="0099375F">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p>
        </w:tc>
        <w:tc>
          <w:tcPr>
            <w:tcW w:w="1688" w:type="dxa"/>
            <w:vAlign w:val="center"/>
          </w:tcPr>
          <w:p w14:paraId="7BDEF452" w14:textId="1F11535F" w:rsidR="0099375F" w:rsidRPr="000E3906" w:rsidRDefault="0099375F" w:rsidP="0099375F">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p>
        </w:tc>
      </w:tr>
      <w:tr w:rsidR="0099375F" w:rsidRPr="008E7CC4" w14:paraId="7955DB20" w14:textId="77777777" w:rsidTr="008E7CC4">
        <w:trPr>
          <w:trHeight w:val="402"/>
          <w:jc w:val="center"/>
        </w:trPr>
        <w:tc>
          <w:tcPr>
            <w:tcW w:w="1552" w:type="dxa"/>
            <w:vAlign w:val="center"/>
          </w:tcPr>
          <w:p w14:paraId="1D3EB174" w14:textId="77777777" w:rsidR="0099375F" w:rsidRPr="008E7CC4" w:rsidRDefault="0099375F" w:rsidP="0099375F">
            <w:pPr>
              <w:tabs>
                <w:tab w:val="clear" w:pos="-720"/>
              </w:tabs>
              <w:spacing w:before="120" w:after="120" w:line="240" w:lineRule="auto"/>
              <w:jc w:val="center"/>
              <w:rPr>
                <w:rFonts w:ascii="Arial" w:hAnsi="Arial" w:cs="Arial"/>
                <w:b/>
                <w:bCs/>
                <w:sz w:val="16"/>
                <w:szCs w:val="16"/>
                <w:u w:val="double"/>
              </w:rPr>
            </w:pPr>
            <w:r w:rsidRPr="008E7CC4">
              <w:rPr>
                <w:rFonts w:ascii="Arial" w:hAnsi="Arial" w:cs="Arial"/>
                <w:b/>
                <w:bCs/>
                <w:sz w:val="16"/>
                <w:szCs w:val="16"/>
                <w:u w:val="double"/>
              </w:rPr>
              <w:t>VN</w:t>
            </w:r>
          </w:p>
        </w:tc>
        <w:tc>
          <w:tcPr>
            <w:tcW w:w="992" w:type="dxa"/>
            <w:vAlign w:val="center"/>
          </w:tcPr>
          <w:p w14:paraId="092A6B16" w14:textId="79903A07" w:rsidR="0099375F" w:rsidRPr="000E3906" w:rsidRDefault="0099375F" w:rsidP="0099375F">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r w:rsidR="00732217" w:rsidRPr="000E3906">
              <w:rPr>
                <w:rFonts w:ascii="Arial" w:hAnsi="Arial" w:cs="Arial"/>
                <w:sz w:val="16"/>
                <w:szCs w:val="16"/>
                <w:u w:val="double"/>
                <w:vertAlign w:val="superscript"/>
              </w:rPr>
              <w:t>e</w:t>
            </w:r>
          </w:p>
        </w:tc>
        <w:tc>
          <w:tcPr>
            <w:tcW w:w="1417" w:type="dxa"/>
            <w:vAlign w:val="center"/>
          </w:tcPr>
          <w:p w14:paraId="3B5AEA75" w14:textId="2B8787E1" w:rsidR="0099375F" w:rsidRPr="000E3906" w:rsidRDefault="0099375F" w:rsidP="0099375F">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r w:rsidR="00732217" w:rsidRPr="000E3906">
              <w:rPr>
                <w:rFonts w:ascii="Arial" w:hAnsi="Arial" w:cs="Arial"/>
                <w:sz w:val="16"/>
                <w:szCs w:val="16"/>
                <w:u w:val="double"/>
                <w:vertAlign w:val="superscript"/>
              </w:rPr>
              <w:t>e</w:t>
            </w:r>
          </w:p>
        </w:tc>
        <w:tc>
          <w:tcPr>
            <w:tcW w:w="1130" w:type="dxa"/>
            <w:vAlign w:val="center"/>
          </w:tcPr>
          <w:p w14:paraId="29E15E93" w14:textId="095B71E7" w:rsidR="0099375F" w:rsidRPr="000E3906" w:rsidRDefault="000E3906" w:rsidP="0099375F">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134" w:type="dxa"/>
            <w:vAlign w:val="center"/>
          </w:tcPr>
          <w:p w14:paraId="45F5FF99" w14:textId="1D35B6B3" w:rsidR="0099375F" w:rsidRPr="000E3906" w:rsidRDefault="000E3906" w:rsidP="0099375F">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134" w:type="dxa"/>
            <w:vAlign w:val="center"/>
          </w:tcPr>
          <w:p w14:paraId="095B7464" w14:textId="37F0B9D0" w:rsidR="0099375F" w:rsidRPr="000E3906" w:rsidRDefault="00A479DF" w:rsidP="0099375F">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lang w:eastAsia="en-US"/>
              </w:rPr>
              <w:t>+</w:t>
            </w:r>
          </w:p>
        </w:tc>
        <w:tc>
          <w:tcPr>
            <w:tcW w:w="1688" w:type="dxa"/>
            <w:vAlign w:val="center"/>
          </w:tcPr>
          <w:p w14:paraId="148CD1B5" w14:textId="358BFE60" w:rsidR="0099375F" w:rsidRPr="000E3906" w:rsidRDefault="0099375F" w:rsidP="0099375F">
            <w:pPr>
              <w:tabs>
                <w:tab w:val="clear" w:pos="-720"/>
              </w:tabs>
              <w:spacing w:before="120" w:after="120" w:line="240" w:lineRule="auto"/>
              <w:jc w:val="center"/>
              <w:rPr>
                <w:rFonts w:ascii="Arial" w:hAnsi="Arial" w:cs="Arial"/>
                <w:sz w:val="16"/>
                <w:szCs w:val="16"/>
                <w:u w:val="double"/>
                <w:lang w:eastAsia="en-US"/>
              </w:rPr>
            </w:pPr>
            <w:r w:rsidRPr="000E3906">
              <w:rPr>
                <w:rFonts w:ascii="Arial" w:hAnsi="Arial" w:cs="Arial"/>
                <w:sz w:val="16"/>
                <w:szCs w:val="16"/>
                <w:u w:val="double"/>
              </w:rPr>
              <w:t>++</w:t>
            </w:r>
            <w:r w:rsidR="00732217" w:rsidRPr="000E3906">
              <w:rPr>
                <w:rFonts w:ascii="Arial" w:hAnsi="Arial" w:cs="Arial"/>
                <w:sz w:val="16"/>
                <w:szCs w:val="16"/>
                <w:u w:val="double"/>
                <w:vertAlign w:val="superscript"/>
              </w:rPr>
              <w:t>e</w:t>
            </w:r>
          </w:p>
        </w:tc>
      </w:tr>
    </w:tbl>
    <w:p w14:paraId="65416A99" w14:textId="24CCAF08" w:rsidR="0009547A" w:rsidRPr="00A0050C" w:rsidRDefault="00A0050C" w:rsidP="00A0050C">
      <w:pPr>
        <w:pStyle w:val="PlainText"/>
        <w:spacing w:before="120" w:after="240"/>
        <w:jc w:val="center"/>
        <w:rPr>
          <w:rFonts w:ascii="Arial" w:hAnsi="Arial" w:cs="Arial"/>
          <w:sz w:val="16"/>
          <w:szCs w:val="16"/>
          <w:u w:val="double"/>
          <w:lang w:val="en-IE"/>
        </w:rPr>
      </w:pPr>
      <w:r w:rsidRPr="00A0050C">
        <w:rPr>
          <w:rFonts w:ascii="Arial" w:hAnsi="Arial" w:cs="Arial"/>
          <w:sz w:val="16"/>
          <w:szCs w:val="16"/>
          <w:u w:val="double"/>
          <w:lang w:val="en-IE"/>
        </w:rPr>
        <w:t xml:space="preserve">Key: +++ = recommended for this purpose; ++ recommended but has limitations; </w:t>
      </w:r>
      <w:r w:rsidR="00C94963">
        <w:rPr>
          <w:rFonts w:ascii="Arial" w:hAnsi="Arial" w:cs="Arial"/>
          <w:sz w:val="16"/>
          <w:szCs w:val="16"/>
          <w:u w:val="double"/>
          <w:lang w:val="en-IE"/>
        </w:rPr>
        <w:br/>
      </w:r>
      <w:r w:rsidRPr="00A0050C">
        <w:rPr>
          <w:rFonts w:ascii="Arial" w:hAnsi="Arial" w:cs="Arial"/>
          <w:sz w:val="16"/>
          <w:szCs w:val="16"/>
          <w:u w:val="double"/>
          <w:lang w:val="en-IE"/>
        </w:rPr>
        <w:t xml:space="preserve">+ = suitable in very limited circumstances; – = not appropriate for this purpose. </w:t>
      </w:r>
      <w:r w:rsidR="00C94963">
        <w:rPr>
          <w:rFonts w:ascii="Arial" w:hAnsi="Arial" w:cs="Arial"/>
          <w:sz w:val="16"/>
          <w:szCs w:val="16"/>
          <w:u w:val="double"/>
          <w:lang w:val="en-IE"/>
        </w:rPr>
        <w:br/>
      </w:r>
      <w:r w:rsidR="00193B3E" w:rsidRPr="00A0050C">
        <w:rPr>
          <w:rFonts w:ascii="Arial" w:hAnsi="Arial" w:cs="Arial"/>
          <w:sz w:val="16"/>
          <w:szCs w:val="16"/>
          <w:u w:val="double"/>
          <w:lang w:val="en-IE"/>
        </w:rPr>
        <w:t xml:space="preserve">RT-PCR = reverse-transcription polymerase chain reaction; </w:t>
      </w:r>
      <w:r w:rsidR="00C94963">
        <w:rPr>
          <w:rFonts w:ascii="Arial" w:hAnsi="Arial" w:cs="Arial"/>
          <w:sz w:val="16"/>
          <w:szCs w:val="16"/>
          <w:u w:val="double"/>
          <w:lang w:val="en-IE"/>
        </w:rPr>
        <w:br/>
      </w:r>
      <w:r w:rsidR="00193B3E" w:rsidRPr="00A0050C">
        <w:rPr>
          <w:rFonts w:ascii="Arial" w:hAnsi="Arial" w:cs="Arial"/>
          <w:sz w:val="16"/>
          <w:szCs w:val="16"/>
          <w:u w:val="double"/>
          <w:lang w:val="en-IE"/>
        </w:rPr>
        <w:t>ELISA = enzyme-linked immunosorbent assay; VN</w:t>
      </w:r>
      <w:r w:rsidR="00656379" w:rsidRPr="00A0050C">
        <w:rPr>
          <w:rFonts w:ascii="Arial" w:hAnsi="Arial" w:cs="Arial"/>
          <w:sz w:val="16"/>
          <w:szCs w:val="16"/>
          <w:u w:val="double"/>
          <w:lang w:val="en-IE"/>
        </w:rPr>
        <w:t xml:space="preserve"> = Virus neutralisation</w:t>
      </w:r>
      <w:r w:rsidRPr="00A0050C">
        <w:rPr>
          <w:rFonts w:ascii="Arial" w:hAnsi="Arial" w:cs="Arial"/>
          <w:sz w:val="16"/>
          <w:szCs w:val="16"/>
          <w:u w:val="double"/>
          <w:lang w:val="en-IE"/>
        </w:rPr>
        <w:t>.</w:t>
      </w:r>
      <w:r>
        <w:rPr>
          <w:rFonts w:ascii="Arial" w:hAnsi="Arial" w:cs="Arial"/>
          <w:sz w:val="16"/>
          <w:szCs w:val="16"/>
          <w:u w:val="double"/>
          <w:lang w:val="en-IE"/>
        </w:rPr>
        <w:br/>
      </w:r>
      <w:proofErr w:type="spellStart"/>
      <w:r w:rsidR="009161D3" w:rsidRPr="00A0050C">
        <w:rPr>
          <w:rFonts w:ascii="Arial" w:hAnsi="Arial" w:cs="Arial"/>
          <w:spacing w:val="-4"/>
          <w:sz w:val="16"/>
          <w:szCs w:val="16"/>
          <w:u w:val="double"/>
          <w:vertAlign w:val="superscript"/>
          <w:lang w:val="en-IE"/>
        </w:rPr>
        <w:t>a</w:t>
      </w:r>
      <w:r w:rsidR="009161D3" w:rsidRPr="00A0050C">
        <w:rPr>
          <w:rFonts w:ascii="Arial" w:hAnsi="Arial" w:cs="Arial"/>
          <w:spacing w:val="-4"/>
          <w:sz w:val="16"/>
          <w:szCs w:val="16"/>
          <w:u w:val="double"/>
          <w:lang w:val="en-IE"/>
        </w:rPr>
        <w:t>If</w:t>
      </w:r>
      <w:proofErr w:type="spellEnd"/>
      <w:r w:rsidR="009161D3" w:rsidRPr="00A0050C">
        <w:rPr>
          <w:rFonts w:ascii="Arial" w:hAnsi="Arial" w:cs="Arial"/>
          <w:spacing w:val="-4"/>
          <w:sz w:val="16"/>
          <w:szCs w:val="16"/>
          <w:u w:val="double"/>
          <w:lang w:val="en-IE"/>
        </w:rPr>
        <w:t xml:space="preserve"> performed on a large scale and always negative in an area where no live vaccination is performed,</w:t>
      </w:r>
      <w:r w:rsidRPr="00A0050C">
        <w:rPr>
          <w:rFonts w:ascii="Arial" w:hAnsi="Arial" w:cs="Arial"/>
          <w:spacing w:val="-4"/>
          <w:sz w:val="16"/>
          <w:szCs w:val="16"/>
          <w:u w:val="double"/>
          <w:lang w:val="en-IE"/>
        </w:rPr>
        <w:t xml:space="preserve"> </w:t>
      </w:r>
      <w:r w:rsidR="009161D3" w:rsidRPr="00A0050C">
        <w:rPr>
          <w:rFonts w:ascii="Arial" w:hAnsi="Arial" w:cs="Arial"/>
          <w:spacing w:val="-4"/>
          <w:sz w:val="16"/>
          <w:szCs w:val="16"/>
          <w:u w:val="double"/>
          <w:lang w:val="en-IE"/>
        </w:rPr>
        <w:t xml:space="preserve">or to check for subclinical </w:t>
      </w:r>
      <w:proofErr w:type="spellStart"/>
      <w:r w:rsidR="009161D3" w:rsidRPr="00A0050C">
        <w:rPr>
          <w:rFonts w:ascii="Arial" w:hAnsi="Arial" w:cs="Arial"/>
          <w:spacing w:val="-4"/>
          <w:sz w:val="16"/>
          <w:szCs w:val="16"/>
          <w:u w:val="double"/>
          <w:lang w:val="en-IE"/>
        </w:rPr>
        <w:t>aMPV</w:t>
      </w:r>
      <w:proofErr w:type="spellEnd"/>
      <w:r w:rsidR="00CB72CB" w:rsidRPr="00A0050C">
        <w:rPr>
          <w:rFonts w:ascii="Arial" w:hAnsi="Arial" w:cs="Arial"/>
          <w:spacing w:val="-4"/>
          <w:sz w:val="16"/>
          <w:szCs w:val="16"/>
          <w:u w:val="double"/>
          <w:lang w:val="en-IE"/>
        </w:rPr>
        <w:t>.</w:t>
      </w:r>
      <w:r w:rsidRPr="00A0050C">
        <w:rPr>
          <w:rFonts w:ascii="Arial" w:hAnsi="Arial" w:cs="Arial"/>
          <w:sz w:val="16"/>
          <w:szCs w:val="16"/>
          <w:u w:val="double"/>
          <w:lang w:val="en-IE"/>
        </w:rPr>
        <w:br/>
      </w:r>
      <w:proofErr w:type="spellStart"/>
      <w:r w:rsidR="009161D3" w:rsidRPr="00A0050C">
        <w:rPr>
          <w:rFonts w:ascii="Arial" w:hAnsi="Arial" w:cs="Arial"/>
          <w:sz w:val="16"/>
          <w:szCs w:val="16"/>
          <w:u w:val="double"/>
          <w:vertAlign w:val="superscript"/>
          <w:lang w:val="en-IE"/>
        </w:rPr>
        <w:t>b</w:t>
      </w:r>
      <w:r w:rsidR="009161D3" w:rsidRPr="00A0050C">
        <w:rPr>
          <w:rFonts w:ascii="Arial" w:hAnsi="Arial" w:cs="Arial"/>
          <w:sz w:val="16"/>
          <w:szCs w:val="16"/>
          <w:u w:val="double"/>
          <w:lang w:val="en-IE"/>
        </w:rPr>
        <w:t>Could</w:t>
      </w:r>
      <w:proofErr w:type="spellEnd"/>
      <w:r w:rsidR="009161D3" w:rsidRPr="00A0050C">
        <w:rPr>
          <w:rFonts w:ascii="Arial" w:hAnsi="Arial" w:cs="Arial"/>
          <w:sz w:val="16"/>
          <w:szCs w:val="16"/>
          <w:u w:val="double"/>
          <w:lang w:val="en-IE"/>
        </w:rPr>
        <w:t xml:space="preserve"> be used post-vaccination to check replication of live vaccine in the </w:t>
      </w:r>
      <w:r>
        <w:rPr>
          <w:rFonts w:ascii="Arial" w:hAnsi="Arial" w:cs="Arial"/>
          <w:sz w:val="16"/>
          <w:szCs w:val="16"/>
          <w:u w:val="double"/>
          <w:lang w:val="en-IE"/>
        </w:rPr>
        <w:t>r</w:t>
      </w:r>
      <w:r w:rsidR="009161D3" w:rsidRPr="00A0050C">
        <w:rPr>
          <w:rFonts w:ascii="Arial" w:hAnsi="Arial" w:cs="Arial"/>
          <w:sz w:val="16"/>
          <w:szCs w:val="16"/>
          <w:u w:val="double"/>
          <w:lang w:val="en-IE"/>
        </w:rPr>
        <w:t>espiratory tract</w:t>
      </w:r>
      <w:r w:rsidR="00CB72CB" w:rsidRPr="00A0050C">
        <w:rPr>
          <w:rFonts w:ascii="Arial" w:hAnsi="Arial" w:cs="Arial"/>
          <w:sz w:val="16"/>
          <w:szCs w:val="16"/>
          <w:u w:val="double"/>
          <w:lang w:val="en-IE"/>
        </w:rPr>
        <w:t>.</w:t>
      </w:r>
      <w:r w:rsidRPr="00A0050C">
        <w:rPr>
          <w:rFonts w:ascii="Arial" w:hAnsi="Arial" w:cs="Arial"/>
          <w:sz w:val="16"/>
          <w:szCs w:val="16"/>
          <w:u w:val="double"/>
          <w:lang w:val="en-IE"/>
        </w:rPr>
        <w:br/>
      </w:r>
      <w:proofErr w:type="spellStart"/>
      <w:r w:rsidR="009161D3" w:rsidRPr="00A0050C">
        <w:rPr>
          <w:rFonts w:ascii="Arial" w:hAnsi="Arial" w:cs="Arial"/>
          <w:sz w:val="16"/>
          <w:szCs w:val="16"/>
          <w:u w:val="double"/>
          <w:vertAlign w:val="superscript"/>
          <w:lang w:val="en-IE"/>
        </w:rPr>
        <w:lastRenderedPageBreak/>
        <w:t>c</w:t>
      </w:r>
      <w:r w:rsidR="00CB72CB" w:rsidRPr="00A0050C">
        <w:rPr>
          <w:rFonts w:ascii="Arial" w:hAnsi="Arial" w:cs="Arial"/>
          <w:sz w:val="16"/>
          <w:szCs w:val="16"/>
          <w:u w:val="double"/>
          <w:lang w:val="en-IE"/>
        </w:rPr>
        <w:t>C</w:t>
      </w:r>
      <w:r w:rsidR="009161D3" w:rsidRPr="00A0050C">
        <w:rPr>
          <w:rFonts w:ascii="Arial" w:hAnsi="Arial" w:cs="Arial"/>
          <w:sz w:val="16"/>
          <w:szCs w:val="16"/>
          <w:u w:val="double"/>
          <w:lang w:val="en-IE"/>
        </w:rPr>
        <w:t>ould</w:t>
      </w:r>
      <w:proofErr w:type="spellEnd"/>
      <w:r w:rsidR="009161D3" w:rsidRPr="00A0050C">
        <w:rPr>
          <w:rFonts w:ascii="Arial" w:hAnsi="Arial" w:cs="Arial"/>
          <w:sz w:val="16"/>
          <w:szCs w:val="16"/>
          <w:u w:val="double"/>
          <w:lang w:val="en-IE"/>
        </w:rPr>
        <w:t xml:space="preserve"> be negative if infection occurred several weeks before testi</w:t>
      </w:r>
      <w:r w:rsidR="00CB72CB" w:rsidRPr="00A0050C">
        <w:rPr>
          <w:rFonts w:ascii="Arial" w:hAnsi="Arial" w:cs="Arial"/>
          <w:sz w:val="16"/>
          <w:szCs w:val="16"/>
          <w:u w:val="double"/>
          <w:lang w:val="en-IE"/>
        </w:rPr>
        <w:t>ng.</w:t>
      </w:r>
      <w:r w:rsidRPr="00A0050C">
        <w:rPr>
          <w:rFonts w:ascii="Arial" w:hAnsi="Arial" w:cs="Arial"/>
          <w:sz w:val="16"/>
          <w:szCs w:val="16"/>
          <w:u w:val="double"/>
          <w:lang w:val="en-IE"/>
        </w:rPr>
        <w:br/>
      </w:r>
      <w:proofErr w:type="spellStart"/>
      <w:r w:rsidR="009161D3" w:rsidRPr="00A0050C">
        <w:rPr>
          <w:rFonts w:ascii="Arial" w:hAnsi="Arial" w:cs="Arial"/>
          <w:sz w:val="16"/>
          <w:szCs w:val="16"/>
          <w:u w:val="double"/>
          <w:vertAlign w:val="superscript"/>
          <w:lang w:val="en-IE"/>
        </w:rPr>
        <w:t>d</w:t>
      </w:r>
      <w:r w:rsidR="009161D3" w:rsidRPr="00A0050C">
        <w:rPr>
          <w:rFonts w:ascii="Arial" w:hAnsi="Arial" w:cs="Arial"/>
          <w:sz w:val="16"/>
          <w:szCs w:val="16"/>
          <w:u w:val="double"/>
          <w:lang w:val="en-IE"/>
        </w:rPr>
        <w:t>Labour</w:t>
      </w:r>
      <w:proofErr w:type="spellEnd"/>
      <w:r w:rsidR="009161D3" w:rsidRPr="00A0050C">
        <w:rPr>
          <w:rFonts w:ascii="Arial" w:hAnsi="Arial" w:cs="Arial"/>
          <w:sz w:val="16"/>
          <w:szCs w:val="16"/>
          <w:u w:val="double"/>
          <w:lang w:val="en-IE"/>
        </w:rPr>
        <w:t xml:space="preserve"> intensive and needs to be complemented with </w:t>
      </w:r>
      <w:r w:rsidR="008403B6" w:rsidRPr="00A0050C">
        <w:rPr>
          <w:rFonts w:ascii="Arial" w:hAnsi="Arial" w:cs="Arial"/>
          <w:sz w:val="16"/>
          <w:szCs w:val="16"/>
          <w:u w:val="double"/>
          <w:lang w:val="en-IE"/>
        </w:rPr>
        <w:t>genotyping using full length genome sequences.</w:t>
      </w:r>
      <w:r w:rsidRPr="00A0050C">
        <w:rPr>
          <w:rFonts w:ascii="Arial" w:hAnsi="Arial" w:cs="Arial"/>
          <w:sz w:val="16"/>
          <w:szCs w:val="16"/>
          <w:u w:val="double"/>
          <w:lang w:val="en-IE"/>
        </w:rPr>
        <w:br/>
      </w:r>
      <w:proofErr w:type="spellStart"/>
      <w:r w:rsidR="00732217" w:rsidRPr="00A0050C">
        <w:rPr>
          <w:rFonts w:ascii="Arial" w:hAnsi="Arial" w:cs="Arial"/>
          <w:sz w:val="16"/>
          <w:szCs w:val="16"/>
          <w:u w:val="double"/>
          <w:vertAlign w:val="superscript"/>
          <w:lang w:val="en-IE"/>
        </w:rPr>
        <w:t>e</w:t>
      </w:r>
      <w:r w:rsidR="00285E27" w:rsidRPr="00A0050C">
        <w:rPr>
          <w:rFonts w:ascii="Arial" w:hAnsi="Arial" w:cs="Arial"/>
          <w:sz w:val="16"/>
          <w:szCs w:val="16"/>
          <w:u w:val="double"/>
          <w:lang w:val="en-IE"/>
        </w:rPr>
        <w:t>Labour</w:t>
      </w:r>
      <w:proofErr w:type="spellEnd"/>
      <w:r w:rsidR="00285E27" w:rsidRPr="00A0050C">
        <w:rPr>
          <w:rFonts w:ascii="Arial" w:hAnsi="Arial" w:cs="Arial"/>
          <w:sz w:val="16"/>
          <w:szCs w:val="16"/>
          <w:u w:val="double"/>
          <w:lang w:val="en-IE"/>
        </w:rPr>
        <w:t xml:space="preserve"> intensive </w:t>
      </w:r>
      <w:r w:rsidR="009161D3" w:rsidRPr="00A0050C">
        <w:rPr>
          <w:rFonts w:ascii="Arial" w:hAnsi="Arial" w:cs="Arial"/>
          <w:sz w:val="16"/>
          <w:szCs w:val="16"/>
          <w:u w:val="double"/>
          <w:lang w:val="en-IE"/>
        </w:rPr>
        <w:t>however</w:t>
      </w:r>
      <w:r w:rsidR="00285E27" w:rsidRPr="00A0050C">
        <w:rPr>
          <w:rFonts w:ascii="Arial" w:hAnsi="Arial" w:cs="Arial"/>
          <w:sz w:val="16"/>
          <w:szCs w:val="16"/>
          <w:u w:val="double"/>
          <w:lang w:val="en-IE"/>
        </w:rPr>
        <w:t>,</w:t>
      </w:r>
      <w:r w:rsidR="009161D3" w:rsidRPr="00A0050C">
        <w:rPr>
          <w:rFonts w:ascii="Arial" w:hAnsi="Arial" w:cs="Arial"/>
          <w:sz w:val="16"/>
          <w:szCs w:val="16"/>
          <w:u w:val="double"/>
          <w:lang w:val="en-IE"/>
        </w:rPr>
        <w:t xml:space="preserve"> critical to correlate the presence of detected antibody with protection.</w:t>
      </w:r>
      <w:r w:rsidRPr="00A0050C">
        <w:rPr>
          <w:rFonts w:ascii="Arial" w:hAnsi="Arial" w:cs="Arial"/>
          <w:sz w:val="16"/>
          <w:szCs w:val="16"/>
          <w:u w:val="double"/>
          <w:lang w:val="en-IE"/>
        </w:rPr>
        <w:br/>
      </w:r>
      <w:proofErr w:type="spellStart"/>
      <w:r w:rsidR="00E60A08" w:rsidRPr="00A0050C">
        <w:rPr>
          <w:rFonts w:ascii="Arial" w:hAnsi="Arial" w:cs="Arial"/>
          <w:sz w:val="16"/>
          <w:szCs w:val="16"/>
          <w:u w:val="double"/>
          <w:vertAlign w:val="superscript"/>
          <w:lang w:val="en-IE"/>
        </w:rPr>
        <w:t>f</w:t>
      </w:r>
      <w:r w:rsidR="00C94963">
        <w:rPr>
          <w:rFonts w:ascii="Arial" w:hAnsi="Arial" w:cs="Arial"/>
          <w:sz w:val="16"/>
          <w:szCs w:val="16"/>
          <w:u w:val="double"/>
          <w:lang w:val="en-IE"/>
        </w:rPr>
        <w:t>C</w:t>
      </w:r>
      <w:r w:rsidR="003F3062" w:rsidRPr="00A0050C">
        <w:rPr>
          <w:rFonts w:ascii="Arial" w:hAnsi="Arial" w:cs="Arial"/>
          <w:sz w:val="16"/>
          <w:szCs w:val="16"/>
          <w:u w:val="double"/>
          <w:lang w:val="en-IE"/>
        </w:rPr>
        <w:t>ould</w:t>
      </w:r>
      <w:proofErr w:type="spellEnd"/>
      <w:r w:rsidR="003F3062" w:rsidRPr="00A0050C">
        <w:rPr>
          <w:rFonts w:ascii="Arial" w:hAnsi="Arial" w:cs="Arial"/>
          <w:sz w:val="16"/>
          <w:szCs w:val="16"/>
          <w:u w:val="double"/>
          <w:lang w:val="en-IE"/>
        </w:rPr>
        <w:t xml:space="preserve"> be used for case confirmation under certain circumstances, for example if two series of </w:t>
      </w:r>
      <w:r w:rsidR="00C94963">
        <w:rPr>
          <w:rFonts w:ascii="Arial" w:hAnsi="Arial" w:cs="Arial"/>
          <w:sz w:val="16"/>
          <w:szCs w:val="16"/>
          <w:u w:val="double"/>
          <w:lang w:val="en-IE"/>
        </w:rPr>
        <w:br/>
      </w:r>
      <w:r w:rsidR="003F3062" w:rsidRPr="00A0050C">
        <w:rPr>
          <w:rFonts w:ascii="Arial" w:hAnsi="Arial" w:cs="Arial"/>
          <w:sz w:val="16"/>
          <w:szCs w:val="16"/>
          <w:u w:val="double"/>
          <w:lang w:val="en-IE"/>
        </w:rPr>
        <w:t>serological samples 3 weeks apart are available</w:t>
      </w:r>
      <w:r w:rsidR="00C94963">
        <w:rPr>
          <w:rFonts w:ascii="Arial" w:hAnsi="Arial" w:cs="Arial"/>
          <w:sz w:val="16"/>
          <w:szCs w:val="16"/>
          <w:u w:val="double"/>
          <w:lang w:val="en-IE"/>
        </w:rPr>
        <w:t>.</w:t>
      </w:r>
    </w:p>
    <w:p w14:paraId="66A1C455" w14:textId="563181B8" w:rsidR="00D32B0C" w:rsidRDefault="00193B3E" w:rsidP="00E83BEB">
      <w:pPr>
        <w:pStyle w:val="1"/>
        <w:ind w:left="0" w:firstLine="0"/>
      </w:pPr>
      <w:r>
        <w:t>1.</w:t>
      </w:r>
      <w:r>
        <w:tab/>
      </w:r>
      <w:r w:rsidR="0034168E" w:rsidRPr="00C94963">
        <w:t>Detection</w:t>
      </w:r>
      <w:r w:rsidR="0034168E">
        <w:t xml:space="preserve"> </w:t>
      </w:r>
      <w:r w:rsidR="00D32B0C">
        <w:t>of the agent</w:t>
      </w:r>
    </w:p>
    <w:p w14:paraId="66F5ED2F" w14:textId="0E93C578" w:rsidR="00FB52DE" w:rsidRPr="002E0DF3" w:rsidRDefault="00FB52DE">
      <w:pPr>
        <w:pStyle w:val="para1"/>
      </w:pPr>
      <w:r w:rsidRPr="002E0DF3">
        <w:t xml:space="preserve">To maximise the chances of successfully isolating the virus, a multiple approach to diagnosis is recommended. This is particularly relevant when dealing with different </w:t>
      </w:r>
      <w:r w:rsidR="00A0050C" w:rsidRPr="008E7CC4">
        <w:rPr>
          <w:strike/>
        </w:rPr>
        <w:t>subtype</w:t>
      </w:r>
      <w:r w:rsidR="00A0050C">
        <w:rPr>
          <w:strike/>
        </w:rPr>
        <w:t xml:space="preserve">s </w:t>
      </w:r>
      <w:r w:rsidR="00A0050C" w:rsidRPr="008E7CC4">
        <w:rPr>
          <w:u w:val="double"/>
        </w:rPr>
        <w:t>subgroup</w:t>
      </w:r>
      <w:r w:rsidR="00A0050C">
        <w:rPr>
          <w:u w:val="double"/>
        </w:rPr>
        <w:t>s</w:t>
      </w:r>
      <w:r w:rsidR="00A0050C" w:rsidRPr="002E0DF3">
        <w:t xml:space="preserve"> </w:t>
      </w:r>
      <w:r w:rsidRPr="002E0DF3">
        <w:t xml:space="preserve">or genotypes that may require varied </w:t>
      </w:r>
      <w:r w:rsidRPr="002E0DF3">
        <w:rPr>
          <w:i/>
        </w:rPr>
        <w:t xml:space="preserve">in-vitro </w:t>
      </w:r>
      <w:r w:rsidR="005901C1" w:rsidRPr="002E0DF3">
        <w:t>virus isolation</w:t>
      </w:r>
      <w:r w:rsidR="005901C1" w:rsidRPr="002E0DF3">
        <w:rPr>
          <w:i/>
        </w:rPr>
        <w:t xml:space="preserve"> </w:t>
      </w:r>
      <w:r w:rsidR="008F1E7E" w:rsidRPr="002E0DF3">
        <w:t xml:space="preserve">methods. </w:t>
      </w:r>
      <w:r w:rsidRPr="002E0DF3">
        <w:t xml:space="preserve">This was illustrated in the </w:t>
      </w:r>
      <w:smartTag w:uri="urn:schemas-microsoft-com:office:smarttags" w:element="country-region">
        <w:smartTag w:uri="urn:schemas-microsoft-com:office:smarttags" w:element="place">
          <w:r w:rsidRPr="002E0DF3">
            <w:t>USA</w:t>
          </w:r>
        </w:smartTag>
      </w:smartTag>
      <w:r w:rsidRPr="002E0DF3">
        <w:t xml:space="preserve"> with the failure</w:t>
      </w:r>
      <w:r w:rsidR="00554E7D" w:rsidRPr="002E0DF3">
        <w:t xml:space="preserve"> </w:t>
      </w:r>
      <w:r w:rsidR="00554E7D" w:rsidRPr="008F1E7E">
        <w:rPr>
          <w:szCs w:val="24"/>
          <w:lang w:eastAsia="en-GB"/>
        </w:rPr>
        <w:t>of the first attempts</w:t>
      </w:r>
      <w:r w:rsidRPr="002E0DF3">
        <w:t xml:space="preserve"> to</w:t>
      </w:r>
      <w:r w:rsidR="005901C1" w:rsidRPr="002E0DF3">
        <w:t xml:space="preserve"> </w:t>
      </w:r>
      <w:r w:rsidR="008F1E7E" w:rsidRPr="002E0DF3">
        <w:t xml:space="preserve">isolate </w:t>
      </w:r>
      <w:r w:rsidR="00A0050C" w:rsidRPr="008E7CC4">
        <w:rPr>
          <w:strike/>
        </w:rPr>
        <w:t>subtype</w:t>
      </w:r>
      <w:r w:rsidR="00A0050C">
        <w:rPr>
          <w:strike/>
        </w:rPr>
        <w:t xml:space="preserve"> </w:t>
      </w:r>
      <w:r w:rsidR="00A0050C" w:rsidRPr="008E7CC4">
        <w:rPr>
          <w:u w:val="double"/>
        </w:rPr>
        <w:t>subgroup</w:t>
      </w:r>
      <w:r w:rsidRPr="002E0DF3">
        <w:t xml:space="preserve"> C </w:t>
      </w:r>
      <w:proofErr w:type="spellStart"/>
      <w:r w:rsidRPr="002E0DF3">
        <w:t>aMPV</w:t>
      </w:r>
      <w:proofErr w:type="spellEnd"/>
      <w:r w:rsidR="005901C1" w:rsidRPr="002E0DF3">
        <w:t>.</w:t>
      </w:r>
      <w:r w:rsidRPr="002E0DF3">
        <w:t xml:space="preserve"> </w:t>
      </w:r>
      <w:r w:rsidR="005901C1" w:rsidRPr="002E0DF3">
        <w:t xml:space="preserve">The USA </w:t>
      </w:r>
      <w:r w:rsidR="00A0050C" w:rsidRPr="008E7CC4">
        <w:rPr>
          <w:strike/>
        </w:rPr>
        <w:t>subtype</w:t>
      </w:r>
      <w:r w:rsidR="00A0050C">
        <w:rPr>
          <w:strike/>
        </w:rPr>
        <w:t xml:space="preserve"> </w:t>
      </w:r>
      <w:r w:rsidR="00A0050C" w:rsidRPr="008E7CC4">
        <w:rPr>
          <w:u w:val="double"/>
        </w:rPr>
        <w:t>subgroup</w:t>
      </w:r>
      <w:r w:rsidR="00554E7D" w:rsidRPr="008F1E7E">
        <w:rPr>
          <w:szCs w:val="24"/>
          <w:lang w:eastAsia="en-GB"/>
        </w:rPr>
        <w:t xml:space="preserve"> C</w:t>
      </w:r>
      <w:r w:rsidR="005901C1" w:rsidRPr="002E0DF3">
        <w:t xml:space="preserve"> has not been</w:t>
      </w:r>
      <w:r w:rsidRPr="002E0DF3">
        <w:t xml:space="preserve"> associated with </w:t>
      </w:r>
      <w:proofErr w:type="spellStart"/>
      <w:r w:rsidRPr="002E0DF3">
        <w:t>ciliostasis</w:t>
      </w:r>
      <w:proofErr w:type="spellEnd"/>
      <w:r w:rsidRPr="002E0DF3">
        <w:t>, in tracheal organ cultures (</w:t>
      </w:r>
      <w:r w:rsidR="00BD7156" w:rsidRPr="00115864">
        <w:rPr>
          <w:strike/>
        </w:rPr>
        <w:t xml:space="preserve">Cook </w:t>
      </w:r>
      <w:r w:rsidR="00B7724F" w:rsidRPr="00115864">
        <w:rPr>
          <w:i/>
          <w:strike/>
        </w:rPr>
        <w:t>et al</w:t>
      </w:r>
      <w:r w:rsidR="00BD7156" w:rsidRPr="00115864">
        <w:rPr>
          <w:strike/>
        </w:rPr>
        <w:t>., 1999</w:t>
      </w:r>
      <w:r w:rsidR="00221851" w:rsidRPr="00115864">
        <w:rPr>
          <w:strike/>
        </w:rPr>
        <w:t xml:space="preserve">; </w:t>
      </w:r>
      <w:r w:rsidR="00A74CEF">
        <w:t xml:space="preserve">Senne </w:t>
      </w:r>
      <w:r w:rsidR="00B7724F" w:rsidRPr="00B7724F">
        <w:rPr>
          <w:i/>
        </w:rPr>
        <w:t>et al</w:t>
      </w:r>
      <w:r w:rsidR="00A74CEF">
        <w:t>., 1997</w:t>
      </w:r>
      <w:r w:rsidRPr="002E0DF3">
        <w:t>)</w:t>
      </w:r>
      <w:r w:rsidR="005901C1" w:rsidRPr="002E0DF3">
        <w:t>, and t</w:t>
      </w:r>
      <w:r w:rsidRPr="002E0DF3">
        <w:t>he agent was</w:t>
      </w:r>
      <w:r w:rsidR="005901C1" w:rsidRPr="002E0DF3">
        <w:t xml:space="preserve"> only</w:t>
      </w:r>
      <w:r w:rsidRPr="002E0DF3">
        <w:t xml:space="preserve"> cultured following multiple embryo and cell culture passages. This was in contrast to the experience </w:t>
      </w:r>
      <w:r w:rsidR="005901C1" w:rsidRPr="002E0DF3">
        <w:t xml:space="preserve">in Europe </w:t>
      </w:r>
      <w:r w:rsidRPr="002E0DF3">
        <w:t xml:space="preserve">and elsewhere in which tracheal organ cultures and/or Vero cells were shown to be the most reliable method for the primary isolation of </w:t>
      </w:r>
      <w:r w:rsidR="00A0050C" w:rsidRPr="008E7CC4">
        <w:rPr>
          <w:strike/>
        </w:rPr>
        <w:t>subtype</w:t>
      </w:r>
      <w:r w:rsidR="00A0050C">
        <w:rPr>
          <w:strike/>
        </w:rPr>
        <w:t xml:space="preserve"> </w:t>
      </w:r>
      <w:r w:rsidR="00A0050C" w:rsidRPr="008E7CC4">
        <w:rPr>
          <w:u w:val="double"/>
        </w:rPr>
        <w:t>subgroup</w:t>
      </w:r>
      <w:r w:rsidRPr="002E0DF3">
        <w:t xml:space="preserve"> A</w:t>
      </w:r>
      <w:r w:rsidR="009615C3" w:rsidRPr="002E0DF3">
        <w:t>,</w:t>
      </w:r>
      <w:r w:rsidRPr="002E0DF3">
        <w:t xml:space="preserve"> B</w:t>
      </w:r>
      <w:r w:rsidR="009615C3" w:rsidRPr="002E0DF3">
        <w:t>,</w:t>
      </w:r>
      <w:r w:rsidRPr="002E0DF3">
        <w:t xml:space="preserve"> C and D </w:t>
      </w:r>
      <w:r w:rsidR="005901C1" w:rsidRPr="002E0DF3">
        <w:t xml:space="preserve">of </w:t>
      </w:r>
      <w:proofErr w:type="spellStart"/>
      <w:r w:rsidR="005901C1" w:rsidRPr="002E0DF3">
        <w:t>aMPV</w:t>
      </w:r>
      <w:proofErr w:type="spellEnd"/>
      <w:r w:rsidR="009615C3" w:rsidRPr="002E0DF3">
        <w:t xml:space="preserve"> (</w:t>
      </w:r>
      <w:r w:rsidR="00BD7156" w:rsidRPr="00115864">
        <w:rPr>
          <w:strike/>
        </w:rPr>
        <w:t>Cook &amp; Cavanagh, 2002</w:t>
      </w:r>
      <w:r w:rsidR="00221851" w:rsidRPr="00115864">
        <w:rPr>
          <w:strike/>
        </w:rPr>
        <w:t>;</w:t>
      </w:r>
      <w:r w:rsidR="009615C3" w:rsidRPr="00115864">
        <w:rPr>
          <w:strike/>
        </w:rPr>
        <w:t xml:space="preserve"> </w:t>
      </w:r>
      <w:r w:rsidR="00D311EB">
        <w:t xml:space="preserve">Giraud </w:t>
      </w:r>
      <w:r w:rsidR="00B7724F" w:rsidRPr="00B7724F">
        <w:rPr>
          <w:i/>
        </w:rPr>
        <w:t>et al</w:t>
      </w:r>
      <w:r w:rsidR="00D311EB">
        <w:t>., 1988</w:t>
      </w:r>
      <w:r w:rsidR="00221851" w:rsidRPr="009733A1">
        <w:rPr>
          <w:strike/>
        </w:rPr>
        <w:t>;</w:t>
      </w:r>
      <w:r w:rsidR="009615C3" w:rsidRPr="009733A1">
        <w:rPr>
          <w:strike/>
        </w:rPr>
        <w:t xml:space="preserve"> </w:t>
      </w:r>
      <w:proofErr w:type="spellStart"/>
      <w:r w:rsidR="00A74CEF" w:rsidRPr="009733A1">
        <w:rPr>
          <w:strike/>
        </w:rPr>
        <w:t>Toquin</w:t>
      </w:r>
      <w:proofErr w:type="spellEnd"/>
      <w:r w:rsidR="00A74CEF" w:rsidRPr="009733A1">
        <w:rPr>
          <w:strike/>
        </w:rPr>
        <w:t xml:space="preserve"> </w:t>
      </w:r>
      <w:r w:rsidR="00B7724F" w:rsidRPr="009733A1">
        <w:rPr>
          <w:i/>
          <w:strike/>
        </w:rPr>
        <w:t>et al</w:t>
      </w:r>
      <w:r w:rsidR="00A74CEF" w:rsidRPr="009733A1">
        <w:rPr>
          <w:strike/>
        </w:rPr>
        <w:t>., 1999</w:t>
      </w:r>
      <w:r w:rsidR="00221851" w:rsidRPr="009733A1">
        <w:rPr>
          <w:strike/>
        </w:rPr>
        <w:t>;</w:t>
      </w:r>
      <w:r w:rsidR="009615C3" w:rsidRPr="009733A1">
        <w:rPr>
          <w:strike/>
        </w:rPr>
        <w:t xml:space="preserve"> </w:t>
      </w:r>
      <w:r w:rsidR="00A74CEF" w:rsidRPr="009733A1">
        <w:rPr>
          <w:strike/>
        </w:rPr>
        <w:t>2000</w:t>
      </w:r>
      <w:r w:rsidR="009615C3" w:rsidRPr="002E0DF3">
        <w:t>)</w:t>
      </w:r>
      <w:r w:rsidRPr="002E0DF3">
        <w:t>.</w:t>
      </w:r>
    </w:p>
    <w:p w14:paraId="03990B08" w14:textId="77777777" w:rsidR="00FB52DE" w:rsidRPr="002E0DF3" w:rsidRDefault="007615F3" w:rsidP="00E811AD">
      <w:pPr>
        <w:pStyle w:val="11"/>
      </w:pPr>
      <w:r>
        <w:t>1.1.</w:t>
      </w:r>
      <w:r w:rsidR="00FB52DE" w:rsidRPr="002E0DF3">
        <w:tab/>
        <w:t>Collection and selection of diagnostic specimens</w:t>
      </w:r>
    </w:p>
    <w:p w14:paraId="2148D50D" w14:textId="15B58FB9" w:rsidR="00FB52DE" w:rsidRPr="002E0DF3" w:rsidRDefault="00FB52DE" w:rsidP="00E811AD">
      <w:pPr>
        <w:pStyle w:val="11Para"/>
      </w:pPr>
      <w:r w:rsidRPr="002E0DF3">
        <w:t xml:space="preserve">It is very important to take samples for attempted virus isolation in the early stages of infection as the virus may be present only in the sinuses and </w:t>
      </w:r>
      <w:proofErr w:type="spellStart"/>
      <w:r w:rsidRPr="002E0DF3">
        <w:t>turbinates</w:t>
      </w:r>
      <w:proofErr w:type="spellEnd"/>
      <w:r w:rsidRPr="002E0DF3">
        <w:t xml:space="preserve"> for a short period. Ideally, the upper respiratory tract of live birds in the acute phase of the disease should be sampled using sterile swabs (</w:t>
      </w:r>
      <w:r w:rsidR="00332BC3" w:rsidRPr="001E291E">
        <w:rPr>
          <w:strike/>
        </w:rPr>
        <w:t>Gough, 2003</w:t>
      </w:r>
      <w:r w:rsidR="00221851" w:rsidRPr="001E291E">
        <w:rPr>
          <w:strike/>
        </w:rPr>
        <w:t>;</w:t>
      </w:r>
      <w:r w:rsidRPr="001E291E">
        <w:rPr>
          <w:strike/>
        </w:rPr>
        <w:t xml:space="preserve"> </w:t>
      </w:r>
      <w:r w:rsidR="00A74CEF" w:rsidRPr="00B7724F">
        <w:t>Stuart, 1989</w:t>
      </w:r>
      <w:r w:rsidRPr="002E0DF3">
        <w:t>). The most successful samples have been nasal exudates, choanal cleft swabs and scrapings of sinus and turbinate tissue. The virus has also been isolated from trachea and lungs, and occasionally viscera of affected turkey poults</w:t>
      </w:r>
      <w:r w:rsidRPr="00115864">
        <w:rPr>
          <w:strike/>
        </w:rPr>
        <w:t xml:space="preserve"> (</w:t>
      </w:r>
      <w:r w:rsidR="00332BC3" w:rsidRPr="00115864">
        <w:rPr>
          <w:strike/>
        </w:rPr>
        <w:t xml:space="preserve">Buys </w:t>
      </w:r>
      <w:r w:rsidR="00B7724F" w:rsidRPr="00115864">
        <w:rPr>
          <w:i/>
          <w:strike/>
        </w:rPr>
        <w:t>et al</w:t>
      </w:r>
      <w:r w:rsidR="00332BC3" w:rsidRPr="00115864">
        <w:rPr>
          <w:strike/>
        </w:rPr>
        <w:t>., 1989</w:t>
      </w:r>
      <w:r w:rsidR="00221851" w:rsidRPr="00115864">
        <w:rPr>
          <w:strike/>
        </w:rPr>
        <w:t>;</w:t>
      </w:r>
      <w:r w:rsidRPr="00115864">
        <w:rPr>
          <w:strike/>
        </w:rPr>
        <w:t xml:space="preserve"> </w:t>
      </w:r>
      <w:r w:rsidR="00BD7156" w:rsidRPr="00115864">
        <w:rPr>
          <w:strike/>
        </w:rPr>
        <w:t xml:space="preserve">Cook </w:t>
      </w:r>
      <w:r w:rsidR="00B7724F" w:rsidRPr="00115864">
        <w:rPr>
          <w:i/>
          <w:strike/>
        </w:rPr>
        <w:t>et al</w:t>
      </w:r>
      <w:r w:rsidR="00BD7156" w:rsidRPr="00115864">
        <w:rPr>
          <w:strike/>
        </w:rPr>
        <w:t>., 1999</w:t>
      </w:r>
      <w:r w:rsidRPr="00115864">
        <w:rPr>
          <w:strike/>
        </w:rPr>
        <w:t>)</w:t>
      </w:r>
      <w:r w:rsidRPr="002E0DF3">
        <w:t xml:space="preserve">. Isolation of virus is rarely successful from birds showing severe chronic signs as the extreme clinical signs are usually due to secondary adventitious agents. This certainly applies to SHS of chickens in which the characteristic signs appear to be due to secondary </w:t>
      </w:r>
      <w:r w:rsidR="00FA5481" w:rsidRPr="00A0050C">
        <w:rPr>
          <w:u w:val="double"/>
        </w:rPr>
        <w:t>(e.g.</w:t>
      </w:r>
      <w:r w:rsidR="00FA5481">
        <w:t xml:space="preserve"> </w:t>
      </w:r>
      <w:r w:rsidRPr="002E0DF3">
        <w:rPr>
          <w:i/>
          <w:iCs/>
        </w:rPr>
        <w:t>Escherichia coli</w:t>
      </w:r>
      <w:r w:rsidR="00FA5481" w:rsidRPr="00C94963">
        <w:rPr>
          <w:u w:val="double"/>
        </w:rPr>
        <w:t>)</w:t>
      </w:r>
      <w:r w:rsidRPr="002E0DF3">
        <w:t xml:space="preserve"> </w:t>
      </w:r>
      <w:r w:rsidR="00FA5481" w:rsidRPr="00A0050C">
        <w:rPr>
          <w:u w:val="double"/>
        </w:rPr>
        <w:t>bacterial</w:t>
      </w:r>
      <w:r w:rsidR="00FA5481">
        <w:t xml:space="preserve"> </w:t>
      </w:r>
      <w:r w:rsidRPr="002E0DF3">
        <w:t xml:space="preserve">infection. Furthermore, for reasons that are unclear, virus isolation from chickens </w:t>
      </w:r>
      <w:r w:rsidR="00827B1A" w:rsidRPr="002E0DF3">
        <w:t>may be</w:t>
      </w:r>
      <w:r w:rsidRPr="002E0DF3">
        <w:t xml:space="preserve"> more difficult than from turkeys.</w:t>
      </w:r>
    </w:p>
    <w:p w14:paraId="02220E78" w14:textId="0E9E9B82" w:rsidR="00FB52DE" w:rsidRPr="002E0DF3" w:rsidRDefault="00FB52DE" w:rsidP="00E811AD">
      <w:pPr>
        <w:pStyle w:val="11Para"/>
      </w:pPr>
      <w:r w:rsidRPr="002E0DF3">
        <w:t>It is essential that samples</w:t>
      </w:r>
      <w:r w:rsidR="00792221" w:rsidRPr="002E0DF3">
        <w:t xml:space="preserve"> should be sent immediately on ice to the</w:t>
      </w:r>
      <w:r w:rsidRPr="002E0DF3">
        <w:t xml:space="preserve"> diagnostic laboratory. When delays of more than 3 days are expected, the samples should be frozen prior to dispatch. Swabs for attempted virus isolation should be sent on ice fully immersed in viral transport medium</w:t>
      </w:r>
      <w:r w:rsidR="004C5334" w:rsidRPr="00A0050C">
        <w:rPr>
          <w:u w:val="double"/>
        </w:rPr>
        <w:t>. Swabs</w:t>
      </w:r>
      <w:r w:rsidRPr="00A0050C">
        <w:rPr>
          <w:strike/>
        </w:rPr>
        <w:t>, but those</w:t>
      </w:r>
      <w:r w:rsidRPr="002E0DF3">
        <w:t xml:space="preserve"> for polymerase chain reaction (PCR) analysis can be sent dry</w:t>
      </w:r>
      <w:r w:rsidR="00792221" w:rsidRPr="002E0DF3">
        <w:t>, but on ice or frozen</w:t>
      </w:r>
      <w:r w:rsidRPr="002E0DF3">
        <w:t>.</w:t>
      </w:r>
    </w:p>
    <w:p w14:paraId="6F91D4A7" w14:textId="77777777" w:rsidR="00FB52DE" w:rsidRPr="002E0DF3" w:rsidRDefault="00FB52DE" w:rsidP="00E811AD">
      <w:pPr>
        <w:pStyle w:val="11Para"/>
      </w:pPr>
      <w:r w:rsidRPr="002E0DF3">
        <w:t>For virus isolation, a 20% (v/v) suspension of the nasal exudate or homogenised tissue is made in phosphate-buffered saline (PBS) or brain–heart infusion (BHI) broth containing antibiotics</w:t>
      </w:r>
      <w:r w:rsidR="00792221" w:rsidRPr="002E0DF3">
        <w:t>,</w:t>
      </w:r>
      <w:r w:rsidRPr="002E0DF3">
        <w:t xml:space="preserve"> at pH 7.0–7.4. This is then clarified by centrifugation at </w:t>
      </w:r>
      <w:smartTag w:uri="urn:schemas-microsoft-com:office:smarttags" w:element="metricconverter">
        <w:smartTagPr>
          <w:attr w:name="ProductID" w:val="1000 g"/>
        </w:smartTagPr>
        <w:r w:rsidRPr="002E0DF3">
          <w:t>1000</w:t>
        </w:r>
        <w:r w:rsidRPr="002E0DF3">
          <w:rPr>
            <w:iCs/>
          </w:rPr>
          <w:t xml:space="preserve"> </w:t>
        </w:r>
        <w:r w:rsidRPr="002E0DF3">
          <w:rPr>
            <w:b/>
            <w:bCs/>
            <w:i/>
          </w:rPr>
          <w:t>g</w:t>
        </w:r>
      </w:smartTag>
      <w:r w:rsidRPr="002E0DF3">
        <w:t xml:space="preserve"> for 10 minutes and the supernatant is passed through a 450</w:t>
      </w:r>
      <w:r w:rsidR="00221851">
        <w:t> </w:t>
      </w:r>
      <w:r w:rsidRPr="002E0DF3">
        <w:t>nm membrane filter.</w:t>
      </w:r>
    </w:p>
    <w:p w14:paraId="4897FA50" w14:textId="77777777" w:rsidR="00FB52DE" w:rsidRPr="002E0DF3" w:rsidRDefault="007615F3" w:rsidP="00E811AD">
      <w:pPr>
        <w:pStyle w:val="11"/>
      </w:pPr>
      <w:r>
        <w:t>1.2.</w:t>
      </w:r>
      <w:r w:rsidR="00FB52DE" w:rsidRPr="002E0DF3">
        <w:tab/>
        <w:t>Culture and Identification of avian metapneumovirus (</w:t>
      </w:r>
      <w:proofErr w:type="spellStart"/>
      <w:r w:rsidR="00FB52DE" w:rsidRPr="002E0DF3">
        <w:t>aMPV</w:t>
      </w:r>
      <w:proofErr w:type="spellEnd"/>
      <w:r w:rsidR="00FB52DE" w:rsidRPr="002E0DF3">
        <w:t>)</w:t>
      </w:r>
    </w:p>
    <w:p w14:paraId="096AB259" w14:textId="39282C62" w:rsidR="00FB52DE" w:rsidRPr="002E0DF3" w:rsidRDefault="00FB52DE" w:rsidP="00E811AD">
      <w:pPr>
        <w:pStyle w:val="11Para"/>
      </w:pPr>
      <w:r w:rsidRPr="002E0DF3">
        <w:t>The best method for primary virus isolation from infected birds is in tracheal organ cultures or embryonat</w:t>
      </w:r>
      <w:r w:rsidR="00EF6511">
        <w:t>ed</w:t>
      </w:r>
      <w:r w:rsidRPr="002E0DF3">
        <w:t xml:space="preserve"> turkey or chicken eggs </w:t>
      </w:r>
      <w:r w:rsidR="00792221" w:rsidRPr="002E0DF3">
        <w:t>with</w:t>
      </w:r>
      <w:r w:rsidRPr="002E0DF3">
        <w:t xml:space="preserve"> subsequent cultivation in cell cultures</w:t>
      </w:r>
      <w:r w:rsidRPr="00115864">
        <w:rPr>
          <w:strike/>
        </w:rPr>
        <w:t xml:space="preserve"> (</w:t>
      </w:r>
      <w:r w:rsidR="00332BC3" w:rsidRPr="00115864">
        <w:rPr>
          <w:strike/>
        </w:rPr>
        <w:t xml:space="preserve">Buys </w:t>
      </w:r>
      <w:r w:rsidR="00B7724F" w:rsidRPr="00115864">
        <w:rPr>
          <w:i/>
          <w:strike/>
        </w:rPr>
        <w:t>et al</w:t>
      </w:r>
      <w:r w:rsidR="00332BC3" w:rsidRPr="00115864">
        <w:rPr>
          <w:strike/>
        </w:rPr>
        <w:t>., 1989</w:t>
      </w:r>
      <w:r w:rsidR="00221851" w:rsidRPr="00115864">
        <w:rPr>
          <w:strike/>
        </w:rPr>
        <w:t>;</w:t>
      </w:r>
      <w:r w:rsidRPr="00115864">
        <w:rPr>
          <w:strike/>
        </w:rPr>
        <w:t xml:space="preserve"> </w:t>
      </w:r>
      <w:r w:rsidR="00BD7156" w:rsidRPr="00115864">
        <w:rPr>
          <w:strike/>
        </w:rPr>
        <w:t xml:space="preserve">Cook </w:t>
      </w:r>
      <w:r w:rsidR="00B7724F" w:rsidRPr="00115864">
        <w:rPr>
          <w:i/>
          <w:strike/>
        </w:rPr>
        <w:t>et al</w:t>
      </w:r>
      <w:r w:rsidR="00BD7156" w:rsidRPr="00115864">
        <w:rPr>
          <w:strike/>
        </w:rPr>
        <w:t>., 1999</w:t>
      </w:r>
      <w:r w:rsidRPr="00115864">
        <w:rPr>
          <w:strike/>
        </w:rPr>
        <w:t>)</w:t>
      </w:r>
      <w:r w:rsidR="00792221" w:rsidRPr="002E0DF3">
        <w:t xml:space="preserve">; serial passage on Vero cells has also been found to be a sensitive method for the isolation of </w:t>
      </w:r>
      <w:proofErr w:type="spellStart"/>
      <w:r w:rsidR="00792221" w:rsidRPr="002E0DF3">
        <w:t>aMPV</w:t>
      </w:r>
      <w:proofErr w:type="spellEnd"/>
      <w:r w:rsidRPr="002E0DF3">
        <w:t xml:space="preserve"> (</w:t>
      </w:r>
      <w:r w:rsidR="00D311EB">
        <w:t xml:space="preserve">Giraud </w:t>
      </w:r>
      <w:r w:rsidR="00B7724F" w:rsidRPr="00B7724F">
        <w:rPr>
          <w:i/>
        </w:rPr>
        <w:t>et al</w:t>
      </w:r>
      <w:r w:rsidR="00D311EB">
        <w:t>., 1988</w:t>
      </w:r>
      <w:r w:rsidRPr="002E0DF3">
        <w:t xml:space="preserve">). The original isolation of </w:t>
      </w:r>
      <w:proofErr w:type="spellStart"/>
      <w:r w:rsidRPr="002E0DF3">
        <w:t>aMPV</w:t>
      </w:r>
      <w:proofErr w:type="spellEnd"/>
      <w:r w:rsidRPr="002E0DF3">
        <w:t xml:space="preserve"> in South Africa in the late 1970s and the more recent Colorado </w:t>
      </w:r>
      <w:proofErr w:type="spellStart"/>
      <w:r w:rsidRPr="002E0DF3">
        <w:t>aMPV</w:t>
      </w:r>
      <w:proofErr w:type="spellEnd"/>
      <w:r w:rsidRPr="002E0DF3">
        <w:t xml:space="preserve"> were </w:t>
      </w:r>
      <w:r w:rsidR="00792221" w:rsidRPr="002E0DF3">
        <w:t>carried out</w:t>
      </w:r>
      <w:r w:rsidRPr="002E0DF3">
        <w:t xml:space="preserve"> in embryonat</w:t>
      </w:r>
      <w:r w:rsidR="00EF6511">
        <w:t>ed</w:t>
      </w:r>
      <w:r w:rsidRPr="002E0DF3">
        <w:t xml:space="preserve"> eggs, however </w:t>
      </w:r>
      <w:r w:rsidR="00A0050C" w:rsidRPr="008E7CC4">
        <w:rPr>
          <w:strike/>
        </w:rPr>
        <w:t>subtype</w:t>
      </w:r>
      <w:r w:rsidR="00A0050C">
        <w:rPr>
          <w:strike/>
        </w:rPr>
        <w:t xml:space="preserve"> </w:t>
      </w:r>
      <w:r w:rsidR="00A0050C" w:rsidRPr="008E7CC4">
        <w:rPr>
          <w:u w:val="double"/>
        </w:rPr>
        <w:t>subgroup</w:t>
      </w:r>
      <w:r w:rsidRPr="002E0DF3">
        <w:t xml:space="preserve"> A and B </w:t>
      </w:r>
      <w:proofErr w:type="spellStart"/>
      <w:r w:rsidRPr="002E0DF3">
        <w:t>aMPV</w:t>
      </w:r>
      <w:proofErr w:type="spellEnd"/>
      <w:r w:rsidRPr="002E0DF3">
        <w:t xml:space="preserve"> isolations have routinely been </w:t>
      </w:r>
      <w:r w:rsidR="00792221" w:rsidRPr="002E0DF3">
        <w:t>made</w:t>
      </w:r>
      <w:r w:rsidRPr="002E0DF3">
        <w:t xml:space="preserve"> in tracheal organ cultures</w:t>
      </w:r>
      <w:r w:rsidRPr="00115864">
        <w:rPr>
          <w:strike/>
        </w:rPr>
        <w:t xml:space="preserve"> (</w:t>
      </w:r>
      <w:r w:rsidR="00BD7156" w:rsidRPr="00115864">
        <w:rPr>
          <w:strike/>
        </w:rPr>
        <w:t>Cook &amp; Cavanagh, 2002</w:t>
      </w:r>
      <w:r w:rsidRPr="00115864">
        <w:rPr>
          <w:strike/>
        </w:rPr>
        <w:t>)</w:t>
      </w:r>
      <w:r w:rsidRPr="002E0DF3">
        <w:t xml:space="preserve">. </w:t>
      </w:r>
      <w:r w:rsidR="00A0050C" w:rsidRPr="008E7CC4">
        <w:rPr>
          <w:strike/>
        </w:rPr>
        <w:t>Subtype</w:t>
      </w:r>
      <w:r w:rsidR="00A0050C">
        <w:rPr>
          <w:strike/>
        </w:rPr>
        <w:t xml:space="preserve"> </w:t>
      </w:r>
      <w:r w:rsidR="00A0050C" w:rsidRPr="008E7CC4">
        <w:rPr>
          <w:u w:val="double"/>
        </w:rPr>
        <w:t>Subgroup</w:t>
      </w:r>
      <w:r w:rsidR="00A0050C" w:rsidRPr="002E0DF3">
        <w:t xml:space="preserve"> </w:t>
      </w:r>
      <w:r w:rsidRPr="002E0DF3">
        <w:t xml:space="preserve">C </w:t>
      </w:r>
      <w:proofErr w:type="spellStart"/>
      <w:r w:rsidRPr="002E0DF3">
        <w:t>aMPV</w:t>
      </w:r>
      <w:proofErr w:type="spellEnd"/>
      <w:r w:rsidRPr="00A0050C">
        <w:rPr>
          <w:strike/>
        </w:rPr>
        <w:t>, an</w:t>
      </w:r>
      <w:r w:rsidR="00DA37BA" w:rsidRPr="00A0050C">
        <w:rPr>
          <w:strike/>
        </w:rPr>
        <w:t xml:space="preserve">d perhaps other non-identified </w:t>
      </w:r>
      <w:proofErr w:type="spellStart"/>
      <w:r w:rsidR="00DA37BA" w:rsidRPr="00A0050C">
        <w:rPr>
          <w:strike/>
        </w:rPr>
        <w:t>aM</w:t>
      </w:r>
      <w:r w:rsidRPr="00A0050C">
        <w:rPr>
          <w:strike/>
        </w:rPr>
        <w:t>PV</w:t>
      </w:r>
      <w:proofErr w:type="spellEnd"/>
      <w:r w:rsidRPr="002E0DF3">
        <w:t xml:space="preserve">, do not cause </w:t>
      </w:r>
      <w:proofErr w:type="spellStart"/>
      <w:r w:rsidRPr="002E0DF3">
        <w:t>ciliostasis</w:t>
      </w:r>
      <w:proofErr w:type="spellEnd"/>
      <w:r w:rsidRPr="002E0DF3">
        <w:t xml:space="preserve"> in organ cultures</w:t>
      </w:r>
      <w:r w:rsidR="00331EFC" w:rsidRPr="002E0DF3">
        <w:t>;</w:t>
      </w:r>
      <w:r w:rsidRPr="002E0DF3">
        <w:t xml:space="preserve"> for this reason</w:t>
      </w:r>
      <w:r w:rsidR="00792221" w:rsidRPr="002E0DF3">
        <w:t>:</w:t>
      </w:r>
      <w:r w:rsidRPr="002E0DF3">
        <w:t xml:space="preserve"> </w:t>
      </w:r>
      <w:r w:rsidR="009615C3" w:rsidRPr="002E0DF3">
        <w:t>embryonating</w:t>
      </w:r>
      <w:r w:rsidRPr="002E0DF3">
        <w:t xml:space="preserve"> </w:t>
      </w:r>
      <w:r w:rsidR="00792221" w:rsidRPr="002E0DF3">
        <w:t xml:space="preserve">chicken </w:t>
      </w:r>
      <w:r w:rsidRPr="002E0DF3">
        <w:t xml:space="preserve">eggs and subsequent </w:t>
      </w:r>
      <w:r w:rsidR="00792221" w:rsidRPr="002E0DF3">
        <w:t xml:space="preserve">passage on </w:t>
      </w:r>
      <w:r w:rsidR="00827B1A" w:rsidRPr="002E0DF3">
        <w:t>to cell</w:t>
      </w:r>
      <w:r w:rsidRPr="002E0DF3">
        <w:t xml:space="preserve"> culture are the preferred method </w:t>
      </w:r>
      <w:r w:rsidR="00827B1A" w:rsidRPr="002E0DF3">
        <w:t>for virus</w:t>
      </w:r>
      <w:r w:rsidRPr="002E0DF3">
        <w:t xml:space="preserve"> isolation (</w:t>
      </w:r>
      <w:r w:rsidR="00332BC3" w:rsidRPr="001E291E">
        <w:rPr>
          <w:strike/>
        </w:rPr>
        <w:t>Gough, 2003</w:t>
      </w:r>
      <w:r w:rsidR="00221851" w:rsidRPr="001E291E">
        <w:rPr>
          <w:strike/>
        </w:rPr>
        <w:t>;</w:t>
      </w:r>
      <w:r w:rsidRPr="001E291E">
        <w:rPr>
          <w:strike/>
        </w:rPr>
        <w:t xml:space="preserve"> </w:t>
      </w:r>
      <w:r w:rsidR="00A74CEF">
        <w:t xml:space="preserve">Senne </w:t>
      </w:r>
      <w:r w:rsidR="00B7724F" w:rsidRPr="00B7724F">
        <w:rPr>
          <w:i/>
        </w:rPr>
        <w:t>et al</w:t>
      </w:r>
      <w:r w:rsidR="00A74CEF">
        <w:t>., 1997</w:t>
      </w:r>
      <w:r w:rsidRPr="00C94963">
        <w:t>). All fo</w:t>
      </w:r>
      <w:r w:rsidRPr="002E0DF3">
        <w:t xml:space="preserve">ur </w:t>
      </w:r>
      <w:proofErr w:type="spellStart"/>
      <w:r w:rsidRPr="002E0DF3">
        <w:t>aMPV</w:t>
      </w:r>
      <w:proofErr w:type="spellEnd"/>
      <w:r w:rsidRPr="002E0DF3">
        <w:t xml:space="preserve"> subgroups </w:t>
      </w:r>
      <w:r w:rsidR="00792221" w:rsidRPr="002E0DF3">
        <w:t>can</w:t>
      </w:r>
      <w:r w:rsidRPr="002E0DF3">
        <w:t xml:space="preserve"> be isolated using Vero cells</w:t>
      </w:r>
      <w:r w:rsidRPr="009733A1">
        <w:rPr>
          <w:strike/>
        </w:rPr>
        <w:t xml:space="preserve"> (</w:t>
      </w:r>
      <w:proofErr w:type="spellStart"/>
      <w:r w:rsidR="00A74CEF" w:rsidRPr="009733A1">
        <w:rPr>
          <w:strike/>
        </w:rPr>
        <w:t>Toquin</w:t>
      </w:r>
      <w:proofErr w:type="spellEnd"/>
      <w:r w:rsidR="00A74CEF" w:rsidRPr="009733A1">
        <w:rPr>
          <w:strike/>
        </w:rPr>
        <w:t xml:space="preserve"> </w:t>
      </w:r>
      <w:r w:rsidR="00B7724F" w:rsidRPr="009733A1">
        <w:rPr>
          <w:i/>
          <w:strike/>
        </w:rPr>
        <w:t>et al</w:t>
      </w:r>
      <w:r w:rsidR="00A74CEF" w:rsidRPr="009733A1">
        <w:rPr>
          <w:strike/>
        </w:rPr>
        <w:t>., 1999</w:t>
      </w:r>
      <w:r w:rsidR="00221851" w:rsidRPr="009733A1">
        <w:rPr>
          <w:strike/>
        </w:rPr>
        <w:t>;</w:t>
      </w:r>
      <w:r w:rsidRPr="009733A1">
        <w:rPr>
          <w:strike/>
        </w:rPr>
        <w:t xml:space="preserve"> </w:t>
      </w:r>
      <w:r w:rsidR="00A74CEF" w:rsidRPr="009733A1">
        <w:rPr>
          <w:strike/>
        </w:rPr>
        <w:t>2000</w:t>
      </w:r>
      <w:r w:rsidRPr="009733A1">
        <w:rPr>
          <w:strike/>
        </w:rPr>
        <w:t>)</w:t>
      </w:r>
      <w:r w:rsidRPr="002E0DF3">
        <w:t>.</w:t>
      </w:r>
    </w:p>
    <w:p w14:paraId="5D48A74B" w14:textId="77777777" w:rsidR="00FB52DE" w:rsidRPr="002E0DF3" w:rsidRDefault="00FB52DE" w:rsidP="00E811AD">
      <w:pPr>
        <w:pStyle w:val="11Para"/>
      </w:pPr>
      <w:r w:rsidRPr="002E0DF3">
        <w:t xml:space="preserve">Tracheal organ cultures are prepared from turkey embryos or very young turkeys obtained from flocks free of specific antibodies to </w:t>
      </w:r>
      <w:proofErr w:type="spellStart"/>
      <w:r w:rsidRPr="002E0DF3">
        <w:t>aMPV</w:t>
      </w:r>
      <w:proofErr w:type="spellEnd"/>
      <w:r w:rsidRPr="002E0DF3">
        <w:t>. Tracheas from chicken embryo or 1</w:t>
      </w:r>
      <w:r w:rsidR="00F67717" w:rsidRPr="002E0DF3">
        <w:t xml:space="preserve">- </w:t>
      </w:r>
      <w:r w:rsidRPr="002E0DF3">
        <w:t>to</w:t>
      </w:r>
      <w:r w:rsidR="00F67717" w:rsidRPr="002E0DF3">
        <w:t xml:space="preserve"> </w:t>
      </w:r>
      <w:r w:rsidRPr="002E0DF3">
        <w:t xml:space="preserve">2-day-old chicks may also be used. Transverse sections of trachea are rinsed in PBS (pH 7.2), placed one section per tube in Eagles medium with antibiotics, and held at </w:t>
      </w:r>
      <w:smartTag w:uri="urn:schemas-microsoft-com:office:smarttags" w:element="metricconverter">
        <w:smartTagPr>
          <w:attr w:name="ProductID" w:val="37ﾰC"/>
        </w:smartTagPr>
        <w:r w:rsidRPr="002E0DF3">
          <w:t>37°C</w:t>
        </w:r>
      </w:smartTag>
      <w:r w:rsidRPr="002E0DF3">
        <w:t xml:space="preserve">. </w:t>
      </w:r>
      <w:r w:rsidR="003B0706" w:rsidRPr="002E0DF3">
        <w:t xml:space="preserve">After incubation, the media is removed from the cultures </w:t>
      </w:r>
      <w:r w:rsidRPr="002E0DF3">
        <w:t>and 0.1 ml of bacteria-free inoculum i</w:t>
      </w:r>
      <w:r w:rsidR="003B0706" w:rsidRPr="002E0DF3">
        <w:t>s added. After incubation for 1 </w:t>
      </w:r>
      <w:r w:rsidRPr="002E0DF3">
        <w:t xml:space="preserve">hour at </w:t>
      </w:r>
      <w:smartTag w:uri="urn:schemas-microsoft-com:office:smarttags" w:element="metricconverter">
        <w:smartTagPr>
          <w:attr w:name="ProductID" w:val="37ﾰC"/>
        </w:smartTagPr>
        <w:r w:rsidRPr="002E0DF3">
          <w:t>37°C</w:t>
        </w:r>
      </w:smartTag>
      <w:r w:rsidR="003B0706" w:rsidRPr="002E0DF3">
        <w:t>,</w:t>
      </w:r>
      <w:r w:rsidRPr="002E0DF3">
        <w:t xml:space="preserve"> growth medium is added and the cultures are incubated at </w:t>
      </w:r>
      <w:smartTag w:uri="urn:schemas-microsoft-com:office:smarttags" w:element="metricconverter">
        <w:smartTagPr>
          <w:attr w:name="ProductID" w:val="37ﾰC"/>
        </w:smartTagPr>
        <w:r w:rsidRPr="002E0DF3">
          <w:t>37°C</w:t>
        </w:r>
      </w:smartTag>
      <w:r w:rsidRPr="002E0DF3">
        <w:t xml:space="preserve"> on a roller apparatus</w:t>
      </w:r>
      <w:r w:rsidR="003B0706" w:rsidRPr="002E0DF3">
        <w:t>,</w:t>
      </w:r>
      <w:r w:rsidRPr="002E0DF3">
        <w:t xml:space="preserve"> rotating at 30</w:t>
      </w:r>
      <w:r w:rsidR="00976E6B">
        <w:t> </w:t>
      </w:r>
      <w:r w:rsidRPr="002E0DF3">
        <w:t xml:space="preserve">revolutions per hour. Cultures are examined daily after agitation on a laboratory mixer to remove debris from the lumen. </w:t>
      </w:r>
      <w:proofErr w:type="spellStart"/>
      <w:r w:rsidRPr="002E0DF3">
        <w:t>Ciliostasis</w:t>
      </w:r>
      <w:proofErr w:type="spellEnd"/>
      <w:r w:rsidRPr="002E0DF3">
        <w:t xml:space="preserve"> may occur within 7 days of inoculation on primary passage</w:t>
      </w:r>
      <w:r w:rsidR="00331EFC" w:rsidRPr="002E0DF3">
        <w:t>,</w:t>
      </w:r>
      <w:r w:rsidRPr="002E0DF3">
        <w:t xml:space="preserve"> but usually is produced rapidly and consistently only after several blind passages</w:t>
      </w:r>
      <w:r w:rsidRPr="001E291E">
        <w:rPr>
          <w:strike/>
        </w:rPr>
        <w:t xml:space="preserve"> (</w:t>
      </w:r>
      <w:r w:rsidR="00332BC3" w:rsidRPr="001E291E">
        <w:rPr>
          <w:strike/>
        </w:rPr>
        <w:t>Gough, 2003</w:t>
      </w:r>
      <w:r w:rsidRPr="001E291E">
        <w:rPr>
          <w:strike/>
        </w:rPr>
        <w:t>)</w:t>
      </w:r>
      <w:r w:rsidRPr="002E0DF3">
        <w:t>.</w:t>
      </w:r>
    </w:p>
    <w:p w14:paraId="4746D378" w14:textId="553B81B1" w:rsidR="00FB52DE" w:rsidRPr="002E0DF3" w:rsidRDefault="00E457B9" w:rsidP="00E811AD">
      <w:pPr>
        <w:pStyle w:val="11Para"/>
      </w:pPr>
      <w:r w:rsidRPr="00A0050C">
        <w:rPr>
          <w:u w:val="double"/>
        </w:rPr>
        <w:t>For isolation in eggs, 6</w:t>
      </w:r>
      <w:r w:rsidR="00FB52DE" w:rsidRPr="002E0DF3">
        <w:t>-</w:t>
      </w:r>
      <w:r w:rsidR="00A0050C">
        <w:t xml:space="preserve"> </w:t>
      </w:r>
      <w:r w:rsidR="00FB52DE" w:rsidRPr="002E0DF3">
        <w:t>to</w:t>
      </w:r>
      <w:r w:rsidR="00A0050C">
        <w:t xml:space="preserve"> </w:t>
      </w:r>
      <w:r w:rsidR="00FB52DE" w:rsidRPr="002E0DF3">
        <w:t>8-day-old embryonat</w:t>
      </w:r>
      <w:r w:rsidR="004C7708">
        <w:t>ed</w:t>
      </w:r>
      <w:r w:rsidR="00FB52DE" w:rsidRPr="002E0DF3">
        <w:t xml:space="preserve"> chicken or turkey eggs from flocks known to be free of </w:t>
      </w:r>
      <w:proofErr w:type="spellStart"/>
      <w:r w:rsidR="00FB52DE" w:rsidRPr="002E0DF3">
        <w:t>aMPV</w:t>
      </w:r>
      <w:proofErr w:type="spellEnd"/>
      <w:r w:rsidR="00FB52DE" w:rsidRPr="002E0DF3">
        <w:t xml:space="preserve"> antibodies are inoculated by the yolk-sac route with 0.2–0.3 ml of bacteria-free material from </w:t>
      </w:r>
      <w:r w:rsidR="00FB52DE" w:rsidRPr="002E0DF3">
        <w:lastRenderedPageBreak/>
        <w:t xml:space="preserve">infected birds and incubated at </w:t>
      </w:r>
      <w:smartTag w:uri="urn:schemas-microsoft-com:office:smarttags" w:element="metricconverter">
        <w:smartTagPr>
          <w:attr w:name="ProductID" w:val="37ﾰC"/>
        </w:smartTagPr>
        <w:r w:rsidR="00FB52DE" w:rsidRPr="002E0DF3">
          <w:t>37°C</w:t>
        </w:r>
      </w:smartTag>
      <w:r w:rsidR="00FB52DE" w:rsidRPr="002E0DF3">
        <w:t xml:space="preserve">. </w:t>
      </w:r>
      <w:r w:rsidR="003B0706" w:rsidRPr="002E0DF3">
        <w:t>If there is no evidence of infection (embryo stunting or mortality) after the first passage, y</w:t>
      </w:r>
      <w:r w:rsidR="00FB52DE" w:rsidRPr="002E0DF3">
        <w:t>olk sac material should be processed for a second blind embryo passage. Within 7–10 days, there is usually evidence of stunting of the embryos with few deaths. Serial passage is often required before the agent causes consistent embryo mortality. Isolation in embryonat</w:t>
      </w:r>
      <w:r w:rsidR="00F67717" w:rsidRPr="002E0DF3">
        <w:t>ing</w:t>
      </w:r>
      <w:r w:rsidR="00FB52DE" w:rsidRPr="002E0DF3">
        <w:t xml:space="preserve"> eggs is </w:t>
      </w:r>
      <w:r w:rsidR="00F10EEB" w:rsidRPr="002E0DF3">
        <w:t xml:space="preserve">a </w:t>
      </w:r>
      <w:r w:rsidR="00FB52DE" w:rsidRPr="002E0DF3">
        <w:t>slow, expensive, labour intensive</w:t>
      </w:r>
      <w:r w:rsidR="00F10EEB" w:rsidRPr="002E0DF3">
        <w:t xml:space="preserve"> process</w:t>
      </w:r>
      <w:r w:rsidR="00FB52DE" w:rsidRPr="002E0DF3">
        <w:t xml:space="preserve"> and requires multiple subsequent cell culture passages for identification</w:t>
      </w:r>
      <w:r w:rsidR="00FB52DE" w:rsidRPr="001E291E">
        <w:rPr>
          <w:strike/>
        </w:rPr>
        <w:t xml:space="preserve"> (</w:t>
      </w:r>
      <w:r w:rsidR="00332BC3" w:rsidRPr="001E291E">
        <w:rPr>
          <w:strike/>
        </w:rPr>
        <w:t>Gough, 2003</w:t>
      </w:r>
      <w:r w:rsidR="00FB52DE" w:rsidRPr="001E291E">
        <w:rPr>
          <w:strike/>
        </w:rPr>
        <w:t>)</w:t>
      </w:r>
      <w:r w:rsidR="00FB52DE" w:rsidRPr="002E0DF3">
        <w:t>.</w:t>
      </w:r>
    </w:p>
    <w:p w14:paraId="032B79AA" w14:textId="3E6CDE44" w:rsidR="00FB52DE" w:rsidRPr="002E0DF3" w:rsidRDefault="00FB52DE" w:rsidP="00E811AD">
      <w:pPr>
        <w:pStyle w:val="11Para"/>
      </w:pPr>
      <w:r w:rsidRPr="002E0DF3">
        <w:t>Various cell cultures have been used for the primary isolation</w:t>
      </w:r>
      <w:r w:rsidR="005863AF" w:rsidRPr="002E0DF3">
        <w:t xml:space="preserve"> of</w:t>
      </w:r>
      <w:r w:rsidRPr="002E0DF3">
        <w:t xml:space="preserve"> </w:t>
      </w:r>
      <w:proofErr w:type="spellStart"/>
      <w:r w:rsidRPr="002E0DF3">
        <w:t>aMPV</w:t>
      </w:r>
      <w:proofErr w:type="spellEnd"/>
      <w:r w:rsidRPr="002E0DF3">
        <w:t xml:space="preserve">, including chicken embryo cells, Vero cells and more recently the QT-35 cells, with varying degrees of success. Primary isolation </w:t>
      </w:r>
      <w:r w:rsidR="00331EFC" w:rsidRPr="002E0DF3">
        <w:t xml:space="preserve">of the </w:t>
      </w:r>
      <w:smartTag w:uri="urn:schemas-microsoft-com:office:smarttags" w:element="place">
        <w:smartTag w:uri="urn:schemas-microsoft-com:office:smarttags" w:element="country-region">
          <w:r w:rsidR="00331EFC" w:rsidRPr="002E0DF3">
            <w:t>USA</w:t>
          </w:r>
        </w:smartTag>
      </w:smartTag>
      <w:r w:rsidR="00331EFC" w:rsidRPr="002E0DF3">
        <w:t xml:space="preserve"> </w:t>
      </w:r>
      <w:r w:rsidR="00A0050C" w:rsidRPr="008E7CC4">
        <w:rPr>
          <w:strike/>
        </w:rPr>
        <w:t>subtype</w:t>
      </w:r>
      <w:r w:rsidR="00A0050C">
        <w:rPr>
          <w:strike/>
        </w:rPr>
        <w:t xml:space="preserve"> </w:t>
      </w:r>
      <w:r w:rsidR="00A0050C" w:rsidRPr="008E7CC4">
        <w:rPr>
          <w:u w:val="double"/>
        </w:rPr>
        <w:t>subgroup</w:t>
      </w:r>
      <w:r w:rsidRPr="002E0DF3">
        <w:t xml:space="preserve"> C has been </w:t>
      </w:r>
      <w:r w:rsidR="00B103C6" w:rsidRPr="002E0DF3">
        <w:t>made after</w:t>
      </w:r>
      <w:r w:rsidRPr="002E0DF3">
        <w:t xml:space="preserve"> multiple (5–6 serial passages) in Vero cell cultures</w:t>
      </w:r>
      <w:r w:rsidRPr="00115864">
        <w:rPr>
          <w:strike/>
        </w:rPr>
        <w:t xml:space="preserve"> (</w:t>
      </w:r>
      <w:r w:rsidR="00894526" w:rsidRPr="00115864">
        <w:rPr>
          <w:strike/>
          <w:lang w:val="en-IE"/>
        </w:rPr>
        <w:t xml:space="preserve">Bennett </w:t>
      </w:r>
      <w:r w:rsidR="00B7724F" w:rsidRPr="00115864">
        <w:rPr>
          <w:i/>
          <w:strike/>
          <w:lang w:val="en-IE"/>
        </w:rPr>
        <w:t>et al</w:t>
      </w:r>
      <w:r w:rsidR="00894526" w:rsidRPr="00115864">
        <w:rPr>
          <w:strike/>
          <w:lang w:val="en-IE"/>
        </w:rPr>
        <w:t>., 2004</w:t>
      </w:r>
      <w:r w:rsidRPr="00115864">
        <w:rPr>
          <w:strike/>
        </w:rPr>
        <w:t>)</w:t>
      </w:r>
      <w:r w:rsidRPr="002E0DF3">
        <w:t>. However, once the virus has been adapted to growth in embryonating eggs or tracheal organ cultures, in which it grows only to low titres, the virus will readily replicate to moderate titres following multiple passages in a variety of primary chicken or turkey embryo cells, Vero cells, and QT-35 cells (</w:t>
      </w:r>
      <w:r w:rsidR="00332BC3" w:rsidRPr="00115864">
        <w:rPr>
          <w:strike/>
        </w:rPr>
        <w:t xml:space="preserve">Buys </w:t>
      </w:r>
      <w:r w:rsidR="00B7724F" w:rsidRPr="00115864">
        <w:rPr>
          <w:i/>
          <w:strike/>
        </w:rPr>
        <w:t>et al</w:t>
      </w:r>
      <w:r w:rsidR="00332BC3" w:rsidRPr="00115864">
        <w:rPr>
          <w:strike/>
        </w:rPr>
        <w:t>., 1989</w:t>
      </w:r>
      <w:r w:rsidR="00221851" w:rsidRPr="00115864">
        <w:rPr>
          <w:strike/>
        </w:rPr>
        <w:t>;</w:t>
      </w:r>
      <w:r w:rsidRPr="00115864">
        <w:rPr>
          <w:strike/>
        </w:rPr>
        <w:t xml:space="preserve"> </w:t>
      </w:r>
      <w:r w:rsidR="00C2157B" w:rsidRPr="00B7724F">
        <w:t>Cook,</w:t>
      </w:r>
      <w:r w:rsidR="00C2157B" w:rsidRPr="002E0DF3">
        <w:t xml:space="preserve"> </w:t>
      </w:r>
      <w:r w:rsidR="00C2157B" w:rsidRPr="00115864">
        <w:rPr>
          <w:strike/>
        </w:rPr>
        <w:t xml:space="preserve">2000a; </w:t>
      </w:r>
      <w:r w:rsidR="00C2157B">
        <w:t>2000</w:t>
      </w:r>
      <w:r w:rsidR="00C2157B" w:rsidRPr="00115864">
        <w:rPr>
          <w:strike/>
        </w:rPr>
        <w:t>b</w:t>
      </w:r>
      <w:r w:rsidR="00221851" w:rsidRPr="009733A1">
        <w:rPr>
          <w:strike/>
        </w:rPr>
        <w:t>;</w:t>
      </w:r>
      <w:r w:rsidRPr="009733A1">
        <w:rPr>
          <w:strike/>
        </w:rPr>
        <w:t xml:space="preserve"> </w:t>
      </w:r>
      <w:r w:rsidR="00D311EB" w:rsidRPr="009733A1">
        <w:rPr>
          <w:strike/>
        </w:rPr>
        <w:t>Goy</w:t>
      </w:r>
      <w:r w:rsidR="00E54CAB" w:rsidRPr="009733A1">
        <w:rPr>
          <w:strike/>
        </w:rPr>
        <w:t>al</w:t>
      </w:r>
      <w:r w:rsidR="00D311EB" w:rsidRPr="009733A1">
        <w:rPr>
          <w:strike/>
        </w:rPr>
        <w:t xml:space="preserve"> </w:t>
      </w:r>
      <w:r w:rsidR="00B7724F" w:rsidRPr="009733A1">
        <w:rPr>
          <w:i/>
          <w:strike/>
        </w:rPr>
        <w:t>et al</w:t>
      </w:r>
      <w:r w:rsidR="00D311EB" w:rsidRPr="009733A1">
        <w:rPr>
          <w:strike/>
        </w:rPr>
        <w:t>., 2000</w:t>
      </w:r>
      <w:r w:rsidRPr="002E0DF3">
        <w:t xml:space="preserve">). The primary isolation of all four subgroups of </w:t>
      </w:r>
      <w:proofErr w:type="spellStart"/>
      <w:r w:rsidRPr="002E0DF3">
        <w:t>aMPV</w:t>
      </w:r>
      <w:proofErr w:type="spellEnd"/>
      <w:r w:rsidRPr="002E0DF3">
        <w:t xml:space="preserve"> </w:t>
      </w:r>
      <w:r w:rsidR="00B103C6" w:rsidRPr="002E0DF3">
        <w:t xml:space="preserve">has </w:t>
      </w:r>
      <w:r w:rsidRPr="002E0DF3">
        <w:t>prove</w:t>
      </w:r>
      <w:r w:rsidR="00B103C6" w:rsidRPr="002E0DF3">
        <w:t>n</w:t>
      </w:r>
      <w:r w:rsidRPr="002E0DF3">
        <w:t xml:space="preserve"> </w:t>
      </w:r>
      <w:r w:rsidR="007B2653" w:rsidRPr="002E0DF3">
        <w:t>successful</w:t>
      </w:r>
      <w:r w:rsidRPr="002E0DF3">
        <w:t xml:space="preserve"> </w:t>
      </w:r>
      <w:r w:rsidR="00B103C6" w:rsidRPr="002E0DF3">
        <w:t>following</w:t>
      </w:r>
      <w:r w:rsidRPr="002E0DF3">
        <w:t xml:space="preserve"> serial passage on Vero cells</w:t>
      </w:r>
      <w:r w:rsidRPr="009733A1">
        <w:rPr>
          <w:strike/>
        </w:rPr>
        <w:t xml:space="preserve"> (</w:t>
      </w:r>
      <w:proofErr w:type="spellStart"/>
      <w:r w:rsidR="00A74CEF" w:rsidRPr="009733A1">
        <w:rPr>
          <w:strike/>
        </w:rPr>
        <w:t>Toquin</w:t>
      </w:r>
      <w:proofErr w:type="spellEnd"/>
      <w:r w:rsidR="00A74CEF" w:rsidRPr="009733A1">
        <w:rPr>
          <w:strike/>
        </w:rPr>
        <w:t xml:space="preserve"> </w:t>
      </w:r>
      <w:r w:rsidR="00B7724F" w:rsidRPr="009733A1">
        <w:rPr>
          <w:i/>
          <w:strike/>
        </w:rPr>
        <w:t>et al</w:t>
      </w:r>
      <w:r w:rsidR="00A74CEF" w:rsidRPr="009733A1">
        <w:rPr>
          <w:strike/>
        </w:rPr>
        <w:t>., 2000</w:t>
      </w:r>
      <w:r w:rsidRPr="009733A1">
        <w:rPr>
          <w:strike/>
        </w:rPr>
        <w:t>)</w:t>
      </w:r>
      <w:r w:rsidRPr="002E0DF3">
        <w:t>. The virus produces a characteristic cytopathic effect (CPE) with syncytial</w:t>
      </w:r>
      <w:r w:rsidR="001909FB" w:rsidRPr="002E0DF3">
        <w:t xml:space="preserve"> </w:t>
      </w:r>
      <w:r w:rsidR="00827B1A" w:rsidRPr="002E0DF3">
        <w:t>formation within</w:t>
      </w:r>
      <w:r w:rsidRPr="002E0DF3">
        <w:t xml:space="preserve"> 7 days. Identification of virus-infected cell cultures can be</w:t>
      </w:r>
      <w:r w:rsidR="00B103C6" w:rsidRPr="002E0DF3">
        <w:t xml:space="preserve"> </w:t>
      </w:r>
      <w:r w:rsidRPr="002E0DF3">
        <w:t>by immunofluorescence staining of infected cells or molecular methods.</w:t>
      </w:r>
    </w:p>
    <w:p w14:paraId="35E724C8" w14:textId="77777777" w:rsidR="00FB52DE" w:rsidRPr="002E0DF3" w:rsidRDefault="00E950C9" w:rsidP="00E811AD">
      <w:pPr>
        <w:pStyle w:val="11Para"/>
      </w:pPr>
      <w:r w:rsidRPr="002E0DF3">
        <w:t>P</w:t>
      </w:r>
      <w:r w:rsidR="00FB52DE" w:rsidRPr="002E0DF3">
        <w:t>aramyxovirus-like morphology</w:t>
      </w:r>
      <w:r w:rsidRPr="002E0DF3">
        <w:t xml:space="preserve"> of the virus can be observed by negative-contrast electron microscopy</w:t>
      </w:r>
      <w:r w:rsidR="00FB52DE" w:rsidRPr="002E0DF3">
        <w:t>. Pleomorphic fringed particles, roughly spherical and 80–200 nm in diameter are commonly seen. Occasionally much larger filamentous forms are present, which may be up to 1000 nm in length. The surface projections are 13–14 nm in length and the helical nucleocapsid that can sometimes be seen emerging from disrupted particles</w:t>
      </w:r>
      <w:r w:rsidRPr="002E0DF3">
        <w:t>,</w:t>
      </w:r>
      <w:r w:rsidR="00FB52DE" w:rsidRPr="002E0DF3">
        <w:t xml:space="preserve"> is 14 nm in diameter with an estimated pitch of 7 nm per turn (</w:t>
      </w:r>
      <w:r w:rsidR="00894526" w:rsidRPr="00B7724F">
        <w:t>Collins &amp; Gough,</w:t>
      </w:r>
      <w:r w:rsidR="00894526">
        <w:t xml:space="preserve"> </w:t>
      </w:r>
      <w:r w:rsidR="00894526" w:rsidRPr="002E0DF3">
        <w:t>1988</w:t>
      </w:r>
      <w:r w:rsidR="00221851">
        <w:t>;</w:t>
      </w:r>
      <w:r w:rsidR="00FB52DE" w:rsidRPr="002E0DF3">
        <w:t xml:space="preserve"> </w:t>
      </w:r>
      <w:r w:rsidR="00D311EB">
        <w:t xml:space="preserve">Giraud </w:t>
      </w:r>
      <w:r w:rsidR="00B7724F" w:rsidRPr="00B7724F">
        <w:rPr>
          <w:i/>
        </w:rPr>
        <w:t>et al</w:t>
      </w:r>
      <w:r w:rsidR="00D311EB">
        <w:t>., 1988</w:t>
      </w:r>
      <w:r w:rsidR="00FB52DE" w:rsidRPr="002E0DF3">
        <w:t>).</w:t>
      </w:r>
    </w:p>
    <w:p w14:paraId="7F7AE512" w14:textId="77777777" w:rsidR="00FB52DE" w:rsidRPr="002E0DF3" w:rsidRDefault="007615F3" w:rsidP="00E811AD">
      <w:pPr>
        <w:pStyle w:val="11"/>
      </w:pPr>
      <w:r>
        <w:t>1.3.</w:t>
      </w:r>
      <w:r w:rsidR="00FB52DE" w:rsidRPr="002E0DF3">
        <w:tab/>
        <w:t>Molecular Identification</w:t>
      </w:r>
    </w:p>
    <w:p w14:paraId="28B2E145" w14:textId="5EB3CC61" w:rsidR="00FB52DE" w:rsidRPr="002E0DF3" w:rsidRDefault="00FB52DE" w:rsidP="00E811AD">
      <w:pPr>
        <w:pStyle w:val="11Para"/>
      </w:pPr>
      <w:r w:rsidRPr="002E0DF3">
        <w:t>Reverse-transcript</w:t>
      </w:r>
      <w:r w:rsidR="001909FB" w:rsidRPr="00827B1A">
        <w:rPr>
          <w:szCs w:val="24"/>
          <w:lang w:eastAsia="en-GB"/>
        </w:rPr>
        <w:t>ion</w:t>
      </w:r>
      <w:r w:rsidRPr="002E0DF3">
        <w:t xml:space="preserve"> PCR (RT-PCR) is a significantly more sensitive and rapid method for the detection of </w:t>
      </w:r>
      <w:proofErr w:type="spellStart"/>
      <w:r w:rsidRPr="002E0DF3">
        <w:t>aMPV</w:t>
      </w:r>
      <w:proofErr w:type="spellEnd"/>
      <w:r w:rsidRPr="002E0DF3">
        <w:t xml:space="preserve"> than standard virus isolation methods because of the fastidious nature of </w:t>
      </w:r>
      <w:proofErr w:type="spellStart"/>
      <w:r w:rsidRPr="002E0DF3">
        <w:t>aMPV</w:t>
      </w:r>
      <w:proofErr w:type="spellEnd"/>
      <w:r w:rsidRPr="002E0DF3">
        <w:t xml:space="preserve"> </w:t>
      </w:r>
      <w:r w:rsidRPr="001E291E">
        <w:rPr>
          <w:strike/>
        </w:rPr>
        <w:t>(</w:t>
      </w:r>
      <w:r w:rsidR="00BD7156" w:rsidRPr="00115864">
        <w:rPr>
          <w:strike/>
        </w:rPr>
        <w:t>Cook &amp; Cavanagh, 2002</w:t>
      </w:r>
      <w:r w:rsidR="00221851" w:rsidRPr="00115864">
        <w:rPr>
          <w:strike/>
        </w:rPr>
        <w:t>;</w:t>
      </w:r>
      <w:r w:rsidRPr="00115864">
        <w:rPr>
          <w:strike/>
        </w:rPr>
        <w:t xml:space="preserve"> </w:t>
      </w:r>
      <w:r w:rsidR="00332BC3" w:rsidRPr="001E291E">
        <w:rPr>
          <w:strike/>
        </w:rPr>
        <w:t>Gough, 2003</w:t>
      </w:r>
      <w:r w:rsidRPr="001E291E">
        <w:rPr>
          <w:strike/>
        </w:rPr>
        <w:t>)</w:t>
      </w:r>
      <w:r w:rsidRPr="002E0DF3">
        <w:t xml:space="preserve">. RT-PCR procedures targeted to the F, M, N and G genes are used for the detection of </w:t>
      </w:r>
      <w:proofErr w:type="spellStart"/>
      <w:r w:rsidRPr="002E0DF3">
        <w:t>aMPV</w:t>
      </w:r>
      <w:proofErr w:type="spellEnd"/>
      <w:r w:rsidR="00C37F11" w:rsidRPr="002E0DF3">
        <w:t>;</w:t>
      </w:r>
      <w:r w:rsidRPr="002E0DF3">
        <w:t xml:space="preserve"> however, because of molecular heterogeneity between </w:t>
      </w:r>
      <w:proofErr w:type="spellStart"/>
      <w:r w:rsidRPr="002E0DF3">
        <w:t>aMPV</w:t>
      </w:r>
      <w:proofErr w:type="spellEnd"/>
      <w:r w:rsidRPr="002E0DF3">
        <w:t xml:space="preserve"> strains, most RT-PCR procedures are </w:t>
      </w:r>
      <w:r w:rsidR="00A0050C" w:rsidRPr="008E7CC4">
        <w:rPr>
          <w:strike/>
        </w:rPr>
        <w:t>subtype</w:t>
      </w:r>
      <w:r w:rsidR="00A0050C">
        <w:rPr>
          <w:strike/>
        </w:rPr>
        <w:t xml:space="preserve"> </w:t>
      </w:r>
      <w:r w:rsidR="00A0050C" w:rsidRPr="008E7CC4">
        <w:rPr>
          <w:u w:val="double"/>
        </w:rPr>
        <w:t>subgroup</w:t>
      </w:r>
      <w:r w:rsidRPr="002E0DF3">
        <w:t xml:space="preserve"> specific or do not detect all </w:t>
      </w:r>
      <w:r w:rsidR="00A0050C" w:rsidRPr="008E7CC4">
        <w:rPr>
          <w:strike/>
        </w:rPr>
        <w:t>subtype</w:t>
      </w:r>
      <w:r w:rsidR="00A0050C">
        <w:rPr>
          <w:strike/>
        </w:rPr>
        <w:t xml:space="preserve"> </w:t>
      </w:r>
      <w:r w:rsidR="00A0050C" w:rsidRPr="008E7CC4">
        <w:rPr>
          <w:u w:val="double"/>
        </w:rPr>
        <w:t>subgroup</w:t>
      </w:r>
      <w:r w:rsidRPr="002E0DF3">
        <w:t xml:space="preserve"> (</w:t>
      </w:r>
      <w:proofErr w:type="spellStart"/>
      <w:r w:rsidR="00381877" w:rsidRPr="00B7724F">
        <w:t>B</w:t>
      </w:r>
      <w:r w:rsidR="007879D4">
        <w:t>a</w:t>
      </w:r>
      <w:r w:rsidR="00381877" w:rsidRPr="00B7724F">
        <w:t>yon-Auboyer</w:t>
      </w:r>
      <w:proofErr w:type="spellEnd"/>
      <w:r w:rsidR="00381877" w:rsidRPr="00B7724F">
        <w:t xml:space="preserve"> </w:t>
      </w:r>
      <w:r w:rsidR="00B7724F" w:rsidRPr="00B7724F">
        <w:rPr>
          <w:i/>
        </w:rPr>
        <w:t>et al</w:t>
      </w:r>
      <w:r w:rsidR="00381877" w:rsidRPr="00B7724F">
        <w:t xml:space="preserve">., </w:t>
      </w:r>
      <w:r w:rsidR="00381877">
        <w:t>1999</w:t>
      </w:r>
      <w:r w:rsidR="00221851">
        <w:t>;</w:t>
      </w:r>
      <w:r w:rsidR="00556648" w:rsidRPr="002E0DF3">
        <w:t xml:space="preserve"> </w:t>
      </w:r>
      <w:r w:rsidR="00BD7156" w:rsidRPr="00115864">
        <w:rPr>
          <w:strike/>
        </w:rPr>
        <w:t>Cook &amp; Cavanagh, 2002</w:t>
      </w:r>
      <w:r w:rsidR="00221851" w:rsidRPr="00115864">
        <w:rPr>
          <w:strike/>
        </w:rPr>
        <w:t>;</w:t>
      </w:r>
      <w:r w:rsidRPr="00115864">
        <w:rPr>
          <w:strike/>
        </w:rPr>
        <w:t xml:space="preserve"> </w:t>
      </w:r>
      <w:r w:rsidR="00A74CEF">
        <w:t>P</w:t>
      </w:r>
      <w:r w:rsidR="009B4772">
        <w:t>e</w:t>
      </w:r>
      <w:r w:rsidR="00A74CEF">
        <w:t xml:space="preserve">dersen </w:t>
      </w:r>
      <w:r w:rsidR="00B7724F" w:rsidRPr="00B7724F">
        <w:rPr>
          <w:i/>
        </w:rPr>
        <w:t>et al</w:t>
      </w:r>
      <w:r w:rsidR="00A74CEF">
        <w:t>., 2000</w:t>
      </w:r>
      <w:r w:rsidR="00221851">
        <w:t>;</w:t>
      </w:r>
      <w:r w:rsidRPr="002E0DF3">
        <w:t xml:space="preserve"> </w:t>
      </w:r>
      <w:r w:rsidR="00A74CEF">
        <w:t>2001</w:t>
      </w:r>
      <w:r w:rsidRPr="002E0DF3">
        <w:t xml:space="preserve">). </w:t>
      </w:r>
      <w:r w:rsidR="00A0050C" w:rsidRPr="008E7CC4">
        <w:rPr>
          <w:strike/>
        </w:rPr>
        <w:t>Subtype</w:t>
      </w:r>
      <w:r w:rsidR="00A0050C">
        <w:rPr>
          <w:strike/>
        </w:rPr>
        <w:t xml:space="preserve"> </w:t>
      </w:r>
      <w:r w:rsidR="00A0050C" w:rsidRPr="008E7CC4">
        <w:rPr>
          <w:u w:val="double"/>
        </w:rPr>
        <w:t>Subgroup</w:t>
      </w:r>
      <w:r w:rsidR="00A0050C" w:rsidRPr="002E0DF3">
        <w:t xml:space="preserve"> </w:t>
      </w:r>
      <w:r w:rsidRPr="002E0DF3">
        <w:t>specific assays are successfully used for the detection and diagnosis of endemic strains (</w:t>
      </w:r>
      <w:proofErr w:type="spellStart"/>
      <w:r w:rsidR="00381877" w:rsidRPr="00115864">
        <w:rPr>
          <w:strike/>
        </w:rPr>
        <w:t>B</w:t>
      </w:r>
      <w:r w:rsidR="007879D4" w:rsidRPr="00115864">
        <w:rPr>
          <w:strike/>
        </w:rPr>
        <w:t>a</w:t>
      </w:r>
      <w:r w:rsidR="00381877" w:rsidRPr="00115864">
        <w:rPr>
          <w:strike/>
        </w:rPr>
        <w:t>yon-Auboyer</w:t>
      </w:r>
      <w:proofErr w:type="spellEnd"/>
      <w:r w:rsidR="00381877" w:rsidRPr="00115864">
        <w:rPr>
          <w:strike/>
        </w:rPr>
        <w:t xml:space="preserve"> </w:t>
      </w:r>
      <w:r w:rsidR="00B7724F" w:rsidRPr="00115864">
        <w:rPr>
          <w:i/>
          <w:strike/>
        </w:rPr>
        <w:t>et al</w:t>
      </w:r>
      <w:r w:rsidR="00381877" w:rsidRPr="00115864">
        <w:rPr>
          <w:strike/>
        </w:rPr>
        <w:t>., 2000</w:t>
      </w:r>
      <w:r w:rsidR="00221851" w:rsidRPr="00115864">
        <w:rPr>
          <w:strike/>
        </w:rPr>
        <w:t>;</w:t>
      </w:r>
      <w:r w:rsidRPr="002E0DF3">
        <w:t xml:space="preserve"> </w:t>
      </w:r>
      <w:r w:rsidR="00BD7156" w:rsidRPr="00115864">
        <w:rPr>
          <w:strike/>
        </w:rPr>
        <w:t>Cook &amp; Cavanagh, 2002</w:t>
      </w:r>
      <w:r w:rsidR="00221851" w:rsidRPr="00115864">
        <w:rPr>
          <w:strike/>
        </w:rPr>
        <w:t>;</w:t>
      </w:r>
      <w:r w:rsidRPr="00115864">
        <w:rPr>
          <w:strike/>
        </w:rPr>
        <w:t xml:space="preserve"> </w:t>
      </w:r>
      <w:r w:rsidR="00793D7F">
        <w:t xml:space="preserve">Mase </w:t>
      </w:r>
      <w:r w:rsidR="00B7724F" w:rsidRPr="00B7724F">
        <w:rPr>
          <w:i/>
        </w:rPr>
        <w:t>et al</w:t>
      </w:r>
      <w:r w:rsidR="00793D7F">
        <w:t>., 2003</w:t>
      </w:r>
      <w:r w:rsidR="00221851">
        <w:t>;</w:t>
      </w:r>
      <w:r w:rsidRPr="002E0DF3">
        <w:t xml:space="preserve"> </w:t>
      </w:r>
      <w:r w:rsidR="00A74CEF">
        <w:t xml:space="preserve">Naylor </w:t>
      </w:r>
      <w:r w:rsidR="00B7724F" w:rsidRPr="00B7724F">
        <w:rPr>
          <w:i/>
        </w:rPr>
        <w:t>et al</w:t>
      </w:r>
      <w:r w:rsidR="00A74CEF">
        <w:t>., 1997</w:t>
      </w:r>
      <w:r w:rsidR="00221851">
        <w:t>;</w:t>
      </w:r>
      <w:r w:rsidRPr="002E0DF3">
        <w:t xml:space="preserve"> </w:t>
      </w:r>
      <w:r w:rsidR="00A74CEF">
        <w:t>P</w:t>
      </w:r>
      <w:r w:rsidR="009B4772">
        <w:t>e</w:t>
      </w:r>
      <w:r w:rsidR="00A74CEF">
        <w:t xml:space="preserve">dersen </w:t>
      </w:r>
      <w:r w:rsidR="00B7724F" w:rsidRPr="00B7724F">
        <w:rPr>
          <w:i/>
        </w:rPr>
        <w:t>et al</w:t>
      </w:r>
      <w:r w:rsidR="00A74CEF">
        <w:t>., 2001</w:t>
      </w:r>
      <w:r w:rsidRPr="002E0DF3">
        <w:t xml:space="preserve">). However, limitations of </w:t>
      </w:r>
      <w:r w:rsidR="00A0050C" w:rsidRPr="008E7CC4">
        <w:rPr>
          <w:strike/>
        </w:rPr>
        <w:t>subtype</w:t>
      </w:r>
      <w:r w:rsidR="00A0050C">
        <w:rPr>
          <w:strike/>
        </w:rPr>
        <w:t xml:space="preserve"> </w:t>
      </w:r>
      <w:r w:rsidR="00A0050C" w:rsidRPr="008E7CC4">
        <w:rPr>
          <w:u w:val="double"/>
        </w:rPr>
        <w:t>subgroup</w:t>
      </w:r>
      <w:r w:rsidR="00A0050C" w:rsidRPr="002E0DF3">
        <w:t xml:space="preserve"> </w:t>
      </w:r>
      <w:r w:rsidRPr="002E0DF3">
        <w:t xml:space="preserve">-specific assays need to be recognised when conducting diagnostic testing for respiratory disease. Primers directed to conserved regions of the N gene have been shown to have broader specificity, detecting representative isolates from A, B, C, and D </w:t>
      </w:r>
      <w:r w:rsidR="00A0050C" w:rsidRPr="008E7CC4">
        <w:rPr>
          <w:strike/>
        </w:rPr>
        <w:t>subtype</w:t>
      </w:r>
      <w:r w:rsidR="00A0050C">
        <w:rPr>
          <w:strike/>
        </w:rPr>
        <w:t xml:space="preserve">s </w:t>
      </w:r>
      <w:r w:rsidR="00A0050C" w:rsidRPr="008E7CC4">
        <w:rPr>
          <w:u w:val="double"/>
        </w:rPr>
        <w:t>subgroup</w:t>
      </w:r>
      <w:r w:rsidR="00A0050C">
        <w:rPr>
          <w:u w:val="double"/>
        </w:rPr>
        <w:t>s</w:t>
      </w:r>
      <w:r w:rsidRPr="002E0DF3">
        <w:t xml:space="preserve"> (</w:t>
      </w:r>
      <w:proofErr w:type="spellStart"/>
      <w:r w:rsidR="00381877" w:rsidRPr="00B7724F">
        <w:t>B</w:t>
      </w:r>
      <w:r w:rsidR="007879D4">
        <w:t>a</w:t>
      </w:r>
      <w:r w:rsidR="00381877" w:rsidRPr="00B7724F">
        <w:t>yon-Auboyer</w:t>
      </w:r>
      <w:proofErr w:type="spellEnd"/>
      <w:r w:rsidR="00381877" w:rsidRPr="00B7724F">
        <w:t xml:space="preserve"> </w:t>
      </w:r>
      <w:r w:rsidR="00B7724F" w:rsidRPr="00B7724F">
        <w:rPr>
          <w:i/>
        </w:rPr>
        <w:t>et al</w:t>
      </w:r>
      <w:r w:rsidR="00381877" w:rsidRPr="00B7724F">
        <w:t xml:space="preserve">., </w:t>
      </w:r>
      <w:r w:rsidR="00381877">
        <w:t>1999</w:t>
      </w:r>
      <w:r w:rsidRPr="002E0DF3">
        <w:t xml:space="preserve">). RT-PCR assays directed to the G gene have also been successfully used for genotype or </w:t>
      </w:r>
      <w:r w:rsidR="00A0050C" w:rsidRPr="008E7CC4">
        <w:rPr>
          <w:strike/>
        </w:rPr>
        <w:t>subtype</w:t>
      </w:r>
      <w:r w:rsidR="00A0050C">
        <w:rPr>
          <w:strike/>
        </w:rPr>
        <w:t xml:space="preserve"> </w:t>
      </w:r>
      <w:r w:rsidR="00A0050C" w:rsidRPr="008E7CC4">
        <w:rPr>
          <w:u w:val="double"/>
        </w:rPr>
        <w:t>subgroup</w:t>
      </w:r>
      <w:r w:rsidRPr="002E0DF3">
        <w:t xml:space="preserve"> identification (</w:t>
      </w:r>
      <w:proofErr w:type="spellStart"/>
      <w:r w:rsidR="00381877" w:rsidRPr="00115864">
        <w:rPr>
          <w:strike/>
        </w:rPr>
        <w:t>B</w:t>
      </w:r>
      <w:r w:rsidR="007879D4" w:rsidRPr="00115864">
        <w:rPr>
          <w:strike/>
        </w:rPr>
        <w:t>a</w:t>
      </w:r>
      <w:r w:rsidR="00381877" w:rsidRPr="00115864">
        <w:rPr>
          <w:strike/>
        </w:rPr>
        <w:t>yon-Auboyer</w:t>
      </w:r>
      <w:proofErr w:type="spellEnd"/>
      <w:r w:rsidR="00381877" w:rsidRPr="00115864">
        <w:rPr>
          <w:strike/>
        </w:rPr>
        <w:t xml:space="preserve"> </w:t>
      </w:r>
      <w:r w:rsidR="00B7724F" w:rsidRPr="00115864">
        <w:rPr>
          <w:i/>
          <w:strike/>
        </w:rPr>
        <w:t>et al</w:t>
      </w:r>
      <w:r w:rsidR="00381877" w:rsidRPr="00115864">
        <w:rPr>
          <w:strike/>
        </w:rPr>
        <w:t>., 2000</w:t>
      </w:r>
      <w:r w:rsidR="00221851" w:rsidRPr="00115864">
        <w:rPr>
          <w:strike/>
        </w:rPr>
        <w:t>;</w:t>
      </w:r>
      <w:r w:rsidRPr="00115864">
        <w:rPr>
          <w:strike/>
        </w:rPr>
        <w:t xml:space="preserve"> </w:t>
      </w:r>
      <w:r w:rsidR="00C16CFF" w:rsidRPr="009733A1">
        <w:rPr>
          <w:strike/>
        </w:rPr>
        <w:t>Juhasz &amp; Easton, 1994</w:t>
      </w:r>
      <w:r w:rsidR="00221851" w:rsidRPr="009733A1">
        <w:rPr>
          <w:strike/>
        </w:rPr>
        <w:t>;</w:t>
      </w:r>
      <w:r w:rsidRPr="002E0DF3">
        <w:t xml:space="preserve"> </w:t>
      </w:r>
      <w:r w:rsidR="00C14374">
        <w:t xml:space="preserve">Lwamba </w:t>
      </w:r>
      <w:r w:rsidR="00B7724F" w:rsidRPr="00B7724F">
        <w:rPr>
          <w:i/>
        </w:rPr>
        <w:t>et al</w:t>
      </w:r>
      <w:r w:rsidR="00C14374">
        <w:t>., 2005</w:t>
      </w:r>
      <w:r w:rsidR="00221851">
        <w:t>;</w:t>
      </w:r>
      <w:r w:rsidRPr="002E0DF3">
        <w:t xml:space="preserve"> </w:t>
      </w:r>
      <w:r w:rsidR="00793D7F">
        <w:t xml:space="preserve">Mase </w:t>
      </w:r>
      <w:r w:rsidR="00B7724F" w:rsidRPr="00B7724F">
        <w:rPr>
          <w:i/>
        </w:rPr>
        <w:t>et al</w:t>
      </w:r>
      <w:r w:rsidR="00793D7F">
        <w:t>., 1996</w:t>
      </w:r>
      <w:r w:rsidRPr="002E0DF3">
        <w:t>). A variety of RT-PCR techniques have been developed and evaluated and these have been extensively reviewed elsewhere (</w:t>
      </w:r>
      <w:r w:rsidR="00BD7156" w:rsidRPr="00115864">
        <w:rPr>
          <w:strike/>
        </w:rPr>
        <w:t>Cook &amp; Cavanagh, 2002</w:t>
      </w:r>
      <w:r w:rsidR="00221851" w:rsidRPr="00115864">
        <w:rPr>
          <w:strike/>
        </w:rPr>
        <w:t>;</w:t>
      </w:r>
      <w:r w:rsidRPr="00115864">
        <w:rPr>
          <w:strike/>
        </w:rPr>
        <w:t xml:space="preserve"> </w:t>
      </w:r>
      <w:r w:rsidR="00A74CEF">
        <w:t xml:space="preserve">Njenga </w:t>
      </w:r>
      <w:r w:rsidR="00B7724F" w:rsidRPr="00B7724F">
        <w:rPr>
          <w:i/>
        </w:rPr>
        <w:t>et al</w:t>
      </w:r>
      <w:r w:rsidR="00A74CEF">
        <w:t>., 2003</w:t>
      </w:r>
      <w:r w:rsidRPr="002E0DF3">
        <w:t>).</w:t>
      </w:r>
    </w:p>
    <w:p w14:paraId="7178E61C" w14:textId="77777777" w:rsidR="00FB52DE" w:rsidRPr="002E0DF3" w:rsidRDefault="00FB52DE" w:rsidP="00E811AD">
      <w:pPr>
        <w:pStyle w:val="11Para"/>
      </w:pPr>
      <w:r w:rsidRPr="002E0DF3">
        <w:t>Nasal exudates, choanal cleft swabs, and turbinate specimens collected 2–7 days post-exposure are the preferred specimen (</w:t>
      </w:r>
      <w:r w:rsidR="00D311EB">
        <w:t xml:space="preserve">Cook </w:t>
      </w:r>
      <w:r w:rsidR="00B7724F" w:rsidRPr="00B7724F">
        <w:rPr>
          <w:i/>
        </w:rPr>
        <w:t>et al</w:t>
      </w:r>
      <w:r w:rsidR="00D311EB">
        <w:t>., 1993</w:t>
      </w:r>
      <w:r w:rsidR="00D311EB" w:rsidRPr="00115864">
        <w:t>b</w:t>
      </w:r>
      <w:r w:rsidR="00221851">
        <w:t>;</w:t>
      </w:r>
      <w:r w:rsidRPr="002E0DF3">
        <w:t xml:space="preserve"> </w:t>
      </w:r>
      <w:r w:rsidR="00332BC3" w:rsidRPr="001E291E">
        <w:rPr>
          <w:strike/>
        </w:rPr>
        <w:t>Gough, 2003</w:t>
      </w:r>
      <w:r w:rsidR="00221851" w:rsidRPr="001E291E">
        <w:rPr>
          <w:strike/>
        </w:rPr>
        <w:t>;</w:t>
      </w:r>
      <w:r w:rsidRPr="001E291E">
        <w:rPr>
          <w:strike/>
        </w:rPr>
        <w:t xml:space="preserve"> </w:t>
      </w:r>
      <w:r w:rsidR="00A74CEF">
        <w:t>P</w:t>
      </w:r>
      <w:r w:rsidR="009B4772">
        <w:t>e</w:t>
      </w:r>
      <w:r w:rsidR="00A74CEF">
        <w:t xml:space="preserve">dersen </w:t>
      </w:r>
      <w:r w:rsidR="00B7724F" w:rsidRPr="00B7724F">
        <w:rPr>
          <w:i/>
        </w:rPr>
        <w:t>et al</w:t>
      </w:r>
      <w:r w:rsidR="00A74CEF">
        <w:t>., 2001</w:t>
      </w:r>
      <w:r w:rsidR="00221851">
        <w:t>;</w:t>
      </w:r>
      <w:r w:rsidRPr="002E0DF3">
        <w:t xml:space="preserve"> </w:t>
      </w:r>
      <w:r w:rsidR="00A74CEF" w:rsidRPr="00B7724F">
        <w:t>Stuart, 1989</w:t>
      </w:r>
      <w:r w:rsidRPr="002E0DF3">
        <w:t xml:space="preserve">). It is imperative to collect specimens when clinical signs are first exhibited as recent studies have shown that the maximum amount of virus is present in the trachea and nasal </w:t>
      </w:r>
      <w:proofErr w:type="spellStart"/>
      <w:r w:rsidRPr="002E0DF3">
        <w:t>turbinates</w:t>
      </w:r>
      <w:proofErr w:type="spellEnd"/>
      <w:r w:rsidRPr="002E0DF3">
        <w:t xml:space="preserve"> at 3 days post-inoculation and viral RNA persists for 9 days in the trachea and up to 14 days in the nasal </w:t>
      </w:r>
      <w:proofErr w:type="spellStart"/>
      <w:r w:rsidRPr="002E0DF3">
        <w:t>turbinates</w:t>
      </w:r>
      <w:proofErr w:type="spellEnd"/>
      <w:r w:rsidRPr="002E0DF3">
        <w:t xml:space="preserve"> (</w:t>
      </w:r>
      <w:proofErr w:type="spellStart"/>
      <w:r w:rsidR="00B7724F">
        <w:t>Velayudhan</w:t>
      </w:r>
      <w:proofErr w:type="spellEnd"/>
      <w:r w:rsidR="00B7724F">
        <w:t xml:space="preserve"> </w:t>
      </w:r>
      <w:r w:rsidR="00B7724F" w:rsidRPr="00B7724F">
        <w:rPr>
          <w:i/>
        </w:rPr>
        <w:t>et al</w:t>
      </w:r>
      <w:r w:rsidR="00B7724F">
        <w:t>., 2005</w:t>
      </w:r>
      <w:r w:rsidRPr="002E0DF3">
        <w:t xml:space="preserve">). It has been shown that </w:t>
      </w:r>
      <w:proofErr w:type="spellStart"/>
      <w:r w:rsidRPr="002E0DF3">
        <w:t>aMPV</w:t>
      </w:r>
      <w:proofErr w:type="spellEnd"/>
      <w:r w:rsidRPr="002E0DF3">
        <w:t xml:space="preserve"> can be detected from specimens collected 7–10 days post-exposure, however the viral concentration is considerably less thus reducing success of detection (</w:t>
      </w:r>
      <w:r w:rsidR="00221851" w:rsidRPr="00B7724F">
        <w:t xml:space="preserve">Alkhalaf </w:t>
      </w:r>
      <w:r w:rsidR="00B7724F" w:rsidRPr="00B7724F">
        <w:rPr>
          <w:i/>
        </w:rPr>
        <w:t>et al</w:t>
      </w:r>
      <w:r w:rsidR="00221851" w:rsidRPr="00B7724F">
        <w:t xml:space="preserve">., </w:t>
      </w:r>
      <w:r w:rsidR="00221851" w:rsidRPr="002E0DF3">
        <w:t>2002</w:t>
      </w:r>
      <w:r w:rsidR="00221851">
        <w:t>;</w:t>
      </w:r>
      <w:r w:rsidRPr="002E0DF3">
        <w:t xml:space="preserve"> </w:t>
      </w:r>
      <w:r w:rsidR="00A74CEF">
        <w:t>P</w:t>
      </w:r>
      <w:r w:rsidR="009B4772">
        <w:t>e</w:t>
      </w:r>
      <w:r w:rsidR="00A74CEF">
        <w:t xml:space="preserve">dersen </w:t>
      </w:r>
      <w:r w:rsidR="00B7724F" w:rsidRPr="00B7724F">
        <w:rPr>
          <w:i/>
        </w:rPr>
        <w:t>et al</w:t>
      </w:r>
      <w:r w:rsidR="00A74CEF">
        <w:t>., 2001</w:t>
      </w:r>
      <w:r w:rsidRPr="002E0DF3">
        <w:t>). Swabs from a single flock can be pooled in groups of not more than five to allow the processing of samples</w:t>
      </w:r>
      <w:r w:rsidR="00C37F11" w:rsidRPr="002E0DF3">
        <w:t xml:space="preserve"> from a larger number of birds</w:t>
      </w:r>
      <w:r w:rsidRPr="002E0DF3">
        <w:t xml:space="preserve"> and therefore increas</w:t>
      </w:r>
      <w:r w:rsidR="00C37F11" w:rsidRPr="002E0DF3">
        <w:t>ing the potential</w:t>
      </w:r>
      <w:r w:rsidRPr="002E0DF3">
        <w:t xml:space="preserve"> recovery rate.</w:t>
      </w:r>
    </w:p>
    <w:p w14:paraId="4620BC67" w14:textId="5FB05926" w:rsidR="00FB52DE" w:rsidRDefault="00FB52DE" w:rsidP="00E811AD">
      <w:pPr>
        <w:pStyle w:val="11Para"/>
      </w:pPr>
      <w:r w:rsidRPr="002E0DF3">
        <w:t xml:space="preserve">Template RNA for RT-PCR can be extracted from homogenised tissue, dry swabs or wet swab pools with silica column or magnetic bead commercial RNA extraction reagents according to </w:t>
      </w:r>
      <w:r w:rsidR="00C37F11" w:rsidRPr="002E0DF3">
        <w:t xml:space="preserve">the </w:t>
      </w:r>
      <w:r w:rsidRPr="002E0DF3">
        <w:t xml:space="preserve">manufacturer’s protocol. </w:t>
      </w:r>
      <w:r w:rsidRPr="006E5C4E">
        <w:rPr>
          <w:strike/>
        </w:rPr>
        <w:t>Tracheal swab supernatant and sinus fluid (140 µl/600 µl lysis buffer) specimens can also be processed with the RNeasy® (Qiagen, Valencia, CA) procedure.</w:t>
      </w:r>
    </w:p>
    <w:p w14:paraId="70E89B8C" w14:textId="680D6CAF" w:rsidR="00FB52DE" w:rsidRPr="00381877" w:rsidRDefault="00FB52DE" w:rsidP="006E5C4E">
      <w:pPr>
        <w:pStyle w:val="paraa"/>
        <w:keepNext/>
        <w:spacing w:after="120"/>
        <w:jc w:val="center"/>
        <w:rPr>
          <w:rFonts w:ascii="Ottawa" w:hAnsi="Ottawa"/>
        </w:rPr>
      </w:pPr>
      <w:r w:rsidRPr="002E0DF3">
        <w:rPr>
          <w:rFonts w:ascii="Ottawa" w:hAnsi="Ottawa"/>
          <w:b/>
          <w:i/>
        </w:rPr>
        <w:lastRenderedPageBreak/>
        <w:t xml:space="preserve">Table </w:t>
      </w:r>
      <w:r w:rsidR="006E5C4E">
        <w:rPr>
          <w:rFonts w:ascii="Ottawa" w:hAnsi="Ottawa"/>
          <w:b/>
          <w:i/>
        </w:rPr>
        <w:t>2</w:t>
      </w:r>
      <w:r w:rsidR="00F67717" w:rsidRPr="002E0DF3">
        <w:rPr>
          <w:rFonts w:ascii="Ottawa" w:hAnsi="Ottawa"/>
          <w:b/>
          <w:i/>
        </w:rPr>
        <w:t>.</w:t>
      </w:r>
      <w:r w:rsidRPr="002E0DF3">
        <w:rPr>
          <w:rFonts w:ascii="Ottawa" w:hAnsi="Ottawa"/>
        </w:rPr>
        <w:t xml:space="preserve"> </w:t>
      </w:r>
      <w:r w:rsidRPr="00381877">
        <w:rPr>
          <w:rFonts w:ascii="Ottawa" w:hAnsi="Ottawa"/>
        </w:rPr>
        <w:t xml:space="preserve">Example of primers that can be used for </w:t>
      </w:r>
      <w:r w:rsidRPr="00656379">
        <w:rPr>
          <w:rFonts w:ascii="Ottawa" w:hAnsi="Ottawa"/>
        </w:rPr>
        <w:t xml:space="preserve">the detection </w:t>
      </w:r>
      <w:r w:rsidRPr="0034168E">
        <w:rPr>
          <w:rFonts w:ascii="Ottawa" w:hAnsi="Ottawa"/>
          <w:u w:val="double"/>
        </w:rPr>
        <w:t xml:space="preserve">of </w:t>
      </w:r>
      <w:r w:rsidR="00E83BEB" w:rsidRPr="0034168E">
        <w:rPr>
          <w:rFonts w:ascii="Ottawa" w:hAnsi="Ottawa"/>
          <w:u w:val="double"/>
        </w:rPr>
        <w:t>a region</w:t>
      </w:r>
      <w:r w:rsidR="00E83BEB" w:rsidRPr="00656379">
        <w:rPr>
          <w:rFonts w:ascii="Ottawa" w:hAnsi="Ottawa"/>
        </w:rPr>
        <w:t xml:space="preserve"> of </w:t>
      </w:r>
      <w:r w:rsidRPr="00656379">
        <w:rPr>
          <w:rFonts w:ascii="Ottawa" w:hAnsi="Ottawa"/>
        </w:rPr>
        <w:t xml:space="preserve">the N gene of </w:t>
      </w:r>
      <w:r w:rsidR="005E6AA3" w:rsidRPr="00656379">
        <w:rPr>
          <w:rFonts w:ascii="Ottawa" w:hAnsi="Ottawa"/>
        </w:rPr>
        <w:br/>
      </w:r>
      <w:r w:rsidRPr="00381877">
        <w:rPr>
          <w:rFonts w:ascii="Ottawa" w:hAnsi="Ottawa"/>
        </w:rPr>
        <w:t xml:space="preserve">subgroups A, B, C and D of </w:t>
      </w:r>
      <w:proofErr w:type="spellStart"/>
      <w:r w:rsidRPr="00381877">
        <w:rPr>
          <w:rFonts w:ascii="Ottawa" w:hAnsi="Ottawa"/>
        </w:rPr>
        <w:t>aMPV</w:t>
      </w:r>
      <w:proofErr w:type="spellEnd"/>
      <w:r w:rsidRPr="00381877">
        <w:rPr>
          <w:rFonts w:ascii="Ottawa" w:hAnsi="Ottawa"/>
        </w:rPr>
        <w:t xml:space="preserve"> (</w:t>
      </w:r>
      <w:proofErr w:type="spellStart"/>
      <w:r w:rsidR="00381877" w:rsidRPr="00381877">
        <w:rPr>
          <w:rFonts w:ascii="Ottawa" w:hAnsi="Ottawa"/>
        </w:rPr>
        <w:t>B</w:t>
      </w:r>
      <w:r w:rsidR="007879D4">
        <w:rPr>
          <w:rFonts w:ascii="Ottawa" w:hAnsi="Ottawa"/>
        </w:rPr>
        <w:t>a</w:t>
      </w:r>
      <w:r w:rsidR="00381877" w:rsidRPr="00381877">
        <w:rPr>
          <w:rFonts w:ascii="Ottawa" w:hAnsi="Ottawa"/>
        </w:rPr>
        <w:t>yon-Auboyer</w:t>
      </w:r>
      <w:proofErr w:type="spellEnd"/>
      <w:r w:rsidR="00381877" w:rsidRPr="00381877">
        <w:rPr>
          <w:rFonts w:ascii="Ottawa" w:hAnsi="Ottawa"/>
        </w:rPr>
        <w:t xml:space="preserve"> </w:t>
      </w:r>
      <w:r w:rsidR="00B7724F" w:rsidRPr="00B7724F">
        <w:rPr>
          <w:rFonts w:ascii="Ottawa" w:hAnsi="Ottawa"/>
          <w:i/>
        </w:rPr>
        <w:t>et al</w:t>
      </w:r>
      <w:r w:rsidR="00381877" w:rsidRPr="00381877">
        <w:rPr>
          <w:rFonts w:ascii="Ottawa" w:hAnsi="Ottawa"/>
        </w:rPr>
        <w:t>., 1999</w:t>
      </w:r>
      <w:r w:rsidR="00221851" w:rsidRPr="00381877">
        <w:rPr>
          <w:rFonts w:ascii="Ottawa" w:hAnsi="Ottawa"/>
        </w:rPr>
        <w:t>;</w:t>
      </w:r>
      <w:r w:rsidRPr="00381877">
        <w:rPr>
          <w:rFonts w:ascii="Ottawa" w:hAnsi="Ottawa"/>
        </w:rPr>
        <w:t xml:space="preserve"> </w:t>
      </w:r>
      <w:r w:rsidR="0034168E" w:rsidRPr="0034168E">
        <w:rPr>
          <w:rFonts w:ascii="Ottawa" w:hAnsi="Ottawa"/>
          <w:u w:val="double"/>
        </w:rPr>
        <w:t xml:space="preserve">Lemaitre </w:t>
      </w:r>
      <w:r w:rsidR="0034168E" w:rsidRPr="0034168E">
        <w:rPr>
          <w:rFonts w:ascii="Ottawa" w:hAnsi="Ottawa"/>
          <w:i/>
          <w:iCs/>
          <w:u w:val="double"/>
        </w:rPr>
        <w:t>et al.,</w:t>
      </w:r>
      <w:r w:rsidR="0034168E" w:rsidRPr="0034168E">
        <w:rPr>
          <w:rFonts w:ascii="Ottawa" w:hAnsi="Ottawa"/>
          <w:u w:val="double"/>
        </w:rPr>
        <w:t xml:space="preserve"> 2018</w:t>
      </w:r>
      <w:r w:rsidR="0034168E" w:rsidRPr="009733A1">
        <w:rPr>
          <w:rFonts w:ascii="Ottawa" w:hAnsi="Ottawa"/>
          <w:strike/>
        </w:rPr>
        <w:t xml:space="preserve">; </w:t>
      </w:r>
      <w:proofErr w:type="spellStart"/>
      <w:r w:rsidR="00A74CEF" w:rsidRPr="009733A1">
        <w:rPr>
          <w:rFonts w:ascii="Ottawa" w:hAnsi="Ottawa"/>
          <w:strike/>
        </w:rPr>
        <w:t>Toquin</w:t>
      </w:r>
      <w:proofErr w:type="spellEnd"/>
      <w:r w:rsidR="00A74CEF" w:rsidRPr="009733A1">
        <w:rPr>
          <w:rFonts w:ascii="Ottawa" w:hAnsi="Ottawa"/>
          <w:strike/>
        </w:rPr>
        <w:t xml:space="preserve"> </w:t>
      </w:r>
      <w:r w:rsidR="00B7724F" w:rsidRPr="009733A1">
        <w:rPr>
          <w:rFonts w:ascii="Ottawa" w:hAnsi="Ottawa"/>
          <w:i/>
          <w:strike/>
        </w:rPr>
        <w:t>et al</w:t>
      </w:r>
      <w:r w:rsidR="00A74CEF" w:rsidRPr="009733A1">
        <w:rPr>
          <w:rFonts w:ascii="Ottawa" w:hAnsi="Ottawa"/>
          <w:strike/>
        </w:rPr>
        <w:t>., 1999</w:t>
      </w:r>
      <w:r w:rsidRPr="00381877">
        <w:rPr>
          <w:rFonts w:ascii="Ottawa" w:hAnsi="Ottawa"/>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50"/>
        <w:gridCol w:w="3686"/>
        <w:gridCol w:w="1559"/>
        <w:gridCol w:w="992"/>
        <w:gridCol w:w="992"/>
      </w:tblGrid>
      <w:tr w:rsidR="00054967" w:rsidRPr="002E0DF3" w14:paraId="3F2CD746" w14:textId="0F58EF6A" w:rsidTr="00B92BF3">
        <w:trPr>
          <w:tblHeader/>
        </w:trPr>
        <w:tc>
          <w:tcPr>
            <w:tcW w:w="880" w:type="dxa"/>
          </w:tcPr>
          <w:p w14:paraId="26A44BC9" w14:textId="77777777" w:rsidR="00054967" w:rsidRPr="002E0DF3" w:rsidRDefault="00054967">
            <w:pPr>
              <w:pStyle w:val="paraa"/>
              <w:spacing w:before="120" w:after="120"/>
              <w:ind w:left="0"/>
              <w:jc w:val="center"/>
              <w:rPr>
                <w:b/>
                <w:bCs/>
              </w:rPr>
            </w:pPr>
            <w:r w:rsidRPr="002E0DF3">
              <w:rPr>
                <w:b/>
                <w:bCs/>
              </w:rPr>
              <w:t>Target</w:t>
            </w:r>
          </w:p>
        </w:tc>
        <w:tc>
          <w:tcPr>
            <w:tcW w:w="850" w:type="dxa"/>
          </w:tcPr>
          <w:p w14:paraId="07FC36AA" w14:textId="77777777" w:rsidR="00054967" w:rsidRPr="002E0DF3" w:rsidRDefault="00054967">
            <w:pPr>
              <w:pStyle w:val="paraa"/>
              <w:spacing w:before="120" w:after="120"/>
              <w:ind w:left="0"/>
              <w:jc w:val="center"/>
              <w:rPr>
                <w:b/>
                <w:bCs/>
              </w:rPr>
            </w:pPr>
            <w:r w:rsidRPr="002E0DF3">
              <w:rPr>
                <w:b/>
                <w:bCs/>
              </w:rPr>
              <w:t>Primer ID</w:t>
            </w:r>
          </w:p>
        </w:tc>
        <w:tc>
          <w:tcPr>
            <w:tcW w:w="3686" w:type="dxa"/>
          </w:tcPr>
          <w:p w14:paraId="71C9C6A9" w14:textId="77777777" w:rsidR="00054967" w:rsidRPr="002E0DF3" w:rsidRDefault="00054967">
            <w:pPr>
              <w:pStyle w:val="paraa"/>
              <w:spacing w:before="120" w:after="120"/>
              <w:ind w:left="0"/>
              <w:jc w:val="center"/>
              <w:rPr>
                <w:b/>
                <w:bCs/>
              </w:rPr>
            </w:pPr>
            <w:r w:rsidRPr="002E0DF3">
              <w:rPr>
                <w:b/>
                <w:bCs/>
              </w:rPr>
              <w:t>Sequence 5’–3’</w:t>
            </w:r>
          </w:p>
        </w:tc>
        <w:tc>
          <w:tcPr>
            <w:tcW w:w="1559" w:type="dxa"/>
          </w:tcPr>
          <w:p w14:paraId="64D7365B" w14:textId="77777777" w:rsidR="00054967" w:rsidRPr="002E0DF3" w:rsidRDefault="00054967">
            <w:pPr>
              <w:pStyle w:val="paraa"/>
              <w:spacing w:before="120" w:after="120"/>
              <w:ind w:left="0"/>
              <w:jc w:val="center"/>
              <w:rPr>
                <w:b/>
                <w:bCs/>
              </w:rPr>
            </w:pPr>
            <w:r w:rsidRPr="002E0DF3">
              <w:rPr>
                <w:b/>
                <w:bCs/>
              </w:rPr>
              <w:t>Position</w:t>
            </w:r>
          </w:p>
        </w:tc>
        <w:tc>
          <w:tcPr>
            <w:tcW w:w="992" w:type="dxa"/>
          </w:tcPr>
          <w:p w14:paraId="2F4D2FBB" w14:textId="77777777" w:rsidR="00054967" w:rsidRPr="002E0DF3" w:rsidRDefault="00054967">
            <w:pPr>
              <w:pStyle w:val="paraa"/>
              <w:spacing w:before="120" w:after="120"/>
              <w:ind w:left="0"/>
              <w:jc w:val="center"/>
              <w:rPr>
                <w:b/>
                <w:bCs/>
              </w:rPr>
            </w:pPr>
            <w:r w:rsidRPr="002E0DF3">
              <w:rPr>
                <w:b/>
                <w:bCs/>
              </w:rPr>
              <w:t>Product size</w:t>
            </w:r>
          </w:p>
        </w:tc>
        <w:tc>
          <w:tcPr>
            <w:tcW w:w="992" w:type="dxa"/>
          </w:tcPr>
          <w:p w14:paraId="61E55EDE" w14:textId="31C11439" w:rsidR="00054967" w:rsidRPr="0034168E" w:rsidRDefault="00054967">
            <w:pPr>
              <w:pStyle w:val="paraa"/>
              <w:spacing w:before="120" w:after="120"/>
              <w:ind w:left="0"/>
              <w:jc w:val="center"/>
              <w:rPr>
                <w:b/>
                <w:bCs/>
                <w:u w:val="double"/>
              </w:rPr>
            </w:pPr>
            <w:r w:rsidRPr="0034168E">
              <w:rPr>
                <w:b/>
                <w:bCs/>
                <w:u w:val="double"/>
              </w:rPr>
              <w:t>Type of test</w:t>
            </w:r>
          </w:p>
        </w:tc>
      </w:tr>
      <w:tr w:rsidR="00054967" w:rsidRPr="002E0DF3" w14:paraId="529624E5" w14:textId="37754EAE" w:rsidTr="00B92BF3">
        <w:tc>
          <w:tcPr>
            <w:tcW w:w="880" w:type="dxa"/>
            <w:vMerge w:val="restart"/>
            <w:vAlign w:val="center"/>
          </w:tcPr>
          <w:p w14:paraId="364B7711" w14:textId="77777777" w:rsidR="00054967" w:rsidRPr="00B92BF3" w:rsidRDefault="00054967" w:rsidP="00C81721">
            <w:pPr>
              <w:pStyle w:val="paraa"/>
              <w:spacing w:before="120" w:after="120"/>
              <w:ind w:left="0"/>
              <w:jc w:val="left"/>
              <w:rPr>
                <w:sz w:val="16"/>
                <w:szCs w:val="16"/>
              </w:rPr>
            </w:pPr>
            <w:r w:rsidRPr="00B92BF3">
              <w:rPr>
                <w:sz w:val="16"/>
                <w:szCs w:val="16"/>
              </w:rPr>
              <w:t>N Gene</w:t>
            </w:r>
          </w:p>
        </w:tc>
        <w:tc>
          <w:tcPr>
            <w:tcW w:w="850" w:type="dxa"/>
            <w:vAlign w:val="center"/>
          </w:tcPr>
          <w:p w14:paraId="08238A77" w14:textId="77777777" w:rsidR="00054967" w:rsidRPr="00B92BF3" w:rsidRDefault="00054967" w:rsidP="00C81721">
            <w:pPr>
              <w:pStyle w:val="paraa"/>
              <w:spacing w:before="120" w:after="120"/>
              <w:ind w:left="0"/>
              <w:jc w:val="left"/>
              <w:rPr>
                <w:sz w:val="16"/>
                <w:szCs w:val="16"/>
              </w:rPr>
            </w:pPr>
            <w:r w:rsidRPr="00B92BF3">
              <w:rPr>
                <w:sz w:val="16"/>
                <w:szCs w:val="16"/>
              </w:rPr>
              <w:t>Nc</w:t>
            </w:r>
          </w:p>
        </w:tc>
        <w:tc>
          <w:tcPr>
            <w:tcW w:w="3686" w:type="dxa"/>
            <w:vAlign w:val="center"/>
          </w:tcPr>
          <w:p w14:paraId="5683AF0D" w14:textId="09A15908" w:rsidR="00054967" w:rsidRPr="00B92BF3" w:rsidRDefault="00054967" w:rsidP="00C81721">
            <w:pPr>
              <w:pStyle w:val="paraa"/>
              <w:spacing w:before="120" w:after="120"/>
              <w:ind w:left="0"/>
              <w:jc w:val="left"/>
              <w:rPr>
                <w:sz w:val="16"/>
                <w:szCs w:val="16"/>
              </w:rPr>
            </w:pPr>
            <w:r w:rsidRPr="00B92BF3">
              <w:rPr>
                <w:sz w:val="16"/>
                <w:szCs w:val="16"/>
              </w:rPr>
              <w:t>5’–TTC</w:t>
            </w:r>
            <w:r w:rsidR="00A0050C" w:rsidRPr="00B92BF3">
              <w:rPr>
                <w:sz w:val="16"/>
                <w:szCs w:val="16"/>
              </w:rPr>
              <w:t>-</w:t>
            </w:r>
            <w:r w:rsidRPr="00B92BF3">
              <w:rPr>
                <w:sz w:val="16"/>
                <w:szCs w:val="16"/>
              </w:rPr>
              <w:t>TTT</w:t>
            </w:r>
            <w:r w:rsidR="00A0050C" w:rsidRPr="00B92BF3">
              <w:rPr>
                <w:sz w:val="16"/>
                <w:szCs w:val="16"/>
              </w:rPr>
              <w:t>-</w:t>
            </w:r>
            <w:r w:rsidRPr="00B92BF3">
              <w:rPr>
                <w:sz w:val="16"/>
                <w:szCs w:val="16"/>
              </w:rPr>
              <w:t>GAA</w:t>
            </w:r>
            <w:r w:rsidR="00A0050C" w:rsidRPr="00B92BF3">
              <w:rPr>
                <w:sz w:val="16"/>
                <w:szCs w:val="16"/>
              </w:rPr>
              <w:t>-</w:t>
            </w:r>
            <w:r w:rsidRPr="00B92BF3">
              <w:rPr>
                <w:sz w:val="16"/>
                <w:szCs w:val="16"/>
              </w:rPr>
              <w:t>TTG</w:t>
            </w:r>
            <w:r w:rsidR="00A0050C" w:rsidRPr="00B92BF3">
              <w:rPr>
                <w:sz w:val="16"/>
                <w:szCs w:val="16"/>
              </w:rPr>
              <w:t>-</w:t>
            </w:r>
            <w:r w:rsidRPr="00B92BF3">
              <w:rPr>
                <w:sz w:val="16"/>
                <w:szCs w:val="16"/>
              </w:rPr>
              <w:t>TTT</w:t>
            </w:r>
            <w:r w:rsidR="00A0050C" w:rsidRPr="00B92BF3">
              <w:rPr>
                <w:sz w:val="16"/>
                <w:szCs w:val="16"/>
              </w:rPr>
              <w:t>-</w:t>
            </w:r>
            <w:r w:rsidRPr="00B92BF3">
              <w:rPr>
                <w:sz w:val="16"/>
                <w:szCs w:val="16"/>
              </w:rPr>
              <w:t>GAG</w:t>
            </w:r>
            <w:r w:rsidR="00A0050C" w:rsidRPr="00B92BF3">
              <w:rPr>
                <w:sz w:val="16"/>
                <w:szCs w:val="16"/>
              </w:rPr>
              <w:t>-</w:t>
            </w:r>
            <w:r w:rsidRPr="00B92BF3">
              <w:rPr>
                <w:sz w:val="16"/>
                <w:szCs w:val="16"/>
              </w:rPr>
              <w:t>AAG</w:t>
            </w:r>
            <w:r w:rsidR="00A0050C" w:rsidRPr="00B92BF3">
              <w:rPr>
                <w:sz w:val="16"/>
                <w:szCs w:val="16"/>
              </w:rPr>
              <w:t>-</w:t>
            </w:r>
            <w:r w:rsidRPr="00B92BF3">
              <w:rPr>
                <w:sz w:val="16"/>
                <w:szCs w:val="16"/>
              </w:rPr>
              <w:t>A–3’</w:t>
            </w:r>
          </w:p>
        </w:tc>
        <w:tc>
          <w:tcPr>
            <w:tcW w:w="1559" w:type="dxa"/>
            <w:vAlign w:val="center"/>
          </w:tcPr>
          <w:p w14:paraId="14DF6BEE" w14:textId="77777777" w:rsidR="00054967" w:rsidRPr="00B92BF3" w:rsidRDefault="00054967" w:rsidP="00C81721">
            <w:pPr>
              <w:pStyle w:val="paraa"/>
              <w:spacing w:before="120" w:after="120"/>
              <w:ind w:left="0"/>
              <w:jc w:val="left"/>
              <w:rPr>
                <w:sz w:val="16"/>
                <w:szCs w:val="16"/>
              </w:rPr>
            </w:pPr>
            <w:r w:rsidRPr="00B92BF3">
              <w:rPr>
                <w:sz w:val="16"/>
                <w:szCs w:val="16"/>
              </w:rPr>
              <w:t>632–653</w:t>
            </w:r>
          </w:p>
        </w:tc>
        <w:tc>
          <w:tcPr>
            <w:tcW w:w="992" w:type="dxa"/>
            <w:vAlign w:val="center"/>
          </w:tcPr>
          <w:p w14:paraId="5A3C33A5" w14:textId="77777777" w:rsidR="00054967" w:rsidRPr="00B92BF3" w:rsidRDefault="00054967" w:rsidP="00C81721">
            <w:pPr>
              <w:pStyle w:val="paraa"/>
              <w:spacing w:before="120" w:after="120"/>
              <w:ind w:left="0"/>
              <w:jc w:val="left"/>
              <w:rPr>
                <w:sz w:val="16"/>
                <w:szCs w:val="16"/>
              </w:rPr>
            </w:pPr>
            <w:r w:rsidRPr="00B92BF3">
              <w:rPr>
                <w:sz w:val="16"/>
                <w:szCs w:val="16"/>
              </w:rPr>
              <w:t>RT primer</w:t>
            </w:r>
          </w:p>
        </w:tc>
        <w:tc>
          <w:tcPr>
            <w:tcW w:w="992" w:type="dxa"/>
            <w:vMerge w:val="restart"/>
            <w:vAlign w:val="center"/>
          </w:tcPr>
          <w:p w14:paraId="2A582F7F" w14:textId="4526AA1A" w:rsidR="00054967" w:rsidRPr="0034168E" w:rsidRDefault="00054967" w:rsidP="00C81721">
            <w:pPr>
              <w:pStyle w:val="paraa"/>
              <w:spacing w:before="120" w:after="120"/>
              <w:ind w:left="0"/>
              <w:jc w:val="left"/>
              <w:rPr>
                <w:sz w:val="16"/>
                <w:szCs w:val="16"/>
                <w:u w:val="double"/>
              </w:rPr>
            </w:pPr>
            <w:r w:rsidRPr="0034168E">
              <w:rPr>
                <w:sz w:val="16"/>
                <w:szCs w:val="16"/>
                <w:u w:val="double"/>
              </w:rPr>
              <w:t>End point RT-PCR</w:t>
            </w:r>
          </w:p>
        </w:tc>
      </w:tr>
      <w:tr w:rsidR="00054967" w:rsidRPr="002E0DF3" w14:paraId="64177AB4" w14:textId="1422DD27" w:rsidTr="00B92BF3">
        <w:tc>
          <w:tcPr>
            <w:tcW w:w="880" w:type="dxa"/>
            <w:vMerge/>
          </w:tcPr>
          <w:p w14:paraId="65124ADE" w14:textId="77777777" w:rsidR="00054967" w:rsidRPr="00B92BF3" w:rsidRDefault="00054967">
            <w:pPr>
              <w:pStyle w:val="paraa"/>
              <w:spacing w:before="120" w:after="120"/>
              <w:ind w:left="0"/>
              <w:jc w:val="center"/>
              <w:rPr>
                <w:sz w:val="16"/>
                <w:szCs w:val="16"/>
              </w:rPr>
            </w:pPr>
          </w:p>
        </w:tc>
        <w:tc>
          <w:tcPr>
            <w:tcW w:w="850" w:type="dxa"/>
            <w:vAlign w:val="center"/>
          </w:tcPr>
          <w:p w14:paraId="09CF1326" w14:textId="77777777" w:rsidR="00054967" w:rsidRPr="00B92BF3" w:rsidRDefault="00054967" w:rsidP="00C81721">
            <w:pPr>
              <w:pStyle w:val="paraa"/>
              <w:spacing w:before="120" w:after="120"/>
              <w:ind w:left="0"/>
              <w:jc w:val="left"/>
              <w:rPr>
                <w:sz w:val="16"/>
                <w:szCs w:val="16"/>
              </w:rPr>
            </w:pPr>
            <w:proofErr w:type="spellStart"/>
            <w:r w:rsidRPr="00B92BF3">
              <w:rPr>
                <w:sz w:val="16"/>
                <w:szCs w:val="16"/>
              </w:rPr>
              <w:t>Nx</w:t>
            </w:r>
            <w:proofErr w:type="spellEnd"/>
          </w:p>
        </w:tc>
        <w:tc>
          <w:tcPr>
            <w:tcW w:w="3686" w:type="dxa"/>
            <w:vAlign w:val="center"/>
          </w:tcPr>
          <w:p w14:paraId="681E4CE1" w14:textId="0483C7FD" w:rsidR="00054967" w:rsidRPr="00B92BF3" w:rsidRDefault="00054967" w:rsidP="00C81721">
            <w:pPr>
              <w:pStyle w:val="paraa"/>
              <w:spacing w:before="120" w:after="120"/>
              <w:ind w:left="0"/>
              <w:jc w:val="left"/>
              <w:rPr>
                <w:sz w:val="16"/>
                <w:szCs w:val="16"/>
                <w:lang w:val="fr-FR"/>
              </w:rPr>
            </w:pPr>
            <w:r w:rsidRPr="00B92BF3">
              <w:rPr>
                <w:sz w:val="16"/>
                <w:szCs w:val="16"/>
              </w:rPr>
              <w:t>5’–</w:t>
            </w:r>
            <w:r w:rsidRPr="00B92BF3">
              <w:rPr>
                <w:sz w:val="16"/>
                <w:szCs w:val="16"/>
                <w:lang w:val="fr-FR"/>
              </w:rPr>
              <w:t>CAT</w:t>
            </w:r>
            <w:r w:rsidR="00A0050C" w:rsidRPr="00B92BF3">
              <w:rPr>
                <w:sz w:val="16"/>
                <w:szCs w:val="16"/>
                <w:lang w:val="fr-FR"/>
              </w:rPr>
              <w:t>-</w:t>
            </w:r>
            <w:r w:rsidRPr="00B92BF3">
              <w:rPr>
                <w:sz w:val="16"/>
                <w:szCs w:val="16"/>
                <w:lang w:val="fr-FR"/>
              </w:rPr>
              <w:t>GGC</w:t>
            </w:r>
            <w:r w:rsidR="00A0050C" w:rsidRPr="00B92BF3">
              <w:rPr>
                <w:sz w:val="16"/>
                <w:szCs w:val="16"/>
                <w:lang w:val="fr-FR"/>
              </w:rPr>
              <w:t>-</w:t>
            </w:r>
            <w:r w:rsidRPr="00B92BF3">
              <w:rPr>
                <w:sz w:val="16"/>
                <w:szCs w:val="16"/>
                <w:lang w:val="fr-FR"/>
              </w:rPr>
              <w:t>CCA</w:t>
            </w:r>
            <w:r w:rsidR="00A0050C" w:rsidRPr="00B92BF3">
              <w:rPr>
                <w:sz w:val="16"/>
                <w:szCs w:val="16"/>
                <w:lang w:val="fr-FR"/>
              </w:rPr>
              <w:t>-</w:t>
            </w:r>
            <w:r w:rsidRPr="00B92BF3">
              <w:rPr>
                <w:sz w:val="16"/>
                <w:szCs w:val="16"/>
                <w:lang w:val="fr-FR"/>
              </w:rPr>
              <w:t>ACA</w:t>
            </w:r>
            <w:r w:rsidR="00A0050C" w:rsidRPr="00B92BF3">
              <w:rPr>
                <w:sz w:val="16"/>
                <w:szCs w:val="16"/>
                <w:lang w:val="fr-FR"/>
              </w:rPr>
              <w:t>-</w:t>
            </w:r>
            <w:r w:rsidRPr="00B92BF3">
              <w:rPr>
                <w:sz w:val="16"/>
                <w:szCs w:val="16"/>
                <w:lang w:val="fr-FR"/>
              </w:rPr>
              <w:t>TTA</w:t>
            </w:r>
            <w:r w:rsidR="00A0050C" w:rsidRPr="00B92BF3">
              <w:rPr>
                <w:sz w:val="16"/>
                <w:szCs w:val="16"/>
                <w:lang w:val="fr-FR"/>
              </w:rPr>
              <w:t>-</w:t>
            </w:r>
            <w:r w:rsidRPr="00B92BF3">
              <w:rPr>
                <w:sz w:val="16"/>
                <w:szCs w:val="16"/>
                <w:lang w:val="fr-FR"/>
              </w:rPr>
              <w:t>TGT</w:t>
            </w:r>
            <w:r w:rsidR="00A0050C" w:rsidRPr="00B92BF3">
              <w:rPr>
                <w:sz w:val="16"/>
                <w:szCs w:val="16"/>
                <w:lang w:val="fr-FR"/>
              </w:rPr>
              <w:t>-</w:t>
            </w:r>
            <w:r w:rsidRPr="00B92BF3">
              <w:rPr>
                <w:sz w:val="16"/>
                <w:szCs w:val="16"/>
                <w:lang w:val="fr-FR"/>
              </w:rPr>
              <w:t>T–3’</w:t>
            </w:r>
          </w:p>
        </w:tc>
        <w:tc>
          <w:tcPr>
            <w:tcW w:w="1559" w:type="dxa"/>
            <w:vAlign w:val="center"/>
          </w:tcPr>
          <w:p w14:paraId="6D7836CB" w14:textId="77777777" w:rsidR="00054967" w:rsidRPr="00B92BF3" w:rsidRDefault="00054967" w:rsidP="00C81721">
            <w:pPr>
              <w:pStyle w:val="paraa"/>
              <w:spacing w:before="120" w:after="120"/>
              <w:ind w:left="0"/>
              <w:jc w:val="left"/>
              <w:rPr>
                <w:sz w:val="16"/>
                <w:szCs w:val="16"/>
                <w:lang w:val="fr-FR"/>
              </w:rPr>
            </w:pPr>
            <w:r w:rsidRPr="00B92BF3">
              <w:rPr>
                <w:sz w:val="16"/>
                <w:szCs w:val="16"/>
                <w:lang w:val="fr-FR"/>
              </w:rPr>
              <w:t>830–812</w:t>
            </w:r>
          </w:p>
        </w:tc>
        <w:tc>
          <w:tcPr>
            <w:tcW w:w="992" w:type="dxa"/>
            <w:vAlign w:val="center"/>
          </w:tcPr>
          <w:p w14:paraId="37DAE888" w14:textId="77777777" w:rsidR="00054967" w:rsidRPr="00B92BF3" w:rsidRDefault="00054967" w:rsidP="00C81721">
            <w:pPr>
              <w:pStyle w:val="paraa"/>
              <w:spacing w:before="120" w:after="120"/>
              <w:ind w:left="0"/>
              <w:jc w:val="left"/>
              <w:rPr>
                <w:sz w:val="16"/>
                <w:szCs w:val="16"/>
                <w:lang w:val="fr-FR"/>
              </w:rPr>
            </w:pPr>
            <w:r w:rsidRPr="00B92BF3">
              <w:rPr>
                <w:sz w:val="16"/>
                <w:szCs w:val="16"/>
                <w:lang w:val="fr-FR"/>
              </w:rPr>
              <w:t>115</w:t>
            </w:r>
          </w:p>
        </w:tc>
        <w:tc>
          <w:tcPr>
            <w:tcW w:w="992" w:type="dxa"/>
            <w:vMerge/>
          </w:tcPr>
          <w:p w14:paraId="188AD59F" w14:textId="77777777" w:rsidR="00054967" w:rsidRPr="0034168E" w:rsidRDefault="00054967">
            <w:pPr>
              <w:pStyle w:val="paraa"/>
              <w:spacing w:before="120" w:after="120"/>
              <w:ind w:left="0"/>
              <w:jc w:val="center"/>
              <w:rPr>
                <w:sz w:val="16"/>
                <w:szCs w:val="16"/>
                <w:u w:val="double"/>
                <w:lang w:val="fr-FR"/>
              </w:rPr>
            </w:pPr>
          </w:p>
        </w:tc>
      </w:tr>
      <w:tr w:rsidR="00054967" w:rsidRPr="002E0DF3" w14:paraId="248BC7FF" w14:textId="2131EDEF" w:rsidTr="00B92BF3">
        <w:tc>
          <w:tcPr>
            <w:tcW w:w="880" w:type="dxa"/>
            <w:vMerge/>
          </w:tcPr>
          <w:p w14:paraId="73CB284D" w14:textId="77777777" w:rsidR="00054967" w:rsidRPr="00B92BF3" w:rsidRDefault="00054967">
            <w:pPr>
              <w:pStyle w:val="paraa"/>
              <w:spacing w:before="120" w:after="120"/>
              <w:ind w:left="0"/>
              <w:jc w:val="center"/>
              <w:rPr>
                <w:sz w:val="16"/>
                <w:szCs w:val="16"/>
                <w:lang w:val="fr-FR"/>
              </w:rPr>
            </w:pPr>
          </w:p>
        </w:tc>
        <w:tc>
          <w:tcPr>
            <w:tcW w:w="850" w:type="dxa"/>
            <w:vAlign w:val="center"/>
          </w:tcPr>
          <w:p w14:paraId="53D5F4CD" w14:textId="77777777" w:rsidR="00054967" w:rsidRPr="00B92BF3" w:rsidRDefault="00054967" w:rsidP="00C81721">
            <w:pPr>
              <w:pStyle w:val="paraa"/>
              <w:spacing w:before="120" w:after="120"/>
              <w:ind w:left="0"/>
              <w:jc w:val="left"/>
              <w:rPr>
                <w:sz w:val="16"/>
                <w:szCs w:val="16"/>
                <w:lang w:val="fr-FR"/>
              </w:rPr>
            </w:pPr>
            <w:r w:rsidRPr="00B92BF3">
              <w:rPr>
                <w:sz w:val="16"/>
                <w:szCs w:val="16"/>
                <w:lang w:val="fr-FR"/>
              </w:rPr>
              <w:t>Nd</w:t>
            </w:r>
          </w:p>
        </w:tc>
        <w:tc>
          <w:tcPr>
            <w:tcW w:w="3686" w:type="dxa"/>
            <w:vAlign w:val="center"/>
          </w:tcPr>
          <w:p w14:paraId="521D4CCA" w14:textId="73836BDA" w:rsidR="00054967" w:rsidRPr="00B92BF3" w:rsidRDefault="00054967" w:rsidP="00C81721">
            <w:pPr>
              <w:pStyle w:val="paraa"/>
              <w:spacing w:before="120" w:after="120"/>
              <w:ind w:left="0"/>
              <w:jc w:val="left"/>
              <w:rPr>
                <w:sz w:val="16"/>
                <w:szCs w:val="16"/>
                <w:lang w:val="fr-FR"/>
              </w:rPr>
            </w:pPr>
            <w:r w:rsidRPr="00B92BF3">
              <w:rPr>
                <w:sz w:val="16"/>
                <w:szCs w:val="16"/>
                <w:lang w:val="fr-FR"/>
              </w:rPr>
              <w:t>5’–AGC</w:t>
            </w:r>
            <w:r w:rsidR="00A0050C" w:rsidRPr="00B92BF3">
              <w:rPr>
                <w:sz w:val="16"/>
                <w:szCs w:val="16"/>
                <w:lang w:val="fr-FR"/>
              </w:rPr>
              <w:t>-</w:t>
            </w:r>
            <w:r w:rsidRPr="00B92BF3">
              <w:rPr>
                <w:sz w:val="16"/>
                <w:szCs w:val="16"/>
                <w:lang w:val="fr-FR"/>
              </w:rPr>
              <w:t>AGG</w:t>
            </w:r>
            <w:r w:rsidR="00A0050C" w:rsidRPr="00B92BF3">
              <w:rPr>
                <w:sz w:val="16"/>
                <w:szCs w:val="16"/>
                <w:lang w:val="fr-FR"/>
              </w:rPr>
              <w:t>-</w:t>
            </w:r>
            <w:r w:rsidRPr="00B92BF3">
              <w:rPr>
                <w:sz w:val="16"/>
                <w:szCs w:val="16"/>
                <w:lang w:val="fr-FR"/>
              </w:rPr>
              <w:t>ATG</w:t>
            </w:r>
            <w:r w:rsidR="00A0050C" w:rsidRPr="00B92BF3">
              <w:rPr>
                <w:sz w:val="16"/>
                <w:szCs w:val="16"/>
                <w:lang w:val="fr-FR"/>
              </w:rPr>
              <w:t>-</w:t>
            </w:r>
            <w:r w:rsidRPr="00B92BF3">
              <w:rPr>
                <w:sz w:val="16"/>
                <w:szCs w:val="16"/>
                <w:lang w:val="fr-FR"/>
              </w:rPr>
              <w:t>GAG</w:t>
            </w:r>
            <w:r w:rsidR="00A0050C" w:rsidRPr="00B92BF3">
              <w:rPr>
                <w:sz w:val="16"/>
                <w:szCs w:val="16"/>
                <w:lang w:val="fr-FR"/>
              </w:rPr>
              <w:t>-</w:t>
            </w:r>
            <w:r w:rsidRPr="00B92BF3">
              <w:rPr>
                <w:sz w:val="16"/>
                <w:szCs w:val="16"/>
                <w:lang w:val="fr-FR"/>
              </w:rPr>
              <w:t>AGC</w:t>
            </w:r>
            <w:r w:rsidR="00A0050C" w:rsidRPr="00B92BF3">
              <w:rPr>
                <w:sz w:val="16"/>
                <w:szCs w:val="16"/>
                <w:lang w:val="fr-FR"/>
              </w:rPr>
              <w:t>-</w:t>
            </w:r>
            <w:r w:rsidRPr="00B92BF3">
              <w:rPr>
                <w:sz w:val="16"/>
                <w:szCs w:val="16"/>
                <w:lang w:val="fr-FR"/>
              </w:rPr>
              <w:t>CTC</w:t>
            </w:r>
            <w:r w:rsidR="0034168E">
              <w:rPr>
                <w:sz w:val="16"/>
                <w:szCs w:val="16"/>
                <w:lang w:val="fr-FR"/>
              </w:rPr>
              <w:t>-</w:t>
            </w:r>
            <w:r w:rsidRPr="00B92BF3">
              <w:rPr>
                <w:sz w:val="16"/>
                <w:szCs w:val="16"/>
                <w:lang w:val="fr-FR"/>
              </w:rPr>
              <w:t>TTT</w:t>
            </w:r>
            <w:r w:rsidR="0034168E">
              <w:rPr>
                <w:sz w:val="16"/>
                <w:szCs w:val="16"/>
                <w:lang w:val="fr-FR"/>
              </w:rPr>
              <w:t>-</w:t>
            </w:r>
            <w:r w:rsidRPr="00B92BF3">
              <w:rPr>
                <w:sz w:val="16"/>
                <w:szCs w:val="16"/>
                <w:lang w:val="fr-FR"/>
              </w:rPr>
              <w:t>G–3’</w:t>
            </w:r>
          </w:p>
        </w:tc>
        <w:tc>
          <w:tcPr>
            <w:tcW w:w="1559" w:type="dxa"/>
            <w:vAlign w:val="center"/>
          </w:tcPr>
          <w:p w14:paraId="4917C5F0" w14:textId="77777777" w:rsidR="00054967" w:rsidRPr="00B92BF3" w:rsidRDefault="00054967" w:rsidP="00C81721">
            <w:pPr>
              <w:pStyle w:val="paraa"/>
              <w:spacing w:before="120" w:after="120"/>
              <w:ind w:left="0"/>
              <w:jc w:val="left"/>
              <w:rPr>
                <w:sz w:val="16"/>
                <w:szCs w:val="16"/>
              </w:rPr>
            </w:pPr>
            <w:r w:rsidRPr="00B92BF3">
              <w:rPr>
                <w:sz w:val="16"/>
                <w:szCs w:val="16"/>
              </w:rPr>
              <w:t>716–737</w:t>
            </w:r>
          </w:p>
        </w:tc>
        <w:tc>
          <w:tcPr>
            <w:tcW w:w="992" w:type="dxa"/>
            <w:tcBorders>
              <w:bottom w:val="single" w:sz="4" w:space="0" w:color="auto"/>
            </w:tcBorders>
            <w:vAlign w:val="center"/>
          </w:tcPr>
          <w:p w14:paraId="301158E3" w14:textId="77777777" w:rsidR="00054967" w:rsidRPr="00B92BF3" w:rsidRDefault="00054967" w:rsidP="00C81721">
            <w:pPr>
              <w:pStyle w:val="paraa"/>
              <w:spacing w:before="120" w:after="120"/>
              <w:ind w:left="0"/>
              <w:jc w:val="left"/>
              <w:rPr>
                <w:sz w:val="16"/>
                <w:szCs w:val="16"/>
              </w:rPr>
            </w:pPr>
            <w:r w:rsidRPr="00B92BF3">
              <w:rPr>
                <w:sz w:val="16"/>
                <w:szCs w:val="16"/>
              </w:rPr>
              <w:t>115</w:t>
            </w:r>
          </w:p>
        </w:tc>
        <w:tc>
          <w:tcPr>
            <w:tcW w:w="992" w:type="dxa"/>
            <w:vMerge/>
          </w:tcPr>
          <w:p w14:paraId="1381B402" w14:textId="77777777" w:rsidR="00054967" w:rsidRPr="0034168E" w:rsidRDefault="00054967">
            <w:pPr>
              <w:pStyle w:val="paraa"/>
              <w:spacing w:before="120" w:after="120"/>
              <w:ind w:left="0"/>
              <w:jc w:val="center"/>
              <w:rPr>
                <w:sz w:val="16"/>
                <w:szCs w:val="16"/>
                <w:u w:val="double"/>
              </w:rPr>
            </w:pPr>
          </w:p>
        </w:tc>
      </w:tr>
      <w:tr w:rsidR="00054967" w:rsidRPr="002E0DF3" w14:paraId="2D7A53B6" w14:textId="71E35D75" w:rsidTr="00B92BF3">
        <w:trPr>
          <w:trHeight w:val="720"/>
        </w:trPr>
        <w:tc>
          <w:tcPr>
            <w:tcW w:w="880" w:type="dxa"/>
            <w:vMerge w:val="restart"/>
            <w:vAlign w:val="center"/>
          </w:tcPr>
          <w:p w14:paraId="265DEE1B" w14:textId="06B27CE7" w:rsidR="00054967" w:rsidRPr="0034168E" w:rsidRDefault="00656379" w:rsidP="00C81721">
            <w:pPr>
              <w:pStyle w:val="paraa"/>
              <w:spacing w:before="120" w:after="120"/>
              <w:ind w:left="0"/>
              <w:jc w:val="left"/>
              <w:rPr>
                <w:sz w:val="16"/>
                <w:szCs w:val="16"/>
                <w:u w:val="double"/>
                <w:lang w:val="fr-FR"/>
              </w:rPr>
            </w:pPr>
            <w:r w:rsidRPr="0034168E">
              <w:rPr>
                <w:sz w:val="16"/>
                <w:szCs w:val="16"/>
                <w:u w:val="double"/>
                <w:lang w:val="fr-FR"/>
              </w:rPr>
              <w:t>N</w:t>
            </w:r>
            <w:r w:rsidR="00054967" w:rsidRPr="0034168E">
              <w:rPr>
                <w:sz w:val="16"/>
                <w:szCs w:val="16"/>
                <w:u w:val="double"/>
                <w:lang w:val="fr-FR"/>
              </w:rPr>
              <w:t xml:space="preserve"> Gene</w:t>
            </w:r>
          </w:p>
        </w:tc>
        <w:tc>
          <w:tcPr>
            <w:tcW w:w="850" w:type="dxa"/>
            <w:vAlign w:val="center"/>
          </w:tcPr>
          <w:p w14:paraId="7C843E1F" w14:textId="331B0939" w:rsidR="00C81721" w:rsidRPr="0034168E" w:rsidRDefault="00054967" w:rsidP="00C81721">
            <w:pPr>
              <w:pStyle w:val="paraa"/>
              <w:spacing w:before="120" w:after="120"/>
              <w:ind w:left="0"/>
              <w:jc w:val="left"/>
              <w:rPr>
                <w:sz w:val="16"/>
                <w:szCs w:val="16"/>
                <w:u w:val="double"/>
              </w:rPr>
            </w:pPr>
            <w:proofErr w:type="spellStart"/>
            <w:r w:rsidRPr="0034168E">
              <w:rPr>
                <w:sz w:val="16"/>
                <w:szCs w:val="16"/>
                <w:u w:val="double"/>
              </w:rPr>
              <w:t>PanMPV</w:t>
            </w:r>
            <w:proofErr w:type="spellEnd"/>
            <w:r w:rsidRPr="0034168E">
              <w:rPr>
                <w:sz w:val="16"/>
                <w:szCs w:val="16"/>
                <w:u w:val="double"/>
              </w:rPr>
              <w:t>/N1fwdA</w:t>
            </w:r>
          </w:p>
        </w:tc>
        <w:tc>
          <w:tcPr>
            <w:tcW w:w="3686" w:type="dxa"/>
            <w:vAlign w:val="center"/>
          </w:tcPr>
          <w:p w14:paraId="785033EE" w14:textId="3297F359" w:rsidR="00054967" w:rsidRPr="0034168E" w:rsidRDefault="00054967" w:rsidP="00C81721">
            <w:pPr>
              <w:pStyle w:val="paraa"/>
              <w:spacing w:before="120" w:after="120"/>
              <w:ind w:left="0"/>
              <w:jc w:val="left"/>
              <w:rPr>
                <w:sz w:val="16"/>
                <w:szCs w:val="16"/>
                <w:u w:val="double"/>
                <w:lang w:val="en-US"/>
              </w:rPr>
            </w:pPr>
            <w:r w:rsidRPr="0034168E">
              <w:rPr>
                <w:sz w:val="16"/>
                <w:szCs w:val="16"/>
                <w:u w:val="double"/>
                <w:lang w:val="en-IE"/>
              </w:rPr>
              <w:t>5’-CTG</w:t>
            </w:r>
            <w:r w:rsidR="00A0050C" w:rsidRPr="0034168E">
              <w:rPr>
                <w:sz w:val="16"/>
                <w:szCs w:val="16"/>
                <w:u w:val="double"/>
                <w:lang w:val="en-IE"/>
              </w:rPr>
              <w:t>-</w:t>
            </w:r>
            <w:r w:rsidRPr="0034168E">
              <w:rPr>
                <w:sz w:val="16"/>
                <w:szCs w:val="16"/>
                <w:u w:val="double"/>
                <w:lang w:val="en-IE"/>
              </w:rPr>
              <w:t>TTT</w:t>
            </w:r>
            <w:r w:rsidR="00A0050C" w:rsidRPr="0034168E">
              <w:rPr>
                <w:sz w:val="16"/>
                <w:szCs w:val="16"/>
                <w:u w:val="double"/>
                <w:lang w:val="en-IE"/>
              </w:rPr>
              <w:t>-</w:t>
            </w:r>
            <w:r w:rsidRPr="0034168E">
              <w:rPr>
                <w:sz w:val="16"/>
                <w:szCs w:val="16"/>
                <w:u w:val="double"/>
                <w:lang w:val="en-IE"/>
              </w:rPr>
              <w:t>GTG</w:t>
            </w:r>
            <w:r w:rsidR="00A0050C" w:rsidRPr="0034168E">
              <w:rPr>
                <w:sz w:val="16"/>
                <w:szCs w:val="16"/>
                <w:u w:val="double"/>
                <w:lang w:val="en-IE"/>
              </w:rPr>
              <w:t>-</w:t>
            </w:r>
            <w:r w:rsidRPr="0034168E">
              <w:rPr>
                <w:sz w:val="16"/>
                <w:szCs w:val="16"/>
                <w:u w:val="double"/>
                <w:lang w:val="en-IE"/>
              </w:rPr>
              <w:t>AAC</w:t>
            </w:r>
            <w:r w:rsidR="00A0050C" w:rsidRPr="0034168E">
              <w:rPr>
                <w:sz w:val="16"/>
                <w:szCs w:val="16"/>
                <w:u w:val="double"/>
                <w:lang w:val="en-IE"/>
              </w:rPr>
              <w:t>-</w:t>
            </w:r>
            <w:r w:rsidRPr="0034168E">
              <w:rPr>
                <w:sz w:val="16"/>
                <w:szCs w:val="16"/>
                <w:u w:val="double"/>
                <w:lang w:val="en-IE"/>
              </w:rPr>
              <w:t>ATT</w:t>
            </w:r>
            <w:r w:rsidR="00A0050C" w:rsidRPr="0034168E">
              <w:rPr>
                <w:sz w:val="16"/>
                <w:szCs w:val="16"/>
                <w:u w:val="double"/>
                <w:lang w:val="en-IE"/>
              </w:rPr>
              <w:t>-</w:t>
            </w:r>
            <w:r w:rsidRPr="0034168E">
              <w:rPr>
                <w:sz w:val="16"/>
                <w:szCs w:val="16"/>
                <w:u w:val="double"/>
                <w:lang w:val="en-IE"/>
              </w:rPr>
              <w:t>TTY</w:t>
            </w:r>
            <w:r w:rsidR="00A0050C" w:rsidRPr="0034168E">
              <w:rPr>
                <w:sz w:val="16"/>
                <w:szCs w:val="16"/>
                <w:u w:val="double"/>
                <w:lang w:val="en-IE"/>
              </w:rPr>
              <w:t>-</w:t>
            </w:r>
            <w:r w:rsidRPr="0034168E">
              <w:rPr>
                <w:sz w:val="16"/>
                <w:szCs w:val="16"/>
                <w:u w:val="double"/>
                <w:lang w:val="en-IE"/>
              </w:rPr>
              <w:t>ATG</w:t>
            </w:r>
            <w:r w:rsidR="00A0050C" w:rsidRPr="0034168E">
              <w:rPr>
                <w:sz w:val="16"/>
                <w:szCs w:val="16"/>
                <w:u w:val="double"/>
                <w:lang w:val="en-IE"/>
              </w:rPr>
              <w:t>-</w:t>
            </w:r>
            <w:r w:rsidRPr="0034168E">
              <w:rPr>
                <w:sz w:val="16"/>
                <w:szCs w:val="16"/>
                <w:u w:val="double"/>
                <w:lang w:val="en-IE"/>
              </w:rPr>
              <w:t>CA-3’</w:t>
            </w:r>
          </w:p>
        </w:tc>
        <w:tc>
          <w:tcPr>
            <w:tcW w:w="1559" w:type="dxa"/>
            <w:vMerge w:val="restart"/>
            <w:vAlign w:val="center"/>
          </w:tcPr>
          <w:p w14:paraId="37E5174A" w14:textId="7B520075" w:rsidR="00054967" w:rsidRPr="001B60D6" w:rsidRDefault="00054967" w:rsidP="000E3906">
            <w:pPr>
              <w:pStyle w:val="paraa"/>
              <w:spacing w:before="120" w:after="120"/>
              <w:ind w:left="0"/>
              <w:jc w:val="left"/>
              <w:rPr>
                <w:sz w:val="16"/>
                <w:szCs w:val="16"/>
                <w:u w:val="double"/>
                <w:lang w:val="es-SV"/>
              </w:rPr>
            </w:pPr>
            <w:r w:rsidRPr="001B60D6">
              <w:rPr>
                <w:sz w:val="16"/>
                <w:szCs w:val="16"/>
                <w:u w:val="double"/>
                <w:lang w:val="es-SV"/>
              </w:rPr>
              <w:t>718</w:t>
            </w:r>
            <w:r w:rsidRPr="001B60D6">
              <w:rPr>
                <w:rFonts w:hint="eastAsia"/>
                <w:sz w:val="16"/>
                <w:szCs w:val="16"/>
                <w:u w:val="double"/>
                <w:lang w:val="es-SV"/>
              </w:rPr>
              <w:t>–</w:t>
            </w:r>
            <w:r w:rsidRPr="001B60D6">
              <w:rPr>
                <w:sz w:val="16"/>
                <w:szCs w:val="16"/>
                <w:u w:val="double"/>
                <w:lang w:val="es-SV"/>
              </w:rPr>
              <w:t>740 (</w:t>
            </w:r>
            <w:proofErr w:type="spellStart"/>
            <w:r w:rsidR="00DA37BA" w:rsidRPr="001B60D6">
              <w:rPr>
                <w:sz w:val="16"/>
                <w:szCs w:val="16"/>
                <w:u w:val="double"/>
                <w:lang w:val="es-SV"/>
              </w:rPr>
              <w:t>a</w:t>
            </w:r>
            <w:r w:rsidRPr="001B60D6">
              <w:rPr>
                <w:sz w:val="16"/>
                <w:szCs w:val="16"/>
                <w:u w:val="double"/>
                <w:lang w:val="es-SV"/>
              </w:rPr>
              <w:t>MPV</w:t>
            </w:r>
            <w:proofErr w:type="spellEnd"/>
            <w:r w:rsidRPr="001B60D6">
              <w:rPr>
                <w:sz w:val="16"/>
                <w:szCs w:val="16"/>
                <w:u w:val="double"/>
                <w:lang w:val="es-SV"/>
              </w:rPr>
              <w:t xml:space="preserve"> A/B/D)</w:t>
            </w:r>
            <w:r w:rsidR="000E3906" w:rsidRPr="001B60D6">
              <w:rPr>
                <w:sz w:val="16"/>
                <w:szCs w:val="16"/>
                <w:u w:val="double"/>
                <w:lang w:val="es-SV"/>
              </w:rPr>
              <w:br/>
            </w:r>
            <w:r w:rsidR="000E3906" w:rsidRPr="001B60D6">
              <w:rPr>
                <w:sz w:val="16"/>
                <w:szCs w:val="16"/>
                <w:u w:val="double"/>
                <w:lang w:val="es-SV"/>
              </w:rPr>
              <w:br/>
            </w:r>
            <w:r w:rsidR="000E3906" w:rsidRPr="001B60D6">
              <w:rPr>
                <w:sz w:val="16"/>
                <w:szCs w:val="16"/>
                <w:u w:val="double"/>
                <w:lang w:val="es-SV"/>
              </w:rPr>
              <w:br/>
            </w:r>
            <w:r w:rsidRPr="001B60D6">
              <w:rPr>
                <w:sz w:val="16"/>
                <w:szCs w:val="16"/>
                <w:u w:val="double"/>
                <w:lang w:val="es-SV"/>
              </w:rPr>
              <w:t>727</w:t>
            </w:r>
            <w:r w:rsidRPr="001B60D6">
              <w:rPr>
                <w:rFonts w:hint="eastAsia"/>
                <w:sz w:val="16"/>
                <w:szCs w:val="16"/>
                <w:u w:val="double"/>
                <w:lang w:val="es-SV"/>
              </w:rPr>
              <w:t>–</w:t>
            </w:r>
            <w:r w:rsidRPr="001B60D6">
              <w:rPr>
                <w:sz w:val="16"/>
                <w:szCs w:val="16"/>
                <w:u w:val="double"/>
                <w:lang w:val="es-SV"/>
              </w:rPr>
              <w:t>749 (</w:t>
            </w:r>
            <w:proofErr w:type="spellStart"/>
            <w:r w:rsidR="00DA37BA" w:rsidRPr="001B60D6">
              <w:rPr>
                <w:sz w:val="16"/>
                <w:szCs w:val="16"/>
                <w:u w:val="double"/>
                <w:lang w:val="es-SV"/>
              </w:rPr>
              <w:t>a</w:t>
            </w:r>
            <w:r w:rsidRPr="001B60D6">
              <w:rPr>
                <w:sz w:val="16"/>
                <w:szCs w:val="16"/>
                <w:u w:val="double"/>
                <w:lang w:val="es-SV"/>
              </w:rPr>
              <w:t>MPV</w:t>
            </w:r>
            <w:proofErr w:type="spellEnd"/>
            <w:r w:rsidRPr="001B60D6">
              <w:rPr>
                <w:sz w:val="16"/>
                <w:szCs w:val="16"/>
                <w:u w:val="double"/>
                <w:lang w:val="es-SV"/>
              </w:rPr>
              <w:t xml:space="preserve"> C)</w:t>
            </w:r>
          </w:p>
        </w:tc>
        <w:tc>
          <w:tcPr>
            <w:tcW w:w="992" w:type="dxa"/>
            <w:vMerge w:val="restart"/>
            <w:tcBorders>
              <w:tr2bl w:val="single" w:sz="4" w:space="0" w:color="auto"/>
            </w:tcBorders>
          </w:tcPr>
          <w:p w14:paraId="6ABB4606" w14:textId="77777777" w:rsidR="00054967" w:rsidRPr="001B60D6" w:rsidRDefault="00054967">
            <w:pPr>
              <w:pStyle w:val="paraa"/>
              <w:spacing w:before="120" w:after="120"/>
              <w:ind w:left="0"/>
              <w:jc w:val="center"/>
              <w:rPr>
                <w:sz w:val="16"/>
                <w:szCs w:val="16"/>
                <w:lang w:val="es-SV"/>
              </w:rPr>
            </w:pPr>
          </w:p>
        </w:tc>
        <w:tc>
          <w:tcPr>
            <w:tcW w:w="992" w:type="dxa"/>
            <w:vMerge w:val="restart"/>
            <w:vAlign w:val="center"/>
          </w:tcPr>
          <w:p w14:paraId="3A853C34" w14:textId="3DCED30D" w:rsidR="00054967" w:rsidRPr="0034168E" w:rsidRDefault="00054967" w:rsidP="00C81721">
            <w:pPr>
              <w:pStyle w:val="paraa"/>
              <w:spacing w:before="120" w:after="120"/>
              <w:ind w:left="0"/>
              <w:jc w:val="left"/>
              <w:rPr>
                <w:sz w:val="16"/>
                <w:szCs w:val="16"/>
                <w:u w:val="double"/>
              </w:rPr>
            </w:pPr>
            <w:r w:rsidRPr="0034168E">
              <w:rPr>
                <w:sz w:val="16"/>
                <w:szCs w:val="16"/>
                <w:u w:val="double"/>
              </w:rPr>
              <w:t>SYBR green real time RT-PCR</w:t>
            </w:r>
          </w:p>
        </w:tc>
      </w:tr>
      <w:tr w:rsidR="00054967" w:rsidRPr="002E0DF3" w14:paraId="63D5DC09" w14:textId="2463638B" w:rsidTr="00B92BF3">
        <w:tc>
          <w:tcPr>
            <w:tcW w:w="880" w:type="dxa"/>
            <w:vMerge/>
          </w:tcPr>
          <w:p w14:paraId="63FB4643" w14:textId="77777777" w:rsidR="00054967" w:rsidRPr="0034168E" w:rsidRDefault="00054967">
            <w:pPr>
              <w:pStyle w:val="paraa"/>
              <w:spacing w:before="120" w:after="120"/>
              <w:ind w:left="0"/>
              <w:jc w:val="center"/>
              <w:rPr>
                <w:u w:val="double"/>
                <w:lang w:val="en-US"/>
              </w:rPr>
            </w:pPr>
          </w:p>
        </w:tc>
        <w:tc>
          <w:tcPr>
            <w:tcW w:w="850" w:type="dxa"/>
            <w:vAlign w:val="center"/>
          </w:tcPr>
          <w:p w14:paraId="39C351BB" w14:textId="3CEA0048" w:rsidR="00054967" w:rsidRPr="000E3906" w:rsidRDefault="00054967" w:rsidP="00C81721">
            <w:pPr>
              <w:pStyle w:val="paraa"/>
              <w:spacing w:before="120" w:after="120"/>
              <w:ind w:left="0"/>
              <w:jc w:val="center"/>
              <w:rPr>
                <w:sz w:val="16"/>
                <w:szCs w:val="16"/>
                <w:u w:val="double"/>
              </w:rPr>
            </w:pPr>
            <w:proofErr w:type="spellStart"/>
            <w:r w:rsidRPr="000E3906">
              <w:rPr>
                <w:sz w:val="16"/>
                <w:szCs w:val="16"/>
                <w:u w:val="double"/>
              </w:rPr>
              <w:t>PanMPV</w:t>
            </w:r>
            <w:proofErr w:type="spellEnd"/>
            <w:r w:rsidRPr="000E3906">
              <w:rPr>
                <w:sz w:val="16"/>
                <w:szCs w:val="16"/>
                <w:u w:val="double"/>
              </w:rPr>
              <w:t>/N1AMPVDfwdA</w:t>
            </w:r>
          </w:p>
        </w:tc>
        <w:tc>
          <w:tcPr>
            <w:tcW w:w="3686" w:type="dxa"/>
            <w:vAlign w:val="center"/>
          </w:tcPr>
          <w:p w14:paraId="15234129" w14:textId="3A6468A1" w:rsidR="00054967" w:rsidRPr="000E3906" w:rsidRDefault="00054967" w:rsidP="00C81721">
            <w:pPr>
              <w:pStyle w:val="paraa"/>
              <w:spacing w:before="120" w:after="120"/>
              <w:ind w:left="0"/>
              <w:jc w:val="left"/>
              <w:rPr>
                <w:sz w:val="16"/>
                <w:szCs w:val="16"/>
                <w:u w:val="double"/>
                <w:lang w:val="en-US"/>
              </w:rPr>
            </w:pPr>
            <w:r w:rsidRPr="000E3906">
              <w:rPr>
                <w:sz w:val="16"/>
                <w:szCs w:val="16"/>
                <w:u w:val="double"/>
              </w:rPr>
              <w:t>5’-CTG</w:t>
            </w:r>
            <w:r w:rsidR="00B92BF3" w:rsidRPr="000E3906">
              <w:rPr>
                <w:sz w:val="16"/>
                <w:szCs w:val="16"/>
                <w:u w:val="double"/>
              </w:rPr>
              <w:t>-</w:t>
            </w:r>
            <w:r w:rsidRPr="000E3906">
              <w:rPr>
                <w:sz w:val="16"/>
                <w:szCs w:val="16"/>
                <w:u w:val="double"/>
              </w:rPr>
              <w:t>GTT</w:t>
            </w:r>
            <w:r w:rsidR="00B92BF3" w:rsidRPr="000E3906">
              <w:rPr>
                <w:sz w:val="16"/>
                <w:szCs w:val="16"/>
                <w:u w:val="double"/>
              </w:rPr>
              <w:t>-</w:t>
            </w:r>
            <w:r w:rsidRPr="000E3906">
              <w:rPr>
                <w:sz w:val="16"/>
                <w:szCs w:val="16"/>
                <w:u w:val="double"/>
              </w:rPr>
              <w:t>GTG</w:t>
            </w:r>
            <w:r w:rsidR="00B92BF3" w:rsidRPr="000E3906">
              <w:rPr>
                <w:sz w:val="16"/>
                <w:szCs w:val="16"/>
                <w:u w:val="double"/>
              </w:rPr>
              <w:t>-</w:t>
            </w:r>
            <w:r w:rsidRPr="000E3906">
              <w:rPr>
                <w:sz w:val="16"/>
                <w:szCs w:val="16"/>
                <w:u w:val="double"/>
              </w:rPr>
              <w:t>AAC</w:t>
            </w:r>
            <w:r w:rsidR="00B92BF3" w:rsidRPr="000E3906">
              <w:rPr>
                <w:sz w:val="16"/>
                <w:szCs w:val="16"/>
                <w:u w:val="double"/>
              </w:rPr>
              <w:t>-</w:t>
            </w:r>
            <w:r w:rsidRPr="000E3906">
              <w:rPr>
                <w:sz w:val="16"/>
                <w:szCs w:val="16"/>
                <w:u w:val="double"/>
              </w:rPr>
              <w:t>ATA</w:t>
            </w:r>
            <w:r w:rsidR="00B92BF3" w:rsidRPr="000E3906">
              <w:rPr>
                <w:sz w:val="16"/>
                <w:szCs w:val="16"/>
                <w:u w:val="double"/>
              </w:rPr>
              <w:t>-</w:t>
            </w:r>
            <w:r w:rsidRPr="000E3906">
              <w:rPr>
                <w:sz w:val="16"/>
                <w:szCs w:val="16"/>
                <w:u w:val="double"/>
              </w:rPr>
              <w:t>TTC</w:t>
            </w:r>
            <w:r w:rsidR="00B92BF3" w:rsidRPr="000E3906">
              <w:rPr>
                <w:sz w:val="16"/>
                <w:szCs w:val="16"/>
                <w:u w:val="double"/>
              </w:rPr>
              <w:t>-</w:t>
            </w:r>
            <w:r w:rsidRPr="000E3906">
              <w:rPr>
                <w:sz w:val="16"/>
                <w:szCs w:val="16"/>
                <w:u w:val="double"/>
              </w:rPr>
              <w:t>ATG</w:t>
            </w:r>
            <w:r w:rsidR="00B92BF3" w:rsidRPr="000E3906">
              <w:rPr>
                <w:sz w:val="16"/>
                <w:szCs w:val="16"/>
                <w:u w:val="double"/>
              </w:rPr>
              <w:t>-</w:t>
            </w:r>
            <w:r w:rsidRPr="000E3906">
              <w:rPr>
                <w:sz w:val="16"/>
                <w:szCs w:val="16"/>
                <w:u w:val="double"/>
              </w:rPr>
              <w:t>CA-3’</w:t>
            </w:r>
          </w:p>
        </w:tc>
        <w:tc>
          <w:tcPr>
            <w:tcW w:w="1559" w:type="dxa"/>
            <w:vMerge/>
          </w:tcPr>
          <w:p w14:paraId="04878DA7" w14:textId="77777777" w:rsidR="00054967" w:rsidRPr="0034168E" w:rsidRDefault="00054967">
            <w:pPr>
              <w:pStyle w:val="paraa"/>
              <w:spacing w:before="120" w:after="120"/>
              <w:ind w:left="0"/>
              <w:jc w:val="center"/>
              <w:rPr>
                <w:u w:val="double"/>
              </w:rPr>
            </w:pPr>
          </w:p>
        </w:tc>
        <w:tc>
          <w:tcPr>
            <w:tcW w:w="992" w:type="dxa"/>
            <w:vMerge/>
            <w:tcBorders>
              <w:bottom w:val="single" w:sz="4" w:space="0" w:color="auto"/>
              <w:tr2bl w:val="single" w:sz="4" w:space="0" w:color="auto"/>
            </w:tcBorders>
          </w:tcPr>
          <w:p w14:paraId="5F51E548" w14:textId="77777777" w:rsidR="00054967" w:rsidRPr="002E0DF3" w:rsidRDefault="00054967">
            <w:pPr>
              <w:pStyle w:val="paraa"/>
              <w:spacing w:before="120" w:after="120"/>
              <w:ind w:left="0"/>
              <w:jc w:val="center"/>
            </w:pPr>
          </w:p>
        </w:tc>
        <w:tc>
          <w:tcPr>
            <w:tcW w:w="992" w:type="dxa"/>
            <w:vMerge/>
          </w:tcPr>
          <w:p w14:paraId="13EE9E5F" w14:textId="77777777" w:rsidR="00054967" w:rsidRPr="002E0DF3" w:rsidRDefault="00054967">
            <w:pPr>
              <w:pStyle w:val="paraa"/>
              <w:spacing w:before="120" w:after="120"/>
              <w:ind w:left="0"/>
              <w:jc w:val="center"/>
            </w:pPr>
          </w:p>
        </w:tc>
      </w:tr>
      <w:tr w:rsidR="00054967" w:rsidRPr="001B60D6" w14:paraId="32574555" w14:textId="443E51F1" w:rsidTr="00B92BF3">
        <w:tc>
          <w:tcPr>
            <w:tcW w:w="880" w:type="dxa"/>
            <w:vMerge/>
          </w:tcPr>
          <w:p w14:paraId="43B44201" w14:textId="77777777" w:rsidR="00054967" w:rsidRPr="0034168E" w:rsidRDefault="00054967">
            <w:pPr>
              <w:pStyle w:val="paraa"/>
              <w:spacing w:before="120" w:after="120"/>
              <w:ind w:left="0"/>
              <w:jc w:val="center"/>
              <w:rPr>
                <w:u w:val="double"/>
                <w:lang w:val="en-US"/>
              </w:rPr>
            </w:pPr>
          </w:p>
        </w:tc>
        <w:tc>
          <w:tcPr>
            <w:tcW w:w="850" w:type="dxa"/>
            <w:vAlign w:val="center"/>
          </w:tcPr>
          <w:p w14:paraId="7554E85E" w14:textId="2159FB66" w:rsidR="00054967" w:rsidRPr="000E3906" w:rsidRDefault="00054967" w:rsidP="00C81721">
            <w:pPr>
              <w:pStyle w:val="paraa"/>
              <w:spacing w:before="120" w:after="120"/>
              <w:ind w:left="0"/>
              <w:jc w:val="left"/>
              <w:rPr>
                <w:sz w:val="16"/>
                <w:szCs w:val="16"/>
                <w:u w:val="double"/>
                <w:lang w:val="en-US"/>
              </w:rPr>
            </w:pPr>
            <w:proofErr w:type="spellStart"/>
            <w:r w:rsidRPr="000E3906">
              <w:rPr>
                <w:sz w:val="16"/>
                <w:szCs w:val="16"/>
                <w:u w:val="double"/>
              </w:rPr>
              <w:t>PanMPV</w:t>
            </w:r>
            <w:proofErr w:type="spellEnd"/>
            <w:r w:rsidRPr="000E3906">
              <w:rPr>
                <w:sz w:val="16"/>
                <w:szCs w:val="16"/>
                <w:u w:val="double"/>
              </w:rPr>
              <w:t>/N1RevB</w:t>
            </w:r>
          </w:p>
        </w:tc>
        <w:tc>
          <w:tcPr>
            <w:tcW w:w="3686" w:type="dxa"/>
            <w:vAlign w:val="center"/>
          </w:tcPr>
          <w:p w14:paraId="55634D57" w14:textId="12125172" w:rsidR="00054967" w:rsidRPr="000E3906" w:rsidRDefault="00054967" w:rsidP="00C81721">
            <w:pPr>
              <w:pStyle w:val="paraa"/>
              <w:spacing w:before="120" w:after="120"/>
              <w:ind w:left="0"/>
              <w:jc w:val="left"/>
              <w:rPr>
                <w:sz w:val="16"/>
                <w:szCs w:val="16"/>
                <w:u w:val="double"/>
                <w:lang w:val="en-US"/>
              </w:rPr>
            </w:pPr>
            <w:r w:rsidRPr="000E3906">
              <w:rPr>
                <w:sz w:val="16"/>
                <w:szCs w:val="16"/>
                <w:u w:val="double"/>
                <w:lang w:val="en-IE"/>
              </w:rPr>
              <w:t>5’-ACA</w:t>
            </w:r>
            <w:r w:rsidR="00B92BF3" w:rsidRPr="000E3906">
              <w:rPr>
                <w:sz w:val="16"/>
                <w:szCs w:val="16"/>
                <w:u w:val="double"/>
                <w:lang w:val="en-IE"/>
              </w:rPr>
              <w:t>-</w:t>
            </w:r>
            <w:r w:rsidRPr="000E3906">
              <w:rPr>
                <w:sz w:val="16"/>
                <w:szCs w:val="16"/>
                <w:u w:val="double"/>
                <w:lang w:val="en-IE"/>
              </w:rPr>
              <w:t>GAG</w:t>
            </w:r>
            <w:r w:rsidR="00B92BF3" w:rsidRPr="000E3906">
              <w:rPr>
                <w:sz w:val="16"/>
                <w:szCs w:val="16"/>
                <w:u w:val="double"/>
                <w:lang w:val="en-IE"/>
              </w:rPr>
              <w:t>-</w:t>
            </w:r>
            <w:r w:rsidRPr="000E3906">
              <w:rPr>
                <w:sz w:val="16"/>
                <w:szCs w:val="16"/>
                <w:u w:val="double"/>
                <w:lang w:val="en-IE"/>
              </w:rPr>
              <w:t>ACA</w:t>
            </w:r>
            <w:r w:rsidR="00B92BF3" w:rsidRPr="000E3906">
              <w:rPr>
                <w:sz w:val="16"/>
                <w:szCs w:val="16"/>
                <w:u w:val="double"/>
                <w:lang w:val="en-IE"/>
              </w:rPr>
              <w:t>-</w:t>
            </w:r>
            <w:r w:rsidRPr="000E3906">
              <w:rPr>
                <w:sz w:val="16"/>
                <w:szCs w:val="16"/>
                <w:u w:val="double"/>
                <w:lang w:val="en-IE"/>
              </w:rPr>
              <w:t>TGG</w:t>
            </w:r>
            <w:r w:rsidR="00B92BF3" w:rsidRPr="000E3906">
              <w:rPr>
                <w:sz w:val="16"/>
                <w:szCs w:val="16"/>
                <w:u w:val="double"/>
                <w:lang w:val="en-IE"/>
              </w:rPr>
              <w:t>-</w:t>
            </w:r>
            <w:r w:rsidRPr="000E3906">
              <w:rPr>
                <w:sz w:val="16"/>
                <w:szCs w:val="16"/>
                <w:u w:val="double"/>
                <w:lang w:val="en-IE"/>
              </w:rPr>
              <w:t>CCT</w:t>
            </w:r>
            <w:r w:rsidR="00B92BF3" w:rsidRPr="000E3906">
              <w:rPr>
                <w:sz w:val="16"/>
                <w:szCs w:val="16"/>
                <w:u w:val="double"/>
                <w:lang w:val="en-IE"/>
              </w:rPr>
              <w:t>-</w:t>
            </w:r>
            <w:r w:rsidRPr="000E3906">
              <w:rPr>
                <w:sz w:val="16"/>
                <w:szCs w:val="16"/>
                <w:u w:val="double"/>
                <w:lang w:val="en-IE"/>
              </w:rPr>
              <w:t>AAC</w:t>
            </w:r>
            <w:r w:rsidR="00B92BF3" w:rsidRPr="000E3906">
              <w:rPr>
                <w:sz w:val="16"/>
                <w:szCs w:val="16"/>
                <w:u w:val="double"/>
                <w:lang w:val="en-IE"/>
              </w:rPr>
              <w:t>-</w:t>
            </w:r>
            <w:r w:rsidRPr="000E3906">
              <w:rPr>
                <w:sz w:val="16"/>
                <w:szCs w:val="16"/>
                <w:u w:val="double"/>
                <w:lang w:val="en-IE"/>
              </w:rPr>
              <w:t>ATD</w:t>
            </w:r>
            <w:r w:rsidR="00B92BF3" w:rsidRPr="000E3906">
              <w:rPr>
                <w:sz w:val="16"/>
                <w:szCs w:val="16"/>
                <w:u w:val="double"/>
                <w:lang w:val="en-IE"/>
              </w:rPr>
              <w:t>-</w:t>
            </w:r>
            <w:r w:rsidRPr="000E3906">
              <w:rPr>
                <w:sz w:val="16"/>
                <w:szCs w:val="16"/>
                <w:u w:val="double"/>
                <w:lang w:val="en-IE"/>
              </w:rPr>
              <w:t>AT-3’</w:t>
            </w:r>
          </w:p>
        </w:tc>
        <w:tc>
          <w:tcPr>
            <w:tcW w:w="1559" w:type="dxa"/>
            <w:vAlign w:val="center"/>
          </w:tcPr>
          <w:p w14:paraId="5D9AF1B9" w14:textId="5F9E099D" w:rsidR="00054967" w:rsidRPr="001B60D6" w:rsidRDefault="00054967" w:rsidP="00C81721">
            <w:pPr>
              <w:pStyle w:val="paraa"/>
              <w:spacing w:before="120" w:after="120"/>
              <w:ind w:left="0"/>
              <w:jc w:val="left"/>
              <w:rPr>
                <w:sz w:val="16"/>
                <w:szCs w:val="16"/>
                <w:u w:val="double"/>
                <w:lang w:val="es-SV"/>
              </w:rPr>
            </w:pPr>
            <w:r w:rsidRPr="001B60D6">
              <w:rPr>
                <w:sz w:val="16"/>
                <w:szCs w:val="16"/>
                <w:u w:val="double"/>
                <w:lang w:val="es-SV"/>
              </w:rPr>
              <w:t>824</w:t>
            </w:r>
            <w:r w:rsidRPr="001B60D6">
              <w:rPr>
                <w:rFonts w:hint="eastAsia"/>
                <w:sz w:val="16"/>
                <w:szCs w:val="16"/>
                <w:u w:val="double"/>
                <w:lang w:val="es-SV"/>
              </w:rPr>
              <w:t>–</w:t>
            </w:r>
            <w:r w:rsidRPr="001B60D6">
              <w:rPr>
                <w:sz w:val="16"/>
                <w:szCs w:val="16"/>
                <w:u w:val="double"/>
                <w:lang w:val="es-SV"/>
              </w:rPr>
              <w:t>802 (</w:t>
            </w:r>
            <w:proofErr w:type="spellStart"/>
            <w:r w:rsidR="00DA37BA" w:rsidRPr="001B60D6">
              <w:rPr>
                <w:sz w:val="16"/>
                <w:szCs w:val="16"/>
                <w:u w:val="double"/>
                <w:lang w:val="es-SV"/>
              </w:rPr>
              <w:t>a</w:t>
            </w:r>
            <w:r w:rsidRPr="001B60D6">
              <w:rPr>
                <w:sz w:val="16"/>
                <w:szCs w:val="16"/>
                <w:u w:val="double"/>
                <w:lang w:val="es-SV"/>
              </w:rPr>
              <w:t>MPV</w:t>
            </w:r>
            <w:proofErr w:type="spellEnd"/>
            <w:r w:rsidRPr="001B60D6">
              <w:rPr>
                <w:sz w:val="16"/>
                <w:szCs w:val="16"/>
                <w:u w:val="double"/>
                <w:lang w:val="es-SV"/>
              </w:rPr>
              <w:t xml:space="preserve"> A/B/D) 833</w:t>
            </w:r>
            <w:r w:rsidRPr="001B60D6">
              <w:rPr>
                <w:rFonts w:hint="eastAsia"/>
                <w:sz w:val="16"/>
                <w:szCs w:val="16"/>
                <w:u w:val="double"/>
                <w:lang w:val="es-SV"/>
              </w:rPr>
              <w:t>–</w:t>
            </w:r>
            <w:r w:rsidRPr="001B60D6">
              <w:rPr>
                <w:sz w:val="16"/>
                <w:szCs w:val="16"/>
                <w:u w:val="double"/>
                <w:lang w:val="es-SV"/>
              </w:rPr>
              <w:t>811 (</w:t>
            </w:r>
            <w:proofErr w:type="spellStart"/>
            <w:r w:rsidR="00DA37BA" w:rsidRPr="001B60D6">
              <w:rPr>
                <w:sz w:val="16"/>
                <w:szCs w:val="16"/>
                <w:u w:val="double"/>
                <w:lang w:val="es-SV"/>
              </w:rPr>
              <w:t>a</w:t>
            </w:r>
            <w:r w:rsidRPr="001B60D6">
              <w:rPr>
                <w:sz w:val="16"/>
                <w:szCs w:val="16"/>
                <w:u w:val="double"/>
                <w:lang w:val="es-SV"/>
              </w:rPr>
              <w:t>MPV</w:t>
            </w:r>
            <w:proofErr w:type="spellEnd"/>
            <w:r w:rsidRPr="001B60D6">
              <w:rPr>
                <w:sz w:val="16"/>
                <w:szCs w:val="16"/>
                <w:u w:val="double"/>
                <w:lang w:val="es-SV"/>
              </w:rPr>
              <w:t xml:space="preserve"> C)</w:t>
            </w:r>
          </w:p>
        </w:tc>
        <w:tc>
          <w:tcPr>
            <w:tcW w:w="992" w:type="dxa"/>
            <w:tcBorders>
              <w:tr2bl w:val="single" w:sz="4" w:space="0" w:color="auto"/>
            </w:tcBorders>
          </w:tcPr>
          <w:p w14:paraId="1C382E5C" w14:textId="77777777" w:rsidR="00054967" w:rsidRPr="001B60D6" w:rsidRDefault="00054967">
            <w:pPr>
              <w:pStyle w:val="paraa"/>
              <w:spacing w:before="120" w:after="120"/>
              <w:ind w:left="0"/>
              <w:jc w:val="center"/>
              <w:rPr>
                <w:lang w:val="es-SV"/>
              </w:rPr>
            </w:pPr>
          </w:p>
        </w:tc>
        <w:tc>
          <w:tcPr>
            <w:tcW w:w="992" w:type="dxa"/>
            <w:vMerge/>
          </w:tcPr>
          <w:p w14:paraId="25DA6391" w14:textId="77777777" w:rsidR="00054967" w:rsidRPr="001B60D6" w:rsidRDefault="00054967">
            <w:pPr>
              <w:pStyle w:val="paraa"/>
              <w:spacing w:before="120" w:after="120"/>
              <w:ind w:left="0"/>
              <w:jc w:val="center"/>
              <w:rPr>
                <w:lang w:val="es-SV"/>
              </w:rPr>
            </w:pPr>
          </w:p>
        </w:tc>
      </w:tr>
    </w:tbl>
    <w:p w14:paraId="218438B6" w14:textId="11E83561" w:rsidR="00E811AD" w:rsidRPr="00656379" w:rsidRDefault="00E811AD" w:rsidP="00E811AD">
      <w:pPr>
        <w:pStyle w:val="111"/>
        <w:spacing w:before="240"/>
      </w:pPr>
      <w:r>
        <w:t>1.3.1.</w:t>
      </w:r>
      <w:r>
        <w:tab/>
      </w:r>
      <w:r w:rsidRPr="00656379">
        <w:t>Example protocol</w:t>
      </w:r>
      <w:r w:rsidR="009D076F" w:rsidRPr="00656379">
        <w:t xml:space="preserve"> </w:t>
      </w:r>
      <w:r w:rsidR="009D076F" w:rsidRPr="001A6B1D">
        <w:rPr>
          <w:u w:val="double"/>
        </w:rPr>
        <w:t>(end</w:t>
      </w:r>
      <w:r w:rsidR="001A6B1D" w:rsidRPr="001A6B1D">
        <w:rPr>
          <w:u w:val="double"/>
        </w:rPr>
        <w:t>-</w:t>
      </w:r>
      <w:r w:rsidR="009D076F" w:rsidRPr="001A6B1D">
        <w:rPr>
          <w:u w:val="double"/>
        </w:rPr>
        <w:t>point RT-PCR)</w:t>
      </w:r>
    </w:p>
    <w:p w14:paraId="688064FF" w14:textId="3F4FB3DC" w:rsidR="00FB52DE" w:rsidRPr="00E811AD" w:rsidRDefault="00FB52DE" w:rsidP="00E811AD">
      <w:pPr>
        <w:pStyle w:val="i"/>
      </w:pPr>
      <w:r w:rsidRPr="00E811AD">
        <w:t>i)</w:t>
      </w:r>
      <w:r w:rsidRPr="00E811AD">
        <w:tab/>
        <w:t>Synthesis of the cDNA can be carried out in 20 µl volume with the Nc RT primer (or any convenient primer</w:t>
      </w:r>
      <w:r w:rsidR="00B64FB8" w:rsidRPr="00E811AD">
        <w:t>,</w:t>
      </w:r>
      <w:r w:rsidRPr="00E811AD">
        <w:t xml:space="preserve"> such as an </w:t>
      </w:r>
      <w:proofErr w:type="spellStart"/>
      <w:r w:rsidRPr="00E811AD">
        <w:t>oligodT</w:t>
      </w:r>
      <w:proofErr w:type="spellEnd"/>
      <w:r w:rsidRPr="00E811AD">
        <w:t xml:space="preserve"> or the reverse primer of the primer pair that will be used in</w:t>
      </w:r>
      <w:r w:rsidR="00B64FB8" w:rsidRPr="00E811AD">
        <w:t xml:space="preserve"> the</w:t>
      </w:r>
      <w:r w:rsidRPr="00E811AD">
        <w:t xml:space="preserve"> PCR) and </w:t>
      </w:r>
      <w:proofErr w:type="spellStart"/>
      <w:r w:rsidRPr="00162C31">
        <w:rPr>
          <w:strike/>
        </w:rPr>
        <w:t>SuperScript</w:t>
      </w:r>
      <w:proofErr w:type="spellEnd"/>
      <w:r w:rsidRPr="00162C31">
        <w:rPr>
          <w:strike/>
        </w:rPr>
        <w:t xml:space="preserve"> II® </w:t>
      </w:r>
      <w:proofErr w:type="spellStart"/>
      <w:r w:rsidRPr="00162C31">
        <w:rPr>
          <w:strike/>
        </w:rPr>
        <w:t>Rnase</w:t>
      </w:r>
      <w:proofErr w:type="spellEnd"/>
      <w:r w:rsidRPr="00162C31">
        <w:rPr>
          <w:strike/>
        </w:rPr>
        <w:t xml:space="preserve"> H-RT (Invitrogen, Carlsbad, CA)</w:t>
      </w:r>
      <w:r w:rsidR="00162C31">
        <w:rPr>
          <w:strike/>
        </w:rPr>
        <w:t xml:space="preserve"> </w:t>
      </w:r>
      <w:r w:rsidR="00B24F1D" w:rsidRPr="00162C31">
        <w:rPr>
          <w:u w:val="double"/>
        </w:rPr>
        <w:t>a suitable reverse transcriptase</w:t>
      </w:r>
      <w:r w:rsidRPr="00E811AD">
        <w:t xml:space="preserve"> enzyme. Heat 1 µl RT primer (2 </w:t>
      </w:r>
      <w:proofErr w:type="spellStart"/>
      <w:r w:rsidRPr="00E811AD">
        <w:t>pmol</w:t>
      </w:r>
      <w:proofErr w:type="spellEnd"/>
      <w:r w:rsidRPr="00E811AD">
        <w:t>), 1 µl dNTP mix (</w:t>
      </w:r>
      <w:smartTag w:uri="urn:schemas-microsoft-com:office:smarttags" w:element="metricconverter">
        <w:smartTagPr>
          <w:attr w:name="ProductID" w:val="10 mM"/>
        </w:smartTagPr>
        <w:r w:rsidRPr="00E811AD">
          <w:t>10 mM</w:t>
        </w:r>
      </w:smartTag>
      <w:r w:rsidRPr="00E811AD">
        <w:t xml:space="preserve"> each), with extracted RNA and sterile distilled water (QS to 20 µl) to </w:t>
      </w:r>
      <w:smartTag w:uri="urn:schemas-microsoft-com:office:smarttags" w:element="metricconverter">
        <w:smartTagPr>
          <w:attr w:name="ProductID" w:val="65ﾰC"/>
        </w:smartTagPr>
        <w:r w:rsidRPr="00E811AD">
          <w:t>65°C</w:t>
        </w:r>
      </w:smartTag>
      <w:r w:rsidR="00F67717" w:rsidRPr="00E811AD">
        <w:t xml:space="preserve"> for 5 </w:t>
      </w:r>
      <w:r w:rsidRPr="00E811AD">
        <w:t xml:space="preserve">minutes. </w:t>
      </w:r>
    </w:p>
    <w:p w14:paraId="20AF8466" w14:textId="77777777" w:rsidR="00FB52DE" w:rsidRPr="002E0DF3" w:rsidRDefault="00FB52DE">
      <w:pPr>
        <w:pStyle w:val="i"/>
      </w:pPr>
      <w:r w:rsidRPr="002E0DF3">
        <w:t>ii)</w:t>
      </w:r>
      <w:r w:rsidRPr="002E0DF3">
        <w:tab/>
        <w:t>Chill quickly and pulse centrifuge.</w:t>
      </w:r>
    </w:p>
    <w:p w14:paraId="0876F6E7" w14:textId="70877E32" w:rsidR="00FB52DE" w:rsidRPr="002E0DF3" w:rsidRDefault="00FB52DE">
      <w:pPr>
        <w:pStyle w:val="i"/>
      </w:pPr>
      <w:r w:rsidRPr="002E0DF3">
        <w:t>iii)</w:t>
      </w:r>
      <w:r w:rsidRPr="002E0DF3">
        <w:tab/>
        <w:t xml:space="preserve">Add 4 µl 5× First-Strand buffer, 2 µl </w:t>
      </w:r>
      <w:smartTag w:uri="urn:schemas-microsoft-com:office:smarttags" w:element="metricconverter">
        <w:smartTagPr>
          <w:attr w:name="ProductID" w:val="0.1 M"/>
        </w:smartTagPr>
        <w:r w:rsidRPr="002E0DF3">
          <w:t>0.1 M</w:t>
        </w:r>
      </w:smartTag>
      <w:r w:rsidRPr="002E0DF3">
        <w:t xml:space="preserve"> DTT, and 1 µl </w:t>
      </w:r>
      <w:r w:rsidR="00FF079E" w:rsidRPr="00162C31">
        <w:rPr>
          <w:u w:val="double"/>
        </w:rPr>
        <w:t>of a suitable</w:t>
      </w:r>
      <w:r w:rsidR="00FF079E">
        <w:t xml:space="preserve"> </w:t>
      </w:r>
      <w:proofErr w:type="spellStart"/>
      <w:r w:rsidRPr="002E0DF3">
        <w:t>RNase</w:t>
      </w:r>
      <w:r w:rsidRPr="00162C31">
        <w:rPr>
          <w:strike/>
        </w:rPr>
        <w:t>OUT</w:t>
      </w:r>
      <w:proofErr w:type="spellEnd"/>
      <w:r w:rsidRPr="00162C31">
        <w:rPr>
          <w:strike/>
        </w:rPr>
        <w:t>® (Invitrogen, Carlsbad, CA)</w:t>
      </w:r>
      <w:r w:rsidR="00162C31">
        <w:t>.</w:t>
      </w:r>
    </w:p>
    <w:p w14:paraId="56EAB816" w14:textId="4A69C9AA" w:rsidR="00FB52DE" w:rsidRPr="002E0DF3" w:rsidRDefault="00FB52DE">
      <w:pPr>
        <w:pStyle w:val="i"/>
      </w:pPr>
      <w:r w:rsidRPr="002E0DF3">
        <w:t>iv)</w:t>
      </w:r>
      <w:r w:rsidRPr="002E0DF3">
        <w:tab/>
        <w:t xml:space="preserve">Heat contents to </w:t>
      </w:r>
      <w:smartTag w:uri="urn:schemas-microsoft-com:office:smarttags" w:element="metricconverter">
        <w:smartTagPr>
          <w:attr w:name="ProductID" w:val="42ﾰC"/>
        </w:smartTagPr>
        <w:r w:rsidRPr="002E0DF3">
          <w:t>42°C</w:t>
        </w:r>
      </w:smartTag>
      <w:r w:rsidRPr="002E0DF3">
        <w:t xml:space="preserve"> for 2 minutes and add 1 µl (200 units) of </w:t>
      </w:r>
      <w:proofErr w:type="spellStart"/>
      <w:r w:rsidRPr="00162C31">
        <w:rPr>
          <w:strike/>
        </w:rPr>
        <w:t>SuperScript</w:t>
      </w:r>
      <w:proofErr w:type="spellEnd"/>
      <w:r w:rsidRPr="00162C31">
        <w:rPr>
          <w:strike/>
        </w:rPr>
        <w:t xml:space="preserve"> II®</w:t>
      </w:r>
      <w:r w:rsidR="00162C31" w:rsidRPr="00162C31">
        <w:rPr>
          <w:strike/>
        </w:rPr>
        <w:t xml:space="preserve"> </w:t>
      </w:r>
      <w:r w:rsidR="00D45D6A" w:rsidRPr="00162C31">
        <w:rPr>
          <w:u w:val="double"/>
        </w:rPr>
        <w:t>reverse transcriptase enzyme</w:t>
      </w:r>
      <w:r w:rsidRPr="002E0DF3">
        <w:t>, mix gently.</w:t>
      </w:r>
    </w:p>
    <w:p w14:paraId="05A4F85E" w14:textId="77777777" w:rsidR="00FB52DE" w:rsidRPr="002E0DF3" w:rsidRDefault="00FB52DE">
      <w:pPr>
        <w:pStyle w:val="i"/>
      </w:pPr>
      <w:r w:rsidRPr="002E0DF3">
        <w:t>v)</w:t>
      </w:r>
      <w:r w:rsidRPr="002E0DF3">
        <w:tab/>
        <w:t xml:space="preserve">RT is conducted at </w:t>
      </w:r>
      <w:smartTag w:uri="urn:schemas-microsoft-com:office:smarttags" w:element="metricconverter">
        <w:smartTagPr>
          <w:attr w:name="ProductID" w:val="42ﾰC"/>
        </w:smartTagPr>
        <w:r w:rsidRPr="002E0DF3">
          <w:t>42°C</w:t>
        </w:r>
      </w:smartTag>
      <w:r w:rsidRPr="002E0DF3">
        <w:t xml:space="preserve"> for 50 minutes followed by </w:t>
      </w:r>
      <w:smartTag w:uri="urn:schemas-microsoft-com:office:smarttags" w:element="metricconverter">
        <w:smartTagPr>
          <w:attr w:name="ProductID" w:val="70ﾰC"/>
        </w:smartTagPr>
        <w:r w:rsidRPr="002E0DF3">
          <w:t>70°C</w:t>
        </w:r>
      </w:smartTag>
      <w:r w:rsidRPr="002E0DF3">
        <w:t xml:space="preserve"> for 15 minutes for inactivation of RT enzyme.</w:t>
      </w:r>
    </w:p>
    <w:p w14:paraId="24D8CF7E" w14:textId="75E87194" w:rsidR="00FB52DE" w:rsidRPr="002E0DF3" w:rsidRDefault="00FB52DE">
      <w:pPr>
        <w:pStyle w:val="iparalast"/>
      </w:pPr>
      <w:r w:rsidRPr="002E0DF3">
        <w:t>vi)</w:t>
      </w:r>
      <w:r w:rsidRPr="002E0DF3">
        <w:tab/>
        <w:t xml:space="preserve">PCR amplification can be conducted with </w:t>
      </w:r>
      <w:proofErr w:type="spellStart"/>
      <w:r w:rsidRPr="00162C31">
        <w:rPr>
          <w:strike/>
        </w:rPr>
        <w:t>AmliTaq</w:t>
      </w:r>
      <w:proofErr w:type="spellEnd"/>
      <w:r w:rsidRPr="00162C31">
        <w:rPr>
          <w:strike/>
        </w:rPr>
        <w:t xml:space="preserve"> Gold®</w:t>
      </w:r>
      <w:r w:rsidR="00162C31">
        <w:rPr>
          <w:strike/>
        </w:rPr>
        <w:t xml:space="preserve"> </w:t>
      </w:r>
      <w:r w:rsidR="00D45D6A" w:rsidRPr="00162C31">
        <w:rPr>
          <w:u w:val="double"/>
        </w:rPr>
        <w:t>a suitable DNA</w:t>
      </w:r>
      <w:r w:rsidRPr="002E0DF3">
        <w:t xml:space="preserve"> polymerase </w:t>
      </w:r>
      <w:r w:rsidRPr="00162C31">
        <w:rPr>
          <w:strike/>
        </w:rPr>
        <w:t xml:space="preserve">(Applied Biosystems, Foster City, CA) </w:t>
      </w:r>
      <w:r w:rsidRPr="002E0DF3">
        <w:t xml:space="preserve">according to manufacturer’s instructions. Amplification conditions are as follows: </w:t>
      </w:r>
      <w:smartTag w:uri="urn:schemas-microsoft-com:office:smarttags" w:element="metricconverter">
        <w:smartTagPr>
          <w:attr w:name="ProductID" w:val="94ﾰC"/>
        </w:smartTagPr>
        <w:r w:rsidRPr="002E0DF3">
          <w:t>94°C</w:t>
        </w:r>
      </w:smartTag>
      <w:r w:rsidRPr="002E0DF3">
        <w:t xml:space="preserve"> for 15 minutes and 30 cycles of </w:t>
      </w:r>
      <w:smartTag w:uri="urn:schemas-microsoft-com:office:smarttags" w:element="metricconverter">
        <w:smartTagPr>
          <w:attr w:name="ProductID" w:val="94ﾰC"/>
        </w:smartTagPr>
        <w:r w:rsidRPr="002E0DF3">
          <w:t>94°C</w:t>
        </w:r>
      </w:smartTag>
      <w:r w:rsidRPr="002E0DF3">
        <w:t xml:space="preserve"> for 20</w:t>
      </w:r>
      <w:r w:rsidR="00162C31">
        <w:t> </w:t>
      </w:r>
      <w:r w:rsidRPr="002E0DF3">
        <w:t xml:space="preserve">seconds, </w:t>
      </w:r>
      <w:smartTag w:uri="urn:schemas-microsoft-com:office:smarttags" w:element="metricconverter">
        <w:smartTagPr>
          <w:attr w:name="ProductID" w:val="51.0ﾰC"/>
        </w:smartTagPr>
        <w:r w:rsidRPr="002E0DF3">
          <w:t>51.0°C</w:t>
        </w:r>
      </w:smartTag>
      <w:r w:rsidRPr="002E0DF3">
        <w:t xml:space="preserve"> for 45 seconds (for the Nd/</w:t>
      </w:r>
      <w:proofErr w:type="spellStart"/>
      <w:r w:rsidRPr="002E0DF3">
        <w:t>Nx</w:t>
      </w:r>
      <w:proofErr w:type="spellEnd"/>
      <w:r w:rsidRPr="002E0DF3">
        <w:t xml:space="preserve"> primer pair, </w:t>
      </w:r>
      <w:r w:rsidR="00A9746D" w:rsidRPr="002E0DF3">
        <w:t>if another pair is used, the</w:t>
      </w:r>
      <w:r w:rsidRPr="002E0DF3">
        <w:t xml:space="preserve"> annealing temperature </w:t>
      </w:r>
      <w:r w:rsidR="00A9746D" w:rsidRPr="002E0DF3">
        <w:t>should be adapted</w:t>
      </w:r>
      <w:r w:rsidRPr="002E0DF3">
        <w:t xml:space="preserve">), </w:t>
      </w:r>
      <w:smartTag w:uri="urn:schemas-microsoft-com:office:smarttags" w:element="metricconverter">
        <w:smartTagPr>
          <w:attr w:name="ProductID" w:val="72ﾰC"/>
        </w:smartTagPr>
        <w:r w:rsidRPr="002E0DF3">
          <w:t>72°C</w:t>
        </w:r>
      </w:smartTag>
      <w:r w:rsidRPr="002E0DF3">
        <w:t xml:space="preserve"> for 45 seconds with a final extension of </w:t>
      </w:r>
      <w:smartTag w:uri="urn:schemas-microsoft-com:office:smarttags" w:element="metricconverter">
        <w:smartTagPr>
          <w:attr w:name="ProductID" w:val="72ﾰC"/>
        </w:smartTagPr>
        <w:r w:rsidRPr="002E0DF3">
          <w:t>72°C</w:t>
        </w:r>
      </w:smartTag>
      <w:r w:rsidRPr="002E0DF3">
        <w:t xml:space="preserve"> for 10</w:t>
      </w:r>
      <w:r w:rsidR="001B7E66">
        <w:t> </w:t>
      </w:r>
      <w:r w:rsidRPr="002E0DF3">
        <w:t>minutes.</w:t>
      </w:r>
    </w:p>
    <w:p w14:paraId="2C9CE818" w14:textId="2336A75C" w:rsidR="00FB52DE" w:rsidRPr="002E0DF3" w:rsidRDefault="00FB52DE" w:rsidP="00E811AD">
      <w:pPr>
        <w:pStyle w:val="11Para"/>
      </w:pPr>
      <w:r w:rsidRPr="002E0DF3">
        <w:t xml:space="preserve">Several RT-PCR assays directed to the F, G and M genes have been successfully used for </w:t>
      </w:r>
      <w:r w:rsidR="00B92BF3" w:rsidRPr="008E7CC4">
        <w:rPr>
          <w:strike/>
        </w:rPr>
        <w:t>subtype</w:t>
      </w:r>
      <w:r w:rsidR="00B92BF3">
        <w:rPr>
          <w:strike/>
        </w:rPr>
        <w:t xml:space="preserve"> </w:t>
      </w:r>
      <w:r w:rsidR="00B92BF3" w:rsidRPr="008E7CC4">
        <w:rPr>
          <w:u w:val="double"/>
        </w:rPr>
        <w:t>subgroup</w:t>
      </w:r>
      <w:r w:rsidRPr="002E0DF3">
        <w:t xml:space="preserve"> identification and detection or diagnosis of endemic </w:t>
      </w:r>
      <w:proofErr w:type="spellStart"/>
      <w:r w:rsidRPr="002E0DF3">
        <w:t>aMPV</w:t>
      </w:r>
      <w:proofErr w:type="spellEnd"/>
      <w:r w:rsidRPr="002E0DF3">
        <w:t xml:space="preserve"> (</w:t>
      </w:r>
      <w:proofErr w:type="spellStart"/>
      <w:r w:rsidR="00D311EB">
        <w:t>Goyzm</w:t>
      </w:r>
      <w:proofErr w:type="spellEnd"/>
      <w:r w:rsidR="00D311EB">
        <w:t xml:space="preserve"> </w:t>
      </w:r>
      <w:r w:rsidR="00B7724F" w:rsidRPr="00B7724F">
        <w:rPr>
          <w:i/>
        </w:rPr>
        <w:t>et al</w:t>
      </w:r>
      <w:r w:rsidR="00D311EB">
        <w:t>., 2000</w:t>
      </w:r>
      <w:r w:rsidR="00221851">
        <w:t>;</w:t>
      </w:r>
      <w:r w:rsidRPr="002E0DF3">
        <w:t xml:space="preserve"> </w:t>
      </w:r>
      <w:r w:rsidR="00C16CFF">
        <w:t xml:space="preserve">Jirjis </w:t>
      </w:r>
      <w:r w:rsidR="00B7724F" w:rsidRPr="00B7724F">
        <w:rPr>
          <w:i/>
        </w:rPr>
        <w:t>et al</w:t>
      </w:r>
      <w:r w:rsidR="00C16CFF">
        <w:t>., 2004</w:t>
      </w:r>
      <w:r w:rsidR="00221851">
        <w:t>;</w:t>
      </w:r>
      <w:r w:rsidRPr="002E0DF3">
        <w:t xml:space="preserve"> </w:t>
      </w:r>
      <w:r w:rsidR="00C14374">
        <w:t xml:space="preserve">Majo </w:t>
      </w:r>
      <w:r w:rsidR="00B7724F" w:rsidRPr="00B7724F">
        <w:rPr>
          <w:i/>
        </w:rPr>
        <w:t>et al</w:t>
      </w:r>
      <w:r w:rsidR="00C14374">
        <w:t>., 1995</w:t>
      </w:r>
      <w:r w:rsidRPr="002E0DF3">
        <w:t xml:space="preserve">). Nucleotide sequence and phylogenetic analysis of the G gene has been used to genotype </w:t>
      </w:r>
      <w:r w:rsidR="00B92BF3" w:rsidRPr="008E7CC4">
        <w:rPr>
          <w:strike/>
        </w:rPr>
        <w:t>subtype</w:t>
      </w:r>
      <w:r w:rsidR="00B92BF3">
        <w:rPr>
          <w:strike/>
        </w:rPr>
        <w:t xml:space="preserve"> </w:t>
      </w:r>
      <w:r w:rsidR="00B92BF3" w:rsidRPr="008E7CC4">
        <w:rPr>
          <w:u w:val="double"/>
        </w:rPr>
        <w:t>subgroup</w:t>
      </w:r>
      <w:r w:rsidRPr="002E0DF3">
        <w:t xml:space="preserve"> A, B, C and D </w:t>
      </w:r>
      <w:proofErr w:type="spellStart"/>
      <w:r w:rsidRPr="002E0DF3">
        <w:t>aMPV</w:t>
      </w:r>
      <w:proofErr w:type="spellEnd"/>
      <w:r w:rsidRPr="002E0DF3">
        <w:t xml:space="preserve"> and is the recommended procedure for </w:t>
      </w:r>
      <w:r w:rsidR="00B92BF3" w:rsidRPr="008E7CC4">
        <w:rPr>
          <w:strike/>
        </w:rPr>
        <w:t>subtype</w:t>
      </w:r>
      <w:r w:rsidR="00B92BF3">
        <w:rPr>
          <w:strike/>
        </w:rPr>
        <w:t xml:space="preserve"> </w:t>
      </w:r>
      <w:r w:rsidR="00B92BF3" w:rsidRPr="008E7CC4">
        <w:rPr>
          <w:u w:val="double"/>
        </w:rPr>
        <w:t>subgroup</w:t>
      </w:r>
      <w:r w:rsidRPr="002E0DF3">
        <w:t xml:space="preserve"> identification of an unidentified virus. Recommended RT-PCR procedures for sequence analysis of the G gene have been described (</w:t>
      </w:r>
      <w:proofErr w:type="spellStart"/>
      <w:r w:rsidR="00381877" w:rsidRPr="00115864">
        <w:rPr>
          <w:strike/>
        </w:rPr>
        <w:t>B</w:t>
      </w:r>
      <w:r w:rsidR="007879D4" w:rsidRPr="00115864">
        <w:rPr>
          <w:strike/>
        </w:rPr>
        <w:t>a</w:t>
      </w:r>
      <w:r w:rsidR="00381877" w:rsidRPr="00115864">
        <w:rPr>
          <w:strike/>
        </w:rPr>
        <w:t>yon-Auboyer</w:t>
      </w:r>
      <w:proofErr w:type="spellEnd"/>
      <w:r w:rsidR="00381877" w:rsidRPr="00115864">
        <w:rPr>
          <w:strike/>
        </w:rPr>
        <w:t xml:space="preserve"> </w:t>
      </w:r>
      <w:r w:rsidR="00B7724F" w:rsidRPr="00115864">
        <w:rPr>
          <w:i/>
          <w:strike/>
        </w:rPr>
        <w:t>et al</w:t>
      </w:r>
      <w:r w:rsidR="00381877" w:rsidRPr="00115864">
        <w:rPr>
          <w:strike/>
        </w:rPr>
        <w:t>., 2000</w:t>
      </w:r>
      <w:r w:rsidR="00221851" w:rsidRPr="00115864">
        <w:rPr>
          <w:strike/>
        </w:rPr>
        <w:t>;</w:t>
      </w:r>
      <w:r w:rsidRPr="00115864">
        <w:rPr>
          <w:strike/>
        </w:rPr>
        <w:t xml:space="preserve"> </w:t>
      </w:r>
      <w:r w:rsidR="00C16CFF" w:rsidRPr="009733A1">
        <w:rPr>
          <w:strike/>
        </w:rPr>
        <w:t>Juhasz &amp; Easton, 1994</w:t>
      </w:r>
      <w:r w:rsidR="00221851" w:rsidRPr="009733A1">
        <w:rPr>
          <w:strike/>
        </w:rPr>
        <w:t>;</w:t>
      </w:r>
      <w:r w:rsidRPr="002E0DF3">
        <w:t xml:space="preserve"> </w:t>
      </w:r>
      <w:r w:rsidR="00C14374">
        <w:t xml:space="preserve">Lwamba </w:t>
      </w:r>
      <w:r w:rsidR="00B7724F" w:rsidRPr="00B7724F">
        <w:rPr>
          <w:i/>
        </w:rPr>
        <w:t>et al</w:t>
      </w:r>
      <w:r w:rsidR="00C14374">
        <w:t>., 2005</w:t>
      </w:r>
      <w:r w:rsidR="00221851">
        <w:t>;</w:t>
      </w:r>
      <w:r w:rsidRPr="002E0DF3">
        <w:t xml:space="preserve"> </w:t>
      </w:r>
      <w:proofErr w:type="spellStart"/>
      <w:r w:rsidR="00A74CEF">
        <w:t>Toquin</w:t>
      </w:r>
      <w:proofErr w:type="spellEnd"/>
      <w:r w:rsidR="00A74CEF">
        <w:t xml:space="preserve"> </w:t>
      </w:r>
      <w:r w:rsidR="00B7724F" w:rsidRPr="00B7724F">
        <w:rPr>
          <w:i/>
        </w:rPr>
        <w:t>et al</w:t>
      </w:r>
      <w:r w:rsidR="00A74CEF">
        <w:t>., 2006</w:t>
      </w:r>
      <w:r w:rsidRPr="002E0DF3">
        <w:t>).</w:t>
      </w:r>
      <w:r w:rsidR="009615C3" w:rsidRPr="002E0DF3">
        <w:t xml:space="preserve"> </w:t>
      </w:r>
      <w:r w:rsidR="00A17DF5" w:rsidRPr="001A6B1D">
        <w:rPr>
          <w:u w:val="double"/>
        </w:rPr>
        <w:t>A</w:t>
      </w:r>
      <w:r w:rsidR="00A17DF5">
        <w:t xml:space="preserve"> </w:t>
      </w:r>
      <w:r w:rsidR="001A6B1D">
        <w:t>r</w:t>
      </w:r>
      <w:r w:rsidR="009615C3" w:rsidRPr="002E0DF3">
        <w:t xml:space="preserve">eal-time RT-PCR has been demonstrated recently to allow the specific detection, identification and quantification of </w:t>
      </w:r>
      <w:proofErr w:type="spellStart"/>
      <w:r w:rsidR="009615C3" w:rsidRPr="002E0DF3">
        <w:t>aMPV</w:t>
      </w:r>
      <w:proofErr w:type="spellEnd"/>
      <w:r w:rsidR="009615C3" w:rsidRPr="002E0DF3">
        <w:t xml:space="preserve"> subgroups A, B, C and D (</w:t>
      </w:r>
      <w:proofErr w:type="spellStart"/>
      <w:r w:rsidR="00D311EB">
        <w:t>Guionie</w:t>
      </w:r>
      <w:proofErr w:type="spellEnd"/>
      <w:r w:rsidR="00D311EB">
        <w:t xml:space="preserve"> </w:t>
      </w:r>
      <w:r w:rsidR="00B7724F" w:rsidRPr="00B7724F">
        <w:rPr>
          <w:i/>
        </w:rPr>
        <w:t>et al</w:t>
      </w:r>
      <w:r w:rsidR="00D311EB">
        <w:t>., 2007</w:t>
      </w:r>
      <w:r w:rsidR="009615C3" w:rsidRPr="002E0DF3">
        <w:t>)</w:t>
      </w:r>
      <w:r w:rsidR="00A17DF5" w:rsidRPr="00C94963">
        <w:t xml:space="preserve"> </w:t>
      </w:r>
      <w:r w:rsidR="00A17DF5" w:rsidRPr="001A6B1D">
        <w:rPr>
          <w:u w:val="double"/>
        </w:rPr>
        <w:t>and another protocol was developed for the broad spectrum detection of all MPVs (</w:t>
      </w:r>
      <w:proofErr w:type="spellStart"/>
      <w:r w:rsidR="00C94963">
        <w:rPr>
          <w:u w:val="double"/>
        </w:rPr>
        <w:t>a</w:t>
      </w:r>
      <w:r w:rsidR="00A17DF5" w:rsidRPr="001A6B1D">
        <w:rPr>
          <w:u w:val="double"/>
        </w:rPr>
        <w:t>MPV</w:t>
      </w:r>
      <w:proofErr w:type="spellEnd"/>
      <w:r w:rsidR="00A17DF5" w:rsidRPr="001A6B1D">
        <w:rPr>
          <w:u w:val="double"/>
        </w:rPr>
        <w:t xml:space="preserve"> and </w:t>
      </w:r>
      <w:r w:rsidR="00C94963">
        <w:rPr>
          <w:u w:val="double"/>
        </w:rPr>
        <w:t>h</w:t>
      </w:r>
      <w:r w:rsidR="00A17DF5" w:rsidRPr="001A6B1D">
        <w:rPr>
          <w:u w:val="double"/>
        </w:rPr>
        <w:t xml:space="preserve">MPV) (Lemaitre </w:t>
      </w:r>
      <w:r w:rsidR="00A17DF5" w:rsidRPr="001A6B1D">
        <w:rPr>
          <w:i/>
          <w:iCs/>
          <w:u w:val="double"/>
        </w:rPr>
        <w:t>et al.,</w:t>
      </w:r>
      <w:r w:rsidR="00A17DF5" w:rsidRPr="001A6B1D">
        <w:rPr>
          <w:u w:val="double"/>
        </w:rPr>
        <w:t xml:space="preserve"> 2018) and could therefore serve for the detection of emerging </w:t>
      </w:r>
      <w:proofErr w:type="spellStart"/>
      <w:r w:rsidR="00326277">
        <w:rPr>
          <w:u w:val="double"/>
        </w:rPr>
        <w:t>a</w:t>
      </w:r>
      <w:r w:rsidR="00A17DF5" w:rsidRPr="001A6B1D">
        <w:rPr>
          <w:u w:val="double"/>
        </w:rPr>
        <w:t>MPV</w:t>
      </w:r>
      <w:proofErr w:type="spellEnd"/>
      <w:r w:rsidR="00A17DF5" w:rsidRPr="001A6B1D">
        <w:rPr>
          <w:u w:val="double"/>
        </w:rPr>
        <w:t xml:space="preserve"> of yet-to-be-defined </w:t>
      </w:r>
      <w:r w:rsidR="00B92BF3" w:rsidRPr="008E7CC4">
        <w:rPr>
          <w:u w:val="double"/>
        </w:rPr>
        <w:t>subgroup</w:t>
      </w:r>
      <w:r w:rsidR="00B92BF3">
        <w:rPr>
          <w:u w:val="double"/>
        </w:rPr>
        <w:t>s</w:t>
      </w:r>
      <w:r w:rsidR="00A17DF5">
        <w:t>.</w:t>
      </w:r>
    </w:p>
    <w:p w14:paraId="1A80B9F6" w14:textId="2CDCE9C2" w:rsidR="00FB52DE" w:rsidRPr="002E0DF3" w:rsidRDefault="00FB52DE" w:rsidP="00E811AD">
      <w:pPr>
        <w:pStyle w:val="11Para"/>
      </w:pPr>
      <w:r w:rsidRPr="002E0DF3">
        <w:t xml:space="preserve">Procedures for the identification of </w:t>
      </w:r>
      <w:r w:rsidR="00B92BF3" w:rsidRPr="008E7CC4">
        <w:rPr>
          <w:strike/>
        </w:rPr>
        <w:t>subtype</w:t>
      </w:r>
      <w:r w:rsidR="00B92BF3">
        <w:rPr>
          <w:strike/>
        </w:rPr>
        <w:t xml:space="preserve"> </w:t>
      </w:r>
      <w:r w:rsidR="00B92BF3" w:rsidRPr="008E7CC4">
        <w:rPr>
          <w:u w:val="double"/>
        </w:rPr>
        <w:t>subgroup</w:t>
      </w:r>
      <w:r w:rsidRPr="002E0DF3">
        <w:t xml:space="preserve"> A and B RNA in diagnostic specimens have also been described (</w:t>
      </w:r>
      <w:r w:rsidR="00A74CEF">
        <w:t xml:space="preserve">Naylor </w:t>
      </w:r>
      <w:r w:rsidR="00B7724F" w:rsidRPr="00B7724F">
        <w:rPr>
          <w:i/>
        </w:rPr>
        <w:t>et al</w:t>
      </w:r>
      <w:r w:rsidR="00A74CEF">
        <w:t>., 1997</w:t>
      </w:r>
      <w:r w:rsidRPr="002E0DF3">
        <w:t xml:space="preserve">), as have procedures for the detection of </w:t>
      </w:r>
      <w:r w:rsidR="00B92BF3" w:rsidRPr="008E7CC4">
        <w:rPr>
          <w:strike/>
        </w:rPr>
        <w:t>subtype</w:t>
      </w:r>
      <w:r w:rsidR="00B92BF3">
        <w:rPr>
          <w:strike/>
        </w:rPr>
        <w:t xml:space="preserve"> </w:t>
      </w:r>
      <w:r w:rsidR="00B92BF3" w:rsidRPr="008E7CC4">
        <w:rPr>
          <w:u w:val="double"/>
        </w:rPr>
        <w:t>subgroup</w:t>
      </w:r>
      <w:r w:rsidRPr="002E0DF3">
        <w:t xml:space="preserve"> A and C viruses (</w:t>
      </w:r>
      <w:r w:rsidR="00A74CEF">
        <w:t>P</w:t>
      </w:r>
      <w:r w:rsidR="009B4772">
        <w:t>e</w:t>
      </w:r>
      <w:r w:rsidR="00A74CEF">
        <w:t xml:space="preserve">dersen </w:t>
      </w:r>
      <w:r w:rsidR="00B7724F" w:rsidRPr="00B7724F">
        <w:rPr>
          <w:i/>
        </w:rPr>
        <w:t>et al</w:t>
      </w:r>
      <w:r w:rsidR="00A74CEF">
        <w:t>., 2001</w:t>
      </w:r>
      <w:r w:rsidRPr="002E0DF3">
        <w:t xml:space="preserve">). Isolation of </w:t>
      </w:r>
      <w:proofErr w:type="spellStart"/>
      <w:r w:rsidRPr="002E0DF3">
        <w:t>aMPV</w:t>
      </w:r>
      <w:proofErr w:type="spellEnd"/>
      <w:r w:rsidRPr="002E0DF3">
        <w:t xml:space="preserve"> from chickens is difficult and has succeeded only in a limited number of cases; for this reason, molecular tests have been used primarily for the detection of </w:t>
      </w:r>
      <w:proofErr w:type="spellStart"/>
      <w:r w:rsidRPr="002E0DF3">
        <w:t>aMPV</w:t>
      </w:r>
      <w:proofErr w:type="spellEnd"/>
      <w:r w:rsidRPr="002E0DF3">
        <w:t xml:space="preserve"> in chickens (</w:t>
      </w:r>
      <w:r w:rsidR="00BD7156" w:rsidRPr="00115864">
        <w:rPr>
          <w:strike/>
        </w:rPr>
        <w:t>Cook &amp; Cavanagh, 2002</w:t>
      </w:r>
      <w:r w:rsidR="00221851" w:rsidRPr="00115864">
        <w:rPr>
          <w:strike/>
        </w:rPr>
        <w:t>;</w:t>
      </w:r>
      <w:r w:rsidRPr="00115864">
        <w:rPr>
          <w:strike/>
        </w:rPr>
        <w:t xml:space="preserve"> </w:t>
      </w:r>
      <w:r w:rsidR="00793D7F">
        <w:t xml:space="preserve">Mase </w:t>
      </w:r>
      <w:r w:rsidR="00B7724F" w:rsidRPr="00B7724F">
        <w:rPr>
          <w:i/>
        </w:rPr>
        <w:t>et al</w:t>
      </w:r>
      <w:r w:rsidR="00793D7F">
        <w:t>., 1996</w:t>
      </w:r>
      <w:r w:rsidRPr="002E0DF3">
        <w:t xml:space="preserve">). It is important to remember that RT-PCR detects viral RNA, not live virus, so the significance of a positive PCR result in terms of detecting an active infection </w:t>
      </w:r>
      <w:r w:rsidR="004B15DF" w:rsidRPr="002E0DF3">
        <w:t>has</w:t>
      </w:r>
      <w:r w:rsidRPr="002E0DF3">
        <w:t xml:space="preserve"> to be </w:t>
      </w:r>
      <w:r w:rsidR="00827B1A" w:rsidRPr="002E0DF3">
        <w:t>established.</w:t>
      </w:r>
    </w:p>
    <w:p w14:paraId="576AD2A8" w14:textId="77777777" w:rsidR="00FB52DE" w:rsidRPr="002E0DF3" w:rsidRDefault="00FB52DE">
      <w:pPr>
        <w:pStyle w:val="1"/>
        <w:rPr>
          <w:lang w:val="en-IE"/>
        </w:rPr>
      </w:pPr>
      <w:r w:rsidRPr="002E0DF3">
        <w:lastRenderedPageBreak/>
        <w:t>2.</w:t>
      </w:r>
      <w:r w:rsidRPr="002E0DF3">
        <w:tab/>
        <w:t>Serological tests</w:t>
      </w:r>
    </w:p>
    <w:p w14:paraId="38204B07" w14:textId="45E9C102" w:rsidR="00FB52DE" w:rsidRPr="002E0DF3" w:rsidRDefault="00D1162A">
      <w:pPr>
        <w:pStyle w:val="para1"/>
      </w:pPr>
      <w:r w:rsidRPr="002E0DF3">
        <w:rPr>
          <w:lang w:val="en-IE"/>
        </w:rPr>
        <w:t>Serology</w:t>
      </w:r>
      <w:r w:rsidR="00FB52DE" w:rsidRPr="002E0DF3">
        <w:t xml:space="preserve"> is the most common method of diagnosis of </w:t>
      </w:r>
      <w:proofErr w:type="spellStart"/>
      <w:r w:rsidR="00FB52DE" w:rsidRPr="002E0DF3">
        <w:t>aMPV</w:t>
      </w:r>
      <w:proofErr w:type="spellEnd"/>
      <w:r w:rsidR="00FB52DE" w:rsidRPr="002E0DF3">
        <w:t xml:space="preserve"> infections, particularly in unvaccinated flocks</w:t>
      </w:r>
      <w:r w:rsidRPr="002E0DF3">
        <w:t>,</w:t>
      </w:r>
      <w:r w:rsidRPr="002E0DF3">
        <w:rPr>
          <w:lang w:val="en-IE"/>
        </w:rPr>
        <w:t xml:space="preserve"> because of difficulties in isolating and identifying </w:t>
      </w:r>
      <w:proofErr w:type="spellStart"/>
      <w:r w:rsidRPr="002E0DF3">
        <w:rPr>
          <w:lang w:val="en-IE"/>
        </w:rPr>
        <w:t>aMPV</w:t>
      </w:r>
      <w:proofErr w:type="spellEnd"/>
      <w:r w:rsidR="00FB52DE" w:rsidRPr="002E0DF3">
        <w:t xml:space="preserve">. The most commonly employed method is the ELISA; however, virus neutralisation, </w:t>
      </w:r>
      <w:proofErr w:type="spellStart"/>
      <w:r w:rsidR="00FB52DE" w:rsidRPr="002E0DF3">
        <w:t>microimmunofluorescence</w:t>
      </w:r>
      <w:proofErr w:type="spellEnd"/>
      <w:r w:rsidR="00FB52DE" w:rsidRPr="002E0DF3">
        <w:t xml:space="preserve"> and immunodiffusion tests have been </w:t>
      </w:r>
      <w:r w:rsidR="00827B1A" w:rsidRPr="002E0DF3">
        <w:t xml:space="preserve">used. </w:t>
      </w:r>
      <w:r w:rsidR="00FB52DE" w:rsidRPr="002E0DF3">
        <w:t>A number of commercial and in-house ELISA kits are available that are suitable for testing both turkey and chicken serum; however, differences in sensitivity and specificity between commercial kits have been reported (</w:t>
      </w:r>
      <w:proofErr w:type="spellStart"/>
      <w:r w:rsidR="00D311EB">
        <w:t>Eterradossi</w:t>
      </w:r>
      <w:proofErr w:type="spellEnd"/>
      <w:r w:rsidR="00D311EB">
        <w:t xml:space="preserve"> </w:t>
      </w:r>
      <w:r w:rsidR="00B7724F" w:rsidRPr="00B7724F">
        <w:rPr>
          <w:i/>
        </w:rPr>
        <w:t>et al</w:t>
      </w:r>
      <w:r w:rsidR="00D311EB">
        <w:t>., 1995</w:t>
      </w:r>
      <w:r w:rsidR="00221851">
        <w:t>;</w:t>
      </w:r>
      <w:r w:rsidR="00FB52DE" w:rsidRPr="002E0DF3">
        <w:t xml:space="preserve"> </w:t>
      </w:r>
      <w:r w:rsidR="00793D7F" w:rsidRPr="00B7724F">
        <w:t xml:space="preserve">McFarlane-Toms &amp; Jackson, </w:t>
      </w:r>
      <w:r w:rsidR="00793D7F" w:rsidRPr="002E0DF3">
        <w:t>1998</w:t>
      </w:r>
      <w:r w:rsidR="00221851">
        <w:t>;</w:t>
      </w:r>
      <w:r w:rsidR="00FB52DE" w:rsidRPr="002E0DF3">
        <w:t xml:space="preserve"> </w:t>
      </w:r>
      <w:proofErr w:type="spellStart"/>
      <w:r w:rsidR="00793D7F" w:rsidRPr="003F598E">
        <w:rPr>
          <w:lang w:val="en-IE"/>
        </w:rPr>
        <w:t>Mekkes</w:t>
      </w:r>
      <w:proofErr w:type="spellEnd"/>
      <w:r w:rsidR="00793D7F" w:rsidRPr="003F598E">
        <w:rPr>
          <w:lang w:val="en-IE"/>
        </w:rPr>
        <w:t xml:space="preserve"> &amp; De Wit, 1999</w:t>
      </w:r>
      <w:r w:rsidR="00FB52DE" w:rsidRPr="002E0DF3">
        <w:t xml:space="preserve">). Competitive or blocking ELISA kits incorporating an </w:t>
      </w:r>
      <w:proofErr w:type="spellStart"/>
      <w:r w:rsidR="00FB52DE" w:rsidRPr="002E0DF3">
        <w:t>aMPV</w:t>
      </w:r>
      <w:proofErr w:type="spellEnd"/>
      <w:r w:rsidR="00FB52DE" w:rsidRPr="002E0DF3">
        <w:t xml:space="preserve">-specific monoclonal antibody have been developed. These kits claim to have a broad spectrum of sensitivity and specificity for all </w:t>
      </w:r>
      <w:r w:rsidR="00B92BF3" w:rsidRPr="008E7CC4">
        <w:rPr>
          <w:strike/>
        </w:rPr>
        <w:t>subtype</w:t>
      </w:r>
      <w:r w:rsidR="00B92BF3">
        <w:rPr>
          <w:strike/>
        </w:rPr>
        <w:t xml:space="preserve">s </w:t>
      </w:r>
      <w:r w:rsidR="00B92BF3" w:rsidRPr="008E7CC4">
        <w:rPr>
          <w:u w:val="double"/>
        </w:rPr>
        <w:t>subgroup</w:t>
      </w:r>
      <w:r w:rsidR="00B92BF3">
        <w:rPr>
          <w:u w:val="double"/>
        </w:rPr>
        <w:t>s</w:t>
      </w:r>
      <w:r w:rsidR="00FB52DE" w:rsidRPr="002E0DF3">
        <w:t xml:space="preserve"> of </w:t>
      </w:r>
      <w:proofErr w:type="spellStart"/>
      <w:r w:rsidR="00FB52DE" w:rsidRPr="002E0DF3">
        <w:t>aMPV</w:t>
      </w:r>
      <w:proofErr w:type="spellEnd"/>
      <w:r w:rsidR="00FB52DE" w:rsidRPr="002E0DF3">
        <w:t xml:space="preserve"> and can be used for testing sera from a variety of avian species. In-house ELISA antigens, as described below, have been prepared in a variety of substrates including various cell cultures and tracheal organ cultures (</w:t>
      </w:r>
      <w:r w:rsidR="00C2157B" w:rsidRPr="003F598E">
        <w:rPr>
          <w:lang w:val="en-IE"/>
        </w:rPr>
        <w:t xml:space="preserve">Chiang </w:t>
      </w:r>
      <w:r w:rsidR="00B7724F" w:rsidRPr="003F598E">
        <w:rPr>
          <w:i/>
          <w:lang w:val="en-IE"/>
        </w:rPr>
        <w:t>et al</w:t>
      </w:r>
      <w:r w:rsidR="00C2157B" w:rsidRPr="003F598E">
        <w:rPr>
          <w:lang w:val="en-IE"/>
        </w:rPr>
        <w:t>., 2000</w:t>
      </w:r>
      <w:r w:rsidR="00221851" w:rsidRPr="00115864">
        <w:rPr>
          <w:strike/>
        </w:rPr>
        <w:t>;</w:t>
      </w:r>
      <w:r w:rsidR="00FB52DE" w:rsidRPr="00115864">
        <w:rPr>
          <w:strike/>
        </w:rPr>
        <w:t xml:space="preserve"> </w:t>
      </w:r>
      <w:r w:rsidR="00BD7156" w:rsidRPr="00115864">
        <w:rPr>
          <w:strike/>
        </w:rPr>
        <w:t>Cook &amp; Cavanagh, 2002</w:t>
      </w:r>
      <w:r w:rsidR="00FB52DE" w:rsidRPr="002E0DF3">
        <w:t xml:space="preserve">). Generally, </w:t>
      </w:r>
      <w:proofErr w:type="spellStart"/>
      <w:r w:rsidR="00FB52DE" w:rsidRPr="002E0DF3">
        <w:t>aMPV</w:t>
      </w:r>
      <w:proofErr w:type="spellEnd"/>
      <w:r w:rsidR="00FB52DE" w:rsidRPr="002E0DF3">
        <w:t xml:space="preserve"> antibodies are less well detected when a heterologous strain of </w:t>
      </w:r>
      <w:proofErr w:type="spellStart"/>
      <w:r w:rsidR="00FB52DE" w:rsidRPr="002E0DF3">
        <w:t>aMPV</w:t>
      </w:r>
      <w:proofErr w:type="spellEnd"/>
      <w:r w:rsidR="00FB52DE" w:rsidRPr="002E0DF3">
        <w:t xml:space="preserve"> is used as antigen, even though the strains appear closely related by virus neutralisation test (</w:t>
      </w:r>
      <w:r w:rsidR="00BD7156" w:rsidRPr="00F93DEA">
        <w:rPr>
          <w:strike/>
        </w:rPr>
        <w:t>Cook &amp; Cavanagh, 2002</w:t>
      </w:r>
      <w:r w:rsidR="00221851" w:rsidRPr="00F93DEA">
        <w:rPr>
          <w:strike/>
        </w:rPr>
        <w:t>;</w:t>
      </w:r>
      <w:r w:rsidR="00FB52DE" w:rsidRPr="00F93DEA">
        <w:rPr>
          <w:strike/>
        </w:rPr>
        <w:t xml:space="preserve"> </w:t>
      </w:r>
      <w:proofErr w:type="spellStart"/>
      <w:r w:rsidR="00D311EB">
        <w:t>Eterradossi</w:t>
      </w:r>
      <w:proofErr w:type="spellEnd"/>
      <w:r w:rsidR="00D311EB">
        <w:t xml:space="preserve"> </w:t>
      </w:r>
      <w:r w:rsidR="00B7724F" w:rsidRPr="00B7724F">
        <w:rPr>
          <w:i/>
        </w:rPr>
        <w:t>et al</w:t>
      </w:r>
      <w:r w:rsidR="00D311EB">
        <w:t>., 1995</w:t>
      </w:r>
      <w:r w:rsidR="00FB52DE" w:rsidRPr="002E0DF3">
        <w:t xml:space="preserve">). The situation is further complicated by discrepancies in the ability of different ELISAs to detect vaccinal antibody when different </w:t>
      </w:r>
      <w:proofErr w:type="spellStart"/>
      <w:r w:rsidR="00FB52DE" w:rsidRPr="002E0DF3">
        <w:t>aMPV</w:t>
      </w:r>
      <w:proofErr w:type="spellEnd"/>
      <w:r w:rsidR="00FB52DE" w:rsidRPr="002E0DF3">
        <w:t xml:space="preserve"> strains are used as coating antigens (</w:t>
      </w:r>
      <w:proofErr w:type="spellStart"/>
      <w:r w:rsidR="00D311EB">
        <w:t>Eterradossi</w:t>
      </w:r>
      <w:proofErr w:type="spellEnd"/>
      <w:r w:rsidR="00D311EB">
        <w:t xml:space="preserve"> </w:t>
      </w:r>
      <w:r w:rsidR="00B7724F" w:rsidRPr="00B7724F">
        <w:rPr>
          <w:i/>
        </w:rPr>
        <w:t>et al</w:t>
      </w:r>
      <w:r w:rsidR="00D311EB">
        <w:t>., 1995</w:t>
      </w:r>
      <w:r w:rsidR="00FB52DE" w:rsidRPr="002E0DF3">
        <w:t xml:space="preserve">). In-house assays using a homologous antigen have been used extensively for the surveillance of endemic </w:t>
      </w:r>
      <w:proofErr w:type="spellStart"/>
      <w:r w:rsidR="00FB52DE" w:rsidRPr="002E0DF3">
        <w:t>aMPV</w:t>
      </w:r>
      <w:proofErr w:type="spellEnd"/>
      <w:r w:rsidR="00FB52DE" w:rsidRPr="002E0DF3">
        <w:t xml:space="preserve"> strains. Ideally, both acute and convalescent serum samples should be obtained for testing. In chickens, the serological response to </w:t>
      </w:r>
      <w:proofErr w:type="spellStart"/>
      <w:r w:rsidR="00FB52DE" w:rsidRPr="002E0DF3">
        <w:t>aMPV</w:t>
      </w:r>
      <w:proofErr w:type="spellEnd"/>
      <w:r w:rsidR="00FB52DE" w:rsidRPr="002E0DF3">
        <w:t xml:space="preserve"> infection is weak when compared to the response in turkeys</w:t>
      </w:r>
      <w:r w:rsidR="00FB52DE" w:rsidRPr="00F93DEA">
        <w:rPr>
          <w:strike/>
        </w:rPr>
        <w:t xml:space="preserve"> (</w:t>
      </w:r>
      <w:r w:rsidR="00BD7156" w:rsidRPr="00F93DEA">
        <w:rPr>
          <w:strike/>
        </w:rPr>
        <w:t xml:space="preserve">Cook </w:t>
      </w:r>
      <w:r w:rsidR="00B7724F" w:rsidRPr="00F93DEA">
        <w:rPr>
          <w:i/>
          <w:strike/>
        </w:rPr>
        <w:t>et al</w:t>
      </w:r>
      <w:r w:rsidR="00BD7156" w:rsidRPr="00F93DEA">
        <w:rPr>
          <w:strike/>
        </w:rPr>
        <w:t>., 1991</w:t>
      </w:r>
      <w:r w:rsidR="00FB52DE" w:rsidRPr="00F93DEA">
        <w:rPr>
          <w:strike/>
        </w:rPr>
        <w:t>)</w:t>
      </w:r>
      <w:r w:rsidR="00FB52DE" w:rsidRPr="002E0DF3">
        <w:t>.</w:t>
      </w:r>
    </w:p>
    <w:p w14:paraId="49EB16C5" w14:textId="77777777" w:rsidR="00FB52DE" w:rsidRPr="002E0DF3" w:rsidRDefault="007615F3" w:rsidP="00E811AD">
      <w:pPr>
        <w:pStyle w:val="11"/>
        <w:rPr>
          <w:lang w:val="en-IE"/>
        </w:rPr>
      </w:pPr>
      <w:r>
        <w:t>2.1.</w:t>
      </w:r>
      <w:r w:rsidR="00FB52DE" w:rsidRPr="002E0DF3">
        <w:tab/>
      </w:r>
      <w:r w:rsidR="00FB52DE" w:rsidRPr="002E0DF3">
        <w:rPr>
          <w:lang w:val="en-IE"/>
        </w:rPr>
        <w:t>Enzyme-linked immunosorbent assay</w:t>
      </w:r>
    </w:p>
    <w:p w14:paraId="5AD56B7E" w14:textId="0351DB62" w:rsidR="00FB52DE" w:rsidRPr="00472570" w:rsidRDefault="00FB52DE" w:rsidP="00E811AD">
      <w:pPr>
        <w:pStyle w:val="11Para"/>
      </w:pPr>
      <w:r w:rsidRPr="00472570">
        <w:t>The following protocol (</w:t>
      </w:r>
      <w:r w:rsidR="00C2157B" w:rsidRPr="003F598E">
        <w:rPr>
          <w:lang w:val="en-IE"/>
        </w:rPr>
        <w:t xml:space="preserve">Chiang </w:t>
      </w:r>
      <w:r w:rsidR="00B7724F" w:rsidRPr="003F598E">
        <w:rPr>
          <w:i/>
          <w:lang w:val="en-IE"/>
        </w:rPr>
        <w:t>et al</w:t>
      </w:r>
      <w:r w:rsidR="00C2157B" w:rsidRPr="003F598E">
        <w:rPr>
          <w:lang w:val="en-IE"/>
        </w:rPr>
        <w:t>., 2000</w:t>
      </w:r>
      <w:r w:rsidRPr="00472570">
        <w:t>), or alternative methods with well documented results (</w:t>
      </w:r>
      <w:r w:rsidR="001A6B1D" w:rsidRPr="00472570">
        <w:t xml:space="preserve">Giraud </w:t>
      </w:r>
      <w:r w:rsidR="001A6B1D" w:rsidRPr="00472570">
        <w:rPr>
          <w:i/>
        </w:rPr>
        <w:t>et al</w:t>
      </w:r>
      <w:r w:rsidR="001A6B1D" w:rsidRPr="00472570">
        <w:t xml:space="preserve">., 1987; Grant </w:t>
      </w:r>
      <w:r w:rsidR="001A6B1D" w:rsidRPr="00472570">
        <w:rPr>
          <w:i/>
        </w:rPr>
        <w:t>et al</w:t>
      </w:r>
      <w:r w:rsidR="001A6B1D" w:rsidRPr="00472570">
        <w:t>., 1987</w:t>
      </w:r>
      <w:r w:rsidR="001A6B1D">
        <w:t xml:space="preserve">; </w:t>
      </w:r>
      <w:r w:rsidR="007C4656" w:rsidRPr="001A6B1D">
        <w:rPr>
          <w:u w:val="double"/>
        </w:rPr>
        <w:t xml:space="preserve">Gulati </w:t>
      </w:r>
      <w:r w:rsidR="007C4656" w:rsidRPr="001A6B1D">
        <w:rPr>
          <w:i/>
          <w:u w:val="double"/>
        </w:rPr>
        <w:t>et al</w:t>
      </w:r>
      <w:r w:rsidR="007C4656" w:rsidRPr="001A6B1D">
        <w:rPr>
          <w:u w:val="double"/>
        </w:rPr>
        <w:t>., 2000; 2001</w:t>
      </w:r>
      <w:r w:rsidR="00326277">
        <w:rPr>
          <w:u w:val="double"/>
        </w:rPr>
        <w:t>;</w:t>
      </w:r>
      <w:r w:rsidR="001A6B1D" w:rsidRPr="001A6B1D">
        <w:rPr>
          <w:u w:val="double"/>
        </w:rPr>
        <w:t xml:space="preserve"> Luo </w:t>
      </w:r>
      <w:r w:rsidR="001A6B1D" w:rsidRPr="001A6B1D">
        <w:rPr>
          <w:i/>
          <w:u w:val="double"/>
        </w:rPr>
        <w:t>et al</w:t>
      </w:r>
      <w:r w:rsidR="001A6B1D" w:rsidRPr="001A6B1D">
        <w:rPr>
          <w:u w:val="double"/>
        </w:rPr>
        <w:t>., 2004</w:t>
      </w:r>
      <w:r w:rsidRPr="00472570">
        <w:t>), may be used.</w:t>
      </w:r>
    </w:p>
    <w:p w14:paraId="48899824" w14:textId="13CFF880" w:rsidR="00FB52DE" w:rsidRDefault="00FB52DE" w:rsidP="00E811AD">
      <w:pPr>
        <w:pStyle w:val="11Para"/>
      </w:pPr>
      <w:r w:rsidRPr="002E0DF3">
        <w:t>Virus is propagated in chicken embryo fibroblast (CEF) or Vero cell cultures until 70–100% of the monolayer is simultaneously infected (3–4 days). The cell culture fluid is decanted and the monolayer washed with PBS (pH 7.2). The monolayer is lysed with 0.5 ml (per 75 cm</w:t>
      </w:r>
      <w:r w:rsidRPr="003C21D6">
        <w:rPr>
          <w:vertAlign w:val="superscript"/>
        </w:rPr>
        <w:t>2</w:t>
      </w:r>
      <w:r w:rsidRPr="002E0DF3">
        <w:t xml:space="preserve"> flask) of a 0.5% non-ionic detergent solution (IGEPAL CA-630 or </w:t>
      </w:r>
      <w:proofErr w:type="spellStart"/>
      <w:r w:rsidRPr="002E0DF3">
        <w:t>Nonidet</w:t>
      </w:r>
      <w:proofErr w:type="spellEnd"/>
      <w:r w:rsidRPr="002E0DF3">
        <w:t xml:space="preserve"> P-40) on a rocking platform for 1 hour at </w:t>
      </w:r>
      <w:smartTag w:uri="urn:schemas-microsoft-com:office:smarttags" w:element="metricconverter">
        <w:smartTagPr>
          <w:attr w:name="ProductID" w:val="4ﾰC"/>
        </w:smartTagPr>
        <w:r w:rsidRPr="002E0DF3">
          <w:t>4°C</w:t>
        </w:r>
      </w:smartTag>
      <w:r w:rsidRPr="002E0DF3">
        <w:t xml:space="preserve">. Following physical disruption of lysed cells, the whole virus antigen lysate is clarified at </w:t>
      </w:r>
      <w:smartTag w:uri="urn:schemas-microsoft-com:office:smarttags" w:element="metricconverter">
        <w:smartTagPr>
          <w:attr w:name="ProductID" w:val="3000 g"/>
        </w:smartTagPr>
        <w:r w:rsidRPr="002E0DF3">
          <w:t xml:space="preserve">3000 </w:t>
        </w:r>
        <w:r w:rsidRPr="002E0DF3">
          <w:rPr>
            <w:b/>
            <w:i/>
            <w:iCs/>
          </w:rPr>
          <w:t>g</w:t>
        </w:r>
      </w:smartTag>
      <w:r w:rsidRPr="002E0DF3">
        <w:t xml:space="preserve"> for 15 minutes. Uninfected cell cultures are treated in the same manner for a negative control antigen. Serial dilutions of antigen are tested against serial dilutions of anti-species IgG horseradish peroxid</w:t>
      </w:r>
      <w:r w:rsidR="004D5B88">
        <w:t>a</w:t>
      </w:r>
      <w:r w:rsidRPr="002E0DF3">
        <w:t xml:space="preserve">se conjugate in a checker-board fashion to determine the optimal antigen/conjugate dilution. A working dilution of the </w:t>
      </w:r>
      <w:proofErr w:type="spellStart"/>
      <w:r w:rsidRPr="002E0DF3">
        <w:t>aMPV</w:t>
      </w:r>
      <w:proofErr w:type="spellEnd"/>
      <w:r w:rsidRPr="002E0DF3">
        <w:t xml:space="preserve"> antigen and normal antigen (100 µl) are coated onto flat-bottom </w:t>
      </w:r>
      <w:proofErr w:type="spellStart"/>
      <w:r w:rsidRPr="002E0DF3">
        <w:t>microtitre</w:t>
      </w:r>
      <w:proofErr w:type="spellEnd"/>
      <w:r w:rsidRPr="002E0DF3">
        <w:t xml:space="preserve"> plates with a carbonate/bicarbonate coating buffer (</w:t>
      </w:r>
      <w:r w:rsidR="00C2157B" w:rsidRPr="003F598E">
        <w:rPr>
          <w:lang w:val="en-IE"/>
        </w:rPr>
        <w:t xml:space="preserve">Chiang </w:t>
      </w:r>
      <w:r w:rsidR="00B7724F" w:rsidRPr="003F598E">
        <w:rPr>
          <w:i/>
          <w:lang w:val="en-IE"/>
        </w:rPr>
        <w:t>et al</w:t>
      </w:r>
      <w:r w:rsidR="00C2157B" w:rsidRPr="003F598E">
        <w:rPr>
          <w:lang w:val="en-IE"/>
        </w:rPr>
        <w:t>., 2000</w:t>
      </w:r>
      <w:r w:rsidRPr="002E0DF3">
        <w:t xml:space="preserve">). Each serum is tested against </w:t>
      </w:r>
      <w:proofErr w:type="spellStart"/>
      <w:r w:rsidRPr="002E0DF3">
        <w:t>aMPV</w:t>
      </w:r>
      <w:proofErr w:type="spellEnd"/>
      <w:r w:rsidRPr="002E0DF3">
        <w:t xml:space="preserve"> and normal antigen for determination of the S/P ratio. Coated plates are incubated at </w:t>
      </w:r>
      <w:smartTag w:uri="urn:schemas-microsoft-com:office:smarttags" w:element="metricconverter">
        <w:smartTagPr>
          <w:attr w:name="ProductID" w:val="4ﾰC"/>
        </w:smartTagPr>
        <w:r w:rsidRPr="002E0DF3">
          <w:t>4°C</w:t>
        </w:r>
      </w:smartTag>
      <w:r w:rsidRPr="002E0DF3">
        <w:t xml:space="preserve"> overnight and washed a total of five times with a Tween 20 wash solution (</w:t>
      </w:r>
      <w:r w:rsidR="00C2157B" w:rsidRPr="003F598E">
        <w:rPr>
          <w:lang w:val="en-IE"/>
        </w:rPr>
        <w:t xml:space="preserve">Chiang </w:t>
      </w:r>
      <w:r w:rsidR="00B7724F" w:rsidRPr="003F598E">
        <w:rPr>
          <w:i/>
          <w:lang w:val="en-IE"/>
        </w:rPr>
        <w:t>et al</w:t>
      </w:r>
      <w:r w:rsidR="00C2157B" w:rsidRPr="003F598E">
        <w:rPr>
          <w:lang w:val="en-IE"/>
        </w:rPr>
        <w:t>., 2000</w:t>
      </w:r>
      <w:r w:rsidRPr="002E0DF3">
        <w:t>) prior to use or three times prior to long-term storage at –70°C. Residual wash solution remains on the plate when the plates are frozen. Following storage and equilibration to room temperature, the plates are washed twice and blotted dry prior to use.</w:t>
      </w:r>
    </w:p>
    <w:p w14:paraId="619E6EF9" w14:textId="77777777" w:rsidR="007615F3" w:rsidRPr="002E0DF3" w:rsidRDefault="007615F3" w:rsidP="00E811AD">
      <w:pPr>
        <w:pStyle w:val="111"/>
      </w:pPr>
      <w:r>
        <w:t>2.1.1.</w:t>
      </w:r>
      <w:r>
        <w:tab/>
        <w:t>Test method</w:t>
      </w:r>
    </w:p>
    <w:p w14:paraId="161434C1" w14:textId="77777777" w:rsidR="00FB52DE" w:rsidRPr="002E0DF3" w:rsidRDefault="00FB52DE">
      <w:pPr>
        <w:pStyle w:val="i"/>
      </w:pPr>
      <w:r w:rsidRPr="002E0DF3">
        <w:t>i)</w:t>
      </w:r>
      <w:r w:rsidRPr="002E0DF3">
        <w:tab/>
        <w:t>Dilute test sera 1/40 in dilution/blocking buffer (</w:t>
      </w:r>
      <w:r w:rsidR="00C2157B" w:rsidRPr="003F598E">
        <w:rPr>
          <w:lang w:val="en-IE"/>
        </w:rPr>
        <w:t xml:space="preserve">Chiang </w:t>
      </w:r>
      <w:r w:rsidR="00B7724F" w:rsidRPr="003F598E">
        <w:rPr>
          <w:i/>
          <w:lang w:val="en-IE"/>
        </w:rPr>
        <w:t>et al</w:t>
      </w:r>
      <w:r w:rsidR="00C2157B" w:rsidRPr="003F598E">
        <w:rPr>
          <w:lang w:val="en-IE"/>
        </w:rPr>
        <w:t>., 2000</w:t>
      </w:r>
      <w:r w:rsidRPr="002E0DF3">
        <w:t>).</w:t>
      </w:r>
    </w:p>
    <w:p w14:paraId="203891FA" w14:textId="77777777" w:rsidR="00FB52DE" w:rsidRPr="002E0DF3" w:rsidRDefault="00FB52DE">
      <w:pPr>
        <w:pStyle w:val="i"/>
      </w:pPr>
      <w:r w:rsidRPr="002E0DF3">
        <w:t>ii)</w:t>
      </w:r>
      <w:r w:rsidRPr="002E0DF3">
        <w:tab/>
        <w:t xml:space="preserve">Apply 50 µl test sera and working dilutions of positive and negative sera to </w:t>
      </w:r>
      <w:proofErr w:type="spellStart"/>
      <w:r w:rsidRPr="002E0DF3">
        <w:t>aMPV</w:t>
      </w:r>
      <w:proofErr w:type="spellEnd"/>
      <w:r w:rsidRPr="002E0DF3">
        <w:t xml:space="preserve"> antigen and normal antigen-coated wells. </w:t>
      </w:r>
    </w:p>
    <w:p w14:paraId="3544F0B3" w14:textId="77777777" w:rsidR="00FB52DE" w:rsidRPr="002E0DF3" w:rsidRDefault="00FB52DE">
      <w:pPr>
        <w:pStyle w:val="i"/>
      </w:pPr>
      <w:r w:rsidRPr="002E0DF3">
        <w:t>iii)</w:t>
      </w:r>
      <w:r w:rsidRPr="002E0DF3">
        <w:tab/>
        <w:t xml:space="preserve">Incubate at </w:t>
      </w:r>
      <w:r w:rsidRPr="002E0DF3">
        <w:rPr>
          <w:bCs/>
        </w:rPr>
        <w:t>room temperature</w:t>
      </w:r>
      <w:r w:rsidRPr="002E0DF3">
        <w:t xml:space="preserve"> for 1 hour. </w:t>
      </w:r>
    </w:p>
    <w:p w14:paraId="30D2C471" w14:textId="77777777" w:rsidR="00FB52DE" w:rsidRPr="002E0DF3" w:rsidRDefault="00FB52DE">
      <w:pPr>
        <w:pStyle w:val="i"/>
      </w:pPr>
      <w:r w:rsidRPr="002E0DF3">
        <w:t>iv)</w:t>
      </w:r>
      <w:r w:rsidRPr="002E0DF3">
        <w:tab/>
        <w:t>Wash plates five times with Tween 20 wash solution</w:t>
      </w:r>
    </w:p>
    <w:p w14:paraId="20C6EC7C" w14:textId="77777777" w:rsidR="00FB52DE" w:rsidRPr="002E0DF3" w:rsidRDefault="00FB52DE">
      <w:pPr>
        <w:pStyle w:val="i"/>
      </w:pPr>
      <w:r w:rsidRPr="002E0DF3">
        <w:t>v)</w:t>
      </w:r>
      <w:r w:rsidRPr="002E0DF3">
        <w:tab/>
        <w:t xml:space="preserve">Apply 50 µl of the working dilution of anti-species IgG horseradish peroxidase conjugate to each well and incubated for 1 hour at </w:t>
      </w:r>
      <w:r w:rsidRPr="002E0DF3">
        <w:rPr>
          <w:bCs/>
        </w:rPr>
        <w:t>room temperature</w:t>
      </w:r>
      <w:r w:rsidRPr="002E0DF3">
        <w:t>.</w:t>
      </w:r>
    </w:p>
    <w:p w14:paraId="0A6B04D3" w14:textId="77777777" w:rsidR="00FB52DE" w:rsidRPr="002E0DF3" w:rsidRDefault="00FB52DE">
      <w:pPr>
        <w:pStyle w:val="i"/>
      </w:pPr>
      <w:r w:rsidRPr="002E0DF3">
        <w:t>vi)</w:t>
      </w:r>
      <w:r w:rsidRPr="002E0DF3">
        <w:tab/>
        <w:t>Wash plates five times with Tween 20 wash solution</w:t>
      </w:r>
    </w:p>
    <w:p w14:paraId="46A4D9D6" w14:textId="5C7D71CD" w:rsidR="00FB52DE" w:rsidRPr="002E0DF3" w:rsidRDefault="00FB52DE">
      <w:pPr>
        <w:pStyle w:val="i"/>
      </w:pPr>
      <w:r w:rsidRPr="002E0DF3">
        <w:t>vii)</w:t>
      </w:r>
      <w:r w:rsidRPr="002E0DF3">
        <w:tab/>
        <w:t>Apply 100 µl of the prepared ortho-phenylenediam</w:t>
      </w:r>
      <w:r w:rsidR="00EA6A48" w:rsidRPr="00162C31">
        <w:rPr>
          <w:u w:val="double"/>
        </w:rPr>
        <w:t>in</w:t>
      </w:r>
      <w:r w:rsidRPr="002E0DF3">
        <w:t xml:space="preserve">e (OPD) </w:t>
      </w:r>
      <w:r w:rsidR="005740C2" w:rsidRPr="006E5C4E">
        <w:rPr>
          <w:u w:val="double"/>
        </w:rPr>
        <w:t>chro</w:t>
      </w:r>
      <w:r w:rsidR="00EB2D2C" w:rsidRPr="006E5C4E">
        <w:rPr>
          <w:u w:val="double"/>
        </w:rPr>
        <w:t>mogen/</w:t>
      </w:r>
      <w:r w:rsidRPr="002E0DF3">
        <w:t>substrate solution to each well and incubate</w:t>
      </w:r>
      <w:r w:rsidRPr="00162C31">
        <w:rPr>
          <w:strike/>
        </w:rPr>
        <w:t>d</w:t>
      </w:r>
      <w:r w:rsidRPr="002E0DF3">
        <w:t xml:space="preserve"> for 10 minutes in the dark. Combine the following reagents for preparation of OPD</w:t>
      </w:r>
      <w:r w:rsidR="00A91A8C" w:rsidRPr="00162C31">
        <w:t xml:space="preserve"> </w:t>
      </w:r>
      <w:r w:rsidR="00A91A8C" w:rsidRPr="00162C31">
        <w:rPr>
          <w:u w:val="double"/>
        </w:rPr>
        <w:t>in a suitable</w:t>
      </w:r>
      <w:r w:rsidR="00A91A8C" w:rsidRPr="00162C31">
        <w:t xml:space="preserve"> substrate</w:t>
      </w:r>
      <w:r w:rsidRPr="00162C31">
        <w:rPr>
          <w:strike/>
        </w:rPr>
        <w:t xml:space="preserve">: 243 ml 0.1 M citric acid, 257 ml </w:t>
      </w:r>
      <w:smartTag w:uri="urn:schemas-microsoft-com:office:smarttags" w:element="metricconverter">
        <w:smartTagPr>
          <w:attr w:name="ProductID" w:val="0.2 M"/>
        </w:smartTagPr>
        <w:r w:rsidRPr="00162C31">
          <w:rPr>
            <w:strike/>
          </w:rPr>
          <w:t>0.2 M</w:t>
        </w:r>
      </w:smartTag>
      <w:r w:rsidRPr="00162C31">
        <w:rPr>
          <w:strike/>
        </w:rPr>
        <w:t xml:space="preserve"> disodium hydrogen phosphate, adjust pH to 5.0 and QS to </w:t>
      </w:r>
      <w:smartTag w:uri="urn:schemas-microsoft-com:office:smarttags" w:element="metricconverter">
        <w:smartTagPr>
          <w:attr w:name="ProductID" w:val="1 litre"/>
        </w:smartTagPr>
        <w:r w:rsidRPr="00162C31">
          <w:rPr>
            <w:strike/>
          </w:rPr>
          <w:t xml:space="preserve">1 </w:t>
        </w:r>
        <w:r w:rsidR="00F67717" w:rsidRPr="00162C31">
          <w:rPr>
            <w:strike/>
          </w:rPr>
          <w:t>litre</w:t>
        </w:r>
      </w:smartTag>
      <w:r w:rsidRPr="00162C31">
        <w:rPr>
          <w:strike/>
        </w:rPr>
        <w:t xml:space="preserve"> with distilled water. </w:t>
      </w:r>
    </w:p>
    <w:p w14:paraId="3D45AFA6" w14:textId="77777777" w:rsidR="00FB52DE" w:rsidRPr="002E0DF3" w:rsidRDefault="00FB52DE">
      <w:pPr>
        <w:pStyle w:val="i"/>
      </w:pPr>
      <w:r w:rsidRPr="002E0DF3">
        <w:t>viii)</w:t>
      </w:r>
      <w:r w:rsidRPr="002E0DF3">
        <w:tab/>
        <w:t xml:space="preserve">Stop the reaction with 25 µl/well of </w:t>
      </w:r>
      <w:smartTag w:uri="urn:schemas-microsoft-com:office:smarttags" w:element="metricconverter">
        <w:smartTagPr>
          <w:attr w:name="ProductID" w:val="2.5 M"/>
        </w:smartTagPr>
        <w:r w:rsidRPr="002E0DF3">
          <w:t>2.5 M</w:t>
        </w:r>
      </w:smartTag>
      <w:r w:rsidRPr="002E0DF3">
        <w:t xml:space="preserve"> sulphuric acid.</w:t>
      </w:r>
    </w:p>
    <w:p w14:paraId="35704308" w14:textId="77777777" w:rsidR="00FB52DE" w:rsidRPr="002E0DF3" w:rsidRDefault="00FB52DE">
      <w:pPr>
        <w:pStyle w:val="i"/>
      </w:pPr>
      <w:r w:rsidRPr="002E0DF3">
        <w:t>ix)</w:t>
      </w:r>
      <w:r w:rsidRPr="002E0DF3">
        <w:tab/>
        <w:t xml:space="preserve">Read the </w:t>
      </w:r>
      <w:r w:rsidRPr="002E0DF3">
        <w:rPr>
          <w:rStyle w:val="iparalastCar"/>
        </w:rPr>
        <w:t>OD</w:t>
      </w:r>
      <w:r w:rsidRPr="002E0DF3">
        <w:t xml:space="preserve"> at 490/450 nm. </w:t>
      </w:r>
    </w:p>
    <w:p w14:paraId="2EC84793" w14:textId="614A3114" w:rsidR="00FB52DE" w:rsidRDefault="00FB52DE" w:rsidP="00E811AD">
      <w:pPr>
        <w:pStyle w:val="11Para"/>
        <w:spacing w:after="480"/>
      </w:pPr>
      <w:r w:rsidRPr="002E0DF3">
        <w:t>The results are expressed as the OD difference between the virus antigen-coated and negative control antigen-coated wells. Determine the mean OD</w:t>
      </w:r>
      <w:r w:rsidRPr="003C21D6">
        <w:rPr>
          <w:vertAlign w:val="subscript"/>
        </w:rPr>
        <w:t>490</w:t>
      </w:r>
      <w:r w:rsidRPr="002E0DF3">
        <w:t xml:space="preserve"> reading for each duplicate set of wells with the positive and negative antigen for each serum. The antigens are usually calibrated so that a sample with an OD</w:t>
      </w:r>
      <w:r w:rsidRPr="003C21D6">
        <w:rPr>
          <w:vertAlign w:val="subscript"/>
        </w:rPr>
        <w:t>490</w:t>
      </w:r>
      <w:r w:rsidRPr="002E0DF3">
        <w:t xml:space="preserve"> difference between the antigen-coated and negative control antigen-coated wells of more than 0.2 is </w:t>
      </w:r>
      <w:r w:rsidRPr="002E0DF3">
        <w:lastRenderedPageBreak/>
        <w:t>considered positive (upon development of the method in a laboratory, this threshold may need to be re-evaluated under local conditions, by assessing a panel of negative sera with the newly p</w:t>
      </w:r>
      <w:r w:rsidR="001B7E66">
        <w:t>repared antigens). Sporadic non</w:t>
      </w:r>
      <w:r w:rsidRPr="002E0DF3">
        <w:t>specific positive reactions are inherent with the ELISA, especially with chicken or duck sera, and immunofluorescence may be used for confirmation testing.</w:t>
      </w:r>
    </w:p>
    <w:p w14:paraId="4D20E6D9" w14:textId="32DC0B7B" w:rsidR="00C8724A" w:rsidRPr="00F730D5" w:rsidRDefault="00C8724A" w:rsidP="00C8724A">
      <w:pPr>
        <w:pStyle w:val="A0"/>
        <w:spacing w:after="200"/>
        <w:rPr>
          <w:lang w:val="en-IE"/>
        </w:rPr>
      </w:pPr>
      <w:r w:rsidRPr="00F730D5">
        <w:rPr>
          <w:lang w:val="en-IE"/>
        </w:rPr>
        <w:t xml:space="preserve">c.  REQUIREMENTS FOR VACCINES </w:t>
      </w:r>
      <w:r w:rsidR="001A6B1D" w:rsidRPr="00041BFB">
        <w:rPr>
          <w:strike/>
        </w:rPr>
        <w:t>AND DIAGNOSTIC BIOLOGICALS</w:t>
      </w:r>
    </w:p>
    <w:p w14:paraId="1ABFC48C" w14:textId="678335F0" w:rsidR="00C8724A" w:rsidRPr="001A6B1D" w:rsidRDefault="00C8724A" w:rsidP="00C8724A">
      <w:pPr>
        <w:pStyle w:val="1"/>
        <w:rPr>
          <w:u w:val="double"/>
          <w:lang w:val="en-IE"/>
        </w:rPr>
      </w:pPr>
      <w:r w:rsidRPr="001A6B1D">
        <w:rPr>
          <w:u w:val="double"/>
          <w:lang w:val="en-IE"/>
        </w:rPr>
        <w:t>1.</w:t>
      </w:r>
      <w:r w:rsidRPr="001A6B1D">
        <w:rPr>
          <w:u w:val="double"/>
          <w:lang w:val="en-IE"/>
        </w:rPr>
        <w:tab/>
        <w:t>Background</w:t>
      </w:r>
    </w:p>
    <w:p w14:paraId="31E459F3" w14:textId="417A79CC" w:rsidR="00444EF9" w:rsidRPr="002E0DF3" w:rsidRDefault="00444EF9" w:rsidP="00124355">
      <w:pPr>
        <w:pStyle w:val="paraA0"/>
      </w:pPr>
      <w:r w:rsidRPr="002E0DF3">
        <w:t>Two types of vaccine</w:t>
      </w:r>
      <w:r w:rsidR="009E473E" w:rsidRPr="002E0DF3">
        <w:t xml:space="preserve"> </w:t>
      </w:r>
      <w:r w:rsidRPr="002E0DF3">
        <w:t>are commercially available for the control of TRT: live attenuated vaccines, or inactivated oil-emulsion adjuvanted vaccines</w:t>
      </w:r>
      <w:r w:rsidRPr="00115864">
        <w:rPr>
          <w:strike/>
        </w:rPr>
        <w:t xml:space="preserve"> (</w:t>
      </w:r>
      <w:r w:rsidR="00C2157B" w:rsidRPr="00115864">
        <w:rPr>
          <w:strike/>
        </w:rPr>
        <w:t>Cook, 2000a</w:t>
      </w:r>
      <w:r w:rsidR="00472570" w:rsidRPr="00115864">
        <w:rPr>
          <w:strike/>
        </w:rPr>
        <w:t>)</w:t>
      </w:r>
      <w:r w:rsidR="00472570" w:rsidRPr="001A6B1D">
        <w:t>.</w:t>
      </w:r>
      <w:r w:rsidR="001A6B1D" w:rsidRPr="001A6B1D">
        <w:t xml:space="preserve"> </w:t>
      </w:r>
      <w:r w:rsidR="001A6B1D" w:rsidRPr="00041BFB">
        <w:rPr>
          <w:strike/>
        </w:rPr>
        <w:t xml:space="preserve">The vaccines are </w:t>
      </w:r>
      <w:r w:rsidR="001A6B1D" w:rsidRPr="00041BFB">
        <w:rPr>
          <w:strike/>
          <w:szCs w:val="24"/>
          <w:lang w:eastAsia="en-GB"/>
        </w:rPr>
        <w:t>intended for use only in turkeys.</w:t>
      </w:r>
      <w:r w:rsidR="001A6B1D" w:rsidRPr="00041BFB">
        <w:rPr>
          <w:strike/>
        </w:rPr>
        <w:t xml:space="preserve"> </w:t>
      </w:r>
      <w:r w:rsidRPr="001A6B1D">
        <w:t>The</w:t>
      </w:r>
      <w:r w:rsidRPr="002E0DF3">
        <w:t xml:space="preserve"> possibility exists of developing live recombinant vaccines based on a </w:t>
      </w:r>
      <w:proofErr w:type="spellStart"/>
      <w:r w:rsidRPr="002E0DF3">
        <w:t>fowlpox</w:t>
      </w:r>
      <w:proofErr w:type="spellEnd"/>
      <w:r w:rsidRPr="002E0DF3">
        <w:t xml:space="preserve"> vector expressing the F protein of </w:t>
      </w:r>
      <w:proofErr w:type="spellStart"/>
      <w:r w:rsidRPr="002E0DF3">
        <w:t>aMPV</w:t>
      </w:r>
      <w:proofErr w:type="spellEnd"/>
      <w:r w:rsidRPr="002E0DF3">
        <w:t xml:space="preserve"> (</w:t>
      </w:r>
      <w:r w:rsidR="00A74CEF" w:rsidRPr="00B7724F">
        <w:t>Stuart, 1989</w:t>
      </w:r>
      <w:r w:rsidRPr="002E0DF3">
        <w:t xml:space="preserve">), DNA vaccines encoding various </w:t>
      </w:r>
      <w:proofErr w:type="spellStart"/>
      <w:r w:rsidRPr="002E0DF3">
        <w:t>aMPV</w:t>
      </w:r>
      <w:proofErr w:type="spellEnd"/>
      <w:r w:rsidRPr="002E0DF3">
        <w:t xml:space="preserve"> proteins (</w:t>
      </w:r>
      <w:r w:rsidR="00A74CEF">
        <w:t xml:space="preserve">Tanaka </w:t>
      </w:r>
      <w:r w:rsidR="00B7724F" w:rsidRPr="00B7724F">
        <w:rPr>
          <w:i/>
        </w:rPr>
        <w:t>et al</w:t>
      </w:r>
      <w:r w:rsidR="00A74CEF">
        <w:t>., 1995</w:t>
      </w:r>
      <w:r w:rsidRPr="002E0DF3">
        <w:t xml:space="preserve">) and, more recently, genetically attenuated </w:t>
      </w:r>
      <w:proofErr w:type="spellStart"/>
      <w:r w:rsidRPr="002E0DF3">
        <w:t>aMPV</w:t>
      </w:r>
      <w:proofErr w:type="spellEnd"/>
      <w:r w:rsidRPr="002E0DF3">
        <w:t xml:space="preserve"> produced by reverse genetics</w:t>
      </w:r>
      <w:r w:rsidRPr="009733A1">
        <w:rPr>
          <w:strike/>
        </w:rPr>
        <w:t xml:space="preserve"> (</w:t>
      </w:r>
      <w:proofErr w:type="spellStart"/>
      <w:r w:rsidR="00A74CEF" w:rsidRPr="009733A1">
        <w:rPr>
          <w:strike/>
        </w:rPr>
        <w:t>Toquin</w:t>
      </w:r>
      <w:proofErr w:type="spellEnd"/>
      <w:r w:rsidR="00A74CEF" w:rsidRPr="009733A1">
        <w:rPr>
          <w:strike/>
        </w:rPr>
        <w:t xml:space="preserve"> </w:t>
      </w:r>
      <w:r w:rsidR="00B7724F" w:rsidRPr="009733A1">
        <w:rPr>
          <w:i/>
          <w:strike/>
        </w:rPr>
        <w:t>et al</w:t>
      </w:r>
      <w:r w:rsidR="00A74CEF" w:rsidRPr="009733A1">
        <w:rPr>
          <w:strike/>
        </w:rPr>
        <w:t>., 1999</w:t>
      </w:r>
      <w:r w:rsidRPr="009733A1">
        <w:rPr>
          <w:strike/>
        </w:rPr>
        <w:t>)</w:t>
      </w:r>
      <w:r w:rsidRPr="002E0DF3">
        <w:t>.</w:t>
      </w:r>
    </w:p>
    <w:p w14:paraId="205B9A18" w14:textId="77777777" w:rsidR="00444EF9" w:rsidRPr="002E0DF3" w:rsidRDefault="00444EF9" w:rsidP="00124355">
      <w:pPr>
        <w:pStyle w:val="paraA0"/>
      </w:pPr>
      <w:r w:rsidRPr="002E0DF3">
        <w:t>Guidelines for the production of veterinary vaccines are given in Chapter 1.1.</w:t>
      </w:r>
      <w:r w:rsidR="007F01C5">
        <w:t>8</w:t>
      </w:r>
      <w:r w:rsidRPr="002E0DF3">
        <w:t xml:space="preserve"> </w:t>
      </w:r>
      <w:r w:rsidRPr="00171E83">
        <w:rPr>
          <w:i/>
        </w:rPr>
        <w:t>Principles of veterinary vaccine production</w:t>
      </w:r>
      <w:r w:rsidRPr="002E0DF3">
        <w:t xml:space="preserve">. The guidelines given here and in </w:t>
      </w:r>
      <w:r w:rsidR="00D92713">
        <w:t>c</w:t>
      </w:r>
      <w:r w:rsidRPr="002E0DF3">
        <w:t>hapter 1.1.</w:t>
      </w:r>
      <w:r w:rsidR="007F01C5">
        <w:t>8</w:t>
      </w:r>
      <w:r w:rsidRPr="002E0DF3">
        <w:t xml:space="preserve"> are intended to be general in nature and may be supplemented by national and regional requirements.</w:t>
      </w:r>
    </w:p>
    <w:p w14:paraId="625F7067" w14:textId="77777777" w:rsidR="00C8724A" w:rsidRPr="001A6B1D" w:rsidRDefault="00C8724A" w:rsidP="001A6B1D">
      <w:pPr>
        <w:pStyle w:val="11"/>
      </w:pPr>
      <w:r w:rsidRPr="001A6B1D">
        <w:t>1.</w:t>
      </w:r>
      <w:r w:rsidRPr="001A6B1D">
        <w:rPr>
          <w:u w:val="double"/>
        </w:rPr>
        <w:t>1.</w:t>
      </w:r>
      <w:r w:rsidRPr="001A6B1D">
        <w:tab/>
        <w:t>Live vaccines: methods of use</w:t>
      </w:r>
    </w:p>
    <w:p w14:paraId="4AC04C02" w14:textId="77777777" w:rsidR="00444EF9" w:rsidRPr="002E0DF3" w:rsidRDefault="00444EF9" w:rsidP="00326277">
      <w:pPr>
        <w:pStyle w:val="11Para"/>
      </w:pPr>
      <w:r w:rsidRPr="002E0DF3">
        <w:t xml:space="preserve">Live TRT vaccines are produced from virus strains that have been attenuated by serial passage in embryonating eggs, tracheal organ cultures or cell culture (various cell lines or chicken embryo fibroblasts), or by alternate passages using a combination of these methods. Commercially available live attenuated TRT vaccines have been derived from subgroup A or subgroup B </w:t>
      </w:r>
      <w:proofErr w:type="spellStart"/>
      <w:r w:rsidRPr="002E0DF3">
        <w:t>aMPV</w:t>
      </w:r>
      <w:proofErr w:type="spellEnd"/>
      <w:r w:rsidRPr="002E0DF3">
        <w:t xml:space="preserve"> isolates in Europe, and from a subgroup C </w:t>
      </w:r>
      <w:proofErr w:type="spellStart"/>
      <w:r w:rsidRPr="002E0DF3">
        <w:t>aMPV</w:t>
      </w:r>
      <w:proofErr w:type="spellEnd"/>
      <w:r w:rsidRPr="002E0DF3">
        <w:t xml:space="preserve"> isolate in the </w:t>
      </w:r>
      <w:smartTag w:uri="urn:schemas-microsoft-com:office:smarttags" w:element="place">
        <w:smartTag w:uri="urn:schemas-microsoft-com:office:smarttags" w:element="country-region">
          <w:r w:rsidRPr="002E0DF3">
            <w:t>USA</w:t>
          </w:r>
        </w:smartTag>
      </w:smartTag>
      <w:r w:rsidRPr="002E0DF3">
        <w:t xml:space="preserve">. The </w:t>
      </w:r>
      <w:proofErr w:type="spellStart"/>
      <w:r w:rsidRPr="002E0DF3">
        <w:t>aMPV</w:t>
      </w:r>
      <w:proofErr w:type="spellEnd"/>
      <w:r w:rsidRPr="002E0DF3">
        <w:t xml:space="preserve"> subgroup to which the vaccine belongs should be mentioned in the vaccine label, as this information is relevant to the development of efficient post-vaccination serological monitoring. Live TRT vaccines are intended for use in young birds to induce an active immune response that will help to prevent the respiratory disease caused by </w:t>
      </w:r>
      <w:proofErr w:type="spellStart"/>
      <w:r w:rsidRPr="002E0DF3">
        <w:t>aMPV</w:t>
      </w:r>
      <w:proofErr w:type="spellEnd"/>
      <w:r w:rsidRPr="002E0DF3">
        <w:t>. Additionally, live TRT vaccines are also used in parent turkeys to produce a primary response prior to vaccination near to point-of-lay using inactivated vaccine (see below).</w:t>
      </w:r>
    </w:p>
    <w:p w14:paraId="4E30BBF9" w14:textId="398890EB" w:rsidR="00444EF9" w:rsidRPr="002E0DF3" w:rsidRDefault="00444EF9" w:rsidP="001A6B1D">
      <w:pPr>
        <w:pStyle w:val="11Para"/>
      </w:pPr>
      <w:r w:rsidRPr="002E0DF3">
        <w:t xml:space="preserve">Live TRT vaccines are usually applied several times by coarse spray, in the drinking water, or by </w:t>
      </w:r>
      <w:proofErr w:type="spellStart"/>
      <w:r w:rsidRPr="002E0DF3">
        <w:t>oculonasal</w:t>
      </w:r>
      <w:proofErr w:type="spellEnd"/>
      <w:r w:rsidRPr="002E0DF3">
        <w:t xml:space="preserve"> administration. There is a published report on the use of a single </w:t>
      </w:r>
      <w:r w:rsidRPr="002E0DF3">
        <w:rPr>
          <w:i/>
          <w:iCs/>
        </w:rPr>
        <w:t>in-</w:t>
      </w:r>
      <w:proofErr w:type="spellStart"/>
      <w:r w:rsidRPr="002E0DF3">
        <w:rPr>
          <w:i/>
          <w:iCs/>
        </w:rPr>
        <w:t>ovo</w:t>
      </w:r>
      <w:proofErr w:type="spellEnd"/>
      <w:r w:rsidRPr="002E0DF3">
        <w:t xml:space="preserve"> injection (</w:t>
      </w:r>
      <w:r w:rsidR="00A74CEF">
        <w:t xml:space="preserve">Shin </w:t>
      </w:r>
      <w:r w:rsidR="00B7724F" w:rsidRPr="00B7724F">
        <w:rPr>
          <w:i/>
        </w:rPr>
        <w:t>et al</w:t>
      </w:r>
      <w:r w:rsidR="00A74CEF">
        <w:t>., 2002b</w:t>
      </w:r>
      <w:r w:rsidRPr="002E0DF3">
        <w:t>), but, more often, the first TRT live vaccination is administered to turkeys at day-old or up to 7</w:t>
      </w:r>
      <w:r w:rsidR="00326277">
        <w:t> </w:t>
      </w:r>
      <w:r w:rsidRPr="002E0DF3">
        <w:t>days of age. The second TRT live vaccine is either applied around 6 weeks of age (when only two vaccinations are performed), or around 3</w:t>
      </w:r>
      <w:r w:rsidR="00171E83">
        <w:t> </w:t>
      </w:r>
      <w:r w:rsidRPr="002E0DF3">
        <w:t xml:space="preserve">weeks of age </w:t>
      </w:r>
      <w:r w:rsidR="004B15DF" w:rsidRPr="002E0DF3">
        <w:t>(</w:t>
      </w:r>
      <w:r w:rsidRPr="002E0DF3">
        <w:t>when there is a third application</w:t>
      </w:r>
      <w:r w:rsidR="004B15DF" w:rsidRPr="002E0DF3">
        <w:t>)</w:t>
      </w:r>
      <w:r w:rsidRPr="002E0DF3">
        <w:t xml:space="preserve"> or after 6 weeks of age. The rationale for these repeated vaccinations is linked first to the difficulties of inducing a prolonged antibody response lasting for the whole life of the meat turkeys, and second to the need to avoid TRT vaccination in young turkeys when they have recently been vaccinated against haemorrhagic enteritis (vaccines against haemorrhagic enteritis virus [HEV], are usually administered at around 28</w:t>
      </w:r>
      <w:r w:rsidR="00C16CFF">
        <w:t> </w:t>
      </w:r>
      <w:r w:rsidRPr="002E0DF3">
        <w:t xml:space="preserve">days of age to avoid interference with maternally derived antibodies [MDA] to HEV). Although it has been published that MDA to TRTV do not prevent infection of day-old turkeys by virulent </w:t>
      </w:r>
      <w:proofErr w:type="spellStart"/>
      <w:r w:rsidRPr="002E0DF3">
        <w:t>aMPV</w:t>
      </w:r>
      <w:proofErr w:type="spellEnd"/>
      <w:r w:rsidRPr="002E0DF3">
        <w:t xml:space="preserve"> strains (</w:t>
      </w:r>
      <w:proofErr w:type="spellStart"/>
      <w:r w:rsidR="00A74CEF">
        <w:t>Toquin</w:t>
      </w:r>
      <w:proofErr w:type="spellEnd"/>
      <w:r w:rsidR="00A74CEF">
        <w:t xml:space="preserve"> </w:t>
      </w:r>
      <w:r w:rsidR="00B7724F" w:rsidRPr="00B7724F">
        <w:rPr>
          <w:i/>
        </w:rPr>
        <w:t>et al</w:t>
      </w:r>
      <w:r w:rsidR="00A74CEF">
        <w:t>., 2003</w:t>
      </w:r>
      <w:r w:rsidRPr="002E0DF3">
        <w:t xml:space="preserve">), it has been observed that some interference between MDA and some live TRT vaccines may occur and result in lower vaccine take in young turkeys with higher MDA levels. Clinical cross-protection between live vaccine and challenge virus belonging to subgroups A or B (and </w:t>
      </w:r>
      <w:r w:rsidRPr="002E0DF3">
        <w:rPr>
          <w:i/>
          <w:iCs/>
        </w:rPr>
        <w:t>vice versa</w:t>
      </w:r>
      <w:r w:rsidRPr="002E0DF3">
        <w:t>) has been reported (</w:t>
      </w:r>
      <w:r w:rsidR="00D311EB">
        <w:t xml:space="preserve">Cook </w:t>
      </w:r>
      <w:r w:rsidR="00B7724F" w:rsidRPr="00B7724F">
        <w:rPr>
          <w:i/>
        </w:rPr>
        <w:t>et al</w:t>
      </w:r>
      <w:r w:rsidR="00D311EB">
        <w:t>., 1993b</w:t>
      </w:r>
      <w:r w:rsidR="00221851">
        <w:t>;</w:t>
      </w:r>
      <w:r w:rsidRPr="002E0DF3">
        <w:t xml:space="preserve"> </w:t>
      </w:r>
      <w:proofErr w:type="spellStart"/>
      <w:r w:rsidR="00B7724F">
        <w:t>Velayudhan</w:t>
      </w:r>
      <w:proofErr w:type="spellEnd"/>
      <w:r w:rsidR="00B7724F">
        <w:t xml:space="preserve"> </w:t>
      </w:r>
      <w:r w:rsidR="00B7724F" w:rsidRPr="00B7724F">
        <w:rPr>
          <w:i/>
        </w:rPr>
        <w:t>et al</w:t>
      </w:r>
      <w:r w:rsidR="00B7724F">
        <w:t>., 2005</w:t>
      </w:r>
      <w:r w:rsidR="00221851" w:rsidRPr="009733A1">
        <w:rPr>
          <w:strike/>
        </w:rPr>
        <w:t>;</w:t>
      </w:r>
      <w:r w:rsidRPr="009733A1">
        <w:rPr>
          <w:strike/>
        </w:rPr>
        <w:t xml:space="preserve"> </w:t>
      </w:r>
      <w:r w:rsidR="00B7724F" w:rsidRPr="009733A1">
        <w:rPr>
          <w:strike/>
        </w:rPr>
        <w:t xml:space="preserve">Worthington </w:t>
      </w:r>
      <w:r w:rsidR="00B7724F" w:rsidRPr="009733A1">
        <w:rPr>
          <w:i/>
          <w:strike/>
        </w:rPr>
        <w:t>et al</w:t>
      </w:r>
      <w:r w:rsidR="00B7724F" w:rsidRPr="009733A1">
        <w:rPr>
          <w:strike/>
        </w:rPr>
        <w:t>., 2003</w:t>
      </w:r>
      <w:r w:rsidRPr="002E0DF3">
        <w:t xml:space="preserve">). Protective immunity was also observed when birds immunised against </w:t>
      </w:r>
      <w:proofErr w:type="spellStart"/>
      <w:r w:rsidRPr="002E0DF3">
        <w:t>aMPV</w:t>
      </w:r>
      <w:proofErr w:type="spellEnd"/>
      <w:r w:rsidRPr="002E0DF3">
        <w:t xml:space="preserve"> subgroups A or B were subsequently challenged with a subgroup C virulent virus, but not in the converse experiment</w:t>
      </w:r>
      <w:r w:rsidRPr="009733A1">
        <w:t xml:space="preserve"> </w:t>
      </w:r>
      <w:r w:rsidRPr="009733A1">
        <w:rPr>
          <w:strike/>
        </w:rPr>
        <w:t>(</w:t>
      </w:r>
      <w:r w:rsidR="00B7724F" w:rsidRPr="009733A1">
        <w:rPr>
          <w:strike/>
        </w:rPr>
        <w:t xml:space="preserve">Worthington </w:t>
      </w:r>
      <w:r w:rsidR="00B7724F" w:rsidRPr="009733A1">
        <w:rPr>
          <w:i/>
          <w:strike/>
        </w:rPr>
        <w:t>et al</w:t>
      </w:r>
      <w:r w:rsidR="00B7724F" w:rsidRPr="009733A1">
        <w:rPr>
          <w:strike/>
        </w:rPr>
        <w:t>., 2003</w:t>
      </w:r>
      <w:r w:rsidRPr="009733A1">
        <w:rPr>
          <w:strike/>
        </w:rPr>
        <w:t>)</w:t>
      </w:r>
      <w:r w:rsidRPr="002E0DF3">
        <w:t>.</w:t>
      </w:r>
    </w:p>
    <w:p w14:paraId="3EA811BB" w14:textId="783B43AC" w:rsidR="00444EF9" w:rsidRPr="002E0DF3" w:rsidRDefault="00444EF9" w:rsidP="001A6B1D">
      <w:pPr>
        <w:pStyle w:val="11Para"/>
      </w:pPr>
      <w:r w:rsidRPr="002E0DF3">
        <w:t xml:space="preserve">Avian metapneumoviruses are very easily neutralised in the environment by physical and chemical agents and </w:t>
      </w:r>
      <w:r w:rsidR="00DA3279" w:rsidRPr="00B92BF3">
        <w:rPr>
          <w:u w:val="double"/>
        </w:rPr>
        <w:t>thus</w:t>
      </w:r>
      <w:r w:rsidR="00DA3279" w:rsidRPr="00B92BF3">
        <w:t xml:space="preserve"> </w:t>
      </w:r>
      <w:r w:rsidRPr="00B92BF3">
        <w:t xml:space="preserve">ensuring </w:t>
      </w:r>
      <w:r w:rsidRPr="002E0DF3">
        <w:t xml:space="preserve">good live vaccination against these viruses may be demanding. If the vaccine is given in the drinking water, clean water with a neutral pH must be used </w:t>
      </w:r>
      <w:r w:rsidR="0053341F" w:rsidRPr="002E0DF3">
        <w:t>and it must be</w:t>
      </w:r>
      <w:r w:rsidRPr="002E0DF3">
        <w:t xml:space="preserve"> free from smell or taste of chlorine or metals. Skimmed milk powder may be added at a rate of </w:t>
      </w:r>
      <w:smartTag w:uri="urn:schemas-microsoft-com:office:smarttags" w:element="metricconverter">
        <w:smartTagPr>
          <w:attr w:name="ProductID" w:val="2ﾠg"/>
        </w:smartTagPr>
        <w:r w:rsidRPr="002E0DF3">
          <w:t>2 g</w:t>
        </w:r>
      </w:smartTag>
      <w:r w:rsidRPr="002E0DF3">
        <w:t xml:space="preserve"> per litre. Care must be taken to ensure that all birds receive their dose of vaccine. To this end, all water should be removed (cut off) for 2–3 hours before the medicated water is made available and care must be taken that no residual water remains in the water adduction pipes or in the drinkers. If the vaccine is given by spray, high quality water with a neutral pH and</w:t>
      </w:r>
      <w:r w:rsidR="0053341F" w:rsidRPr="002E0DF3">
        <w:t xml:space="preserve"> with</w:t>
      </w:r>
      <w:r w:rsidRPr="002E0DF3">
        <w:t xml:space="preserve"> no disinfectant residues should be used. A specific nebuliser should be used that will be used for no other purpose but vaccination. This apparatus should ideally allow for constant pressure throughout the vaccination process (and thus for a constant size of the vaccine droplets). The turkeys to be vaccinated should be grouped together prior to vaccination and several passes with the nebuliser should be performed to ensure that all birds are indeed exposed to the spray. The ventilation and heating of the poultry house should be turned as low as practical, so that the nebulised vaccine is neither eliminated by ventilation, nor inactivated by overheating (heating moreover </w:t>
      </w:r>
      <w:r w:rsidRPr="002E0DF3">
        <w:lastRenderedPageBreak/>
        <w:t>favours evaporation, which decreases the size of the nebulised vaccine droplets and cause an increase proportion of the vaccine to reach the lower respiratory tract, a phenomenon that has been suspected to contribute to adverse reactions to</w:t>
      </w:r>
      <w:r w:rsidR="001C6AE0" w:rsidRPr="002E0DF3">
        <w:t xml:space="preserve"> live</w:t>
      </w:r>
      <w:r w:rsidRPr="002E0DF3">
        <w:t xml:space="preserve"> vaccination). It is important that the birds are allowed to calm down immediately after spraying as</w:t>
      </w:r>
      <w:r w:rsidR="001C6AE0" w:rsidRPr="002E0DF3">
        <w:t xml:space="preserve"> </w:t>
      </w:r>
      <w:r w:rsidRPr="002E0DF3">
        <w:t>a non-negligible amount of the vaccine may be absorbed when the birds preen their feathers after being exposed to the vaccine spray.</w:t>
      </w:r>
    </w:p>
    <w:p w14:paraId="50BCF758" w14:textId="64595D57" w:rsidR="00444EF9" w:rsidRPr="002E0DF3" w:rsidRDefault="00472570" w:rsidP="001A6B1D">
      <w:pPr>
        <w:pStyle w:val="11Para"/>
      </w:pPr>
      <w:proofErr w:type="spellStart"/>
      <w:r>
        <w:t>aMPV</w:t>
      </w:r>
      <w:proofErr w:type="spellEnd"/>
      <w:r w:rsidR="00444EF9" w:rsidRPr="002E0DF3">
        <w:t xml:space="preserve"> vaccines have been reported not to interfere with Newcastle disease vaccines in chickens (</w:t>
      </w:r>
      <w:r w:rsidR="00DC6D28">
        <w:t xml:space="preserve">Van De </w:t>
      </w:r>
      <w:r w:rsidR="00B7724F">
        <w:t xml:space="preserve">Zande </w:t>
      </w:r>
      <w:r w:rsidR="00B7724F" w:rsidRPr="00B7724F">
        <w:rPr>
          <w:i/>
        </w:rPr>
        <w:t>et al</w:t>
      </w:r>
      <w:r w:rsidR="00B7724F">
        <w:t>., 1999</w:t>
      </w:r>
      <w:r w:rsidR="00221851">
        <w:t>;</w:t>
      </w:r>
      <w:r w:rsidR="00182DA2" w:rsidRPr="002E0DF3">
        <w:t xml:space="preserve"> </w:t>
      </w:r>
      <w:r w:rsidR="00B7724F">
        <w:t xml:space="preserve">Yu </w:t>
      </w:r>
      <w:r w:rsidR="00B7724F" w:rsidRPr="00B7724F">
        <w:rPr>
          <w:i/>
        </w:rPr>
        <w:t>et al</w:t>
      </w:r>
      <w:r w:rsidR="00B7724F">
        <w:t>., 1992</w:t>
      </w:r>
      <w:r w:rsidR="00444EF9" w:rsidRPr="002E0DF3">
        <w:t xml:space="preserve">); however the compatibility of TRT vaccines is not documented in turkeys. As with other vaccines, only healthy birds should be vaccinated. Vials of lyophilised vaccine should be kept at temperatures between </w:t>
      </w:r>
      <w:smartTag w:uri="urn:schemas-microsoft-com:office:smarttags" w:element="metricconverter">
        <w:smartTagPr>
          <w:attr w:name="ProductID" w:val="2ﾰC"/>
        </w:smartTagPr>
        <w:r w:rsidR="00444EF9" w:rsidRPr="002E0DF3">
          <w:t>2°C</w:t>
        </w:r>
      </w:smartTag>
      <w:r w:rsidR="00444EF9" w:rsidRPr="002E0DF3">
        <w:t xml:space="preserve"> and </w:t>
      </w:r>
      <w:smartTag w:uri="urn:schemas-microsoft-com:office:smarttags" w:element="metricconverter">
        <w:smartTagPr>
          <w:attr w:name="ProductID" w:val="8ﾰC"/>
        </w:smartTagPr>
        <w:r w:rsidR="00444EF9" w:rsidRPr="002E0DF3">
          <w:t>8°C</w:t>
        </w:r>
      </w:smartTag>
      <w:r w:rsidR="00444EF9" w:rsidRPr="002E0DF3">
        <w:t xml:space="preserve"> up to the time of use.</w:t>
      </w:r>
    </w:p>
    <w:p w14:paraId="7C69BE96" w14:textId="6E00D662" w:rsidR="00444EF9" w:rsidRPr="00124355" w:rsidRDefault="00035660" w:rsidP="00035660">
      <w:pPr>
        <w:pStyle w:val="1"/>
        <w:ind w:left="851"/>
      </w:pPr>
      <w:r>
        <w:t>1.</w:t>
      </w:r>
      <w:r w:rsidRPr="001A6B1D">
        <w:rPr>
          <w:u w:val="double"/>
        </w:rPr>
        <w:t>2</w:t>
      </w:r>
      <w:r w:rsidR="001A6B1D" w:rsidRPr="001A6B1D">
        <w:rPr>
          <w:u w:val="double"/>
        </w:rPr>
        <w:t>.</w:t>
      </w:r>
      <w:r w:rsidR="00444EF9" w:rsidRPr="00124355">
        <w:tab/>
        <w:t>Inactivated vaccines: method of use</w:t>
      </w:r>
    </w:p>
    <w:p w14:paraId="7FC1759A" w14:textId="73CC6F0E" w:rsidR="00444EF9" w:rsidRPr="002E0DF3" w:rsidRDefault="007105E0" w:rsidP="001A6B1D">
      <w:pPr>
        <w:pStyle w:val="11Para"/>
      </w:pPr>
      <w:r>
        <w:t xml:space="preserve">Inactivated </w:t>
      </w:r>
      <w:proofErr w:type="spellStart"/>
      <w:r>
        <w:t>a</w:t>
      </w:r>
      <w:r w:rsidR="00444EF9" w:rsidRPr="002E0DF3">
        <w:t>MPV</w:t>
      </w:r>
      <w:proofErr w:type="spellEnd"/>
      <w:r w:rsidR="00444EF9" w:rsidRPr="002E0DF3">
        <w:t xml:space="preserve"> vaccines are</w:t>
      </w:r>
      <w:r w:rsidR="00444EF9" w:rsidRPr="002E0DF3">
        <w:rPr>
          <w:color w:val="FF0000"/>
        </w:rPr>
        <w:t xml:space="preserve"> </w:t>
      </w:r>
      <w:r w:rsidR="00444EF9" w:rsidRPr="002E0DF3">
        <w:t xml:space="preserve">mostly used to produce high, long-lasting and uniform levels of antibodies in breeder turkeys that have previously been primed by live vaccine or by natural exposure to field virus during rearing. As the rationale to use inactivated vaccines in breeders is to improve their protection not only against the respiratory signs of TRT, but also against the reproductive signs (egg-drops) associated with </w:t>
      </w:r>
      <w:proofErr w:type="spellStart"/>
      <w:r w:rsidR="00444EF9" w:rsidRPr="002E0DF3">
        <w:t>aMPV</w:t>
      </w:r>
      <w:proofErr w:type="spellEnd"/>
      <w:r w:rsidR="00444EF9" w:rsidRPr="002E0DF3">
        <w:t xml:space="preserve"> infection, it is not uncommon that the inactivated </w:t>
      </w:r>
      <w:proofErr w:type="spellStart"/>
      <w:r w:rsidR="00444EF9" w:rsidRPr="002E0DF3">
        <w:t>aMPV</w:t>
      </w:r>
      <w:proofErr w:type="spellEnd"/>
      <w:r w:rsidR="00444EF9" w:rsidRPr="002E0DF3">
        <w:t xml:space="preserve"> vaccines also associate this virus with several other viruses also involved in respiratory and/or reproductive disorders. The usual programme is to administer the inactivated vaccine at least 4–6 weeks after the last live vaccination, up to 28 weeks of age in turkeys, avoiding the 4 last weeks before lay. The inactivated vaccine is manufactured as a water-in-oil emulsion, and has to be injected into each bird. The preferred routes are intramuscular in the leg muscle, avoiding proximity to joints, tendons or major blood vessels or the subcutaneous route. A multidose syringe may be used</w:t>
      </w:r>
      <w:r w:rsidR="001C6AE0" w:rsidRPr="002E0DF3">
        <w:t>,</w:t>
      </w:r>
      <w:r w:rsidR="001C6AE0" w:rsidRPr="002E0DF3">
        <w:rPr>
          <w:szCs w:val="24"/>
          <w:lang w:eastAsia="en-GB"/>
        </w:rPr>
        <w:t xml:space="preserve"> subject to the apparatus being in full working </w:t>
      </w:r>
      <w:r w:rsidR="00E22AA0">
        <w:rPr>
          <w:szCs w:val="24"/>
          <w:lang w:eastAsia="en-GB"/>
        </w:rPr>
        <w:t>order</w:t>
      </w:r>
      <w:r w:rsidR="001C6AE0" w:rsidRPr="002E0DF3">
        <w:rPr>
          <w:szCs w:val="24"/>
          <w:lang w:eastAsia="en-GB"/>
        </w:rPr>
        <w:t xml:space="preserve"> and in accordance with </w:t>
      </w:r>
      <w:r w:rsidR="00827B1A" w:rsidRPr="002E0DF3">
        <w:rPr>
          <w:szCs w:val="24"/>
          <w:lang w:eastAsia="en-GB"/>
        </w:rPr>
        <w:t>manufacturers’</w:t>
      </w:r>
      <w:r w:rsidR="001C6AE0" w:rsidRPr="002E0DF3">
        <w:rPr>
          <w:szCs w:val="24"/>
          <w:lang w:eastAsia="en-GB"/>
        </w:rPr>
        <w:t xml:space="preserve"> instructions and recommended hygiene practices</w:t>
      </w:r>
      <w:r w:rsidR="00444EF9" w:rsidRPr="002E0DF3">
        <w:t xml:space="preserve">. All equipment should be cleaned and sterilised between flocks, and vaccination teams should exercise strict hygiene when going from one flock to another. The vaccine should not be frozen; it should be stored at between </w:t>
      </w:r>
      <w:smartTag w:uri="urn:schemas-microsoft-com:office:smarttags" w:element="metricconverter">
        <w:smartTagPr>
          <w:attr w:name="ProductID" w:val="4ﾰC"/>
        </w:smartTagPr>
        <w:r w:rsidR="00444EF9" w:rsidRPr="002E0DF3">
          <w:t>4°C</w:t>
        </w:r>
      </w:smartTag>
      <w:r w:rsidR="00444EF9" w:rsidRPr="002E0DF3">
        <w:t xml:space="preserve"> and </w:t>
      </w:r>
      <w:smartTag w:uri="urn:schemas-microsoft-com:office:smarttags" w:element="metricconverter">
        <w:smartTagPr>
          <w:attr w:name="ProductID" w:val="8ﾰC"/>
        </w:smartTagPr>
        <w:r w:rsidR="00444EF9" w:rsidRPr="002E0DF3">
          <w:t>8°C</w:t>
        </w:r>
      </w:smartTag>
      <w:r w:rsidR="00444EF9" w:rsidRPr="002E0DF3">
        <w:t xml:space="preserve"> instead (but should be allowed to reach room temperature before injection). Inactivated vaccines should not be exposed to bright light or high temperatures.</w:t>
      </w:r>
    </w:p>
    <w:p w14:paraId="3BC9918D" w14:textId="77777777" w:rsidR="00444EF9" w:rsidRPr="002E0DF3" w:rsidRDefault="00444EF9" w:rsidP="001A6B1D">
      <w:pPr>
        <w:pStyle w:val="11Para"/>
      </w:pPr>
      <w:r w:rsidRPr="002E0DF3">
        <w:t xml:space="preserve">Only healthy birds, known to be sensitised by previous exposure to </w:t>
      </w:r>
      <w:proofErr w:type="spellStart"/>
      <w:r w:rsidRPr="002E0DF3">
        <w:t>aMPV</w:t>
      </w:r>
      <w:proofErr w:type="spellEnd"/>
      <w:r w:rsidRPr="002E0DF3">
        <w:t>, should be vaccinated. Used in this way the inactivated vaccine should produce a good antibody response that will protect the breeders against respiratory and reproductive signs during the period of lay (</w:t>
      </w:r>
      <w:r w:rsidR="00DC6D28">
        <w:t xml:space="preserve">Van De </w:t>
      </w:r>
      <w:r w:rsidR="00B7724F">
        <w:t xml:space="preserve">Zande </w:t>
      </w:r>
      <w:r w:rsidR="00B7724F" w:rsidRPr="00B7724F">
        <w:rPr>
          <w:i/>
        </w:rPr>
        <w:t>et al</w:t>
      </w:r>
      <w:r w:rsidR="00B7724F">
        <w:t>., 2000</w:t>
      </w:r>
      <w:r w:rsidRPr="002E0DF3">
        <w:t>). The precise level and duration of immunity conferred by inactivated vaccines will depend mainly on the concentration of antigen present per dose. The manufacturing objective should be to obtain a high antigen concentration and hence a highly potent vaccine.</w:t>
      </w:r>
    </w:p>
    <w:p w14:paraId="3A4D06FB" w14:textId="77777777" w:rsidR="001A6B1D" w:rsidRPr="00041BFB" w:rsidRDefault="001A6B1D" w:rsidP="001A6B1D">
      <w:pPr>
        <w:pStyle w:val="1"/>
        <w:rPr>
          <w:strike/>
        </w:rPr>
      </w:pPr>
      <w:r w:rsidRPr="00041BFB">
        <w:rPr>
          <w:strike/>
        </w:rPr>
        <w:t>3.</w:t>
      </w:r>
      <w:r w:rsidRPr="00041BFB">
        <w:rPr>
          <w:strike/>
        </w:rPr>
        <w:tab/>
        <w:t>Seed management</w:t>
      </w:r>
    </w:p>
    <w:p w14:paraId="47CAEC07" w14:textId="4D2DAAEF" w:rsidR="00035660" w:rsidRPr="001A6B1D" w:rsidRDefault="00035660" w:rsidP="00035660">
      <w:pPr>
        <w:pStyle w:val="1"/>
        <w:spacing w:after="200"/>
        <w:rPr>
          <w:u w:val="double"/>
          <w:lang w:val="en-IE"/>
        </w:rPr>
      </w:pPr>
      <w:r w:rsidRPr="001A6B1D">
        <w:rPr>
          <w:u w:val="double"/>
          <w:lang w:val="en-IE"/>
        </w:rPr>
        <w:t>2.</w:t>
      </w:r>
      <w:r w:rsidRPr="001A6B1D">
        <w:rPr>
          <w:u w:val="double"/>
          <w:lang w:val="en-IE"/>
        </w:rPr>
        <w:tab/>
        <w:t>Outline of production and minimum requirements for vaccines</w:t>
      </w:r>
    </w:p>
    <w:p w14:paraId="4ECDAA40" w14:textId="144C49A1" w:rsidR="00035660" w:rsidRDefault="00035660" w:rsidP="00035660">
      <w:pPr>
        <w:pStyle w:val="11"/>
        <w:rPr>
          <w:lang w:val="en-IE"/>
        </w:rPr>
      </w:pPr>
      <w:r w:rsidRPr="001A6B1D">
        <w:rPr>
          <w:u w:val="double"/>
          <w:lang w:val="en-IE"/>
        </w:rPr>
        <w:t>2.</w:t>
      </w:r>
      <w:r w:rsidRPr="00C66964">
        <w:rPr>
          <w:lang w:val="en-IE"/>
        </w:rPr>
        <w:t>1.</w:t>
      </w:r>
      <w:r w:rsidRPr="00C66964">
        <w:rPr>
          <w:lang w:val="en-IE"/>
        </w:rPr>
        <w:tab/>
        <w:t>Characteristics of the seed</w:t>
      </w:r>
    </w:p>
    <w:p w14:paraId="5A2AB986" w14:textId="77777777" w:rsidR="001A6B1D" w:rsidRPr="00041BFB" w:rsidRDefault="001A6B1D" w:rsidP="001A6B1D">
      <w:pPr>
        <w:pStyle w:val="111"/>
        <w:rPr>
          <w:strike/>
        </w:rPr>
      </w:pPr>
      <w:r w:rsidRPr="00041BFB">
        <w:rPr>
          <w:strike/>
        </w:rPr>
        <w:t>3.1.1.</w:t>
      </w:r>
      <w:r w:rsidRPr="00041BFB">
        <w:rPr>
          <w:strike/>
        </w:rPr>
        <w:tab/>
        <w:t>Live vaccine</w:t>
      </w:r>
    </w:p>
    <w:p w14:paraId="0976D988" w14:textId="77777777" w:rsidR="00035660" w:rsidRPr="00326277" w:rsidRDefault="00035660" w:rsidP="00326277">
      <w:pPr>
        <w:pStyle w:val="11Para"/>
        <w:rPr>
          <w:u w:val="double"/>
        </w:rPr>
      </w:pPr>
      <w:r w:rsidRPr="00326277">
        <w:rPr>
          <w:u w:val="double"/>
        </w:rPr>
        <w:t>See also Chapter 1.1.8 Principles of veterinary vaccine production and Chapter 1.1.9 Tests for sterility and freedom from contamination of biological materials intended for veterinary use.</w:t>
      </w:r>
    </w:p>
    <w:p w14:paraId="66A7F610" w14:textId="77777777" w:rsidR="00035660" w:rsidRPr="001A6B1D" w:rsidRDefault="00035660" w:rsidP="00035660">
      <w:pPr>
        <w:pStyle w:val="111"/>
        <w:rPr>
          <w:u w:val="double"/>
          <w:lang w:val="en-IE"/>
        </w:rPr>
      </w:pPr>
      <w:r w:rsidRPr="001A6B1D">
        <w:rPr>
          <w:u w:val="double"/>
          <w:lang w:val="en-IE"/>
        </w:rPr>
        <w:t>2.1.1.</w:t>
      </w:r>
      <w:r w:rsidRPr="001A6B1D">
        <w:rPr>
          <w:u w:val="double"/>
          <w:lang w:val="en-IE"/>
        </w:rPr>
        <w:tab/>
        <w:t>Biological characteristics of the master seed</w:t>
      </w:r>
    </w:p>
    <w:p w14:paraId="697FA73D" w14:textId="0B53D054" w:rsidR="00035660" w:rsidRPr="001A6B1D" w:rsidRDefault="00B92BF3" w:rsidP="00B92BF3">
      <w:pPr>
        <w:pStyle w:val="i"/>
        <w:rPr>
          <w:u w:val="double"/>
        </w:rPr>
      </w:pPr>
      <w:r w:rsidRPr="001A6B1D">
        <w:rPr>
          <w:u w:val="double"/>
        </w:rPr>
        <w:t>i)</w:t>
      </w:r>
      <w:r w:rsidRPr="001A6B1D">
        <w:rPr>
          <w:u w:val="double"/>
        </w:rPr>
        <w:tab/>
      </w:r>
      <w:r w:rsidR="00035660" w:rsidRPr="001A6B1D">
        <w:rPr>
          <w:u w:val="double"/>
        </w:rPr>
        <w:t>Live vaccines</w:t>
      </w:r>
    </w:p>
    <w:p w14:paraId="29B589C0" w14:textId="277119A5" w:rsidR="00DE289A" w:rsidRPr="001A6B1D" w:rsidRDefault="00E743A8" w:rsidP="00B92BF3">
      <w:pPr>
        <w:pStyle w:val="afourthpara"/>
        <w:rPr>
          <w:u w:val="double"/>
          <w:lang w:val="en-IE"/>
        </w:rPr>
      </w:pPr>
      <w:r w:rsidRPr="001A6B1D">
        <w:rPr>
          <w:u w:val="double"/>
          <w:lang w:val="en-IE"/>
        </w:rPr>
        <w:t>The identity of l</w:t>
      </w:r>
      <w:r w:rsidR="00DE289A" w:rsidRPr="001A6B1D">
        <w:rPr>
          <w:u w:val="double"/>
          <w:lang w:val="en-IE"/>
        </w:rPr>
        <w:t xml:space="preserve">ive </w:t>
      </w:r>
      <w:proofErr w:type="spellStart"/>
      <w:r w:rsidR="00DE289A" w:rsidRPr="001A6B1D">
        <w:rPr>
          <w:u w:val="double"/>
          <w:lang w:val="en-IE"/>
        </w:rPr>
        <w:t>aMPV</w:t>
      </w:r>
      <w:proofErr w:type="spellEnd"/>
      <w:r w:rsidR="00DE289A" w:rsidRPr="001A6B1D">
        <w:rPr>
          <w:u w:val="double"/>
          <w:lang w:val="en-IE"/>
        </w:rPr>
        <w:t xml:space="preserve"> vaccines of subgroups A, B or C that are kept as master seeds for vaccine production should ideally be confirmed </w:t>
      </w:r>
      <w:r w:rsidRPr="001A6B1D">
        <w:rPr>
          <w:u w:val="double"/>
          <w:lang w:val="en-IE"/>
        </w:rPr>
        <w:t xml:space="preserve">by deep sequencing </w:t>
      </w:r>
      <w:r w:rsidR="00DE289A" w:rsidRPr="001A6B1D">
        <w:rPr>
          <w:u w:val="double"/>
          <w:lang w:val="en-IE"/>
        </w:rPr>
        <w:t>so that any subsequent</w:t>
      </w:r>
      <w:r w:rsidRPr="001A6B1D">
        <w:rPr>
          <w:u w:val="double"/>
          <w:lang w:val="en-IE"/>
        </w:rPr>
        <w:t xml:space="preserve"> contamination by adventitious </w:t>
      </w:r>
      <w:proofErr w:type="spellStart"/>
      <w:r w:rsidRPr="001A6B1D">
        <w:rPr>
          <w:u w:val="double"/>
          <w:lang w:val="en-IE"/>
        </w:rPr>
        <w:t>a</w:t>
      </w:r>
      <w:r w:rsidR="00DE289A" w:rsidRPr="001A6B1D">
        <w:rPr>
          <w:u w:val="double"/>
          <w:lang w:val="en-IE"/>
        </w:rPr>
        <w:t>MPV</w:t>
      </w:r>
      <w:proofErr w:type="spellEnd"/>
      <w:r w:rsidR="00DE289A" w:rsidRPr="001A6B1D">
        <w:rPr>
          <w:u w:val="double"/>
          <w:lang w:val="en-IE"/>
        </w:rPr>
        <w:t xml:space="preserve"> strain</w:t>
      </w:r>
      <w:r w:rsidRPr="001A6B1D">
        <w:rPr>
          <w:u w:val="double"/>
          <w:lang w:val="en-IE"/>
        </w:rPr>
        <w:t>s</w:t>
      </w:r>
      <w:r w:rsidR="00DE289A" w:rsidRPr="001A6B1D">
        <w:rPr>
          <w:u w:val="double"/>
          <w:lang w:val="en-IE"/>
        </w:rPr>
        <w:t xml:space="preserve"> can be detected in the purity checks</w:t>
      </w:r>
      <w:r w:rsidR="00B92BF3" w:rsidRPr="001A6B1D">
        <w:rPr>
          <w:u w:val="double"/>
          <w:lang w:val="en-IE"/>
        </w:rPr>
        <w:t>.</w:t>
      </w:r>
    </w:p>
    <w:p w14:paraId="7F3C5FA6" w14:textId="6617FBAC" w:rsidR="00035660" w:rsidRPr="001A6B1D" w:rsidRDefault="00035660" w:rsidP="00B92BF3">
      <w:pPr>
        <w:pStyle w:val="i"/>
        <w:rPr>
          <w:u w:val="double"/>
        </w:rPr>
      </w:pPr>
      <w:r w:rsidRPr="001A6B1D">
        <w:rPr>
          <w:u w:val="double"/>
        </w:rPr>
        <w:t>ii)</w:t>
      </w:r>
      <w:r w:rsidRPr="001A6B1D">
        <w:rPr>
          <w:u w:val="double"/>
        </w:rPr>
        <w:tab/>
        <w:t>Inactivated vaccines</w:t>
      </w:r>
    </w:p>
    <w:p w14:paraId="52250F51" w14:textId="637AC818" w:rsidR="00444EF9" w:rsidRPr="001A6B1D" w:rsidRDefault="00DF70CE" w:rsidP="00B92BF3">
      <w:pPr>
        <w:pStyle w:val="afourthpara"/>
        <w:rPr>
          <w:u w:val="double"/>
        </w:rPr>
      </w:pPr>
      <w:r w:rsidRPr="001A6B1D">
        <w:rPr>
          <w:u w:val="double"/>
        </w:rPr>
        <w:t>For inactivated</w:t>
      </w:r>
      <w:r w:rsidR="00444EF9" w:rsidRPr="001A6B1D">
        <w:rPr>
          <w:u w:val="double"/>
        </w:rPr>
        <w:t xml:space="preserve"> vaccines, the most important characteristics are high yield and good antigenicity. </w:t>
      </w:r>
    </w:p>
    <w:p w14:paraId="2CF7122D" w14:textId="2A7FAD39" w:rsidR="004D2530" w:rsidRPr="001A6B1D" w:rsidRDefault="004D2530" w:rsidP="004D2530">
      <w:pPr>
        <w:pStyle w:val="111"/>
        <w:rPr>
          <w:u w:val="double"/>
          <w:lang w:val="en-IE"/>
        </w:rPr>
      </w:pPr>
      <w:r w:rsidRPr="001A6B1D">
        <w:rPr>
          <w:u w:val="double"/>
          <w:lang w:val="en-IE"/>
        </w:rPr>
        <w:t>2.1.2</w:t>
      </w:r>
      <w:r w:rsidR="00B310DC" w:rsidRPr="001A6B1D">
        <w:rPr>
          <w:u w:val="double"/>
          <w:lang w:val="en-IE"/>
        </w:rPr>
        <w:t>.</w:t>
      </w:r>
      <w:r w:rsidR="00B310DC" w:rsidRPr="001A6B1D">
        <w:rPr>
          <w:u w:val="double"/>
          <w:lang w:val="en-IE"/>
        </w:rPr>
        <w:tab/>
      </w:r>
      <w:r w:rsidRPr="001A6B1D">
        <w:rPr>
          <w:u w:val="double"/>
          <w:lang w:val="en-IE"/>
        </w:rPr>
        <w:t>Quality criteria</w:t>
      </w:r>
    </w:p>
    <w:p w14:paraId="0D96AE2D" w14:textId="20DA043D" w:rsidR="004D2530" w:rsidRPr="001A6B1D" w:rsidRDefault="004D2530" w:rsidP="004D2530">
      <w:pPr>
        <w:pStyle w:val="i"/>
        <w:rPr>
          <w:u w:val="double"/>
          <w:lang w:val="en-IE"/>
        </w:rPr>
      </w:pPr>
      <w:r w:rsidRPr="001A6B1D">
        <w:rPr>
          <w:u w:val="double"/>
          <w:lang w:val="en-IE"/>
        </w:rPr>
        <w:t>i)</w:t>
      </w:r>
      <w:r w:rsidRPr="001A6B1D">
        <w:rPr>
          <w:u w:val="double"/>
          <w:lang w:val="en-IE"/>
        </w:rPr>
        <w:tab/>
        <w:t>Purity</w:t>
      </w:r>
    </w:p>
    <w:p w14:paraId="5DCB1D7F" w14:textId="4099BD86" w:rsidR="004D2530" w:rsidRPr="002E0DF3" w:rsidRDefault="004D2530" w:rsidP="00B92BF3">
      <w:pPr>
        <w:pStyle w:val="afourthpara"/>
      </w:pPr>
      <w:r w:rsidRPr="001A6B1D">
        <w:lastRenderedPageBreak/>
        <w:t xml:space="preserve">The seed </w:t>
      </w:r>
      <w:r w:rsidR="00387141" w:rsidRPr="001A6B1D">
        <w:t xml:space="preserve">live </w:t>
      </w:r>
      <w:r w:rsidR="00387141" w:rsidRPr="001A6B1D">
        <w:rPr>
          <w:u w:val="double"/>
        </w:rPr>
        <w:t xml:space="preserve">vaccine </w:t>
      </w:r>
      <w:r w:rsidRPr="001A6B1D">
        <w:rPr>
          <w:u w:val="double"/>
        </w:rPr>
        <w:t xml:space="preserve">virus </w:t>
      </w:r>
      <w:r w:rsidR="00387141" w:rsidRPr="001A6B1D">
        <w:rPr>
          <w:u w:val="double"/>
        </w:rPr>
        <w:t>or inactivated vaccine</w:t>
      </w:r>
      <w:r w:rsidR="00387141" w:rsidRPr="00EB3C29">
        <w:t xml:space="preserve"> </w:t>
      </w:r>
      <w:r w:rsidRPr="00EB3C29">
        <w:t xml:space="preserve">must be shown to be free from extraneous viruses, bacteria, mycoplasma and fungi, particularly from avian </w:t>
      </w:r>
      <w:r w:rsidRPr="002E0DF3">
        <w:t>pathogens</w:t>
      </w:r>
      <w:r w:rsidR="00A46294">
        <w:t>.</w:t>
      </w:r>
      <w:r>
        <w:t xml:space="preserve"> </w:t>
      </w:r>
      <w:r w:rsidRPr="001A6B1D">
        <w:rPr>
          <w:u w:val="double"/>
          <w:lang w:val="en-IE"/>
        </w:rPr>
        <w:t>This includes freedom from contamin</w:t>
      </w:r>
      <w:r w:rsidR="007105E0" w:rsidRPr="001A6B1D">
        <w:rPr>
          <w:u w:val="double"/>
          <w:lang w:val="en-IE"/>
        </w:rPr>
        <w:t xml:space="preserve">ation with other strains of </w:t>
      </w:r>
      <w:proofErr w:type="spellStart"/>
      <w:r w:rsidR="007105E0" w:rsidRPr="001A6B1D">
        <w:rPr>
          <w:u w:val="double"/>
          <w:lang w:val="en-IE"/>
        </w:rPr>
        <w:t>a</w:t>
      </w:r>
      <w:r w:rsidRPr="001A6B1D">
        <w:rPr>
          <w:u w:val="double"/>
          <w:lang w:val="en-IE"/>
        </w:rPr>
        <w:t>MPV</w:t>
      </w:r>
      <w:proofErr w:type="spellEnd"/>
      <w:r w:rsidRPr="001A6B1D">
        <w:rPr>
          <w:u w:val="double"/>
        </w:rPr>
        <w:t>.</w:t>
      </w:r>
      <w:r w:rsidRPr="002E0DF3">
        <w:t xml:space="preserve"> </w:t>
      </w:r>
    </w:p>
    <w:p w14:paraId="6B744F0D" w14:textId="77777777" w:rsidR="004D2530" w:rsidRPr="001A6B1D" w:rsidRDefault="004D2530" w:rsidP="004D2530">
      <w:pPr>
        <w:pStyle w:val="i"/>
        <w:rPr>
          <w:strike/>
          <w:lang w:val="en-IE"/>
        </w:rPr>
      </w:pPr>
      <w:r w:rsidRPr="001A6B1D">
        <w:rPr>
          <w:strike/>
          <w:lang w:val="en-IE"/>
        </w:rPr>
        <w:t>ii)</w:t>
      </w:r>
      <w:r w:rsidRPr="001A6B1D">
        <w:rPr>
          <w:strike/>
          <w:lang w:val="en-IE"/>
        </w:rPr>
        <w:tab/>
        <w:t>Lack of reversion to virulence of live vaccines</w:t>
      </w:r>
    </w:p>
    <w:p w14:paraId="0227D965" w14:textId="2FE477BB" w:rsidR="004D2530" w:rsidRPr="002D579F" w:rsidRDefault="004D2530" w:rsidP="00B92BF3">
      <w:pPr>
        <w:pStyle w:val="afourthpara"/>
      </w:pPr>
      <w:r w:rsidRPr="001A6B1D">
        <w:rPr>
          <w:strike/>
          <w:lang w:val="en-IE"/>
        </w:rPr>
        <w:t>For vaccine strains that claim to be attenuated, t</w:t>
      </w:r>
      <w:r w:rsidRPr="001A6B1D">
        <w:rPr>
          <w:strike/>
        </w:rPr>
        <w:t>he</w:t>
      </w:r>
      <w:r w:rsidRPr="00326277">
        <w:rPr>
          <w:strike/>
        </w:rPr>
        <w:t xml:space="preserve"> </w:t>
      </w:r>
      <w:r w:rsidR="00326277" w:rsidRPr="002D579F">
        <w:t xml:space="preserve">Seed </w:t>
      </w:r>
      <w:r w:rsidRPr="002D579F">
        <w:t>virus must be shown to be stable, with no tendency to revert to virulence. This can be confirmed by carrying out at least five consecutive turkey-to-turkey passages at 2–6-day intervals. Use turkeys not older than 3</w:t>
      </w:r>
      <w:r w:rsidR="000E3906">
        <w:t> </w:t>
      </w:r>
      <w:r w:rsidRPr="002D579F">
        <w:t xml:space="preserve">weeks and free of MDAs against </w:t>
      </w:r>
      <w:proofErr w:type="spellStart"/>
      <w:r w:rsidRPr="002D579F">
        <w:t>aMPV</w:t>
      </w:r>
      <w:proofErr w:type="spellEnd"/>
      <w:r w:rsidRPr="002D579F">
        <w:t xml:space="preserve">. Passage may be achieved by natural spreading or by inoculating a suspension prepared from the mucosa of the </w:t>
      </w:r>
      <w:proofErr w:type="spellStart"/>
      <w:r w:rsidRPr="002D579F">
        <w:t>turbinates</w:t>
      </w:r>
      <w:proofErr w:type="spellEnd"/>
      <w:r w:rsidRPr="002D579F">
        <w:t xml:space="preserve"> and upper trachea of the previously inoculated birds, or from tracheal swabs. Care must be taken to avoid contamination by viruses from previous passages. It must be shown that the virus was transmitted. T</w:t>
      </w:r>
      <w:r w:rsidRPr="002D579F">
        <w:rPr>
          <w:lang w:eastAsia="en-GB"/>
        </w:rPr>
        <w:t>he stability should be evaluated by</w:t>
      </w:r>
      <w:r w:rsidRPr="002D579F">
        <w:t xml:space="preserve"> demonstrating that </w:t>
      </w:r>
      <w:r>
        <w:t xml:space="preserve">there is </w:t>
      </w:r>
      <w:r w:rsidRPr="002D579F">
        <w:t xml:space="preserve">no indication of an increased severity </w:t>
      </w:r>
      <w:r>
        <w:t>in</w:t>
      </w:r>
      <w:r w:rsidRPr="002D579F">
        <w:t xml:space="preserve"> the clinical signs when comparing the maximally passaged virus with the </w:t>
      </w:r>
      <w:proofErr w:type="spellStart"/>
      <w:r w:rsidRPr="002D579F">
        <w:t>unpassaged</w:t>
      </w:r>
      <w:proofErr w:type="spellEnd"/>
      <w:r w:rsidRPr="002D579F">
        <w:t xml:space="preserve"> vaccine. A</w:t>
      </w:r>
      <w:r w:rsidRPr="002D579F">
        <w:rPr>
          <w:sz w:val="24"/>
          <w:lang w:eastAsia="en-GB"/>
        </w:rPr>
        <w:t xml:space="preserve"> </w:t>
      </w:r>
      <w:r w:rsidRPr="002D579F">
        <w:rPr>
          <w:lang w:eastAsia="en-GB"/>
        </w:rPr>
        <w:t>scoring system may be used to quantify the severity of the signs.</w:t>
      </w:r>
    </w:p>
    <w:p w14:paraId="07F6AFCB" w14:textId="77777777" w:rsidR="001A6B1D" w:rsidRPr="00041BFB" w:rsidRDefault="001A6B1D" w:rsidP="001A6B1D">
      <w:pPr>
        <w:pStyle w:val="111"/>
        <w:rPr>
          <w:strike/>
        </w:rPr>
      </w:pPr>
      <w:r w:rsidRPr="00041BFB">
        <w:rPr>
          <w:strike/>
        </w:rPr>
        <w:t>3.1.</w:t>
      </w:r>
      <w:r w:rsidRPr="00041BFB">
        <w:t>2.</w:t>
      </w:r>
      <w:r w:rsidRPr="00041BFB">
        <w:rPr>
          <w:strike/>
        </w:rPr>
        <w:tab/>
        <w:t>Killed vaccine</w:t>
      </w:r>
    </w:p>
    <w:p w14:paraId="1DC2B43F" w14:textId="77777777" w:rsidR="001A6B1D" w:rsidRPr="00041BFB" w:rsidRDefault="001A6B1D" w:rsidP="001A6B1D">
      <w:pPr>
        <w:pStyle w:val="111Para"/>
        <w:rPr>
          <w:strike/>
        </w:rPr>
      </w:pPr>
      <w:r w:rsidRPr="00041BFB">
        <w:rPr>
          <w:strike/>
        </w:rPr>
        <w:t>For killed vaccines, the most important characteristics are high yield and good antigenicity. The seed virus must be shown to be free from extraneous viruses, bacteria, mycoplasma and fungi, particularly from avian pathogens.</w:t>
      </w:r>
    </w:p>
    <w:p w14:paraId="5189A2E3" w14:textId="77777777" w:rsidR="001A6B1D" w:rsidRPr="00041BFB" w:rsidRDefault="001A6B1D" w:rsidP="001A6B1D">
      <w:pPr>
        <w:pStyle w:val="11"/>
        <w:rPr>
          <w:strike/>
        </w:rPr>
      </w:pPr>
      <w:r w:rsidRPr="00041BFB">
        <w:rPr>
          <w:strike/>
        </w:rPr>
        <w:t>3.2.</w:t>
      </w:r>
      <w:r w:rsidRPr="00041BFB">
        <w:rPr>
          <w:strike/>
        </w:rPr>
        <w:tab/>
        <w:t>Method of culture</w:t>
      </w:r>
    </w:p>
    <w:p w14:paraId="283ABBAD" w14:textId="77777777" w:rsidR="001A6B1D" w:rsidRPr="00041BFB" w:rsidRDefault="001A6B1D" w:rsidP="001A6B1D">
      <w:pPr>
        <w:pStyle w:val="11Para"/>
        <w:rPr>
          <w:strike/>
        </w:rPr>
      </w:pPr>
      <w:r w:rsidRPr="00041BFB">
        <w:rPr>
          <w:strike/>
        </w:rPr>
        <w:t>Avian metapneumovirus seed virus may be propagated in various cell culture systems. The bulk is distributed in aliquots and freeze-dried in sealed containers.</w:t>
      </w:r>
    </w:p>
    <w:p w14:paraId="599E9DD3" w14:textId="77777777" w:rsidR="00B310DC" w:rsidRPr="00C66964" w:rsidRDefault="00B310DC" w:rsidP="00B310DC">
      <w:pPr>
        <w:pStyle w:val="111"/>
        <w:rPr>
          <w:lang w:val="en-IE"/>
        </w:rPr>
      </w:pPr>
      <w:r w:rsidRPr="001A6B1D">
        <w:rPr>
          <w:u w:val="double"/>
          <w:lang w:val="en-IE"/>
        </w:rPr>
        <w:t>2.</w:t>
      </w:r>
      <w:r w:rsidRPr="00C66964">
        <w:rPr>
          <w:lang w:val="en-IE"/>
        </w:rPr>
        <w:t>1.3.</w:t>
      </w:r>
      <w:r w:rsidRPr="00C66964">
        <w:rPr>
          <w:lang w:val="en-IE"/>
        </w:rPr>
        <w:tab/>
        <w:t xml:space="preserve">Validation as a vaccine </w:t>
      </w:r>
      <w:r w:rsidRPr="001A6B1D">
        <w:rPr>
          <w:u w:val="double"/>
          <w:lang w:val="en-IE"/>
        </w:rPr>
        <w:t>strain</w:t>
      </w:r>
    </w:p>
    <w:p w14:paraId="04C3664D" w14:textId="4BDCE8AC" w:rsidR="000B1AC7" w:rsidRDefault="000B1AC7" w:rsidP="00B92BF3">
      <w:pPr>
        <w:pStyle w:val="111Para"/>
        <w:rPr>
          <w:szCs w:val="24"/>
          <w:lang w:eastAsia="en-GB"/>
        </w:rPr>
      </w:pPr>
      <w:r w:rsidRPr="002E0DF3">
        <w:t>Data on efficacy should be obtained before bulk manufacture of vaccine begins. The vaccine should be administered to birds in the way in which it will be used in the field. Live vaccine can be given to young birds and the response measured serologically and by resistance to experimental challenge. In the case of killed vaccines, a test must be carried out in older birds that go on to lay, using the recommended vaccination schedule, so that the prolonged seroconversion can be demonstrated. A</w:t>
      </w:r>
      <w:r w:rsidRPr="00827B1A">
        <w:rPr>
          <w:sz w:val="24"/>
          <w:szCs w:val="24"/>
          <w:lang w:eastAsia="en-GB"/>
        </w:rPr>
        <w:t xml:space="preserve"> </w:t>
      </w:r>
      <w:r w:rsidRPr="002E0DF3">
        <w:rPr>
          <w:szCs w:val="24"/>
          <w:lang w:eastAsia="en-GB"/>
        </w:rPr>
        <w:t>scoring system may be used to quantify the severity of the signs</w:t>
      </w:r>
    </w:p>
    <w:p w14:paraId="1C59F34D" w14:textId="77777777" w:rsidR="000B1AC7" w:rsidRPr="00C66964" w:rsidRDefault="000B1AC7" w:rsidP="000B1AC7">
      <w:pPr>
        <w:pStyle w:val="i"/>
        <w:rPr>
          <w:lang w:val="en-IE"/>
        </w:rPr>
      </w:pPr>
      <w:r w:rsidRPr="00C66964">
        <w:rPr>
          <w:lang w:val="en-IE"/>
        </w:rPr>
        <w:t>i)</w:t>
      </w:r>
      <w:r w:rsidRPr="00C66964">
        <w:rPr>
          <w:lang w:val="en-IE"/>
        </w:rPr>
        <w:tab/>
        <w:t>Live vaccine</w:t>
      </w:r>
    </w:p>
    <w:p w14:paraId="18EE3CB5" w14:textId="570C1DD8" w:rsidR="00E75ACA" w:rsidRPr="001A6B1D" w:rsidRDefault="00ED0824" w:rsidP="00B92BF3">
      <w:pPr>
        <w:pStyle w:val="afourthpara"/>
        <w:rPr>
          <w:u w:val="double"/>
        </w:rPr>
      </w:pPr>
      <w:r w:rsidRPr="001A6B1D">
        <w:rPr>
          <w:i/>
          <w:u w:val="double"/>
        </w:rPr>
        <w:t>Safety</w:t>
      </w:r>
      <w:r w:rsidR="00E75ACA" w:rsidRPr="001A6B1D">
        <w:rPr>
          <w:i/>
          <w:u w:val="double"/>
        </w:rPr>
        <w:t xml:space="preserve">: </w:t>
      </w:r>
      <w:r w:rsidR="00E75ACA" w:rsidRPr="001A6B1D">
        <w:rPr>
          <w:u w:val="double"/>
        </w:rPr>
        <w:t xml:space="preserve">Ten field doses of the vaccine candidate are administered by the </w:t>
      </w:r>
      <w:proofErr w:type="spellStart"/>
      <w:r w:rsidR="00E75ACA" w:rsidRPr="001A6B1D">
        <w:rPr>
          <w:u w:val="double"/>
        </w:rPr>
        <w:t>oculonasal</w:t>
      </w:r>
      <w:proofErr w:type="spellEnd"/>
      <w:r w:rsidR="00E75ACA" w:rsidRPr="001A6B1D">
        <w:rPr>
          <w:u w:val="double"/>
        </w:rPr>
        <w:t xml:space="preserve"> route to each of 10 turkeys of the minimum age recommended for vaccination and free from antibodies to </w:t>
      </w:r>
      <w:proofErr w:type="spellStart"/>
      <w:r w:rsidR="00E75ACA" w:rsidRPr="001A6B1D">
        <w:rPr>
          <w:u w:val="double"/>
        </w:rPr>
        <w:t>aMPV</w:t>
      </w:r>
      <w:proofErr w:type="spellEnd"/>
      <w:r w:rsidR="00E75ACA" w:rsidRPr="001A6B1D">
        <w:rPr>
          <w:u w:val="double"/>
        </w:rPr>
        <w:t>. Observe the turkeys at least daily for 21 days. The vaccine fails the test if any turkey dies or shows signs of disease attributable to the vaccine. If more than two turkeys show abnormal clinical signs or die due to causes not related to the vaccine, the test must be repeated. This test is performed on each batch of final vaccine.</w:t>
      </w:r>
    </w:p>
    <w:p w14:paraId="2CDCF745" w14:textId="45055BE4" w:rsidR="001A003A" w:rsidRPr="00784997" w:rsidRDefault="000B1AC7" w:rsidP="00B92BF3">
      <w:pPr>
        <w:pStyle w:val="afourthpara"/>
      </w:pPr>
      <w:r w:rsidRPr="002D579F">
        <w:rPr>
          <w:i/>
        </w:rPr>
        <w:t>Efficacy test</w:t>
      </w:r>
      <w:r w:rsidRPr="002D579F">
        <w:rPr>
          <w:i/>
          <w:iCs/>
        </w:rPr>
        <w:t>:</w:t>
      </w:r>
      <w:r w:rsidRPr="002D579F">
        <w:t xml:space="preserve"> efficacy should be tested for each of the recommended routes of vaccination. Use turkeys that are not older than the minimum age recommended for vaccination and are free of antibodies against </w:t>
      </w:r>
      <w:proofErr w:type="spellStart"/>
      <w:r w:rsidRPr="002D579F">
        <w:t>aMPV</w:t>
      </w:r>
      <w:proofErr w:type="spellEnd"/>
      <w:r w:rsidRPr="002D579F">
        <w:rPr>
          <w:lang w:eastAsia="en-GB"/>
        </w:rPr>
        <w:t xml:space="preserve">. </w:t>
      </w:r>
      <w:r w:rsidRPr="002D579F">
        <w:t>Administer one field dose of vaccine of the minimum recommended titre by one of the recommended routes to each of 20 turkeys, keeping 10</w:t>
      </w:r>
      <w:r w:rsidR="004C2C49">
        <w:t> </w:t>
      </w:r>
      <w:r w:rsidRPr="002D579F">
        <w:t xml:space="preserve">turkeys as non-vaccinated controls. After 21 days, challenge all turkeys by </w:t>
      </w:r>
      <w:proofErr w:type="spellStart"/>
      <w:r w:rsidRPr="002D579F">
        <w:t>oculonasal</w:t>
      </w:r>
      <w:proofErr w:type="spellEnd"/>
      <w:r w:rsidRPr="002D579F">
        <w:t xml:space="preserve"> administration of a suitable dose of a virulent strain of </w:t>
      </w:r>
      <w:proofErr w:type="spellStart"/>
      <w:r w:rsidRPr="002D579F">
        <w:t>aMPV</w:t>
      </w:r>
      <w:proofErr w:type="spellEnd"/>
      <w:r w:rsidRPr="002D579F">
        <w:t xml:space="preserve"> (suitable challenge viruses can be provided by the OIE Reference Laboratory for TRT</w:t>
      </w:r>
      <w:r w:rsidR="004C2C49">
        <w:rPr>
          <w:rStyle w:val="FootnoteReference"/>
        </w:rPr>
        <w:footnoteReference w:id="2"/>
      </w:r>
      <w:r w:rsidRPr="002D579F">
        <w:t>). Observe the turkeys daily for 10 days and register their clinical signs individually. The vaccine fails the test unless at least 90% of the vaccinated turkeys survive without showing either clinical signs or lesi</w:t>
      </w:r>
      <w:r w:rsidR="00A46294">
        <w:t xml:space="preserve">ons evocative of </w:t>
      </w:r>
      <w:proofErr w:type="spellStart"/>
      <w:r w:rsidR="00A46294">
        <w:t>aMPV</w:t>
      </w:r>
      <w:proofErr w:type="spellEnd"/>
      <w:r w:rsidR="00A46294">
        <w:t xml:space="preserve"> infection.</w:t>
      </w:r>
      <w:r w:rsidRPr="002D579F">
        <w:t xml:space="preserve"> A</w:t>
      </w:r>
      <w:r w:rsidRPr="004C2C49">
        <w:rPr>
          <w:lang w:eastAsia="en-GB"/>
        </w:rPr>
        <w:t xml:space="preserve"> </w:t>
      </w:r>
      <w:r w:rsidRPr="002D579F">
        <w:rPr>
          <w:lang w:eastAsia="en-GB"/>
        </w:rPr>
        <w:t>scoring system may be used to quantify the severity of the signs</w:t>
      </w:r>
      <w:r w:rsidR="00A46294">
        <w:rPr>
          <w:lang w:eastAsia="en-GB"/>
        </w:rPr>
        <w:t>.</w:t>
      </w:r>
      <w:r w:rsidRPr="002D579F">
        <w:rPr>
          <w:lang w:eastAsia="en-GB"/>
        </w:rPr>
        <w:t xml:space="preserve"> </w:t>
      </w:r>
      <w:r w:rsidRPr="002D579F">
        <w:t>If less than 80% of the non-vaccinated turkeys exhibit clinical signs following challenge, or more than 10% of the control or inoculated birds die from causes not attributable to the test, the test is invalid. Providing results are satisfactory, this test need</w:t>
      </w:r>
      <w:r w:rsidR="00A46294">
        <w:t>s to</w:t>
      </w:r>
      <w:r w:rsidRPr="002D579F">
        <w:t xml:space="preserve"> be carried out on only one batch of all those batches prepared from the same seed lot.</w:t>
      </w:r>
    </w:p>
    <w:p w14:paraId="25CF259B" w14:textId="7A9B7792" w:rsidR="00ED0824" w:rsidRDefault="000B1AC7" w:rsidP="001A6B1D">
      <w:pPr>
        <w:pStyle w:val="i"/>
        <w:rPr>
          <w:lang w:val="en-IE"/>
        </w:rPr>
      </w:pPr>
      <w:r w:rsidRPr="00C66964">
        <w:rPr>
          <w:lang w:val="en-IE"/>
        </w:rPr>
        <w:t>ii)</w:t>
      </w:r>
      <w:r w:rsidRPr="00C66964">
        <w:rPr>
          <w:lang w:val="en-IE"/>
        </w:rPr>
        <w:tab/>
      </w:r>
      <w:r w:rsidR="001A6B1D" w:rsidRPr="001A6B1D">
        <w:rPr>
          <w:strike/>
          <w:lang w:val="en-IE"/>
        </w:rPr>
        <w:t xml:space="preserve">Killed </w:t>
      </w:r>
      <w:r w:rsidRPr="001A6B1D">
        <w:rPr>
          <w:u w:val="double"/>
          <w:lang w:val="en-IE"/>
        </w:rPr>
        <w:t>Inactivated</w:t>
      </w:r>
      <w:r w:rsidRPr="00C66964">
        <w:rPr>
          <w:lang w:val="en-IE"/>
        </w:rPr>
        <w:t xml:space="preserve"> vaccine</w:t>
      </w:r>
      <w:r w:rsidR="00ED0824" w:rsidRPr="00ED0824">
        <w:rPr>
          <w:lang w:val="en-IE"/>
        </w:rPr>
        <w:t xml:space="preserve"> </w:t>
      </w:r>
    </w:p>
    <w:p w14:paraId="2A80F864" w14:textId="1294EED4" w:rsidR="00ED0824" w:rsidRPr="001A6B1D" w:rsidRDefault="00ED0824" w:rsidP="00B92BF3">
      <w:pPr>
        <w:pStyle w:val="afourthpara"/>
        <w:rPr>
          <w:i/>
          <w:u w:val="double"/>
        </w:rPr>
      </w:pPr>
      <w:r w:rsidRPr="001A6B1D">
        <w:rPr>
          <w:i/>
          <w:u w:val="double"/>
          <w:lang w:val="en-IE"/>
        </w:rPr>
        <w:lastRenderedPageBreak/>
        <w:t>Safety</w:t>
      </w:r>
      <w:r w:rsidRPr="001A6B1D">
        <w:rPr>
          <w:u w:val="double"/>
          <w:lang w:val="en-IE"/>
        </w:rPr>
        <w:t xml:space="preserve"> of the inactivated vaccine should be tested for all recommended administration routes and with a batch of vaccine whose activity is at least the maximal activity of future commercial batches. One dose, or a double dose to ensure maximal activity, of vaccine is administered to </w:t>
      </w:r>
      <w:r w:rsidR="004C2C49">
        <w:rPr>
          <w:u w:val="double"/>
          <w:lang w:val="en-IE"/>
        </w:rPr>
        <w:t>specific antibody negative (</w:t>
      </w:r>
      <w:r w:rsidRPr="001A6B1D">
        <w:rPr>
          <w:u w:val="double"/>
          <w:lang w:val="en-IE"/>
        </w:rPr>
        <w:t>SAN</w:t>
      </w:r>
      <w:r w:rsidR="004C2C49">
        <w:rPr>
          <w:u w:val="double"/>
          <w:lang w:val="en-IE"/>
        </w:rPr>
        <w:t>)</w:t>
      </w:r>
      <w:r w:rsidRPr="001A6B1D">
        <w:rPr>
          <w:u w:val="double"/>
          <w:lang w:val="en-IE"/>
        </w:rPr>
        <w:t xml:space="preserve"> or </w:t>
      </w:r>
      <w:r w:rsidR="004C2C49">
        <w:rPr>
          <w:u w:val="double"/>
          <w:lang w:val="en-IE"/>
        </w:rPr>
        <w:t>specific pathogen free (</w:t>
      </w:r>
      <w:r w:rsidRPr="001A6B1D">
        <w:rPr>
          <w:u w:val="double"/>
          <w:lang w:val="en-IE"/>
        </w:rPr>
        <w:t>SPF</w:t>
      </w:r>
      <w:r w:rsidR="004C2C49">
        <w:rPr>
          <w:u w:val="double"/>
          <w:lang w:val="en-IE"/>
        </w:rPr>
        <w:t>)</w:t>
      </w:r>
      <w:r w:rsidRPr="001A6B1D">
        <w:rPr>
          <w:u w:val="double"/>
          <w:lang w:val="en-IE"/>
        </w:rPr>
        <w:t xml:space="preserve"> turkeys. Clinical signs in vaccinated turkeys are checked daily and for 14 days. The vaccine passes the test if no signs are observed and no death can be attributed to the vaccine. The test is invalid if nonspecific death occurs.</w:t>
      </w:r>
    </w:p>
    <w:p w14:paraId="4633B4CF" w14:textId="4996F724" w:rsidR="000B1AC7" w:rsidRPr="002E0DF3" w:rsidRDefault="000B1AC7" w:rsidP="00B92BF3">
      <w:pPr>
        <w:pStyle w:val="afourthpara"/>
      </w:pPr>
      <w:r w:rsidRPr="002E0DF3">
        <w:rPr>
          <w:i/>
        </w:rPr>
        <w:t>Efficacy test:</w:t>
      </w:r>
      <w:r w:rsidRPr="002E0DF3">
        <w:t xml:space="preserve"> as drops in egg production are not easily reproduced experimentally, vaccine-induced protection against egg drop following virulent </w:t>
      </w:r>
      <w:proofErr w:type="spellStart"/>
      <w:r w:rsidRPr="002E0DF3">
        <w:t>aMPV</w:t>
      </w:r>
      <w:proofErr w:type="spellEnd"/>
      <w:r w:rsidRPr="002E0DF3">
        <w:t xml:space="preserve"> challenge may be difficult to document and thus protocols aimed at demonstrating the reduction in excretion levels are also acceptable. Alternatively, the induction of a long-lasting immune response following injection of the inactivated vaccine may also be used. For the latter experiment, at least 20 </w:t>
      </w:r>
      <w:proofErr w:type="spellStart"/>
      <w:r w:rsidRPr="002E0DF3">
        <w:t>unprimed</w:t>
      </w:r>
      <w:proofErr w:type="spellEnd"/>
      <w:r w:rsidRPr="002E0DF3">
        <w:t xml:space="preserve"> turkeys are given one dose of vaccine at the recommended age (near to point-of-lay) by one of the recommended routes, and the antibody response is measured between 4 and 6 weeks after vaccination by ELISA or serum neutralisation. If a primary vaccination with a live vaccine is recommended, an additional group of turkeys is given only the primary vaccination so that the actual effect of the inactivated vaccine can </w:t>
      </w:r>
      <w:r w:rsidR="00E75ACA" w:rsidRPr="001A6B1D">
        <w:rPr>
          <w:u w:val="double"/>
        </w:rPr>
        <w:t>be</w:t>
      </w:r>
      <w:r w:rsidR="00E75ACA">
        <w:t xml:space="preserve"> </w:t>
      </w:r>
      <w:r w:rsidRPr="002E0DF3">
        <w:t xml:space="preserve">indeed </w:t>
      </w:r>
      <w:r w:rsidR="001A6B1D" w:rsidRPr="001A6B1D">
        <w:rPr>
          <w:strike/>
        </w:rPr>
        <w:t xml:space="preserve">be </w:t>
      </w:r>
      <w:r w:rsidRPr="002E0DF3">
        <w:t xml:space="preserve">assessed individually. </w:t>
      </w:r>
    </w:p>
    <w:p w14:paraId="178AD732" w14:textId="5F1B108C" w:rsidR="00BB6CEB" w:rsidRPr="00B92BF3" w:rsidRDefault="00BB6CEB" w:rsidP="00B92BF3">
      <w:pPr>
        <w:pStyle w:val="11"/>
      </w:pPr>
      <w:r w:rsidRPr="00B92BF3">
        <w:t>2.2.</w:t>
      </w:r>
      <w:r w:rsidRPr="00B92BF3">
        <w:tab/>
        <w:t>Method</w:t>
      </w:r>
      <w:r w:rsidRPr="001A6B1D">
        <w:rPr>
          <w:u w:val="double"/>
        </w:rPr>
        <w:t>s</w:t>
      </w:r>
      <w:r w:rsidRPr="00B92BF3">
        <w:t xml:space="preserve"> of manufacture</w:t>
      </w:r>
    </w:p>
    <w:p w14:paraId="446E5EFF" w14:textId="31444C89" w:rsidR="00BB6CEB" w:rsidRDefault="00BB6CEB" w:rsidP="00BB6CEB">
      <w:pPr>
        <w:pStyle w:val="111"/>
        <w:rPr>
          <w:lang w:val="en-IE"/>
        </w:rPr>
      </w:pPr>
      <w:r w:rsidRPr="00C66964">
        <w:rPr>
          <w:lang w:val="en-IE"/>
        </w:rPr>
        <w:t>2.2.1.</w:t>
      </w:r>
      <w:r w:rsidRPr="00C66964">
        <w:rPr>
          <w:lang w:val="en-IE"/>
        </w:rPr>
        <w:tab/>
        <w:t>Procedure</w:t>
      </w:r>
    </w:p>
    <w:p w14:paraId="1A4A2242" w14:textId="04BABC22" w:rsidR="00F9104A" w:rsidRDefault="00F9104A" w:rsidP="004C2C49">
      <w:pPr>
        <w:pStyle w:val="111Para"/>
      </w:pPr>
      <w:r w:rsidRPr="00F9104A">
        <w:t>Seed virus may be propagated in various cell culture systems. The bulk is distributed in aliquots and freeze-dried in sealed containers.</w:t>
      </w:r>
    </w:p>
    <w:p w14:paraId="56A5C5ED" w14:textId="77777777" w:rsidR="00BB6CEB" w:rsidRPr="002E0DF3" w:rsidRDefault="00BB6CEB" w:rsidP="004C2C49">
      <w:pPr>
        <w:pStyle w:val="111Para"/>
      </w:pPr>
      <w:r w:rsidRPr="002E0DF3">
        <w:t>The vaccine must be manufactured in suitable clean and secure accommodation, well separated from diagnostic facilities or commercial poultry.</w:t>
      </w:r>
    </w:p>
    <w:p w14:paraId="30A701D2" w14:textId="59E9DB4F" w:rsidR="00BB6CEB" w:rsidRPr="002E0DF3" w:rsidRDefault="00BB6CEB" w:rsidP="004C2C49">
      <w:pPr>
        <w:pStyle w:val="111Para"/>
      </w:pPr>
      <w:r w:rsidRPr="002E0DF3">
        <w:t xml:space="preserve">Production of the vaccine should be on a seed-lot system using a suitable strain of virus of known origin and passage history. Specific pathogen free eggs must be used for all materials employed in propagation and testing of the vaccine. </w:t>
      </w:r>
      <w:r w:rsidRPr="001A6B1D">
        <w:t xml:space="preserve">Live vaccines </w:t>
      </w:r>
      <w:r w:rsidR="001A6B1D" w:rsidRPr="001A6B1D">
        <w:rPr>
          <w:strike/>
        </w:rPr>
        <w:t xml:space="preserve">are made by growth </w:t>
      </w:r>
      <w:r w:rsidR="00E75ACA" w:rsidRPr="001A6B1D">
        <w:rPr>
          <w:u w:val="double"/>
        </w:rPr>
        <w:t>can be produced</w:t>
      </w:r>
      <w:r w:rsidRPr="001A6B1D">
        <w:t xml:space="preserve"> in eggs </w:t>
      </w:r>
      <w:r w:rsidRPr="002E0DF3">
        <w:t>or cell cultures. Inactivated vaccines may be made using virulent virus grown in cell culture or embryonating eggs. A high virus concentration is required. These vaccines are made as water-in-oil emulsions. A typical formulation is to use 80% mineral oil to 20% virus suspension, with suitable emulsifying and preservative agents.</w:t>
      </w:r>
    </w:p>
    <w:p w14:paraId="0B7F8290" w14:textId="3B15B4F5" w:rsidR="00BB6CEB" w:rsidRPr="001A6B1D" w:rsidRDefault="00BB6CEB" w:rsidP="00BB6CEB">
      <w:pPr>
        <w:pStyle w:val="111"/>
        <w:rPr>
          <w:u w:val="double"/>
          <w:lang w:val="en-IE"/>
        </w:rPr>
      </w:pPr>
      <w:r w:rsidRPr="001A6B1D">
        <w:rPr>
          <w:u w:val="double"/>
          <w:lang w:val="en-IE"/>
        </w:rPr>
        <w:t>2.2.2.</w:t>
      </w:r>
      <w:r w:rsidRPr="001A6B1D">
        <w:rPr>
          <w:u w:val="double"/>
          <w:lang w:val="en-IE"/>
        </w:rPr>
        <w:tab/>
        <w:t>Requirements for ingredients</w:t>
      </w:r>
    </w:p>
    <w:p w14:paraId="1F764565" w14:textId="77777777" w:rsidR="003E7E7E" w:rsidRPr="001A6B1D" w:rsidRDefault="003E7E7E" w:rsidP="003E7E7E">
      <w:pPr>
        <w:pStyle w:val="i"/>
        <w:ind w:left="1701"/>
        <w:rPr>
          <w:u w:val="double"/>
          <w:lang w:val="en-IE"/>
        </w:rPr>
      </w:pPr>
      <w:r w:rsidRPr="001A6B1D">
        <w:rPr>
          <w:u w:val="double"/>
          <w:lang w:val="en-IE"/>
        </w:rPr>
        <w:t>i)</w:t>
      </w:r>
      <w:r w:rsidRPr="001A6B1D">
        <w:rPr>
          <w:u w:val="double"/>
          <w:lang w:val="en-IE"/>
        </w:rPr>
        <w:tab/>
        <w:t>Ingredients of animal origin</w:t>
      </w:r>
    </w:p>
    <w:p w14:paraId="1751067D" w14:textId="77777777" w:rsidR="003E7E7E" w:rsidRPr="001A6B1D" w:rsidRDefault="003E7E7E" w:rsidP="003E7E7E">
      <w:pPr>
        <w:pStyle w:val="ipara"/>
        <w:ind w:left="1701"/>
        <w:rPr>
          <w:u w:val="double"/>
          <w:lang w:val="en-IE"/>
        </w:rPr>
      </w:pPr>
      <w:r w:rsidRPr="001A6B1D">
        <w:rPr>
          <w:u w:val="double"/>
          <w:lang w:val="en-IE"/>
        </w:rPr>
        <w:t>All ingredients of animal origin, including serum and cells, must be checked for the presence of viable bacteria, viruses, fungi or mycoplasma. Ingredients of animal origin should be sourced from a country with negligible risk for transmissible spongiform encephalopathies (TSEs).</w:t>
      </w:r>
    </w:p>
    <w:p w14:paraId="1A72B83D" w14:textId="77777777" w:rsidR="003E7E7E" w:rsidRPr="001A6B1D" w:rsidRDefault="003E7E7E" w:rsidP="003E7E7E">
      <w:pPr>
        <w:pStyle w:val="ipara"/>
        <w:ind w:left="1701"/>
        <w:rPr>
          <w:u w:val="double"/>
          <w:lang w:val="en-IE"/>
        </w:rPr>
      </w:pPr>
      <w:r w:rsidRPr="001A6B1D">
        <w:rPr>
          <w:u w:val="double"/>
          <w:lang w:val="en-IE"/>
        </w:rPr>
        <w:t>SPF eggs must be used for all materials employed in propagation and testing of the vaccine.</w:t>
      </w:r>
    </w:p>
    <w:p w14:paraId="3E12B2EF" w14:textId="77777777" w:rsidR="003E7E7E" w:rsidRPr="001A6B1D" w:rsidRDefault="003E7E7E" w:rsidP="003E7E7E">
      <w:pPr>
        <w:pStyle w:val="i"/>
        <w:ind w:left="1701"/>
        <w:rPr>
          <w:u w:val="double"/>
          <w:lang w:val="en-IE"/>
        </w:rPr>
      </w:pPr>
      <w:r w:rsidRPr="001A6B1D">
        <w:rPr>
          <w:u w:val="double"/>
          <w:lang w:val="en-IE"/>
        </w:rPr>
        <w:t>ii)</w:t>
      </w:r>
      <w:r w:rsidRPr="001A6B1D">
        <w:rPr>
          <w:u w:val="double"/>
          <w:lang w:val="en-IE"/>
        </w:rPr>
        <w:tab/>
        <w:t>Preservatives</w:t>
      </w:r>
    </w:p>
    <w:p w14:paraId="693948FC" w14:textId="5A9ED42A" w:rsidR="00BB6CEB" w:rsidRPr="001A6B1D" w:rsidRDefault="003E7E7E" w:rsidP="00FA0E40">
      <w:pPr>
        <w:pStyle w:val="ipara"/>
        <w:spacing w:after="240"/>
        <w:ind w:left="1701"/>
        <w:rPr>
          <w:u w:val="double"/>
          <w:lang w:val="en-IE"/>
        </w:rPr>
      </w:pPr>
      <w:r w:rsidRPr="001A6B1D">
        <w:rPr>
          <w:u w:val="double"/>
          <w:lang w:val="en-IE"/>
        </w:rPr>
        <w:t>A preservative may be required for vaccine in multidose containers. The concentration of the preservative in the final vaccine and its efficacy until the end of the shelf life should be checked. A suitable preservative already established for such purposes should be used.</w:t>
      </w:r>
    </w:p>
    <w:p w14:paraId="6F6616D2" w14:textId="77777777" w:rsidR="00BB6CEB" w:rsidRPr="00C66964" w:rsidRDefault="00BB6CEB" w:rsidP="00BB6CEB">
      <w:pPr>
        <w:pStyle w:val="111"/>
        <w:rPr>
          <w:lang w:val="en-IE"/>
        </w:rPr>
      </w:pPr>
      <w:r w:rsidRPr="00C66964">
        <w:rPr>
          <w:lang w:val="en-IE"/>
        </w:rPr>
        <w:t>2.2.3.</w:t>
      </w:r>
      <w:r w:rsidRPr="00C66964">
        <w:rPr>
          <w:lang w:val="en-IE"/>
        </w:rPr>
        <w:tab/>
        <w:t>In-process control</w:t>
      </w:r>
    </w:p>
    <w:p w14:paraId="46B47E54" w14:textId="77777777" w:rsidR="00DA6F0C" w:rsidRPr="00B92BF3" w:rsidRDefault="00DA6F0C" w:rsidP="00B92BF3">
      <w:pPr>
        <w:pStyle w:val="i"/>
      </w:pPr>
      <w:r w:rsidRPr="00B92BF3">
        <w:t>i)</w:t>
      </w:r>
      <w:r w:rsidRPr="00B92BF3">
        <w:tab/>
        <w:t>Antigen content</w:t>
      </w:r>
    </w:p>
    <w:p w14:paraId="48D8DE93" w14:textId="3F0FBD3B" w:rsidR="00444EF9" w:rsidRPr="002E0DF3" w:rsidRDefault="00DA6F0C" w:rsidP="00B92BF3">
      <w:pPr>
        <w:pStyle w:val="afourthpara"/>
      </w:pPr>
      <w:r>
        <w:t>H</w:t>
      </w:r>
      <w:r w:rsidR="00444EF9" w:rsidRPr="002E0DF3">
        <w:t xml:space="preserve">aving grown the virus to a high concentration, its titre should be assayed by use of tracheal organ culture or cell cultures, as appropriate, to the strain of virus being used. The antigen content </w:t>
      </w:r>
      <w:r w:rsidR="00ED0824" w:rsidRPr="00B92BF3">
        <w:rPr>
          <w:u w:val="double"/>
        </w:rPr>
        <w:t>or infectious titre</w:t>
      </w:r>
      <w:r w:rsidR="00ED0824" w:rsidRPr="00B92BF3">
        <w:t xml:space="preserve"> </w:t>
      </w:r>
      <w:r w:rsidR="00444EF9" w:rsidRPr="002E0DF3">
        <w:t>required to produce satisfactory batches of vaccine should be based on determinations made on test vaccine that has been shown to be effective in laboratory and field trials.</w:t>
      </w:r>
    </w:p>
    <w:p w14:paraId="4F15BF99" w14:textId="14A69D9C" w:rsidR="00DA6F0C" w:rsidRPr="00C66964" w:rsidRDefault="00DA6F0C" w:rsidP="00B92BF3">
      <w:pPr>
        <w:pStyle w:val="i"/>
        <w:rPr>
          <w:lang w:val="en-IE"/>
        </w:rPr>
      </w:pPr>
      <w:r w:rsidRPr="00C66964">
        <w:rPr>
          <w:lang w:val="en-IE"/>
        </w:rPr>
        <w:t>ii)</w:t>
      </w:r>
      <w:r w:rsidRPr="00C66964">
        <w:rPr>
          <w:lang w:val="en-IE"/>
        </w:rPr>
        <w:tab/>
        <w:t xml:space="preserve">Inactivation of </w:t>
      </w:r>
      <w:r w:rsidR="002B64DF" w:rsidRPr="002B64DF">
        <w:rPr>
          <w:strike/>
          <w:lang w:val="en-IE"/>
        </w:rPr>
        <w:t xml:space="preserve">killed </w:t>
      </w:r>
      <w:r w:rsidRPr="002B64DF">
        <w:rPr>
          <w:u w:val="double"/>
          <w:lang w:val="en-IE"/>
        </w:rPr>
        <w:t>inactivated</w:t>
      </w:r>
      <w:r w:rsidRPr="00C66964">
        <w:rPr>
          <w:lang w:val="en-IE"/>
        </w:rPr>
        <w:t xml:space="preserve"> vaccines</w:t>
      </w:r>
    </w:p>
    <w:p w14:paraId="42DF9986" w14:textId="4F385C48" w:rsidR="00444EF9" w:rsidRPr="002E0DF3" w:rsidRDefault="00ED0824" w:rsidP="00B92BF3">
      <w:pPr>
        <w:pStyle w:val="afourthpara"/>
      </w:pPr>
      <w:r w:rsidRPr="00ED0824">
        <w:t>Inactivation</w:t>
      </w:r>
      <w:r w:rsidR="00444EF9" w:rsidRPr="002E0DF3">
        <w:t xml:space="preserve"> is often done with either ß-propiolactone or formalin. The inactivating agent and the inactivation procedure must be shown under the conditions of vaccine manufacture to </w:t>
      </w:r>
      <w:r w:rsidR="00444EF9" w:rsidRPr="002E0DF3">
        <w:lastRenderedPageBreak/>
        <w:t>inactivate the vaccine virus and any potential contaminants, e.g. bacteria that may arise from the starting materials.</w:t>
      </w:r>
    </w:p>
    <w:p w14:paraId="45166E9C" w14:textId="188294B7" w:rsidR="00DA6F0C" w:rsidRPr="002E0DF3" w:rsidRDefault="00444EF9" w:rsidP="00B92BF3">
      <w:pPr>
        <w:pStyle w:val="afourthpara"/>
      </w:pPr>
      <w:r w:rsidRPr="002E0DF3">
        <w:t>Prior to inactivation, care should be taken to ensure a homogeneous suspension free from particles that may not be penetrated by the inactivating agent. A test for inactivation of the vaccine should be carried out on each batch of both the bulk harvest after inactivation and the final product. The test selected should be appropriate to the vaccine virus being used and should consist of at least two passages in susceptible cell cultures, embryos or turkeys, with ten replicates per passage. No evidence of the presence of any live virus or microorganism should be observed.</w:t>
      </w:r>
    </w:p>
    <w:p w14:paraId="464FD4B1" w14:textId="7C133A39" w:rsidR="00DA6F0C" w:rsidRDefault="00DA6F0C" w:rsidP="00B92BF3">
      <w:pPr>
        <w:pStyle w:val="i"/>
      </w:pPr>
      <w:r>
        <w:rPr>
          <w:lang w:val="en-IE"/>
        </w:rPr>
        <w:t>iii)</w:t>
      </w:r>
      <w:r w:rsidR="00B92BF3">
        <w:rPr>
          <w:lang w:val="en-IE"/>
        </w:rPr>
        <w:tab/>
      </w:r>
      <w:r w:rsidRPr="00C66964">
        <w:rPr>
          <w:lang w:val="en-IE"/>
        </w:rPr>
        <w:t xml:space="preserve">Sterility of </w:t>
      </w:r>
      <w:r w:rsidR="002B64DF" w:rsidRPr="002B64DF">
        <w:rPr>
          <w:strike/>
          <w:lang w:val="en-IE"/>
        </w:rPr>
        <w:t xml:space="preserve">killed </w:t>
      </w:r>
      <w:r w:rsidR="002B64DF" w:rsidRPr="002B64DF">
        <w:rPr>
          <w:u w:val="double"/>
          <w:lang w:val="en-IE"/>
        </w:rPr>
        <w:t>inactivated</w:t>
      </w:r>
      <w:r w:rsidR="002B64DF" w:rsidRPr="00C66964">
        <w:rPr>
          <w:lang w:val="en-IE"/>
        </w:rPr>
        <w:t xml:space="preserve"> </w:t>
      </w:r>
      <w:r w:rsidRPr="00C66964">
        <w:rPr>
          <w:lang w:val="en-IE"/>
        </w:rPr>
        <w:t>vaccines</w:t>
      </w:r>
      <w:r w:rsidRPr="002E0DF3">
        <w:t xml:space="preserve"> </w:t>
      </w:r>
    </w:p>
    <w:p w14:paraId="168D6FE1" w14:textId="7C449D99" w:rsidR="00444EF9" w:rsidRDefault="00B92BF3" w:rsidP="00B92BF3">
      <w:pPr>
        <w:pStyle w:val="afourthpara"/>
      </w:pPr>
      <w:r w:rsidRPr="002E0DF3">
        <w:t xml:space="preserve">Oil </w:t>
      </w:r>
      <w:r w:rsidR="00444EF9" w:rsidRPr="002E0DF3">
        <w:t xml:space="preserve">used in the vaccine must be sterilised by heating at </w:t>
      </w:r>
      <w:smartTag w:uri="urn:schemas-microsoft-com:office:smarttags" w:element="metricconverter">
        <w:smartTagPr>
          <w:attr w:name="ProductID" w:val="160ﾰC"/>
        </w:smartTagPr>
        <w:r w:rsidR="00444EF9" w:rsidRPr="002E0DF3">
          <w:t>160</w:t>
        </w:r>
        <w:r w:rsidR="00444EF9" w:rsidRPr="002E0DF3">
          <w:rPr>
            <w:rFonts w:ascii="Calibri" w:hAnsi="Calibri" w:cs="Calibri"/>
          </w:rPr>
          <w:t>°</w:t>
        </w:r>
        <w:r w:rsidR="00444EF9" w:rsidRPr="002E0DF3">
          <w:t>C</w:t>
        </w:r>
      </w:smartTag>
      <w:r w:rsidR="00444EF9" w:rsidRPr="002E0DF3">
        <w:t xml:space="preserve"> for 1</w:t>
      </w:r>
      <w:r w:rsidR="00444EF9" w:rsidRPr="002E0DF3">
        <w:rPr>
          <w:rFonts w:ascii="Calibri" w:hAnsi="Calibri" w:cs="Calibri"/>
        </w:rPr>
        <w:t> </w:t>
      </w:r>
      <w:r w:rsidR="00444EF9" w:rsidRPr="002E0DF3">
        <w:t>hour, or by filtration, and the procedure must be shown to be effective. Tests appropriate to oil-emulsion vaccines are carried out on each batch of final vaccine as described, for example, in the European Pharmacopoeia.</w:t>
      </w:r>
    </w:p>
    <w:p w14:paraId="4F733278" w14:textId="77777777" w:rsidR="002B64DF" w:rsidRPr="00C3614D" w:rsidRDefault="002B64DF" w:rsidP="002B64DF">
      <w:pPr>
        <w:pStyle w:val="1"/>
        <w:rPr>
          <w:strike/>
        </w:rPr>
      </w:pPr>
      <w:r w:rsidRPr="00C3614D">
        <w:rPr>
          <w:strike/>
        </w:rPr>
        <w:t>6.</w:t>
      </w:r>
      <w:r w:rsidRPr="00C3614D">
        <w:rPr>
          <w:strike/>
        </w:rPr>
        <w:tab/>
        <w:t>Batch control</w:t>
      </w:r>
    </w:p>
    <w:p w14:paraId="3939AE1B" w14:textId="77777777" w:rsidR="00FA0E40" w:rsidRPr="002B64DF" w:rsidRDefault="00FA0E40" w:rsidP="00FA0E40">
      <w:pPr>
        <w:pStyle w:val="111"/>
        <w:rPr>
          <w:u w:val="double"/>
          <w:lang w:val="en-IE"/>
        </w:rPr>
      </w:pPr>
      <w:r w:rsidRPr="002B64DF">
        <w:rPr>
          <w:u w:val="double"/>
          <w:lang w:val="en-IE"/>
        </w:rPr>
        <w:t>2.2.4.</w:t>
      </w:r>
      <w:r w:rsidRPr="002B64DF">
        <w:rPr>
          <w:u w:val="double"/>
          <w:lang w:val="en-IE"/>
        </w:rPr>
        <w:tab/>
        <w:t>Final product batch test</w:t>
      </w:r>
    </w:p>
    <w:p w14:paraId="74D90D09" w14:textId="195C98CC" w:rsidR="00FA0E40" w:rsidRPr="002B64DF" w:rsidRDefault="00FA0E40" w:rsidP="002B3246">
      <w:pPr>
        <w:pStyle w:val="i"/>
        <w:ind w:left="1701"/>
        <w:rPr>
          <w:u w:val="double"/>
          <w:lang w:val="en-IE"/>
        </w:rPr>
      </w:pPr>
      <w:r w:rsidRPr="002B64DF">
        <w:rPr>
          <w:u w:val="double"/>
          <w:lang w:val="en-IE"/>
        </w:rPr>
        <w:t>i)</w:t>
      </w:r>
      <w:r w:rsidRPr="002B64DF">
        <w:rPr>
          <w:u w:val="double"/>
          <w:lang w:val="en-IE"/>
        </w:rPr>
        <w:tab/>
        <w:t>Identity</w:t>
      </w:r>
    </w:p>
    <w:p w14:paraId="5373C233" w14:textId="2FEA9DD9" w:rsidR="00933A05" w:rsidRPr="002B64DF" w:rsidRDefault="00933A05" w:rsidP="00933A05">
      <w:pPr>
        <w:pStyle w:val="ipara"/>
        <w:ind w:left="1701"/>
        <w:rPr>
          <w:u w:val="double"/>
          <w:lang w:val="en-IE"/>
        </w:rPr>
      </w:pPr>
      <w:r w:rsidRPr="002B64DF">
        <w:rPr>
          <w:u w:val="double"/>
          <w:lang w:val="en-IE"/>
        </w:rPr>
        <w:t xml:space="preserve">The identity of a live </w:t>
      </w:r>
      <w:proofErr w:type="spellStart"/>
      <w:r w:rsidRPr="002B64DF">
        <w:rPr>
          <w:u w:val="double"/>
          <w:lang w:val="en-IE"/>
        </w:rPr>
        <w:t>aMPV</w:t>
      </w:r>
      <w:proofErr w:type="spellEnd"/>
      <w:r w:rsidRPr="002B64DF">
        <w:rPr>
          <w:u w:val="double"/>
          <w:lang w:val="en-IE"/>
        </w:rPr>
        <w:t xml:space="preserve"> vaccine can be confirmed at</w:t>
      </w:r>
      <w:r w:rsidR="004C2C49">
        <w:rPr>
          <w:u w:val="double"/>
          <w:lang w:val="en-IE"/>
        </w:rPr>
        <w:t xml:space="preserve"> the</w:t>
      </w:r>
      <w:r w:rsidRPr="002B64DF">
        <w:rPr>
          <w:u w:val="double"/>
          <w:lang w:val="en-IE"/>
        </w:rPr>
        <w:t xml:space="preserve"> batch level by incubating an appropriate dilution of the vaccine with a monospecific anti-</w:t>
      </w:r>
      <w:proofErr w:type="spellStart"/>
      <w:r w:rsidRPr="002B64DF">
        <w:rPr>
          <w:u w:val="double"/>
          <w:lang w:val="en-IE"/>
        </w:rPr>
        <w:t>aMPV</w:t>
      </w:r>
      <w:proofErr w:type="spellEnd"/>
      <w:r w:rsidRPr="002B64DF">
        <w:rPr>
          <w:u w:val="double"/>
          <w:lang w:val="en-IE"/>
        </w:rPr>
        <w:t xml:space="preserve"> antiserum, then inoculating the mix to susceptible SAN or SPF eggs, or susceptible tracheal organ or cell cultures. The neutralised vaccine should not exhibit any infectivity.</w:t>
      </w:r>
    </w:p>
    <w:p w14:paraId="105E7DAA" w14:textId="51C1480C" w:rsidR="00933A05" w:rsidRPr="002B64DF" w:rsidRDefault="00933A05" w:rsidP="00933A05">
      <w:pPr>
        <w:pStyle w:val="i"/>
        <w:ind w:left="1701" w:firstLine="0"/>
        <w:rPr>
          <w:u w:val="double"/>
          <w:lang w:val="en-IE"/>
        </w:rPr>
      </w:pPr>
      <w:r w:rsidRPr="002B64DF">
        <w:rPr>
          <w:u w:val="double"/>
          <w:lang w:val="en-IE"/>
        </w:rPr>
        <w:t xml:space="preserve">The identity of inactivated </w:t>
      </w:r>
      <w:proofErr w:type="spellStart"/>
      <w:r w:rsidRPr="002B64DF">
        <w:rPr>
          <w:u w:val="double"/>
          <w:lang w:val="en-IE"/>
        </w:rPr>
        <w:t>aMPV</w:t>
      </w:r>
      <w:proofErr w:type="spellEnd"/>
      <w:r w:rsidRPr="002B64DF">
        <w:rPr>
          <w:u w:val="double"/>
          <w:lang w:val="en-IE"/>
        </w:rPr>
        <w:t xml:space="preserve"> vaccine can be confirmed at </w:t>
      </w:r>
      <w:r w:rsidR="004C2C49">
        <w:rPr>
          <w:u w:val="double"/>
          <w:lang w:val="en-IE"/>
        </w:rPr>
        <w:t xml:space="preserve">the </w:t>
      </w:r>
      <w:r w:rsidRPr="002B64DF">
        <w:rPr>
          <w:u w:val="double"/>
          <w:lang w:val="en-IE"/>
        </w:rPr>
        <w:t xml:space="preserve">batch level by administrating the vaccine to SAN or SPF chickens, and demonstrating that the vaccine does induce </w:t>
      </w:r>
      <w:proofErr w:type="spellStart"/>
      <w:r w:rsidRPr="002B64DF">
        <w:rPr>
          <w:u w:val="double"/>
          <w:lang w:val="en-IE"/>
        </w:rPr>
        <w:t>aMPV</w:t>
      </w:r>
      <w:proofErr w:type="spellEnd"/>
      <w:r w:rsidRPr="002B64DF">
        <w:rPr>
          <w:u w:val="double"/>
          <w:lang w:val="en-IE"/>
        </w:rPr>
        <w:t>-specific antibodies. In some instances, this test can be combined with the potency test in order to reduce the number of animals used in the experiments.</w:t>
      </w:r>
    </w:p>
    <w:p w14:paraId="41E78172" w14:textId="77777777" w:rsidR="002B3246" w:rsidRPr="00C66964" w:rsidRDefault="002B3246" w:rsidP="002B3246">
      <w:pPr>
        <w:pStyle w:val="i"/>
        <w:ind w:left="1701"/>
        <w:rPr>
          <w:lang w:val="en-IE"/>
        </w:rPr>
      </w:pPr>
      <w:r w:rsidRPr="00C66964">
        <w:rPr>
          <w:lang w:val="en-IE"/>
        </w:rPr>
        <w:t>ii)</w:t>
      </w:r>
      <w:r w:rsidRPr="00C66964">
        <w:rPr>
          <w:lang w:val="en-IE"/>
        </w:rPr>
        <w:tab/>
        <w:t xml:space="preserve">Sterility </w:t>
      </w:r>
      <w:r w:rsidRPr="002B64DF">
        <w:rPr>
          <w:u w:val="double"/>
          <w:lang w:val="en-IE"/>
        </w:rPr>
        <w:t>and absence of extraneous agents</w:t>
      </w:r>
    </w:p>
    <w:p w14:paraId="52BAD825" w14:textId="09D41DA3" w:rsidR="00A31BDA" w:rsidRPr="00B92BF3" w:rsidRDefault="00A31BDA" w:rsidP="00B92BF3">
      <w:pPr>
        <w:pStyle w:val="afourthpara"/>
      </w:pPr>
      <w:r w:rsidRPr="00B92BF3">
        <w:t xml:space="preserve">Tests for sterility and freedom from contamination of biological materials </w:t>
      </w:r>
      <w:r w:rsidR="002B64DF" w:rsidRPr="002B64DF">
        <w:rPr>
          <w:strike/>
        </w:rPr>
        <w:t xml:space="preserve">intended for veterinary use may be found in chapter 1.1.9 </w:t>
      </w:r>
      <w:r w:rsidRPr="002B64DF">
        <w:rPr>
          <w:u w:val="double"/>
        </w:rPr>
        <w:t>by bacteria, fungi, mycoplasma and extraneous agents are described in Chapter 2.3.</w:t>
      </w:r>
      <w:r w:rsidRPr="002B64DF">
        <w:rPr>
          <w:i/>
          <w:iCs/>
          <w:u w:val="double"/>
        </w:rPr>
        <w:t>4 Minimum requirements for the production and quality control of vaccines</w:t>
      </w:r>
      <w:r w:rsidRPr="00B92BF3">
        <w:t xml:space="preserve">. </w:t>
      </w:r>
    </w:p>
    <w:p w14:paraId="21ECBCC2" w14:textId="14EC6DF7" w:rsidR="00D06590" w:rsidRDefault="00D06590" w:rsidP="00D06590">
      <w:pPr>
        <w:pStyle w:val="i"/>
        <w:ind w:left="1701"/>
        <w:rPr>
          <w:lang w:val="en-IE"/>
        </w:rPr>
      </w:pPr>
      <w:r w:rsidRPr="00C66964">
        <w:rPr>
          <w:lang w:val="en-IE"/>
        </w:rPr>
        <w:t>iii)</w:t>
      </w:r>
      <w:r w:rsidRPr="00C66964">
        <w:rPr>
          <w:lang w:val="en-IE"/>
        </w:rPr>
        <w:tab/>
        <w:t>Safety</w:t>
      </w:r>
    </w:p>
    <w:p w14:paraId="1AAB8AF4" w14:textId="77777777" w:rsidR="00D06590" w:rsidRPr="00C66964" w:rsidRDefault="00D06590" w:rsidP="002B64DF">
      <w:pPr>
        <w:pStyle w:val="afourthlevel"/>
        <w:rPr>
          <w:lang w:val="en-IE"/>
        </w:rPr>
      </w:pPr>
      <w:r w:rsidRPr="00C66964">
        <w:rPr>
          <w:lang w:val="en-IE"/>
        </w:rPr>
        <w:t>a)</w:t>
      </w:r>
      <w:r w:rsidRPr="00C66964">
        <w:rPr>
          <w:lang w:val="en-IE"/>
        </w:rPr>
        <w:tab/>
        <w:t>Live vaccine safety test</w:t>
      </w:r>
    </w:p>
    <w:p w14:paraId="6D62AC8C" w14:textId="633AF1EA" w:rsidR="00530EB3" w:rsidRDefault="00561B5D" w:rsidP="00B92BF3">
      <w:pPr>
        <w:pStyle w:val="afourthpara"/>
      </w:pPr>
      <w:r w:rsidRPr="00FF7A68">
        <w:rPr>
          <w:u w:val="double"/>
        </w:rPr>
        <w:t xml:space="preserve">As described under </w:t>
      </w:r>
      <w:r w:rsidR="002B64DF" w:rsidRPr="00FF7A68">
        <w:rPr>
          <w:u w:val="double"/>
        </w:rPr>
        <w:t>Section C.</w:t>
      </w:r>
      <w:r w:rsidRPr="00FF7A68">
        <w:rPr>
          <w:u w:val="double"/>
        </w:rPr>
        <w:t xml:space="preserve">2.1.3.i </w:t>
      </w:r>
      <w:r w:rsidR="00FF7A68" w:rsidRPr="00FF7A68">
        <w:rPr>
          <w:i/>
          <w:iCs/>
          <w:u w:val="double"/>
          <w:lang w:val="en-IE"/>
        </w:rPr>
        <w:t>Live vaccine</w:t>
      </w:r>
      <w:r w:rsidR="00FF7A68" w:rsidRPr="00FF7A68">
        <w:rPr>
          <w:i/>
          <w:u w:val="double"/>
        </w:rPr>
        <w:t xml:space="preserve"> </w:t>
      </w:r>
      <w:r w:rsidR="00FF7A68" w:rsidRPr="00FF7A68">
        <w:rPr>
          <w:iCs/>
          <w:u w:val="double"/>
        </w:rPr>
        <w:t>(safety</w:t>
      </w:r>
      <w:r w:rsidR="00FF7A68" w:rsidRPr="00FF7A68">
        <w:rPr>
          <w:u w:val="double"/>
        </w:rPr>
        <w:t>)</w:t>
      </w:r>
      <w:r w:rsidRPr="00EB3C29">
        <w:t>, ten</w:t>
      </w:r>
      <w:r w:rsidR="00530EB3" w:rsidRPr="00EB3C29">
        <w:t xml:space="preserve"> field doses </w:t>
      </w:r>
      <w:r w:rsidR="00530EB3" w:rsidRPr="00561B5D">
        <w:t xml:space="preserve">of vaccine are administered by the </w:t>
      </w:r>
      <w:proofErr w:type="spellStart"/>
      <w:r w:rsidR="00530EB3" w:rsidRPr="00561B5D">
        <w:t>oculonasal</w:t>
      </w:r>
      <w:proofErr w:type="spellEnd"/>
      <w:r w:rsidR="00530EB3" w:rsidRPr="00561B5D">
        <w:t xml:space="preserve"> route to each of 10 turkeys of the minimum age recommended for vaccination and free from antibodies to </w:t>
      </w:r>
      <w:proofErr w:type="spellStart"/>
      <w:r w:rsidR="00530EB3" w:rsidRPr="00561B5D">
        <w:t>aMPV</w:t>
      </w:r>
      <w:proofErr w:type="spellEnd"/>
      <w:r w:rsidR="00530EB3" w:rsidRPr="00561B5D">
        <w:t>. Observe the turkeys</w:t>
      </w:r>
      <w:r w:rsidR="00530EB3" w:rsidRPr="002E0DF3">
        <w:t xml:space="preserve"> at least daily for 21 days. The vaccine fails the test if any turkey dies or shows signs of disease attributable to the vaccine. If more than two turkeys show abnormal clinical signs or die due to causes not related to the vaccine, the test must be repeated. This test is performed on each batch of final vaccine.</w:t>
      </w:r>
    </w:p>
    <w:p w14:paraId="202F7394" w14:textId="77777777" w:rsidR="002B64DF" w:rsidRPr="00C3614D" w:rsidRDefault="002B64DF" w:rsidP="002B64DF">
      <w:pPr>
        <w:pStyle w:val="111"/>
        <w:rPr>
          <w:strike/>
        </w:rPr>
      </w:pPr>
      <w:r w:rsidRPr="00C3614D">
        <w:rPr>
          <w:strike/>
        </w:rPr>
        <w:t>6.2.2.</w:t>
      </w:r>
      <w:r w:rsidRPr="00C3614D">
        <w:rPr>
          <w:strike/>
        </w:rPr>
        <w:tab/>
        <w:t>Killed vaccine safety test</w:t>
      </w:r>
    </w:p>
    <w:p w14:paraId="15CF5E22" w14:textId="77777777" w:rsidR="00530EB3" w:rsidRPr="00C66964" w:rsidRDefault="00530EB3" w:rsidP="002B64DF">
      <w:pPr>
        <w:pStyle w:val="afourthlevel"/>
        <w:rPr>
          <w:lang w:val="en-IE"/>
        </w:rPr>
      </w:pPr>
      <w:r w:rsidRPr="00C66964">
        <w:rPr>
          <w:lang w:val="en-IE"/>
        </w:rPr>
        <w:t>b)</w:t>
      </w:r>
      <w:r w:rsidRPr="00C66964">
        <w:rPr>
          <w:lang w:val="en-IE"/>
        </w:rPr>
        <w:tab/>
        <w:t>Extraneous agents in inactivated vaccines</w:t>
      </w:r>
    </w:p>
    <w:p w14:paraId="17267215" w14:textId="473608EF" w:rsidR="00530EB3" w:rsidRPr="00B92BF3" w:rsidRDefault="00530EB3" w:rsidP="00B92BF3">
      <w:pPr>
        <w:pStyle w:val="afourthpara"/>
        <w:rPr>
          <w:lang w:val="en-IE"/>
        </w:rPr>
      </w:pPr>
      <w:r w:rsidRPr="00B92BF3">
        <w:t xml:space="preserve">Ten SPF turkeys, free of maternal antibodies to </w:t>
      </w:r>
      <w:proofErr w:type="spellStart"/>
      <w:r w:rsidRPr="00B92BF3">
        <w:t>aMPV</w:t>
      </w:r>
      <w:proofErr w:type="spellEnd"/>
      <w:r w:rsidRPr="00B92BF3">
        <w:t xml:space="preserve"> and 14–28 days of age, are inoculated by the recommended routes with twice the field dose. The birds are observed for 3 weeks. No abnormal local or systemic reaction should develop. The test is performed on each batch of final vaccine</w:t>
      </w:r>
      <w:r w:rsidRPr="002B64DF">
        <w:rPr>
          <w:u w:val="double"/>
        </w:rPr>
        <w:t>,</w:t>
      </w:r>
      <w:r w:rsidRPr="002B64DF">
        <w:rPr>
          <w:u w:val="double"/>
          <w:lang w:val="en-IE"/>
        </w:rPr>
        <w:t xml:space="preserve"> unless controls at earlier production stages complemented by implementation of good manufacturing practices advocate for the safety of the overall process.</w:t>
      </w:r>
      <w:r w:rsidRPr="00B92BF3">
        <w:rPr>
          <w:lang w:val="en-IE"/>
        </w:rPr>
        <w:t xml:space="preserve"> </w:t>
      </w:r>
    </w:p>
    <w:p w14:paraId="530D480B" w14:textId="77777777" w:rsidR="002B64DF" w:rsidRPr="00C3614D" w:rsidRDefault="002B64DF" w:rsidP="002B64DF">
      <w:pPr>
        <w:pStyle w:val="11"/>
        <w:rPr>
          <w:strike/>
        </w:rPr>
      </w:pPr>
      <w:r w:rsidRPr="00C3614D">
        <w:rPr>
          <w:strike/>
        </w:rPr>
        <w:t>6.3.</w:t>
      </w:r>
      <w:r w:rsidRPr="00C3614D">
        <w:rPr>
          <w:strike/>
        </w:rPr>
        <w:tab/>
        <w:t>Potency</w:t>
      </w:r>
    </w:p>
    <w:p w14:paraId="1492C399" w14:textId="02FD34A6" w:rsidR="00530EB3" w:rsidRPr="002B64DF" w:rsidRDefault="00530EB3" w:rsidP="00530EB3">
      <w:pPr>
        <w:pStyle w:val="i"/>
        <w:ind w:left="1701"/>
        <w:rPr>
          <w:u w:val="double"/>
          <w:lang w:val="en-IE"/>
        </w:rPr>
      </w:pPr>
      <w:r w:rsidRPr="002B64DF">
        <w:rPr>
          <w:u w:val="double"/>
          <w:lang w:val="en-IE"/>
        </w:rPr>
        <w:t>iv)</w:t>
      </w:r>
      <w:r w:rsidRPr="002B64DF">
        <w:rPr>
          <w:u w:val="double"/>
          <w:lang w:val="en-IE"/>
        </w:rPr>
        <w:tab/>
        <w:t>Residual live vaccine in inactivated vaccines</w:t>
      </w:r>
    </w:p>
    <w:p w14:paraId="60EC2C98" w14:textId="0B24057B" w:rsidR="00530EB3" w:rsidRPr="002B64DF" w:rsidRDefault="00530EB3" w:rsidP="00530EB3">
      <w:pPr>
        <w:pStyle w:val="ipara"/>
        <w:spacing w:after="240"/>
        <w:ind w:left="1701"/>
        <w:rPr>
          <w:u w:val="double"/>
          <w:lang w:val="en-IE"/>
        </w:rPr>
      </w:pPr>
      <w:r w:rsidRPr="002B64DF">
        <w:rPr>
          <w:u w:val="double"/>
          <w:lang w:val="en-IE"/>
        </w:rPr>
        <w:t>The process described in Section C.2.2.3</w:t>
      </w:r>
      <w:r w:rsidR="00B776CE" w:rsidRPr="002B64DF">
        <w:rPr>
          <w:u w:val="double"/>
          <w:lang w:val="en-IE"/>
        </w:rPr>
        <w:t>.ii</w:t>
      </w:r>
      <w:r w:rsidR="00FF7A68">
        <w:rPr>
          <w:u w:val="double"/>
          <w:lang w:val="en-IE"/>
        </w:rPr>
        <w:t xml:space="preserve"> </w:t>
      </w:r>
      <w:r w:rsidRPr="002B64DF">
        <w:rPr>
          <w:i/>
          <w:iCs/>
          <w:u w:val="double"/>
          <w:lang w:val="en-IE"/>
        </w:rPr>
        <w:t>In process controls</w:t>
      </w:r>
      <w:r w:rsidRPr="002B64DF">
        <w:rPr>
          <w:u w:val="double"/>
          <w:lang w:val="en-IE"/>
        </w:rPr>
        <w:t xml:space="preserve"> may be performed on each batch of final product.</w:t>
      </w:r>
    </w:p>
    <w:p w14:paraId="4FF9ECF3" w14:textId="77777777" w:rsidR="008B4758" w:rsidRPr="002B64DF" w:rsidRDefault="008B4758" w:rsidP="008B4758">
      <w:pPr>
        <w:pStyle w:val="i"/>
        <w:ind w:left="1701"/>
        <w:rPr>
          <w:u w:val="double"/>
          <w:lang w:val="en-IE"/>
        </w:rPr>
      </w:pPr>
      <w:r w:rsidRPr="002B64DF">
        <w:rPr>
          <w:u w:val="double"/>
          <w:lang w:val="en-IE"/>
        </w:rPr>
        <w:lastRenderedPageBreak/>
        <w:t>v)</w:t>
      </w:r>
      <w:r w:rsidRPr="002B64DF">
        <w:rPr>
          <w:u w:val="double"/>
          <w:lang w:val="en-IE"/>
        </w:rPr>
        <w:tab/>
        <w:t>Potency</w:t>
      </w:r>
    </w:p>
    <w:p w14:paraId="12C84079" w14:textId="05302260" w:rsidR="008B4758" w:rsidRPr="00C66964" w:rsidRDefault="008B4758" w:rsidP="002B64DF">
      <w:pPr>
        <w:pStyle w:val="afourthlevel"/>
        <w:rPr>
          <w:lang w:val="en-IE"/>
        </w:rPr>
      </w:pPr>
      <w:r w:rsidRPr="00C66964">
        <w:rPr>
          <w:lang w:val="en-IE"/>
        </w:rPr>
        <w:t>a)</w:t>
      </w:r>
      <w:r w:rsidRPr="00C66964">
        <w:rPr>
          <w:lang w:val="en-IE"/>
        </w:rPr>
        <w:tab/>
        <w:t>Live vaccine potency test</w:t>
      </w:r>
    </w:p>
    <w:p w14:paraId="2DA002E4" w14:textId="771AB6B1" w:rsidR="008B4758" w:rsidRDefault="00444EF9" w:rsidP="00B92BF3">
      <w:pPr>
        <w:pStyle w:val="afourthpara"/>
        <w:rPr>
          <w:lang w:val="en-IE"/>
        </w:rPr>
      </w:pPr>
      <w:r w:rsidRPr="002E0DF3">
        <w:t>A potency test (virus titration) in embryonating eggs, tracheal organ cultures or suitable cell cultures, as appropriate to the vaccine virus, must be carried out on each serial (batch) of vaccine produced. The vaccine titre at the time of issue must be high enough to guarantee that the minimum virus titre per dose will be maintained at least until the expiry date. In addition, the method described in Section C.</w:t>
      </w:r>
      <w:r w:rsidR="008B4758">
        <w:t>2.1.3</w:t>
      </w:r>
      <w:r w:rsidR="00FF7A68">
        <w:t>.</w:t>
      </w:r>
      <w:r w:rsidR="008B4758">
        <w:t xml:space="preserve">i </w:t>
      </w:r>
      <w:r w:rsidRPr="00691802">
        <w:rPr>
          <w:i/>
        </w:rPr>
        <w:t>Live vaccine</w:t>
      </w:r>
      <w:r w:rsidRPr="002E0DF3">
        <w:t xml:space="preserve"> (efficacy test) must be used </w:t>
      </w:r>
      <w:r w:rsidR="008B4758" w:rsidRPr="002B64DF">
        <w:rPr>
          <w:u w:val="double"/>
          <w:lang w:val="en-IE"/>
        </w:rPr>
        <w:t>and yield satisfactory results</w:t>
      </w:r>
      <w:r w:rsidR="008B4758" w:rsidRPr="00C66964">
        <w:rPr>
          <w:lang w:val="en-IE"/>
        </w:rPr>
        <w:t xml:space="preserve"> on one batch representative of all the batches prepared from the same seed lot.</w:t>
      </w:r>
    </w:p>
    <w:p w14:paraId="35E4DB5A" w14:textId="7680ED40" w:rsidR="008B4758" w:rsidRPr="00C66964" w:rsidRDefault="008B4758" w:rsidP="002B64DF">
      <w:pPr>
        <w:pStyle w:val="afourthlevel"/>
        <w:rPr>
          <w:lang w:val="en-IE"/>
        </w:rPr>
      </w:pPr>
      <w:r w:rsidRPr="00C66964">
        <w:rPr>
          <w:lang w:val="en-IE"/>
        </w:rPr>
        <w:t>b)</w:t>
      </w:r>
      <w:r w:rsidRPr="00C66964">
        <w:rPr>
          <w:lang w:val="en-IE"/>
        </w:rPr>
        <w:tab/>
      </w:r>
      <w:r w:rsidR="002B64DF" w:rsidRPr="002B64DF">
        <w:rPr>
          <w:strike/>
          <w:lang w:val="en-IE"/>
        </w:rPr>
        <w:t xml:space="preserve">Killed </w:t>
      </w:r>
      <w:r w:rsidRPr="002B64DF">
        <w:rPr>
          <w:u w:val="double"/>
          <w:lang w:val="en-IE"/>
        </w:rPr>
        <w:t>Inactivated</w:t>
      </w:r>
      <w:r w:rsidRPr="00C66964">
        <w:rPr>
          <w:lang w:val="en-IE"/>
        </w:rPr>
        <w:t xml:space="preserve"> vaccine potency test</w:t>
      </w:r>
    </w:p>
    <w:p w14:paraId="360F881D" w14:textId="77777777" w:rsidR="008B4758" w:rsidRPr="002E0DF3" w:rsidRDefault="008B4758" w:rsidP="00B92BF3">
      <w:pPr>
        <w:pStyle w:val="afourthpara"/>
      </w:pPr>
      <w:r w:rsidRPr="002E0DF3">
        <w:t xml:space="preserve">The potency test for inactivated vaccines is developed from the results of the efficacy test on a </w:t>
      </w:r>
      <w:r w:rsidRPr="002E0DF3">
        <w:rPr>
          <w:szCs w:val="24"/>
          <w:lang w:eastAsia="en-GB"/>
        </w:rPr>
        <w:t>representative batch of vaccine</w:t>
      </w:r>
      <w:r w:rsidRPr="002E0DF3">
        <w:t xml:space="preserve"> the master seed virus, by measuring antibody production. </w:t>
      </w:r>
    </w:p>
    <w:p w14:paraId="6EB6AF87" w14:textId="77777777" w:rsidR="002B64DF" w:rsidRPr="00C3614D" w:rsidRDefault="002B64DF" w:rsidP="002B64DF">
      <w:pPr>
        <w:pStyle w:val="11"/>
        <w:rPr>
          <w:strike/>
        </w:rPr>
      </w:pPr>
      <w:r w:rsidRPr="00C3614D">
        <w:rPr>
          <w:strike/>
        </w:rPr>
        <w:t>6.5.</w:t>
      </w:r>
      <w:r w:rsidRPr="00C3614D">
        <w:rPr>
          <w:strike/>
        </w:rPr>
        <w:tab/>
        <w:t>Preservatives</w:t>
      </w:r>
      <w:r w:rsidRPr="00C3614D">
        <w:rPr>
          <w:strike/>
          <w:sz w:val="24"/>
          <w:szCs w:val="24"/>
          <w:lang w:eastAsia="en-GB"/>
        </w:rPr>
        <w:t xml:space="preserve"> </w:t>
      </w:r>
    </w:p>
    <w:p w14:paraId="1EB50E5C" w14:textId="77777777" w:rsidR="002B64DF" w:rsidRDefault="002B64DF" w:rsidP="002B64DF">
      <w:pPr>
        <w:pStyle w:val="111Para"/>
        <w:rPr>
          <w:strike/>
        </w:rPr>
      </w:pPr>
      <w:r w:rsidRPr="00C3614D">
        <w:rPr>
          <w:strike/>
        </w:rPr>
        <w:t xml:space="preserve">A preservative is normally required for vaccine in multidose containers. The concentration of the preservative in the final vaccine and its persistence throughout shelf life should be checked. </w:t>
      </w:r>
    </w:p>
    <w:p w14:paraId="13A83708" w14:textId="7E14D370" w:rsidR="0007132F" w:rsidRPr="002B64DF" w:rsidRDefault="0007132F" w:rsidP="002B64DF">
      <w:pPr>
        <w:pStyle w:val="111Para"/>
        <w:rPr>
          <w:u w:val="double"/>
        </w:rPr>
      </w:pPr>
      <w:r w:rsidRPr="002B64DF">
        <w:rPr>
          <w:u w:val="double"/>
        </w:rPr>
        <w:t xml:space="preserve">As explained </w:t>
      </w:r>
      <w:r w:rsidR="001E0117">
        <w:rPr>
          <w:u w:val="double"/>
        </w:rPr>
        <w:t>in Section</w:t>
      </w:r>
      <w:r w:rsidRPr="002B64DF">
        <w:rPr>
          <w:u w:val="double"/>
        </w:rPr>
        <w:t xml:space="preserve"> C.2.1.3.ii</w:t>
      </w:r>
      <w:r w:rsidR="00FF7A68">
        <w:rPr>
          <w:u w:val="double"/>
        </w:rPr>
        <w:t xml:space="preserve"> </w:t>
      </w:r>
      <w:r w:rsidR="00FF7A68" w:rsidRPr="00FF7A68">
        <w:rPr>
          <w:i/>
          <w:u w:val="double"/>
        </w:rPr>
        <w:t>Live vaccine</w:t>
      </w:r>
      <w:r w:rsidRPr="00FF7A68">
        <w:rPr>
          <w:u w:val="double"/>
        </w:rPr>
        <w:t>, the following</w:t>
      </w:r>
      <w:r w:rsidRPr="002B64DF">
        <w:rPr>
          <w:u w:val="double"/>
        </w:rPr>
        <w:t xml:space="preserve"> protocol may be followed: at least 20 </w:t>
      </w:r>
      <w:proofErr w:type="spellStart"/>
      <w:r w:rsidRPr="002B64DF">
        <w:rPr>
          <w:u w:val="double"/>
        </w:rPr>
        <w:t>unprimed</w:t>
      </w:r>
      <w:proofErr w:type="spellEnd"/>
      <w:r w:rsidRPr="002B64DF">
        <w:rPr>
          <w:u w:val="double"/>
        </w:rPr>
        <w:t xml:space="preserve"> turkeys are given one dose of vaccine at the recommended age (near to point-of-lay) by one of the recommended routes, and the antibody response is measured between 4 and 6 weeks after vaccination by ELISA or serum neutralisation. If a primary vaccination with a live vaccine is recommended, an additional group of turkeys is given only the primary vaccination so that the actual effect of the inactivated vaccine can be indeed assessed individually. </w:t>
      </w:r>
    </w:p>
    <w:p w14:paraId="66D2E253" w14:textId="77777777" w:rsidR="00E95082" w:rsidRPr="002B64DF" w:rsidRDefault="00E95082" w:rsidP="00B92BF3">
      <w:pPr>
        <w:pStyle w:val="11"/>
        <w:rPr>
          <w:u w:val="double"/>
          <w:lang w:val="en-IE"/>
        </w:rPr>
      </w:pPr>
      <w:r w:rsidRPr="002B64DF">
        <w:rPr>
          <w:u w:val="double"/>
          <w:lang w:val="en-IE"/>
        </w:rPr>
        <w:t>2.3.</w:t>
      </w:r>
      <w:r w:rsidRPr="002B64DF">
        <w:rPr>
          <w:u w:val="double"/>
          <w:lang w:val="en-IE"/>
        </w:rPr>
        <w:tab/>
        <w:t xml:space="preserve">Requirements for authorisation/registration/licensing </w:t>
      </w:r>
    </w:p>
    <w:p w14:paraId="7202786E" w14:textId="125CEC95" w:rsidR="00E95082" w:rsidRPr="002B64DF" w:rsidRDefault="00E95082" w:rsidP="00B92BF3">
      <w:pPr>
        <w:pStyle w:val="111"/>
        <w:rPr>
          <w:u w:val="double"/>
        </w:rPr>
      </w:pPr>
      <w:r w:rsidRPr="002B64DF">
        <w:rPr>
          <w:u w:val="double"/>
        </w:rPr>
        <w:t>2.3.1.</w:t>
      </w:r>
      <w:r w:rsidRPr="002B64DF">
        <w:rPr>
          <w:u w:val="double"/>
        </w:rPr>
        <w:tab/>
        <w:t>Manufacturing process</w:t>
      </w:r>
    </w:p>
    <w:p w14:paraId="4A66C426" w14:textId="77777777" w:rsidR="009342CC" w:rsidRPr="002B64DF" w:rsidRDefault="009342CC" w:rsidP="00B92BF3">
      <w:pPr>
        <w:pStyle w:val="111Para"/>
        <w:rPr>
          <w:u w:val="double"/>
          <w:lang w:val="en-IE"/>
        </w:rPr>
      </w:pPr>
      <w:r w:rsidRPr="002B64DF">
        <w:rPr>
          <w:u w:val="double"/>
          <w:lang w:val="en-IE"/>
        </w:rPr>
        <w:t xml:space="preserve">For registration of vaccine, all relevant details concerning the manufacture of the vaccine and quality control testing (see Section C.2.1 </w:t>
      </w:r>
      <w:r w:rsidRPr="002B64DF">
        <w:rPr>
          <w:i/>
          <w:iCs/>
          <w:u w:val="double"/>
          <w:lang w:val="en-IE"/>
        </w:rPr>
        <w:t>Characteristics of the seed</w:t>
      </w:r>
      <w:r w:rsidRPr="002B64DF">
        <w:rPr>
          <w:u w:val="double"/>
          <w:lang w:val="en-IE"/>
        </w:rPr>
        <w:t xml:space="preserve"> and C.2.2 </w:t>
      </w:r>
      <w:r w:rsidRPr="002B64DF">
        <w:rPr>
          <w:i/>
          <w:iCs/>
          <w:u w:val="double"/>
          <w:lang w:val="en-IE"/>
        </w:rPr>
        <w:t>Methods of manufacture</w:t>
      </w:r>
      <w:r w:rsidRPr="002B64DF">
        <w:rPr>
          <w:u w:val="double"/>
          <w:lang w:val="en-IE"/>
        </w:rPr>
        <w:t>) should be submitted to the authorities. This information shall be provided from three consecutive vaccine batches with a volume not less than 1/3 of the typical industrial batch volume.</w:t>
      </w:r>
    </w:p>
    <w:p w14:paraId="4704595E" w14:textId="102DA72B" w:rsidR="00E95082" w:rsidRPr="002B64DF" w:rsidRDefault="00E95082" w:rsidP="00B92BF3">
      <w:pPr>
        <w:pStyle w:val="111"/>
        <w:rPr>
          <w:u w:val="double"/>
          <w:lang w:val="en-IE"/>
        </w:rPr>
      </w:pPr>
      <w:r w:rsidRPr="002B64DF">
        <w:rPr>
          <w:u w:val="double"/>
          <w:lang w:val="en-IE"/>
        </w:rPr>
        <w:t>2.3.2.</w:t>
      </w:r>
      <w:r w:rsidRPr="002B64DF">
        <w:rPr>
          <w:u w:val="double"/>
          <w:lang w:val="en-IE"/>
        </w:rPr>
        <w:tab/>
        <w:t>Safety requirements</w:t>
      </w:r>
    </w:p>
    <w:p w14:paraId="60D872B3" w14:textId="77777777" w:rsidR="00515998" w:rsidRPr="002B64DF" w:rsidRDefault="00515998" w:rsidP="00515998">
      <w:pPr>
        <w:pStyle w:val="i"/>
        <w:rPr>
          <w:u w:val="double"/>
          <w:lang w:val="en-IE"/>
        </w:rPr>
      </w:pPr>
      <w:r w:rsidRPr="002B64DF">
        <w:rPr>
          <w:u w:val="double"/>
          <w:lang w:val="en-IE"/>
        </w:rPr>
        <w:t>i)</w:t>
      </w:r>
      <w:r w:rsidRPr="002B64DF">
        <w:rPr>
          <w:u w:val="double"/>
          <w:lang w:val="en-IE"/>
        </w:rPr>
        <w:tab/>
        <w:t>Target and non-target animal safety</w:t>
      </w:r>
    </w:p>
    <w:p w14:paraId="3B9D16BD" w14:textId="3CEE108F" w:rsidR="0069558A" w:rsidRPr="002B64DF" w:rsidRDefault="0069558A" w:rsidP="00B92BF3">
      <w:pPr>
        <w:pStyle w:val="afourthpara"/>
        <w:rPr>
          <w:u w:val="double"/>
          <w:lang w:val="en-IE"/>
        </w:rPr>
      </w:pPr>
      <w:r w:rsidRPr="002B64DF">
        <w:rPr>
          <w:u w:val="double"/>
          <w:lang w:val="en-IE"/>
        </w:rPr>
        <w:t xml:space="preserve">Live attenuated </w:t>
      </w:r>
      <w:proofErr w:type="spellStart"/>
      <w:r w:rsidRPr="002B64DF">
        <w:rPr>
          <w:u w:val="double"/>
          <w:lang w:val="en-IE"/>
        </w:rPr>
        <w:t>aMPV</w:t>
      </w:r>
      <w:proofErr w:type="spellEnd"/>
      <w:r w:rsidRPr="002B64DF">
        <w:rPr>
          <w:u w:val="double"/>
          <w:lang w:val="en-IE"/>
        </w:rPr>
        <w:t xml:space="preserve"> vaccines </w:t>
      </w:r>
      <w:r w:rsidR="00024317" w:rsidRPr="002B64DF">
        <w:rPr>
          <w:u w:val="double"/>
          <w:lang w:val="en-IE"/>
        </w:rPr>
        <w:t>of subgroup A</w:t>
      </w:r>
      <w:r w:rsidR="009A3D3E" w:rsidRPr="002B64DF">
        <w:rPr>
          <w:u w:val="double"/>
          <w:lang w:val="en-IE"/>
        </w:rPr>
        <w:t xml:space="preserve">, </w:t>
      </w:r>
      <w:r w:rsidR="00024317" w:rsidRPr="002B64DF">
        <w:rPr>
          <w:u w:val="double"/>
          <w:lang w:val="en-IE"/>
        </w:rPr>
        <w:t xml:space="preserve">B </w:t>
      </w:r>
      <w:r w:rsidR="009A3D3E" w:rsidRPr="002B64DF">
        <w:rPr>
          <w:u w:val="double"/>
          <w:lang w:val="en-IE"/>
        </w:rPr>
        <w:t>and C (</w:t>
      </w:r>
      <w:proofErr w:type="spellStart"/>
      <w:r w:rsidR="009A3D3E" w:rsidRPr="002B64DF">
        <w:rPr>
          <w:u w:val="double"/>
          <w:lang w:val="en-IE"/>
        </w:rPr>
        <w:t>galliforms</w:t>
      </w:r>
      <w:proofErr w:type="spellEnd"/>
      <w:r w:rsidR="009A3D3E" w:rsidRPr="002B64DF">
        <w:rPr>
          <w:u w:val="double"/>
          <w:lang w:val="en-IE"/>
        </w:rPr>
        <w:t xml:space="preserve"> origin) </w:t>
      </w:r>
      <w:r w:rsidR="00024317" w:rsidRPr="002B64DF">
        <w:rPr>
          <w:u w:val="double"/>
          <w:lang w:val="en-IE"/>
        </w:rPr>
        <w:t>will infect both turkeys and chickens</w:t>
      </w:r>
      <w:r w:rsidR="00FF7A68">
        <w:rPr>
          <w:u w:val="double"/>
          <w:lang w:val="en-IE"/>
        </w:rPr>
        <w:t>,</w:t>
      </w:r>
      <w:r w:rsidR="00024317" w:rsidRPr="002B64DF">
        <w:rPr>
          <w:u w:val="double"/>
          <w:lang w:val="en-IE"/>
        </w:rPr>
        <w:t xml:space="preserve"> but ducks are not susceptible to these viruses (see</w:t>
      </w:r>
      <w:r w:rsidR="001E0117">
        <w:rPr>
          <w:u w:val="double"/>
          <w:lang w:val="en-IE"/>
        </w:rPr>
        <w:t xml:space="preserve"> Section</w:t>
      </w:r>
      <w:r w:rsidR="00024317" w:rsidRPr="002B64DF">
        <w:rPr>
          <w:u w:val="double"/>
          <w:lang w:val="en-IE"/>
        </w:rPr>
        <w:t xml:space="preserve"> A. </w:t>
      </w:r>
      <w:r w:rsidR="00024317" w:rsidRPr="00FF7A68">
        <w:rPr>
          <w:i/>
          <w:iCs/>
          <w:u w:val="double"/>
          <w:lang w:val="en-IE"/>
        </w:rPr>
        <w:t>Introduction</w:t>
      </w:r>
      <w:r w:rsidR="00024317" w:rsidRPr="002B64DF">
        <w:rPr>
          <w:u w:val="double"/>
          <w:lang w:val="en-IE"/>
        </w:rPr>
        <w:t xml:space="preserve"> and Brown </w:t>
      </w:r>
      <w:r w:rsidR="00024317" w:rsidRPr="001E0117">
        <w:rPr>
          <w:i/>
          <w:iCs/>
          <w:u w:val="double"/>
          <w:lang w:val="en-IE"/>
        </w:rPr>
        <w:t>et al.,</w:t>
      </w:r>
      <w:r w:rsidR="00024317" w:rsidRPr="002B64DF">
        <w:rPr>
          <w:u w:val="double"/>
          <w:lang w:val="en-IE"/>
        </w:rPr>
        <w:t xml:space="preserve"> 2019)</w:t>
      </w:r>
      <w:r w:rsidR="00FF7A68">
        <w:rPr>
          <w:u w:val="double"/>
          <w:lang w:val="en-IE"/>
        </w:rPr>
        <w:t>.</w:t>
      </w:r>
    </w:p>
    <w:p w14:paraId="147E2C13" w14:textId="2904C1CB" w:rsidR="0069558A" w:rsidRPr="002B64DF" w:rsidRDefault="0069558A" w:rsidP="00F730D5">
      <w:pPr>
        <w:pStyle w:val="ipara"/>
        <w:ind w:left="1843"/>
        <w:rPr>
          <w:u w:val="double"/>
          <w:lang w:val="en-IE"/>
        </w:rPr>
      </w:pPr>
      <w:r w:rsidRPr="002B64DF">
        <w:rPr>
          <w:u w:val="double"/>
          <w:lang w:val="en-IE"/>
        </w:rPr>
        <w:t xml:space="preserve">No interaction of live </w:t>
      </w:r>
      <w:proofErr w:type="spellStart"/>
      <w:r w:rsidRPr="002B64DF">
        <w:rPr>
          <w:u w:val="double"/>
          <w:lang w:val="en-IE"/>
        </w:rPr>
        <w:t>aMPV</w:t>
      </w:r>
      <w:proofErr w:type="spellEnd"/>
      <w:r w:rsidRPr="002B64DF">
        <w:rPr>
          <w:u w:val="double"/>
          <w:lang w:val="en-IE"/>
        </w:rPr>
        <w:t xml:space="preserve"> vaccines with non-target avian species has been documented so far. Any information regarding a negative effect in a non-target animal species should be provided in the vaccine instructions for use. </w:t>
      </w:r>
    </w:p>
    <w:p w14:paraId="68CE15C7" w14:textId="4E9F09C5" w:rsidR="00E95082" w:rsidRPr="002B64DF" w:rsidRDefault="00515998" w:rsidP="00F730D5">
      <w:pPr>
        <w:pStyle w:val="i"/>
        <w:rPr>
          <w:u w:val="double"/>
          <w:lang w:val="en-IE"/>
        </w:rPr>
      </w:pPr>
      <w:r w:rsidRPr="002B64DF">
        <w:rPr>
          <w:u w:val="double"/>
          <w:lang w:val="en-IE"/>
        </w:rPr>
        <w:t>i</w:t>
      </w:r>
      <w:r w:rsidR="00E95082" w:rsidRPr="002B64DF">
        <w:rPr>
          <w:u w:val="double"/>
          <w:lang w:val="en-IE"/>
        </w:rPr>
        <w:t>i)</w:t>
      </w:r>
      <w:r w:rsidR="00E95082" w:rsidRPr="002B64DF">
        <w:rPr>
          <w:u w:val="double"/>
          <w:lang w:val="en-IE"/>
        </w:rPr>
        <w:tab/>
        <w:t>Reversion-to-virulence for attenuated/live vaccines and environmental considerations</w:t>
      </w:r>
    </w:p>
    <w:p w14:paraId="45265D8B" w14:textId="0E59897B" w:rsidR="00E95082" w:rsidRPr="002B64DF" w:rsidRDefault="00E95082" w:rsidP="00F730D5">
      <w:pPr>
        <w:pStyle w:val="ipara"/>
        <w:ind w:left="1843"/>
        <w:rPr>
          <w:u w:val="double"/>
          <w:lang w:val="en-IE"/>
        </w:rPr>
      </w:pPr>
      <w:r w:rsidRPr="002B64DF">
        <w:rPr>
          <w:u w:val="double"/>
          <w:lang w:val="en-IE"/>
        </w:rPr>
        <w:t xml:space="preserve">It is critical that the potential of live attenuated </w:t>
      </w:r>
      <w:proofErr w:type="spellStart"/>
      <w:r w:rsidR="003974DC" w:rsidRPr="002B64DF">
        <w:rPr>
          <w:u w:val="double"/>
          <w:lang w:val="en-IE"/>
        </w:rPr>
        <w:t>a</w:t>
      </w:r>
      <w:r w:rsidR="009342CC" w:rsidRPr="002B64DF">
        <w:rPr>
          <w:u w:val="double"/>
          <w:lang w:val="en-IE"/>
        </w:rPr>
        <w:t>MPV</w:t>
      </w:r>
      <w:proofErr w:type="spellEnd"/>
      <w:r w:rsidRPr="002B64DF">
        <w:rPr>
          <w:u w:val="double"/>
          <w:lang w:val="en-IE"/>
        </w:rPr>
        <w:t xml:space="preserve"> vaccines to revert to virulence is assessed prior to licensing (See Section C.2.1.2.i</w:t>
      </w:r>
      <w:r w:rsidR="00497250">
        <w:rPr>
          <w:u w:val="double"/>
          <w:lang w:val="en-IE"/>
        </w:rPr>
        <w:t xml:space="preserve"> </w:t>
      </w:r>
      <w:r w:rsidR="00497250" w:rsidRPr="00497250">
        <w:rPr>
          <w:i/>
          <w:iCs/>
          <w:u w:val="double"/>
          <w:lang w:val="en-IE"/>
        </w:rPr>
        <w:t>Quality criteria</w:t>
      </w:r>
      <w:r w:rsidR="00497250">
        <w:rPr>
          <w:u w:val="double"/>
          <w:lang w:val="en-IE"/>
        </w:rPr>
        <w:t xml:space="preserve"> [purity]</w:t>
      </w:r>
      <w:r w:rsidRPr="002B64DF">
        <w:rPr>
          <w:u w:val="double"/>
          <w:lang w:val="en-IE"/>
        </w:rPr>
        <w:t xml:space="preserve"> above).</w:t>
      </w:r>
    </w:p>
    <w:p w14:paraId="6D806416" w14:textId="4388146B" w:rsidR="009342CC" w:rsidRPr="002B64DF" w:rsidRDefault="00E95082" w:rsidP="00F730D5">
      <w:pPr>
        <w:pStyle w:val="ipara"/>
        <w:ind w:left="1843"/>
        <w:rPr>
          <w:u w:val="double"/>
          <w:lang w:val="en-IE"/>
        </w:rPr>
      </w:pPr>
      <w:r w:rsidRPr="002B64DF">
        <w:rPr>
          <w:u w:val="double"/>
          <w:lang w:val="en-IE"/>
        </w:rPr>
        <w:t xml:space="preserve">Environmental considerations to be taken into account in the licensing process include the knowledge of the </w:t>
      </w:r>
      <w:proofErr w:type="spellStart"/>
      <w:r w:rsidR="007105E0" w:rsidRPr="002B64DF">
        <w:rPr>
          <w:u w:val="double"/>
          <w:lang w:val="en-IE"/>
        </w:rPr>
        <w:t>a</w:t>
      </w:r>
      <w:r w:rsidR="009342CC" w:rsidRPr="002B64DF">
        <w:rPr>
          <w:u w:val="double"/>
          <w:lang w:val="en-IE"/>
        </w:rPr>
        <w:t>MPV</w:t>
      </w:r>
      <w:proofErr w:type="spellEnd"/>
      <w:r w:rsidRPr="002B64DF">
        <w:rPr>
          <w:u w:val="double"/>
          <w:lang w:val="en-IE"/>
        </w:rPr>
        <w:t xml:space="preserve"> strains that circulate in the area where the licensed vaccine will be used, as this knowledge may help i) in selecting the vaccines suitable </w:t>
      </w:r>
      <w:r w:rsidR="00497250">
        <w:rPr>
          <w:u w:val="double"/>
          <w:lang w:val="en-IE"/>
        </w:rPr>
        <w:t>for</w:t>
      </w:r>
      <w:r w:rsidRPr="002B64DF">
        <w:rPr>
          <w:u w:val="double"/>
          <w:lang w:val="en-IE"/>
        </w:rPr>
        <w:t xml:space="preserve"> control</w:t>
      </w:r>
      <w:r w:rsidR="00497250">
        <w:rPr>
          <w:u w:val="double"/>
          <w:lang w:val="en-IE"/>
        </w:rPr>
        <w:t>ling</w:t>
      </w:r>
      <w:r w:rsidRPr="002B64DF">
        <w:rPr>
          <w:u w:val="double"/>
          <w:lang w:val="en-IE"/>
        </w:rPr>
        <w:t xml:space="preserve"> these strains and ii) in deciding whether it is justified or not to introduce a live attenuated </w:t>
      </w:r>
      <w:proofErr w:type="spellStart"/>
      <w:r w:rsidR="007105E0" w:rsidRPr="002B64DF">
        <w:rPr>
          <w:u w:val="double"/>
          <w:lang w:val="en-IE"/>
        </w:rPr>
        <w:t>a</w:t>
      </w:r>
      <w:r w:rsidR="009342CC" w:rsidRPr="002B64DF">
        <w:rPr>
          <w:u w:val="double"/>
          <w:lang w:val="en-IE"/>
        </w:rPr>
        <w:t>MPV</w:t>
      </w:r>
      <w:proofErr w:type="spellEnd"/>
      <w:r w:rsidRPr="002B64DF">
        <w:rPr>
          <w:u w:val="double"/>
          <w:lang w:val="en-IE"/>
        </w:rPr>
        <w:t xml:space="preserve"> vaccine strain possibly significantly different from the local </w:t>
      </w:r>
      <w:proofErr w:type="spellStart"/>
      <w:r w:rsidR="007105E0" w:rsidRPr="002B64DF">
        <w:rPr>
          <w:u w:val="double"/>
          <w:lang w:val="en-IE"/>
        </w:rPr>
        <w:t>a</w:t>
      </w:r>
      <w:r w:rsidR="009342CC" w:rsidRPr="002B64DF">
        <w:rPr>
          <w:u w:val="double"/>
          <w:lang w:val="en-IE"/>
        </w:rPr>
        <w:t>MPV</w:t>
      </w:r>
      <w:proofErr w:type="spellEnd"/>
      <w:r w:rsidRPr="002B64DF">
        <w:rPr>
          <w:u w:val="double"/>
          <w:lang w:val="en-IE"/>
        </w:rPr>
        <w:t xml:space="preserve"> strains.</w:t>
      </w:r>
    </w:p>
    <w:p w14:paraId="7473CC9F" w14:textId="77777777" w:rsidR="00E95082" w:rsidRPr="00C66964" w:rsidRDefault="00E95082" w:rsidP="00F730D5">
      <w:pPr>
        <w:pStyle w:val="i"/>
        <w:rPr>
          <w:lang w:val="en-IE"/>
        </w:rPr>
      </w:pPr>
      <w:r w:rsidRPr="00C66964">
        <w:rPr>
          <w:lang w:val="en-IE"/>
        </w:rPr>
        <w:t>iii)</w:t>
      </w:r>
      <w:r w:rsidRPr="00C66964">
        <w:rPr>
          <w:lang w:val="en-IE"/>
        </w:rPr>
        <w:tab/>
        <w:t>Precautions (hazards)</w:t>
      </w:r>
    </w:p>
    <w:p w14:paraId="154A8439" w14:textId="426B8765" w:rsidR="00E95082" w:rsidRPr="00765EAD" w:rsidRDefault="00C857B7" w:rsidP="00B92BF3">
      <w:pPr>
        <w:pStyle w:val="afourthpara"/>
        <w:rPr>
          <w:b/>
          <w:lang w:val="en-IE"/>
        </w:rPr>
      </w:pPr>
      <w:proofErr w:type="spellStart"/>
      <w:r>
        <w:rPr>
          <w:lang w:val="en-IE"/>
        </w:rPr>
        <w:t>aMPV</w:t>
      </w:r>
      <w:proofErr w:type="spellEnd"/>
      <w:r w:rsidR="00E95082" w:rsidRPr="00765EAD">
        <w:rPr>
          <w:lang w:val="en-IE"/>
        </w:rPr>
        <w:t xml:space="preserve"> is not recognised as a zoonotic agent, however precaution</w:t>
      </w:r>
      <w:r w:rsidR="00253D2A">
        <w:rPr>
          <w:lang w:val="en-IE"/>
        </w:rPr>
        <w:t xml:space="preserve"> should</w:t>
      </w:r>
      <w:r w:rsidR="00B92BF3">
        <w:rPr>
          <w:lang w:val="en-IE"/>
        </w:rPr>
        <w:t xml:space="preserve"> </w:t>
      </w:r>
      <w:r w:rsidR="00E95082" w:rsidRPr="00765EAD">
        <w:rPr>
          <w:lang w:val="en-IE"/>
        </w:rPr>
        <w:t>be implemented in the manufacturing steps or during vaccination to minimise the</w:t>
      </w:r>
      <w:r w:rsidR="00253D2A">
        <w:rPr>
          <w:lang w:val="en-IE"/>
        </w:rPr>
        <w:t xml:space="preserve"> </w:t>
      </w:r>
      <w:r w:rsidR="00E95082" w:rsidRPr="00765EAD">
        <w:rPr>
          <w:lang w:val="en-IE"/>
        </w:rPr>
        <w:t>exp</w:t>
      </w:r>
      <w:r w:rsidR="00253D2A">
        <w:rPr>
          <w:lang w:val="en-IE"/>
        </w:rPr>
        <w:t>osure</w:t>
      </w:r>
      <w:r w:rsidR="00B92BF3">
        <w:rPr>
          <w:lang w:val="en-IE"/>
        </w:rPr>
        <w:t xml:space="preserve"> </w:t>
      </w:r>
      <w:r w:rsidR="00E95082" w:rsidRPr="00765EAD">
        <w:rPr>
          <w:lang w:val="en-IE"/>
        </w:rPr>
        <w:t>of staff to vaccine aerosols.</w:t>
      </w:r>
      <w:r w:rsidR="00253D2A">
        <w:rPr>
          <w:lang w:val="en-IE"/>
        </w:rPr>
        <w:t xml:space="preserve"> </w:t>
      </w:r>
      <w:r w:rsidR="00E95082" w:rsidRPr="00765EAD">
        <w:rPr>
          <w:lang w:val="en-IE"/>
        </w:rPr>
        <w:t>Oil-emulsion vaccines cause serious injury to the vaccinator if</w:t>
      </w:r>
      <w:r w:rsidR="00B92BF3">
        <w:rPr>
          <w:lang w:val="en-IE"/>
        </w:rPr>
        <w:t xml:space="preserve"> </w:t>
      </w:r>
      <w:r w:rsidR="00E95082" w:rsidRPr="00765EAD">
        <w:rPr>
          <w:lang w:val="en-IE"/>
        </w:rPr>
        <w:t>accidentally injected into the</w:t>
      </w:r>
      <w:r w:rsidR="00EB3C29">
        <w:rPr>
          <w:lang w:val="en-IE"/>
        </w:rPr>
        <w:t xml:space="preserve"> </w:t>
      </w:r>
      <w:r w:rsidR="00E95082" w:rsidRPr="00765EAD">
        <w:rPr>
          <w:lang w:val="en-IE"/>
        </w:rPr>
        <w:t>hand or other tissues. In the event of such an accident the</w:t>
      </w:r>
      <w:r w:rsidR="00B92BF3">
        <w:rPr>
          <w:lang w:val="en-IE"/>
        </w:rPr>
        <w:t xml:space="preserve"> </w:t>
      </w:r>
      <w:r w:rsidR="00E95082" w:rsidRPr="00765EAD">
        <w:rPr>
          <w:lang w:val="en-IE"/>
        </w:rPr>
        <w:t>person should go at once to a</w:t>
      </w:r>
      <w:r w:rsidR="00253D2A">
        <w:rPr>
          <w:lang w:val="en-IE"/>
        </w:rPr>
        <w:t xml:space="preserve"> </w:t>
      </w:r>
      <w:r w:rsidR="00E95082" w:rsidRPr="00765EAD">
        <w:rPr>
          <w:lang w:val="en-IE"/>
        </w:rPr>
        <w:t>hospital, taking the vaccine package and manufactu</w:t>
      </w:r>
      <w:r w:rsidR="00253D2A">
        <w:rPr>
          <w:lang w:val="en-IE"/>
        </w:rPr>
        <w:t>rer’s</w:t>
      </w:r>
      <w:r w:rsidR="00B92BF3">
        <w:rPr>
          <w:lang w:val="en-IE"/>
        </w:rPr>
        <w:t xml:space="preserve"> </w:t>
      </w:r>
      <w:r w:rsidR="00E95082" w:rsidRPr="00765EAD">
        <w:rPr>
          <w:lang w:val="en-IE"/>
        </w:rPr>
        <w:t>datasheet with them. Each</w:t>
      </w:r>
      <w:r w:rsidR="00253D2A">
        <w:rPr>
          <w:lang w:val="en-IE"/>
        </w:rPr>
        <w:t xml:space="preserve"> </w:t>
      </w:r>
      <w:r w:rsidR="00E95082" w:rsidRPr="00765EAD">
        <w:rPr>
          <w:lang w:val="en-IE"/>
        </w:rPr>
        <w:lastRenderedPageBreak/>
        <w:t>vaccine bottle and package should be clearly marked with a</w:t>
      </w:r>
      <w:r w:rsidR="00B92BF3">
        <w:rPr>
          <w:lang w:val="en-IE"/>
        </w:rPr>
        <w:t xml:space="preserve"> </w:t>
      </w:r>
      <w:r w:rsidR="00E95082" w:rsidRPr="00765EAD">
        <w:rPr>
          <w:lang w:val="en-IE"/>
        </w:rPr>
        <w:t>warning of the serious</w:t>
      </w:r>
      <w:r w:rsidR="00253D2A">
        <w:rPr>
          <w:lang w:val="en-IE"/>
        </w:rPr>
        <w:t xml:space="preserve"> </w:t>
      </w:r>
      <w:r w:rsidR="00E95082" w:rsidRPr="00765EAD">
        <w:rPr>
          <w:lang w:val="en-IE"/>
        </w:rPr>
        <w:t>consequences of accidental self-injury.</w:t>
      </w:r>
    </w:p>
    <w:p w14:paraId="7902B4B3" w14:textId="3A581946" w:rsidR="00E95082" w:rsidRPr="002B64DF" w:rsidRDefault="00E95082" w:rsidP="00E95082">
      <w:pPr>
        <w:pStyle w:val="111"/>
        <w:rPr>
          <w:u w:val="double"/>
          <w:lang w:val="en-IE"/>
        </w:rPr>
      </w:pPr>
      <w:r w:rsidRPr="002B64DF">
        <w:rPr>
          <w:u w:val="double"/>
          <w:lang w:val="en-IE"/>
        </w:rPr>
        <w:t>2.3.3.</w:t>
      </w:r>
      <w:r w:rsidRPr="002B64DF">
        <w:rPr>
          <w:u w:val="double"/>
          <w:lang w:val="en-IE"/>
        </w:rPr>
        <w:tab/>
        <w:t>Efficacy requirements</w:t>
      </w:r>
    </w:p>
    <w:p w14:paraId="60CE581C" w14:textId="1DC57827" w:rsidR="00515998" w:rsidRPr="002B64DF" w:rsidRDefault="00515998" w:rsidP="00B92BF3">
      <w:pPr>
        <w:pStyle w:val="111Para"/>
        <w:rPr>
          <w:u w:val="double"/>
        </w:rPr>
      </w:pPr>
      <w:r w:rsidRPr="002B64DF">
        <w:rPr>
          <w:u w:val="double"/>
        </w:rPr>
        <w:t xml:space="preserve">The tests, challenge models and criteria </w:t>
      </w:r>
      <w:r w:rsidR="007105E0" w:rsidRPr="002B64DF">
        <w:rPr>
          <w:u w:val="double"/>
        </w:rPr>
        <w:t xml:space="preserve">used to assess the efficacy of </w:t>
      </w:r>
      <w:proofErr w:type="spellStart"/>
      <w:r w:rsidR="007105E0" w:rsidRPr="002B64DF">
        <w:rPr>
          <w:u w:val="double"/>
        </w:rPr>
        <w:t>a</w:t>
      </w:r>
      <w:r w:rsidRPr="002B64DF">
        <w:rPr>
          <w:u w:val="double"/>
        </w:rPr>
        <w:t>MPV</w:t>
      </w:r>
      <w:proofErr w:type="spellEnd"/>
      <w:r w:rsidRPr="002B64DF">
        <w:rPr>
          <w:u w:val="double"/>
        </w:rPr>
        <w:t xml:space="preserve"> vaccines are described </w:t>
      </w:r>
      <w:r w:rsidR="00497250">
        <w:rPr>
          <w:u w:val="double"/>
        </w:rPr>
        <w:t>in</w:t>
      </w:r>
      <w:r w:rsidRPr="002B64DF">
        <w:rPr>
          <w:u w:val="double"/>
        </w:rPr>
        <w:t xml:space="preserve"> Sections C.2.1.3.i </w:t>
      </w:r>
      <w:r w:rsidRPr="00497250">
        <w:rPr>
          <w:i/>
          <w:iCs/>
          <w:u w:val="double"/>
        </w:rPr>
        <w:t>Live vaccine</w:t>
      </w:r>
      <w:r w:rsidRPr="002B64DF">
        <w:rPr>
          <w:u w:val="double"/>
        </w:rPr>
        <w:t xml:space="preserve"> and C.2.1.3.ii </w:t>
      </w:r>
      <w:r w:rsidRPr="00497250">
        <w:rPr>
          <w:i/>
          <w:iCs/>
          <w:u w:val="double"/>
        </w:rPr>
        <w:t>Inactivated vaccine</w:t>
      </w:r>
      <w:r w:rsidRPr="002B64DF">
        <w:rPr>
          <w:u w:val="double"/>
        </w:rPr>
        <w:t>.</w:t>
      </w:r>
      <w:r w:rsidR="007105E0" w:rsidRPr="002B64DF">
        <w:rPr>
          <w:u w:val="double"/>
        </w:rPr>
        <w:t xml:space="preserve"> When assessing efficacy in an </w:t>
      </w:r>
      <w:proofErr w:type="spellStart"/>
      <w:r w:rsidR="007105E0" w:rsidRPr="002B64DF">
        <w:rPr>
          <w:u w:val="double"/>
        </w:rPr>
        <w:t>a</w:t>
      </w:r>
      <w:r w:rsidRPr="002B64DF">
        <w:rPr>
          <w:u w:val="double"/>
        </w:rPr>
        <w:t>MPV</w:t>
      </w:r>
      <w:proofErr w:type="spellEnd"/>
      <w:r w:rsidRPr="002B64DF">
        <w:rPr>
          <w:u w:val="double"/>
        </w:rPr>
        <w:t xml:space="preserve"> challenge model, it is advisable that the selected challenge virus be </w:t>
      </w:r>
      <w:r w:rsidR="007105E0" w:rsidRPr="002B64DF">
        <w:rPr>
          <w:u w:val="double"/>
        </w:rPr>
        <w:t xml:space="preserve">representative of contemporary </w:t>
      </w:r>
      <w:proofErr w:type="spellStart"/>
      <w:r w:rsidR="007105E0" w:rsidRPr="002B64DF">
        <w:rPr>
          <w:u w:val="double"/>
        </w:rPr>
        <w:t>a</w:t>
      </w:r>
      <w:r w:rsidRPr="002B64DF">
        <w:rPr>
          <w:u w:val="double"/>
        </w:rPr>
        <w:t>MPV</w:t>
      </w:r>
      <w:proofErr w:type="spellEnd"/>
      <w:r w:rsidRPr="002B64DF">
        <w:rPr>
          <w:u w:val="double"/>
        </w:rPr>
        <w:t xml:space="preserve"> strains that circulate in the area where the licensed vaccine will be used.</w:t>
      </w:r>
    </w:p>
    <w:p w14:paraId="055501B4" w14:textId="16CAF9E4" w:rsidR="00E95082" w:rsidRPr="002B64DF" w:rsidRDefault="00E95082" w:rsidP="00E95082">
      <w:pPr>
        <w:pStyle w:val="111"/>
        <w:rPr>
          <w:u w:val="double"/>
          <w:lang w:val="en-IE"/>
        </w:rPr>
      </w:pPr>
      <w:r w:rsidRPr="002B64DF">
        <w:rPr>
          <w:u w:val="double"/>
          <w:lang w:val="en-IE"/>
        </w:rPr>
        <w:t>2.3.4.</w:t>
      </w:r>
      <w:r w:rsidRPr="002B64DF">
        <w:rPr>
          <w:u w:val="double"/>
          <w:lang w:val="en-IE"/>
        </w:rPr>
        <w:tab/>
        <w:t>Vaccines permitting a DIVA strategy</w:t>
      </w:r>
    </w:p>
    <w:p w14:paraId="03E165AA" w14:textId="567140C3" w:rsidR="00D41B3F" w:rsidRPr="00497250" w:rsidRDefault="007105E0" w:rsidP="00B92BF3">
      <w:pPr>
        <w:pStyle w:val="111Para"/>
        <w:rPr>
          <w:b/>
          <w:u w:val="double"/>
          <w:lang w:val="en-IE"/>
        </w:rPr>
      </w:pPr>
      <w:r w:rsidRPr="00497250">
        <w:rPr>
          <w:u w:val="double"/>
          <w:lang w:val="en-IE"/>
        </w:rPr>
        <w:t xml:space="preserve">No DIVA </w:t>
      </w:r>
      <w:r w:rsidR="00497250" w:rsidRPr="00497250">
        <w:rPr>
          <w:u w:val="double"/>
          <w:lang w:val="en-IE"/>
        </w:rPr>
        <w:t>(</w:t>
      </w:r>
      <w:r w:rsidR="00497250" w:rsidRPr="00497250">
        <w:rPr>
          <w:u w:val="double"/>
        </w:rPr>
        <w:t>detection of infection in vaccinated animals</w:t>
      </w:r>
      <w:r w:rsidR="00497250" w:rsidRPr="00497250">
        <w:rPr>
          <w:u w:val="double"/>
          <w:lang w:val="en-IE"/>
        </w:rPr>
        <w:t xml:space="preserve">) </w:t>
      </w:r>
      <w:r w:rsidRPr="00497250">
        <w:rPr>
          <w:u w:val="double"/>
          <w:lang w:val="en-IE"/>
        </w:rPr>
        <w:t xml:space="preserve">vaccines </w:t>
      </w:r>
      <w:r w:rsidR="005A0015" w:rsidRPr="00497250">
        <w:rPr>
          <w:u w:val="double"/>
          <w:lang w:val="en-IE"/>
        </w:rPr>
        <w:t xml:space="preserve">are commercially </w:t>
      </w:r>
      <w:r w:rsidRPr="00497250">
        <w:rPr>
          <w:u w:val="double"/>
          <w:lang w:val="en-IE"/>
        </w:rPr>
        <w:t xml:space="preserve">available for </w:t>
      </w:r>
      <w:proofErr w:type="spellStart"/>
      <w:r w:rsidRPr="00497250">
        <w:rPr>
          <w:u w:val="double"/>
          <w:lang w:val="en-IE"/>
        </w:rPr>
        <w:t>a</w:t>
      </w:r>
      <w:r w:rsidR="00D41B3F" w:rsidRPr="00497250">
        <w:rPr>
          <w:u w:val="double"/>
          <w:lang w:val="en-IE"/>
        </w:rPr>
        <w:t>MPV</w:t>
      </w:r>
      <w:proofErr w:type="spellEnd"/>
      <w:r w:rsidR="00497250">
        <w:rPr>
          <w:u w:val="double"/>
          <w:lang w:val="en-IE"/>
        </w:rPr>
        <w:t>.</w:t>
      </w:r>
    </w:p>
    <w:p w14:paraId="063E26BB" w14:textId="6EC0CAB7" w:rsidR="00E95082" w:rsidRPr="002B64DF" w:rsidRDefault="00E95082" w:rsidP="00E811AD">
      <w:pPr>
        <w:pStyle w:val="111"/>
        <w:rPr>
          <w:u w:val="double"/>
          <w:lang w:val="en-IE"/>
        </w:rPr>
      </w:pPr>
      <w:r w:rsidRPr="002B64DF">
        <w:rPr>
          <w:u w:val="double"/>
          <w:lang w:val="en-IE"/>
        </w:rPr>
        <w:t>2.3.5.</w:t>
      </w:r>
      <w:r w:rsidRPr="002B64DF">
        <w:rPr>
          <w:u w:val="double"/>
          <w:lang w:val="en-IE"/>
        </w:rPr>
        <w:tab/>
        <w:t>Duration of immunity</w:t>
      </w:r>
    </w:p>
    <w:p w14:paraId="752DCADC" w14:textId="377C5EF5" w:rsidR="00515998" w:rsidRPr="002B64DF" w:rsidRDefault="008578A8" w:rsidP="00B92BF3">
      <w:pPr>
        <w:pStyle w:val="111Para"/>
        <w:rPr>
          <w:b/>
          <w:u w:val="double"/>
        </w:rPr>
      </w:pPr>
      <w:r w:rsidRPr="002B64DF">
        <w:rPr>
          <w:u w:val="double"/>
          <w:lang w:val="en-IE"/>
        </w:rPr>
        <w:t>The cell</w:t>
      </w:r>
      <w:r w:rsidR="003407D5">
        <w:rPr>
          <w:u w:val="double"/>
          <w:lang w:val="en-IE"/>
        </w:rPr>
        <w:t>-</w:t>
      </w:r>
      <w:r w:rsidRPr="002B64DF">
        <w:rPr>
          <w:u w:val="double"/>
          <w:lang w:val="en-IE"/>
        </w:rPr>
        <w:t xml:space="preserve">mediated response to </w:t>
      </w:r>
      <w:proofErr w:type="spellStart"/>
      <w:r w:rsidRPr="002B64DF">
        <w:rPr>
          <w:u w:val="double"/>
          <w:lang w:val="en-IE"/>
        </w:rPr>
        <w:t>aMPV</w:t>
      </w:r>
      <w:proofErr w:type="spellEnd"/>
      <w:r w:rsidRPr="002B64DF">
        <w:rPr>
          <w:u w:val="double"/>
          <w:lang w:val="en-IE"/>
        </w:rPr>
        <w:t xml:space="preserve"> infection has been reported to be the main line of defence and protection has been reported to last as long as </w:t>
      </w:r>
      <w:r w:rsidR="00A77CFB" w:rsidRPr="002B64DF">
        <w:rPr>
          <w:u w:val="double"/>
          <w:lang w:val="en-IE"/>
        </w:rPr>
        <w:t>22</w:t>
      </w:r>
      <w:r w:rsidRPr="002B64DF">
        <w:rPr>
          <w:u w:val="double"/>
          <w:lang w:val="en-IE"/>
        </w:rPr>
        <w:t xml:space="preserve"> weeks under experimental conditions following vaccination (Williams </w:t>
      </w:r>
      <w:r w:rsidRPr="00497250">
        <w:rPr>
          <w:i/>
          <w:iCs/>
          <w:u w:val="double"/>
          <w:lang w:val="en-IE"/>
        </w:rPr>
        <w:t>et al.</w:t>
      </w:r>
      <w:r w:rsidR="00A77CFB" w:rsidRPr="00497250">
        <w:rPr>
          <w:i/>
          <w:iCs/>
          <w:u w:val="double"/>
          <w:lang w:val="en-IE"/>
        </w:rPr>
        <w:t>,</w:t>
      </w:r>
      <w:r w:rsidRPr="002B64DF">
        <w:rPr>
          <w:u w:val="double"/>
          <w:lang w:val="en-IE"/>
        </w:rPr>
        <w:t xml:space="preserve"> 1991)</w:t>
      </w:r>
      <w:r w:rsidRPr="002B64DF">
        <w:rPr>
          <w:u w:val="double"/>
        </w:rPr>
        <w:t>. However, in the field repeat vaccinations (2 – 3 times) are practiced</w:t>
      </w:r>
      <w:r w:rsidR="00A947C1" w:rsidRPr="002B64DF">
        <w:rPr>
          <w:u w:val="double"/>
        </w:rPr>
        <w:t xml:space="preserve"> </w:t>
      </w:r>
      <w:r w:rsidRPr="002B64DF">
        <w:rPr>
          <w:u w:val="double"/>
        </w:rPr>
        <w:t>in order to stimulate the cell mediated response in the respiratory tract (</w:t>
      </w:r>
      <w:proofErr w:type="spellStart"/>
      <w:r w:rsidR="00A77CFB" w:rsidRPr="002B64DF">
        <w:rPr>
          <w:u w:val="double"/>
        </w:rPr>
        <w:t>Rautenschlein</w:t>
      </w:r>
      <w:proofErr w:type="spellEnd"/>
      <w:r w:rsidR="003407D5">
        <w:rPr>
          <w:u w:val="double"/>
        </w:rPr>
        <w:t>,</w:t>
      </w:r>
      <w:r w:rsidR="00140930" w:rsidRPr="002B64DF">
        <w:rPr>
          <w:u w:val="double"/>
        </w:rPr>
        <w:t xml:space="preserve"> 2020)</w:t>
      </w:r>
      <w:r w:rsidRPr="002B64DF">
        <w:rPr>
          <w:u w:val="double"/>
        </w:rPr>
        <w:t xml:space="preserve"> </w:t>
      </w:r>
    </w:p>
    <w:p w14:paraId="4E6DFC3A" w14:textId="77777777" w:rsidR="00E95082" w:rsidRPr="002B64DF" w:rsidRDefault="00E95082" w:rsidP="00E95082">
      <w:pPr>
        <w:pStyle w:val="111"/>
        <w:rPr>
          <w:u w:val="double"/>
          <w:lang w:val="en-IE"/>
        </w:rPr>
      </w:pPr>
      <w:r w:rsidRPr="002B64DF">
        <w:rPr>
          <w:u w:val="double"/>
          <w:lang w:val="en-IE"/>
        </w:rPr>
        <w:t>2.3.6.</w:t>
      </w:r>
      <w:r w:rsidRPr="002B64DF">
        <w:rPr>
          <w:u w:val="double"/>
          <w:lang w:val="en-IE"/>
        </w:rPr>
        <w:tab/>
        <w:t>Stability</w:t>
      </w:r>
    </w:p>
    <w:p w14:paraId="2ED8F842" w14:textId="77777777" w:rsidR="00E95082" w:rsidRPr="002B64DF" w:rsidRDefault="00E95082" w:rsidP="00B92BF3">
      <w:pPr>
        <w:pStyle w:val="111Para"/>
        <w:spacing w:after="480"/>
        <w:rPr>
          <w:u w:val="double"/>
        </w:rPr>
      </w:pPr>
      <w:r w:rsidRPr="002B64DF">
        <w:rPr>
          <w:u w:val="double"/>
        </w:rPr>
        <w:t>Evidence should be provided on</w:t>
      </w:r>
      <w:r w:rsidRPr="00497250">
        <w:rPr>
          <w:u w:val="double"/>
          <w:lang w:eastAsia="en-GB"/>
        </w:rPr>
        <w:t xml:space="preserve"> </w:t>
      </w:r>
      <w:r w:rsidRPr="002B64DF">
        <w:rPr>
          <w:szCs w:val="24"/>
          <w:u w:val="double"/>
          <w:lang w:eastAsia="en-GB"/>
        </w:rPr>
        <w:t>at</w:t>
      </w:r>
      <w:r w:rsidRPr="00497250">
        <w:rPr>
          <w:u w:val="double"/>
          <w:lang w:eastAsia="en-GB"/>
        </w:rPr>
        <w:t xml:space="preserve"> </w:t>
      </w:r>
      <w:r w:rsidRPr="002B64DF">
        <w:rPr>
          <w:szCs w:val="24"/>
          <w:u w:val="double"/>
          <w:lang w:eastAsia="en-GB"/>
        </w:rPr>
        <w:t>least one representative batch of vaccine</w:t>
      </w:r>
      <w:r w:rsidRPr="002B64DF" w:rsidDel="00A4169F">
        <w:rPr>
          <w:u w:val="double"/>
        </w:rPr>
        <w:t xml:space="preserve"> </w:t>
      </w:r>
      <w:r w:rsidRPr="002B64DF">
        <w:rPr>
          <w:u w:val="double"/>
        </w:rPr>
        <w:t>to show that the vaccine passes the batch potency test at 3 months beyond the requested shelf life.</w:t>
      </w:r>
    </w:p>
    <w:p w14:paraId="6A425490" w14:textId="77777777" w:rsidR="002B64DF" w:rsidRPr="00C3614D" w:rsidRDefault="002B64DF" w:rsidP="002B64DF">
      <w:pPr>
        <w:pStyle w:val="1"/>
        <w:rPr>
          <w:strike/>
        </w:rPr>
      </w:pPr>
      <w:r w:rsidRPr="00C3614D">
        <w:rPr>
          <w:strike/>
        </w:rPr>
        <w:t>7.</w:t>
      </w:r>
      <w:r w:rsidRPr="00C3614D">
        <w:rPr>
          <w:strike/>
        </w:rPr>
        <w:tab/>
        <w:t>Tests on the final product</w:t>
      </w:r>
    </w:p>
    <w:p w14:paraId="0DB301AA" w14:textId="77777777" w:rsidR="002B64DF" w:rsidRPr="00C3614D" w:rsidRDefault="002B64DF" w:rsidP="002B64DF">
      <w:pPr>
        <w:pStyle w:val="11"/>
        <w:rPr>
          <w:strike/>
        </w:rPr>
      </w:pPr>
      <w:r w:rsidRPr="00C3614D">
        <w:rPr>
          <w:strike/>
        </w:rPr>
        <w:t>7.1.</w:t>
      </w:r>
      <w:r w:rsidRPr="00C3614D">
        <w:rPr>
          <w:strike/>
        </w:rPr>
        <w:tab/>
        <w:t>Safety</w:t>
      </w:r>
    </w:p>
    <w:p w14:paraId="27539912" w14:textId="77777777" w:rsidR="002B64DF" w:rsidRPr="00C3614D" w:rsidRDefault="002B64DF" w:rsidP="002B64DF">
      <w:pPr>
        <w:pStyle w:val="11Para"/>
        <w:rPr>
          <w:strike/>
        </w:rPr>
      </w:pPr>
      <w:r w:rsidRPr="00C3614D">
        <w:rPr>
          <w:strike/>
        </w:rPr>
        <w:t>See Section C.6.2.</w:t>
      </w:r>
    </w:p>
    <w:p w14:paraId="4D2417DD" w14:textId="77777777" w:rsidR="002B64DF" w:rsidRPr="00C3614D" w:rsidRDefault="002B64DF" w:rsidP="002B64DF">
      <w:pPr>
        <w:pStyle w:val="11"/>
        <w:rPr>
          <w:strike/>
        </w:rPr>
      </w:pPr>
      <w:r w:rsidRPr="00C3614D">
        <w:rPr>
          <w:strike/>
        </w:rPr>
        <w:t>7.2.</w:t>
      </w:r>
      <w:r w:rsidRPr="00C3614D">
        <w:rPr>
          <w:strike/>
        </w:rPr>
        <w:tab/>
        <w:t>Potency</w:t>
      </w:r>
    </w:p>
    <w:p w14:paraId="7CB44855" w14:textId="77777777" w:rsidR="002B64DF" w:rsidRPr="00C3614D" w:rsidRDefault="002B64DF" w:rsidP="002B64DF">
      <w:pPr>
        <w:pStyle w:val="11Para"/>
        <w:rPr>
          <w:strike/>
        </w:rPr>
      </w:pPr>
      <w:r w:rsidRPr="00C3614D">
        <w:rPr>
          <w:strike/>
        </w:rPr>
        <w:t>See Section C.6.3.</w:t>
      </w:r>
    </w:p>
    <w:p w14:paraId="25AB70B7" w14:textId="77777777" w:rsidR="0061728A" w:rsidRDefault="00FB52DE" w:rsidP="009A1D56">
      <w:pPr>
        <w:pStyle w:val="Referencetitle"/>
      </w:pPr>
      <w:r w:rsidRPr="002E0DF3">
        <w:t>REFERENCES</w:t>
      </w:r>
    </w:p>
    <w:p w14:paraId="7724E69B" w14:textId="77777777" w:rsidR="00FB52DE" w:rsidRPr="001E291E" w:rsidRDefault="00FB52DE" w:rsidP="009A1D56">
      <w:pPr>
        <w:pStyle w:val="Ref"/>
      </w:pPr>
      <w:bookmarkStart w:id="0" w:name="_Hlk84596786"/>
      <w:r w:rsidRPr="007879D4">
        <w:rPr>
          <w:smallCaps/>
        </w:rPr>
        <w:t>Alkhalaf A.N., Ward L.A., Dearth R.N. &amp; Saif Y.M.</w:t>
      </w:r>
      <w:r w:rsidRPr="007879D4">
        <w:t xml:space="preserve"> (2002). Pathogenicity, transmissibility and tissue distribution of avian </w:t>
      </w:r>
      <w:proofErr w:type="spellStart"/>
      <w:r w:rsidRPr="007879D4">
        <w:t>pneumovirus</w:t>
      </w:r>
      <w:proofErr w:type="spellEnd"/>
      <w:r w:rsidRPr="007879D4">
        <w:t xml:space="preserve"> in turkey poults. </w:t>
      </w:r>
      <w:r w:rsidRPr="001E291E">
        <w:rPr>
          <w:i/>
          <w:iCs/>
        </w:rPr>
        <w:t>Avian Dis</w:t>
      </w:r>
      <w:r w:rsidRPr="001E291E">
        <w:t xml:space="preserve">., </w:t>
      </w:r>
      <w:r w:rsidRPr="001E291E">
        <w:rPr>
          <w:b/>
        </w:rPr>
        <w:t>46</w:t>
      </w:r>
      <w:r w:rsidRPr="001E291E">
        <w:t xml:space="preserve">, 650–659. </w:t>
      </w:r>
    </w:p>
    <w:p w14:paraId="5DAFC630" w14:textId="7A7AA521" w:rsidR="00FB52DE" w:rsidRPr="001E291E" w:rsidRDefault="00FB52DE" w:rsidP="009A1D56">
      <w:pPr>
        <w:pStyle w:val="Ref"/>
        <w:rPr>
          <w:strike/>
        </w:rPr>
      </w:pPr>
      <w:proofErr w:type="spellStart"/>
      <w:r w:rsidRPr="001E291E">
        <w:rPr>
          <w:smallCaps/>
          <w:strike/>
        </w:rPr>
        <w:t>B</w:t>
      </w:r>
      <w:r w:rsidR="007879D4" w:rsidRPr="001E291E">
        <w:rPr>
          <w:smallCaps/>
          <w:strike/>
        </w:rPr>
        <w:t>a</w:t>
      </w:r>
      <w:r w:rsidRPr="001E291E">
        <w:rPr>
          <w:smallCaps/>
          <w:strike/>
        </w:rPr>
        <w:t>yon-Auboyer</w:t>
      </w:r>
      <w:proofErr w:type="spellEnd"/>
      <w:r w:rsidRPr="001E291E">
        <w:rPr>
          <w:smallCaps/>
          <w:strike/>
        </w:rPr>
        <w:t xml:space="preserve"> M.H., </w:t>
      </w:r>
      <w:proofErr w:type="spellStart"/>
      <w:r w:rsidRPr="001E291E">
        <w:rPr>
          <w:smallCaps/>
          <w:strike/>
        </w:rPr>
        <w:t>Arnauld</w:t>
      </w:r>
      <w:proofErr w:type="spellEnd"/>
      <w:r w:rsidRPr="001E291E">
        <w:rPr>
          <w:smallCaps/>
          <w:strike/>
        </w:rPr>
        <w:t xml:space="preserve"> C., </w:t>
      </w:r>
      <w:proofErr w:type="spellStart"/>
      <w:r w:rsidRPr="001E291E">
        <w:rPr>
          <w:smallCaps/>
          <w:strike/>
        </w:rPr>
        <w:t>Toquin</w:t>
      </w:r>
      <w:proofErr w:type="spellEnd"/>
      <w:r w:rsidRPr="001E291E">
        <w:rPr>
          <w:smallCaps/>
          <w:strike/>
        </w:rPr>
        <w:t xml:space="preserve"> D. &amp; </w:t>
      </w:r>
      <w:proofErr w:type="spellStart"/>
      <w:r w:rsidRPr="001E291E">
        <w:rPr>
          <w:smallCaps/>
          <w:strike/>
        </w:rPr>
        <w:t>Eterradossi</w:t>
      </w:r>
      <w:proofErr w:type="spellEnd"/>
      <w:r w:rsidRPr="001E291E">
        <w:rPr>
          <w:smallCaps/>
          <w:strike/>
        </w:rPr>
        <w:t xml:space="preserve"> N.</w:t>
      </w:r>
      <w:r w:rsidRPr="001E291E">
        <w:rPr>
          <w:strike/>
        </w:rPr>
        <w:t xml:space="preserve"> (2000). </w:t>
      </w:r>
      <w:r w:rsidRPr="00115864">
        <w:rPr>
          <w:strike/>
        </w:rPr>
        <w:t xml:space="preserve">Nucleotide sequences of the F, L and G protein genes of two non-A/non-B avian </w:t>
      </w:r>
      <w:proofErr w:type="spellStart"/>
      <w:r w:rsidRPr="00115864">
        <w:rPr>
          <w:strike/>
        </w:rPr>
        <w:t>pneumoviruses</w:t>
      </w:r>
      <w:proofErr w:type="spellEnd"/>
      <w:r w:rsidRPr="00115864">
        <w:rPr>
          <w:strike/>
        </w:rPr>
        <w:t xml:space="preserve"> (APV) reveal a novel APV subgroup. </w:t>
      </w:r>
      <w:r w:rsidRPr="001E291E">
        <w:rPr>
          <w:i/>
          <w:iCs/>
          <w:strike/>
        </w:rPr>
        <w:t xml:space="preserve">J. Gen. </w:t>
      </w:r>
      <w:proofErr w:type="spellStart"/>
      <w:r w:rsidRPr="001E291E">
        <w:rPr>
          <w:i/>
          <w:iCs/>
          <w:strike/>
        </w:rPr>
        <w:t>Virol</w:t>
      </w:r>
      <w:proofErr w:type="spellEnd"/>
      <w:r w:rsidRPr="001E291E">
        <w:rPr>
          <w:strike/>
        </w:rPr>
        <w:t xml:space="preserve">., </w:t>
      </w:r>
      <w:r w:rsidRPr="001E291E">
        <w:rPr>
          <w:b/>
          <w:strike/>
        </w:rPr>
        <w:t>81</w:t>
      </w:r>
      <w:r w:rsidRPr="001E291E">
        <w:rPr>
          <w:bCs/>
          <w:strike/>
        </w:rPr>
        <w:t xml:space="preserve">, </w:t>
      </w:r>
      <w:r w:rsidRPr="001E291E">
        <w:rPr>
          <w:strike/>
        </w:rPr>
        <w:t>2723–2733.</w:t>
      </w:r>
    </w:p>
    <w:p w14:paraId="3B52FF45" w14:textId="3F36075B" w:rsidR="00200A06" w:rsidRPr="00080062" w:rsidRDefault="00200A06" w:rsidP="009A1D56">
      <w:pPr>
        <w:pStyle w:val="StyleRefGauche0cmPremireligne0cmAprs10pt"/>
      </w:pPr>
      <w:proofErr w:type="spellStart"/>
      <w:r w:rsidRPr="001E291E">
        <w:rPr>
          <w:smallCaps/>
        </w:rPr>
        <w:t>B</w:t>
      </w:r>
      <w:r w:rsidR="007879D4" w:rsidRPr="001E291E">
        <w:rPr>
          <w:smallCaps/>
        </w:rPr>
        <w:t>a</w:t>
      </w:r>
      <w:r w:rsidRPr="001E291E">
        <w:rPr>
          <w:smallCaps/>
        </w:rPr>
        <w:t>yon-Auboyer</w:t>
      </w:r>
      <w:proofErr w:type="spellEnd"/>
      <w:r w:rsidRPr="001E291E">
        <w:rPr>
          <w:smallCaps/>
        </w:rPr>
        <w:t xml:space="preserve"> M.H. </w:t>
      </w:r>
      <w:proofErr w:type="spellStart"/>
      <w:r w:rsidRPr="001E291E">
        <w:rPr>
          <w:smallCaps/>
        </w:rPr>
        <w:t>Jestin</w:t>
      </w:r>
      <w:proofErr w:type="spellEnd"/>
      <w:r w:rsidRPr="001E291E">
        <w:rPr>
          <w:smallCaps/>
        </w:rPr>
        <w:t xml:space="preserve"> V., </w:t>
      </w:r>
      <w:proofErr w:type="spellStart"/>
      <w:r w:rsidRPr="001E291E">
        <w:rPr>
          <w:smallCaps/>
        </w:rPr>
        <w:t>Toquin</w:t>
      </w:r>
      <w:proofErr w:type="spellEnd"/>
      <w:r w:rsidRPr="001E291E">
        <w:rPr>
          <w:smallCaps/>
        </w:rPr>
        <w:t xml:space="preserve"> D., </w:t>
      </w:r>
      <w:proofErr w:type="spellStart"/>
      <w:r w:rsidRPr="001E291E">
        <w:rPr>
          <w:smallCaps/>
        </w:rPr>
        <w:t>Cherbonnel</w:t>
      </w:r>
      <w:proofErr w:type="spellEnd"/>
      <w:r w:rsidRPr="001E291E">
        <w:rPr>
          <w:smallCaps/>
        </w:rPr>
        <w:t xml:space="preserve"> M. &amp; </w:t>
      </w:r>
      <w:proofErr w:type="spellStart"/>
      <w:r w:rsidRPr="001E291E">
        <w:rPr>
          <w:smallCaps/>
        </w:rPr>
        <w:t>Eterradossi</w:t>
      </w:r>
      <w:proofErr w:type="spellEnd"/>
      <w:r w:rsidRPr="001E291E">
        <w:rPr>
          <w:smallCaps/>
        </w:rPr>
        <w:t xml:space="preserve"> N</w:t>
      </w:r>
      <w:r w:rsidRPr="001E291E">
        <w:t xml:space="preserve">. (1999). </w:t>
      </w:r>
      <w:r w:rsidRPr="00080062">
        <w:t xml:space="preserve">Comparison of F-, G- and N-based RT-PCR protocols with conventional virological procedures for the detection and typing of turkey rhinotracheitis virus. </w:t>
      </w:r>
      <w:r w:rsidRPr="00080062">
        <w:rPr>
          <w:i/>
          <w:iCs/>
        </w:rPr>
        <w:t xml:space="preserve">Arch. </w:t>
      </w:r>
      <w:proofErr w:type="spellStart"/>
      <w:r w:rsidRPr="00080062">
        <w:rPr>
          <w:i/>
          <w:iCs/>
        </w:rPr>
        <w:t>Virol</w:t>
      </w:r>
      <w:proofErr w:type="spellEnd"/>
      <w:r w:rsidRPr="00080062">
        <w:t xml:space="preserve">., </w:t>
      </w:r>
      <w:r w:rsidRPr="00080062">
        <w:rPr>
          <w:b/>
        </w:rPr>
        <w:t>144</w:t>
      </w:r>
      <w:r w:rsidRPr="00080062">
        <w:t>, 1091–1109.</w:t>
      </w:r>
    </w:p>
    <w:p w14:paraId="7A17E01E" w14:textId="72940315" w:rsidR="00FB52DE" w:rsidRPr="001E291E" w:rsidRDefault="00FB52DE" w:rsidP="009A1D56">
      <w:pPr>
        <w:pStyle w:val="StyleRefGauche0cmPremireligne0cmAprs10pt"/>
      </w:pPr>
      <w:r w:rsidRPr="00115864">
        <w:rPr>
          <w:smallCaps/>
          <w:strike/>
        </w:rPr>
        <w:t xml:space="preserve">Bennett R.S., </w:t>
      </w:r>
      <w:proofErr w:type="spellStart"/>
      <w:r w:rsidRPr="00115864">
        <w:rPr>
          <w:smallCaps/>
          <w:strike/>
        </w:rPr>
        <w:t>Nezworski</w:t>
      </w:r>
      <w:proofErr w:type="spellEnd"/>
      <w:r w:rsidRPr="00115864">
        <w:rPr>
          <w:smallCaps/>
          <w:strike/>
        </w:rPr>
        <w:t xml:space="preserve"> J., </w:t>
      </w:r>
      <w:proofErr w:type="spellStart"/>
      <w:r w:rsidRPr="00115864">
        <w:rPr>
          <w:smallCaps/>
          <w:strike/>
        </w:rPr>
        <w:t>Velayudhan</w:t>
      </w:r>
      <w:proofErr w:type="spellEnd"/>
      <w:r w:rsidRPr="00115864">
        <w:rPr>
          <w:smallCaps/>
          <w:strike/>
        </w:rPr>
        <w:t xml:space="preserve"> B.T., </w:t>
      </w:r>
      <w:proofErr w:type="spellStart"/>
      <w:r w:rsidRPr="00115864">
        <w:rPr>
          <w:smallCaps/>
          <w:strike/>
        </w:rPr>
        <w:t>Nagaraja</w:t>
      </w:r>
      <w:proofErr w:type="spellEnd"/>
      <w:r w:rsidRPr="00115864">
        <w:rPr>
          <w:smallCaps/>
          <w:strike/>
        </w:rPr>
        <w:t xml:space="preserve"> K.V., Zeman D.H., Dyer N. Graham T., Lauer D.C., Njenga M.K. &amp; Halvorson D.A.</w:t>
      </w:r>
      <w:r w:rsidRPr="00115864">
        <w:rPr>
          <w:strike/>
        </w:rPr>
        <w:t xml:space="preserve"> (2004). Evidence of avian </w:t>
      </w:r>
      <w:proofErr w:type="spellStart"/>
      <w:r w:rsidRPr="00115864">
        <w:rPr>
          <w:strike/>
        </w:rPr>
        <w:t>pneumovirus</w:t>
      </w:r>
      <w:proofErr w:type="spellEnd"/>
      <w:r w:rsidRPr="00115864">
        <w:rPr>
          <w:strike/>
        </w:rPr>
        <w:t xml:space="preserve"> spread beyond Minnesota among wild and domestic birds in central North America. </w:t>
      </w:r>
      <w:r w:rsidRPr="001E291E">
        <w:rPr>
          <w:i/>
          <w:iCs/>
        </w:rPr>
        <w:t>Avian Dis</w:t>
      </w:r>
      <w:r w:rsidRPr="001E291E">
        <w:t xml:space="preserve">., </w:t>
      </w:r>
      <w:r w:rsidRPr="001E291E">
        <w:rPr>
          <w:b/>
        </w:rPr>
        <w:t>48</w:t>
      </w:r>
      <w:r w:rsidRPr="001E291E">
        <w:rPr>
          <w:bCs/>
        </w:rPr>
        <w:t xml:space="preserve">, </w:t>
      </w:r>
      <w:r w:rsidRPr="001E291E">
        <w:t>902–908.</w:t>
      </w:r>
    </w:p>
    <w:p w14:paraId="667BA4BB" w14:textId="1F6E9A21" w:rsidR="008A7BDD" w:rsidRPr="009E2F26" w:rsidRDefault="008A7BDD" w:rsidP="009A1D56">
      <w:pPr>
        <w:pStyle w:val="StyleRefGauche0cmPremireligne0cmAprs10pt"/>
        <w:rPr>
          <w:u w:val="double"/>
          <w:lang w:val="en-US"/>
        </w:rPr>
      </w:pPr>
      <w:r w:rsidRPr="00115864">
        <w:rPr>
          <w:smallCaps/>
          <w:u w:val="double"/>
        </w:rPr>
        <w:t>Brown P.A., Allee</w:t>
      </w:r>
      <w:r w:rsidR="000B2CB6" w:rsidRPr="00115864">
        <w:rPr>
          <w:smallCaps/>
          <w:u w:val="double"/>
        </w:rPr>
        <w:t xml:space="preserve"> C.</w:t>
      </w:r>
      <w:r w:rsidRPr="00115864">
        <w:rPr>
          <w:smallCaps/>
          <w:u w:val="double"/>
        </w:rPr>
        <w:t xml:space="preserve">, </w:t>
      </w:r>
      <w:proofErr w:type="spellStart"/>
      <w:r w:rsidRPr="00115864">
        <w:rPr>
          <w:smallCaps/>
          <w:u w:val="double"/>
        </w:rPr>
        <w:t>Courtillon</w:t>
      </w:r>
      <w:proofErr w:type="spellEnd"/>
      <w:r w:rsidR="000B2CB6" w:rsidRPr="00115864">
        <w:rPr>
          <w:smallCaps/>
          <w:u w:val="double"/>
        </w:rPr>
        <w:t xml:space="preserve"> C.</w:t>
      </w:r>
      <w:r w:rsidRPr="00115864">
        <w:rPr>
          <w:smallCaps/>
          <w:u w:val="double"/>
        </w:rPr>
        <w:t xml:space="preserve">, </w:t>
      </w:r>
      <w:proofErr w:type="spellStart"/>
      <w:r w:rsidRPr="00115864">
        <w:rPr>
          <w:smallCaps/>
          <w:u w:val="double"/>
        </w:rPr>
        <w:t>Szerman</w:t>
      </w:r>
      <w:proofErr w:type="spellEnd"/>
      <w:r w:rsidR="000B2CB6" w:rsidRPr="00115864">
        <w:rPr>
          <w:smallCaps/>
          <w:u w:val="double"/>
        </w:rPr>
        <w:t xml:space="preserve"> N.</w:t>
      </w:r>
      <w:r w:rsidRPr="00115864">
        <w:rPr>
          <w:smallCaps/>
          <w:u w:val="double"/>
        </w:rPr>
        <w:t>, Lemaitre</w:t>
      </w:r>
      <w:r w:rsidR="000B2CB6" w:rsidRPr="00115864">
        <w:rPr>
          <w:smallCaps/>
          <w:u w:val="double"/>
        </w:rPr>
        <w:t xml:space="preserve"> E.</w:t>
      </w:r>
      <w:r w:rsidRPr="00115864">
        <w:rPr>
          <w:smallCaps/>
          <w:u w:val="double"/>
        </w:rPr>
        <w:t xml:space="preserve">, </w:t>
      </w:r>
      <w:proofErr w:type="spellStart"/>
      <w:r w:rsidRPr="00115864">
        <w:rPr>
          <w:smallCaps/>
          <w:u w:val="double"/>
        </w:rPr>
        <w:t>Toquin</w:t>
      </w:r>
      <w:proofErr w:type="spellEnd"/>
      <w:r w:rsidR="000B2CB6" w:rsidRPr="00115864">
        <w:rPr>
          <w:smallCaps/>
          <w:u w:val="double"/>
        </w:rPr>
        <w:t xml:space="preserve"> D.</w:t>
      </w:r>
      <w:r w:rsidRPr="00115864">
        <w:rPr>
          <w:smallCaps/>
          <w:u w:val="double"/>
        </w:rPr>
        <w:t xml:space="preserve">, </w:t>
      </w:r>
      <w:proofErr w:type="spellStart"/>
      <w:r w:rsidRPr="00115864">
        <w:rPr>
          <w:smallCaps/>
          <w:u w:val="double"/>
        </w:rPr>
        <w:t>Mangart</w:t>
      </w:r>
      <w:proofErr w:type="spellEnd"/>
      <w:r w:rsidR="000B2CB6" w:rsidRPr="00115864">
        <w:rPr>
          <w:smallCaps/>
          <w:u w:val="double"/>
        </w:rPr>
        <w:t xml:space="preserve"> J.M.</w:t>
      </w:r>
      <w:r w:rsidRPr="00115864">
        <w:rPr>
          <w:smallCaps/>
          <w:u w:val="double"/>
        </w:rPr>
        <w:t xml:space="preserve">, </w:t>
      </w:r>
      <w:proofErr w:type="spellStart"/>
      <w:r w:rsidRPr="00115864">
        <w:rPr>
          <w:smallCaps/>
          <w:u w:val="double"/>
        </w:rPr>
        <w:t>Amelot</w:t>
      </w:r>
      <w:proofErr w:type="spellEnd"/>
      <w:r w:rsidR="000B2CB6" w:rsidRPr="00115864">
        <w:rPr>
          <w:smallCaps/>
          <w:u w:val="double"/>
        </w:rPr>
        <w:t xml:space="preserve"> M.</w:t>
      </w:r>
      <w:r w:rsidRPr="00115864">
        <w:rPr>
          <w:smallCaps/>
          <w:u w:val="double"/>
        </w:rPr>
        <w:t xml:space="preserve"> </w:t>
      </w:r>
      <w:r w:rsidR="00404B62" w:rsidRPr="00115864">
        <w:rPr>
          <w:smallCaps/>
          <w:u w:val="double"/>
        </w:rPr>
        <w:t>&amp;</w:t>
      </w:r>
      <w:r w:rsidRPr="00115864">
        <w:rPr>
          <w:smallCaps/>
          <w:u w:val="double"/>
        </w:rPr>
        <w:t xml:space="preserve"> </w:t>
      </w:r>
      <w:proofErr w:type="spellStart"/>
      <w:r w:rsidRPr="00115864">
        <w:rPr>
          <w:smallCaps/>
          <w:u w:val="double"/>
        </w:rPr>
        <w:t>Eterradossi</w:t>
      </w:r>
      <w:proofErr w:type="spellEnd"/>
      <w:r w:rsidRPr="00115864">
        <w:rPr>
          <w:smallCaps/>
          <w:u w:val="double"/>
        </w:rPr>
        <w:t xml:space="preserve"> </w:t>
      </w:r>
      <w:r w:rsidR="00404B62" w:rsidRPr="00115864">
        <w:rPr>
          <w:smallCaps/>
          <w:u w:val="double"/>
        </w:rPr>
        <w:t xml:space="preserve">N. </w:t>
      </w:r>
      <w:r w:rsidRPr="00115864">
        <w:rPr>
          <w:u w:val="double"/>
        </w:rPr>
        <w:t xml:space="preserve">(2019). </w:t>
      </w:r>
      <w:r w:rsidRPr="009E2F26">
        <w:rPr>
          <w:u w:val="double"/>
          <w:lang w:val="en-US"/>
        </w:rPr>
        <w:t xml:space="preserve">Host </w:t>
      </w:r>
      <w:r w:rsidR="00404B62" w:rsidRPr="009E2F26">
        <w:rPr>
          <w:u w:val="double"/>
          <w:lang w:val="en-US"/>
        </w:rPr>
        <w:t>specificity of avian metapneumoviruses</w:t>
      </w:r>
      <w:r w:rsidRPr="009E2F26">
        <w:rPr>
          <w:u w:val="double"/>
          <w:lang w:val="en-US"/>
        </w:rPr>
        <w:t xml:space="preserve">. </w:t>
      </w:r>
      <w:r w:rsidRPr="009E2F26">
        <w:rPr>
          <w:i/>
          <w:u w:val="double"/>
          <w:lang w:val="en-US"/>
        </w:rPr>
        <w:t xml:space="preserve">Avian </w:t>
      </w:r>
      <w:proofErr w:type="spellStart"/>
      <w:r w:rsidRPr="009E2F26">
        <w:rPr>
          <w:i/>
          <w:u w:val="double"/>
          <w:lang w:val="en-US"/>
        </w:rPr>
        <w:t>Pathol</w:t>
      </w:r>
      <w:proofErr w:type="spellEnd"/>
      <w:r w:rsidR="000B2CB6" w:rsidRPr="009E2F26">
        <w:rPr>
          <w:u w:val="double"/>
          <w:lang w:val="en-US"/>
        </w:rPr>
        <w:t xml:space="preserve">., </w:t>
      </w:r>
      <w:r w:rsidR="000B2CB6" w:rsidRPr="009E2F26">
        <w:rPr>
          <w:b/>
          <w:bCs/>
          <w:u w:val="double"/>
          <w:lang w:val="en-US"/>
        </w:rPr>
        <w:t>48</w:t>
      </w:r>
      <w:r w:rsidR="00E06B2C" w:rsidRPr="009E2F26">
        <w:rPr>
          <w:u w:val="double"/>
          <w:lang w:val="en-US"/>
        </w:rPr>
        <w:t xml:space="preserve">, </w:t>
      </w:r>
      <w:r w:rsidR="000B2CB6" w:rsidRPr="009E2F26">
        <w:rPr>
          <w:u w:val="double"/>
          <w:lang w:val="en-US"/>
        </w:rPr>
        <w:t>311</w:t>
      </w:r>
      <w:r w:rsidR="00E06B2C" w:rsidRPr="009E2F26">
        <w:rPr>
          <w:u w:val="double"/>
          <w:lang w:val="en-US"/>
        </w:rPr>
        <w:t>–</w:t>
      </w:r>
      <w:r w:rsidR="000B2CB6" w:rsidRPr="009E2F26">
        <w:rPr>
          <w:u w:val="double"/>
          <w:lang w:val="en-US"/>
        </w:rPr>
        <w:t>318</w:t>
      </w:r>
      <w:r w:rsidRPr="009E2F26">
        <w:rPr>
          <w:u w:val="double"/>
          <w:lang w:val="en-US"/>
        </w:rPr>
        <w:t>.</w:t>
      </w:r>
    </w:p>
    <w:p w14:paraId="08CF9DF4" w14:textId="3500E659" w:rsidR="00E06B2C" w:rsidRPr="00FD4D88" w:rsidRDefault="008A7BDD" w:rsidP="009A1D56">
      <w:pPr>
        <w:pStyle w:val="StyleRefGauche0cmPremireligne0cmAprs10pt"/>
        <w:rPr>
          <w:u w:val="double"/>
          <w:lang w:val="en-US"/>
        </w:rPr>
      </w:pPr>
      <w:r w:rsidRPr="006E5C4E">
        <w:rPr>
          <w:smallCaps/>
          <w:u w:val="double"/>
        </w:rPr>
        <w:t xml:space="preserve">Brown </w:t>
      </w:r>
      <w:r w:rsidR="00B33818" w:rsidRPr="006E5C4E">
        <w:rPr>
          <w:smallCaps/>
          <w:u w:val="double"/>
        </w:rPr>
        <w:t xml:space="preserve">P. </w:t>
      </w:r>
      <w:r w:rsidR="000B2CB6" w:rsidRPr="006E5C4E">
        <w:rPr>
          <w:smallCaps/>
          <w:u w:val="double"/>
        </w:rPr>
        <w:t xml:space="preserve">&amp; </w:t>
      </w:r>
      <w:proofErr w:type="spellStart"/>
      <w:r w:rsidRPr="006E5C4E">
        <w:rPr>
          <w:smallCaps/>
          <w:u w:val="double"/>
        </w:rPr>
        <w:t>Eterradossi</w:t>
      </w:r>
      <w:proofErr w:type="spellEnd"/>
      <w:r w:rsidRPr="006E5C4E">
        <w:rPr>
          <w:smallCaps/>
          <w:u w:val="double"/>
        </w:rPr>
        <w:t xml:space="preserve"> N.</w:t>
      </w:r>
      <w:r w:rsidRPr="006E5C4E">
        <w:rPr>
          <w:u w:val="double"/>
        </w:rPr>
        <w:t xml:space="preserve"> (2019). </w:t>
      </w:r>
      <w:r w:rsidR="000B2CB6" w:rsidRPr="00FD4D88">
        <w:rPr>
          <w:u w:val="double"/>
          <w:lang w:val="en-US"/>
        </w:rPr>
        <w:t>Chapter 4 Avian Metapneumoviruses</w:t>
      </w:r>
      <w:r w:rsidR="00E06B2C" w:rsidRPr="00FD4D88">
        <w:rPr>
          <w:u w:val="double"/>
          <w:lang w:val="en-US"/>
        </w:rPr>
        <w:t>.</w:t>
      </w:r>
      <w:r w:rsidR="000B2CB6" w:rsidRPr="00FD4D88">
        <w:rPr>
          <w:u w:val="double"/>
          <w:lang w:val="en-US"/>
        </w:rPr>
        <w:t xml:space="preserve"> </w:t>
      </w:r>
      <w:r w:rsidR="00E06B2C" w:rsidRPr="00FD4D88">
        <w:rPr>
          <w:i/>
          <w:iCs/>
          <w:u w:val="double"/>
          <w:lang w:val="en-US"/>
        </w:rPr>
        <w:t>In:</w:t>
      </w:r>
      <w:r w:rsidR="00E06B2C" w:rsidRPr="00FD4D88">
        <w:rPr>
          <w:u w:val="double"/>
          <w:lang w:val="en-US"/>
        </w:rPr>
        <w:t xml:space="preserve"> A</w:t>
      </w:r>
      <w:r w:rsidR="000B2CB6" w:rsidRPr="00FD4D88">
        <w:rPr>
          <w:u w:val="double"/>
          <w:lang w:val="en-US"/>
        </w:rPr>
        <w:t xml:space="preserve">vian Virology: </w:t>
      </w:r>
      <w:r w:rsidR="00E06B2C" w:rsidRPr="00FD4D88">
        <w:rPr>
          <w:u w:val="double"/>
          <w:lang w:val="en-US"/>
        </w:rPr>
        <w:t xml:space="preserve">Current Research </w:t>
      </w:r>
      <w:r w:rsidR="000B2CB6" w:rsidRPr="00FD4D88">
        <w:rPr>
          <w:u w:val="double"/>
          <w:lang w:val="en-US"/>
        </w:rPr>
        <w:t xml:space="preserve">and </w:t>
      </w:r>
      <w:r w:rsidR="00E06B2C" w:rsidRPr="00FD4D88">
        <w:rPr>
          <w:u w:val="double"/>
          <w:lang w:val="en-US"/>
        </w:rPr>
        <w:t>Future Trends,</w:t>
      </w:r>
      <w:r w:rsidR="000B2CB6" w:rsidRPr="00FD4D88">
        <w:rPr>
          <w:u w:val="double"/>
          <w:lang w:val="en-US"/>
        </w:rPr>
        <w:t xml:space="preserve"> Samal</w:t>
      </w:r>
      <w:r w:rsidR="00E06B2C" w:rsidRPr="00FD4D88">
        <w:rPr>
          <w:u w:val="double"/>
          <w:lang w:val="en-US"/>
        </w:rPr>
        <w:t xml:space="preserve"> S.K.</w:t>
      </w:r>
      <w:r w:rsidR="000B2CB6" w:rsidRPr="00FD4D88">
        <w:rPr>
          <w:u w:val="double"/>
          <w:lang w:val="en-US"/>
        </w:rPr>
        <w:t xml:space="preserve">, </w:t>
      </w:r>
      <w:r w:rsidR="00E06B2C" w:rsidRPr="00FD4D88">
        <w:rPr>
          <w:u w:val="double"/>
          <w:lang w:val="en-US"/>
        </w:rPr>
        <w:t xml:space="preserve">ed. </w:t>
      </w:r>
      <w:r w:rsidR="000B2CB6" w:rsidRPr="00FD4D88">
        <w:rPr>
          <w:u w:val="double"/>
          <w:lang w:val="en-US"/>
        </w:rPr>
        <w:t xml:space="preserve">Caister </w:t>
      </w:r>
      <w:r w:rsidR="00E06B2C" w:rsidRPr="00FD4D88">
        <w:rPr>
          <w:u w:val="double"/>
          <w:lang w:val="en-US"/>
        </w:rPr>
        <w:t>Academic Press</w:t>
      </w:r>
      <w:r w:rsidR="000B2CB6" w:rsidRPr="00FD4D88">
        <w:rPr>
          <w:u w:val="double"/>
          <w:lang w:val="en-US"/>
        </w:rPr>
        <w:t xml:space="preserve">, </w:t>
      </w:r>
      <w:r w:rsidR="00E06B2C" w:rsidRPr="00FD4D88">
        <w:rPr>
          <w:u w:val="double"/>
          <w:lang w:val="en-US"/>
        </w:rPr>
        <w:t>115–128.</w:t>
      </w:r>
    </w:p>
    <w:p w14:paraId="00FDC7E1" w14:textId="0A1BD644" w:rsidR="00FB52DE" w:rsidRPr="00115864" w:rsidRDefault="00FB52DE" w:rsidP="009A1D56">
      <w:pPr>
        <w:pStyle w:val="StyleRefGauche0cmPremireligne0cmAprs10pt"/>
        <w:rPr>
          <w:strike/>
        </w:rPr>
      </w:pPr>
      <w:r w:rsidRPr="00115864">
        <w:rPr>
          <w:smallCaps/>
          <w:strike/>
          <w:lang w:val="en-US"/>
        </w:rPr>
        <w:t>Buys S.B., Du Preez J.H.</w:t>
      </w:r>
      <w:r w:rsidR="00F67717" w:rsidRPr="00115864">
        <w:rPr>
          <w:smallCaps/>
          <w:strike/>
          <w:lang w:val="en-US"/>
        </w:rPr>
        <w:t xml:space="preserve"> &amp;</w:t>
      </w:r>
      <w:r w:rsidRPr="00115864">
        <w:rPr>
          <w:smallCaps/>
          <w:strike/>
          <w:lang w:val="en-US"/>
        </w:rPr>
        <w:t xml:space="preserve"> Els H.J.</w:t>
      </w:r>
      <w:r w:rsidRPr="00115864">
        <w:rPr>
          <w:strike/>
          <w:lang w:val="en-US"/>
        </w:rPr>
        <w:t xml:space="preserve"> (1989). </w:t>
      </w:r>
      <w:r w:rsidRPr="00115864">
        <w:rPr>
          <w:strike/>
        </w:rPr>
        <w:t xml:space="preserve">The isolation and attenuation of a virus causing rhinotracheitis in turkeys in South Africa. </w:t>
      </w:r>
      <w:proofErr w:type="spellStart"/>
      <w:r w:rsidRPr="00115864">
        <w:rPr>
          <w:i/>
          <w:iCs/>
          <w:strike/>
        </w:rPr>
        <w:t>Onderstepoort</w:t>
      </w:r>
      <w:proofErr w:type="spellEnd"/>
      <w:r w:rsidRPr="00115864">
        <w:rPr>
          <w:i/>
          <w:iCs/>
          <w:strike/>
        </w:rPr>
        <w:t xml:space="preserve"> J. Vet. Res., </w:t>
      </w:r>
      <w:r w:rsidRPr="00115864">
        <w:rPr>
          <w:b/>
          <w:strike/>
        </w:rPr>
        <w:t>56</w:t>
      </w:r>
      <w:r w:rsidRPr="00115864">
        <w:rPr>
          <w:strike/>
        </w:rPr>
        <w:t xml:space="preserve">, 87–98. </w:t>
      </w:r>
    </w:p>
    <w:p w14:paraId="40B415FC" w14:textId="795DAC4B" w:rsidR="004E7C01" w:rsidRPr="00FD4D88" w:rsidRDefault="005D4BF2" w:rsidP="009A1D56">
      <w:pPr>
        <w:pStyle w:val="StyleRefGauche0cmPremireligne0cmAprs10pt"/>
        <w:rPr>
          <w:u w:val="double"/>
          <w:lang w:val="en-IE"/>
        </w:rPr>
      </w:pPr>
      <w:proofErr w:type="spellStart"/>
      <w:r w:rsidRPr="00FD4D88">
        <w:rPr>
          <w:smallCaps/>
          <w:u w:val="double"/>
        </w:rPr>
        <w:lastRenderedPageBreak/>
        <w:t>Canuti</w:t>
      </w:r>
      <w:proofErr w:type="spellEnd"/>
      <w:r w:rsidRPr="00FD4D88">
        <w:rPr>
          <w:smallCaps/>
          <w:u w:val="double"/>
        </w:rPr>
        <w:t xml:space="preserve"> M</w:t>
      </w:r>
      <w:r w:rsidR="000B2CB6" w:rsidRPr="00FD4D88">
        <w:rPr>
          <w:smallCaps/>
          <w:u w:val="double"/>
        </w:rPr>
        <w:t>.</w:t>
      </w:r>
      <w:r w:rsidRPr="00FD4D88">
        <w:rPr>
          <w:smallCaps/>
          <w:u w:val="double"/>
        </w:rPr>
        <w:t xml:space="preserve">, </w:t>
      </w:r>
      <w:proofErr w:type="spellStart"/>
      <w:r w:rsidRPr="00FD4D88">
        <w:rPr>
          <w:smallCaps/>
          <w:u w:val="double"/>
        </w:rPr>
        <w:t>Kroyer</w:t>
      </w:r>
      <w:proofErr w:type="spellEnd"/>
      <w:r w:rsidR="000B2CB6" w:rsidRPr="00FD4D88">
        <w:rPr>
          <w:smallCaps/>
          <w:u w:val="double"/>
        </w:rPr>
        <w:t xml:space="preserve"> </w:t>
      </w:r>
      <w:r w:rsidRPr="00FD4D88">
        <w:rPr>
          <w:smallCaps/>
          <w:u w:val="double"/>
        </w:rPr>
        <w:t>A</w:t>
      </w:r>
      <w:r w:rsidR="000B2CB6" w:rsidRPr="00FD4D88">
        <w:rPr>
          <w:smallCaps/>
          <w:u w:val="double"/>
        </w:rPr>
        <w:t>.</w:t>
      </w:r>
      <w:r w:rsidRPr="00FD4D88">
        <w:rPr>
          <w:smallCaps/>
          <w:u w:val="double"/>
        </w:rPr>
        <w:t>N</w:t>
      </w:r>
      <w:r w:rsidR="000B2CB6" w:rsidRPr="00FD4D88">
        <w:rPr>
          <w:smallCaps/>
          <w:u w:val="double"/>
        </w:rPr>
        <w:t>.</w:t>
      </w:r>
      <w:r w:rsidRPr="00FD4D88">
        <w:rPr>
          <w:smallCaps/>
          <w:u w:val="double"/>
        </w:rPr>
        <w:t>K</w:t>
      </w:r>
      <w:r w:rsidR="000B2CB6" w:rsidRPr="00FD4D88">
        <w:rPr>
          <w:smallCaps/>
          <w:u w:val="double"/>
        </w:rPr>
        <w:t>.</w:t>
      </w:r>
      <w:r w:rsidRPr="00FD4D88">
        <w:rPr>
          <w:smallCaps/>
          <w:u w:val="double"/>
        </w:rPr>
        <w:t xml:space="preserve">, </w:t>
      </w:r>
      <w:proofErr w:type="spellStart"/>
      <w:r w:rsidRPr="00FD4D88">
        <w:rPr>
          <w:smallCaps/>
          <w:u w:val="double"/>
        </w:rPr>
        <w:t>Ojkic</w:t>
      </w:r>
      <w:proofErr w:type="spellEnd"/>
      <w:r w:rsidRPr="00FD4D88">
        <w:rPr>
          <w:smallCaps/>
          <w:u w:val="double"/>
        </w:rPr>
        <w:t xml:space="preserve"> D</w:t>
      </w:r>
      <w:r w:rsidR="000B2CB6" w:rsidRPr="00FD4D88">
        <w:rPr>
          <w:smallCaps/>
          <w:u w:val="double"/>
        </w:rPr>
        <w:t>.</w:t>
      </w:r>
      <w:r w:rsidRPr="00FD4D88">
        <w:rPr>
          <w:smallCaps/>
          <w:u w:val="double"/>
        </w:rPr>
        <w:t>, Whitney H</w:t>
      </w:r>
      <w:r w:rsidR="000B2CB6" w:rsidRPr="00FD4D88">
        <w:rPr>
          <w:smallCaps/>
          <w:u w:val="double"/>
        </w:rPr>
        <w:t>.</w:t>
      </w:r>
      <w:r w:rsidRPr="00FD4D88">
        <w:rPr>
          <w:smallCaps/>
          <w:u w:val="double"/>
        </w:rPr>
        <w:t>G</w:t>
      </w:r>
      <w:r w:rsidR="000B2CB6" w:rsidRPr="00FD4D88">
        <w:rPr>
          <w:smallCaps/>
          <w:u w:val="double"/>
        </w:rPr>
        <w:t>.</w:t>
      </w:r>
      <w:r w:rsidRPr="00FD4D88">
        <w:rPr>
          <w:smallCaps/>
          <w:u w:val="double"/>
        </w:rPr>
        <w:t>, Robertson G</w:t>
      </w:r>
      <w:r w:rsidR="000B2CB6" w:rsidRPr="00FD4D88">
        <w:rPr>
          <w:smallCaps/>
          <w:u w:val="double"/>
        </w:rPr>
        <w:t>.</w:t>
      </w:r>
      <w:r w:rsidRPr="00FD4D88">
        <w:rPr>
          <w:smallCaps/>
          <w:u w:val="double"/>
        </w:rPr>
        <w:t>J</w:t>
      </w:r>
      <w:r w:rsidR="000B2CB6" w:rsidRPr="00FD4D88">
        <w:rPr>
          <w:smallCaps/>
          <w:u w:val="double"/>
        </w:rPr>
        <w:t>.</w:t>
      </w:r>
      <w:r w:rsidR="00FD4D88">
        <w:rPr>
          <w:smallCaps/>
          <w:u w:val="double"/>
        </w:rPr>
        <w:t xml:space="preserve"> &amp;</w:t>
      </w:r>
      <w:r w:rsidRPr="00FD4D88">
        <w:rPr>
          <w:smallCaps/>
          <w:u w:val="double"/>
        </w:rPr>
        <w:t xml:space="preserve"> Lang A</w:t>
      </w:r>
      <w:r w:rsidR="000B2CB6" w:rsidRPr="00FD4D88">
        <w:rPr>
          <w:smallCaps/>
          <w:u w:val="double"/>
        </w:rPr>
        <w:t>.</w:t>
      </w:r>
      <w:r w:rsidRPr="00FD4D88">
        <w:rPr>
          <w:smallCaps/>
          <w:u w:val="double"/>
        </w:rPr>
        <w:t>S.</w:t>
      </w:r>
      <w:r w:rsidRPr="00FD4D88">
        <w:rPr>
          <w:u w:val="double"/>
        </w:rPr>
        <w:t xml:space="preserve"> </w:t>
      </w:r>
      <w:r w:rsidR="00FD4D88">
        <w:rPr>
          <w:u w:val="double"/>
        </w:rPr>
        <w:t>(</w:t>
      </w:r>
      <w:r w:rsidRPr="00FD4D88">
        <w:rPr>
          <w:u w:val="double"/>
        </w:rPr>
        <w:t>2019</w:t>
      </w:r>
      <w:r w:rsidR="00FD4D88">
        <w:rPr>
          <w:u w:val="double"/>
        </w:rPr>
        <w:t>)</w:t>
      </w:r>
      <w:r w:rsidRPr="00FD4D88">
        <w:rPr>
          <w:u w:val="double"/>
        </w:rPr>
        <w:t xml:space="preserve">. </w:t>
      </w:r>
      <w:r w:rsidRPr="00FD4D88">
        <w:rPr>
          <w:u w:val="double"/>
          <w:lang w:val="en-IE"/>
        </w:rPr>
        <w:t xml:space="preserve">Discovery and Characterization of Novel RNA Viruses in Aquatic North American Wild Birds. </w:t>
      </w:r>
      <w:r w:rsidRPr="00FD4D88">
        <w:rPr>
          <w:i/>
          <w:u w:val="double"/>
          <w:lang w:val="en-IE"/>
        </w:rPr>
        <w:t>Viruses</w:t>
      </w:r>
      <w:r w:rsidR="00FD4D88">
        <w:rPr>
          <w:i/>
          <w:u w:val="double"/>
          <w:lang w:val="en-IE"/>
        </w:rPr>
        <w:t>,</w:t>
      </w:r>
      <w:r w:rsidRPr="00FD4D88">
        <w:rPr>
          <w:i/>
          <w:u w:val="double"/>
          <w:lang w:val="en-IE"/>
        </w:rPr>
        <w:t xml:space="preserve"> </w:t>
      </w:r>
      <w:r w:rsidRPr="00FD4D88">
        <w:rPr>
          <w:b/>
          <w:u w:val="double"/>
          <w:lang w:val="en-IE"/>
        </w:rPr>
        <w:t>11</w:t>
      </w:r>
      <w:r w:rsidR="000B2CB6" w:rsidRPr="00FD4D88">
        <w:rPr>
          <w:u w:val="double"/>
          <w:lang w:val="en-IE"/>
        </w:rPr>
        <w:t>, 768</w:t>
      </w:r>
      <w:r w:rsidRPr="00FD4D88">
        <w:rPr>
          <w:u w:val="double"/>
          <w:lang w:val="en-IE"/>
        </w:rPr>
        <w:t>.</w:t>
      </w:r>
    </w:p>
    <w:p w14:paraId="22E9A249" w14:textId="58E95BD5" w:rsidR="00FB52DE" w:rsidRPr="00326277" w:rsidRDefault="00FB52DE" w:rsidP="009A1D56">
      <w:pPr>
        <w:pStyle w:val="StyleRefGauche0cmPremireligne0cmAprs10pt"/>
      </w:pPr>
      <w:r w:rsidRPr="00326277">
        <w:rPr>
          <w:smallCaps/>
          <w:lang w:val="en-IE"/>
        </w:rPr>
        <w:t xml:space="preserve">Chiang S., Dar A.M., Goyal S.M., Sheikh M.A., Pedersen J.C., </w:t>
      </w:r>
      <w:proofErr w:type="spellStart"/>
      <w:r w:rsidRPr="00326277">
        <w:rPr>
          <w:smallCaps/>
          <w:lang w:val="en-IE"/>
        </w:rPr>
        <w:t>Panigrahy</w:t>
      </w:r>
      <w:proofErr w:type="spellEnd"/>
      <w:r w:rsidRPr="00326277">
        <w:rPr>
          <w:smallCaps/>
          <w:lang w:val="en-IE"/>
        </w:rPr>
        <w:t xml:space="preserve"> B., Senne D., Halvorson D.A., Nagaraja K.V.</w:t>
      </w:r>
      <w:r w:rsidR="00F67717" w:rsidRPr="00326277">
        <w:rPr>
          <w:smallCaps/>
          <w:lang w:val="en-IE"/>
        </w:rPr>
        <w:t xml:space="preserve"> &amp;</w:t>
      </w:r>
      <w:r w:rsidRPr="00326277">
        <w:rPr>
          <w:smallCaps/>
          <w:lang w:val="en-IE"/>
        </w:rPr>
        <w:t xml:space="preserve"> Kapur V</w:t>
      </w:r>
      <w:r w:rsidRPr="00326277">
        <w:rPr>
          <w:lang w:val="en-IE"/>
        </w:rPr>
        <w:t xml:space="preserve">. (2000). </w:t>
      </w:r>
      <w:r w:rsidRPr="00326277">
        <w:t xml:space="preserve">A modified enzyme-linked immunosorbent assay for the detection of avian </w:t>
      </w:r>
      <w:proofErr w:type="spellStart"/>
      <w:r w:rsidRPr="00326277">
        <w:t>pneumovirus</w:t>
      </w:r>
      <w:proofErr w:type="spellEnd"/>
      <w:r w:rsidRPr="00326277">
        <w:t xml:space="preserve"> antibodies. </w:t>
      </w:r>
      <w:r w:rsidRPr="00326277">
        <w:rPr>
          <w:i/>
          <w:iCs/>
          <w:lang w:val="en-IE"/>
        </w:rPr>
        <w:t xml:space="preserve">J. Vet. Diagn. </w:t>
      </w:r>
      <w:r w:rsidRPr="00326277">
        <w:rPr>
          <w:i/>
          <w:iCs/>
        </w:rPr>
        <w:t>Invest</w:t>
      </w:r>
      <w:r w:rsidRPr="00326277">
        <w:t xml:space="preserve">., </w:t>
      </w:r>
      <w:r w:rsidRPr="00326277">
        <w:rPr>
          <w:b/>
        </w:rPr>
        <w:t>12</w:t>
      </w:r>
      <w:r w:rsidRPr="00326277">
        <w:t xml:space="preserve">, 381–384. </w:t>
      </w:r>
    </w:p>
    <w:p w14:paraId="7803900D" w14:textId="77777777" w:rsidR="00FB52DE" w:rsidRPr="00080062" w:rsidRDefault="00FB52DE" w:rsidP="009A1D56">
      <w:pPr>
        <w:pStyle w:val="StyleRefGauche0cmPremireligne0cmAprs10pt"/>
      </w:pPr>
      <w:r w:rsidRPr="00080062">
        <w:rPr>
          <w:smallCaps/>
        </w:rPr>
        <w:t>Collins M.S. &amp; Gough R.E.</w:t>
      </w:r>
      <w:r w:rsidRPr="00080062">
        <w:t xml:space="preserve"> (1988). Characterization of a virus associated with turkey rhinotracheitis. </w:t>
      </w:r>
      <w:r w:rsidRPr="00080062">
        <w:rPr>
          <w:i/>
          <w:iCs/>
        </w:rPr>
        <w:t xml:space="preserve">J. Gen. </w:t>
      </w:r>
      <w:proofErr w:type="spellStart"/>
      <w:r w:rsidRPr="00080062">
        <w:rPr>
          <w:i/>
          <w:iCs/>
        </w:rPr>
        <w:t>Virol</w:t>
      </w:r>
      <w:proofErr w:type="spellEnd"/>
      <w:r w:rsidRPr="00080062">
        <w:rPr>
          <w:i/>
          <w:iCs/>
        </w:rPr>
        <w:t>.</w:t>
      </w:r>
      <w:r w:rsidRPr="00080062">
        <w:t xml:space="preserve">, </w:t>
      </w:r>
      <w:r w:rsidRPr="00080062">
        <w:rPr>
          <w:b/>
        </w:rPr>
        <w:t>69</w:t>
      </w:r>
      <w:r w:rsidRPr="00080062">
        <w:t>, 909–916.</w:t>
      </w:r>
    </w:p>
    <w:p w14:paraId="3BBA3DA5" w14:textId="0ADD9D3C" w:rsidR="00FB52DE" w:rsidRPr="00115864" w:rsidRDefault="00FB52DE" w:rsidP="009A1D56">
      <w:pPr>
        <w:pStyle w:val="StyleRefGauche0cmPremireligne0cmAprs10pt"/>
        <w:rPr>
          <w:strike/>
        </w:rPr>
      </w:pPr>
      <w:r w:rsidRPr="00115864">
        <w:rPr>
          <w:smallCaps/>
          <w:strike/>
        </w:rPr>
        <w:t>Collins M.S., Gough R.E. &amp; Alexander D.J</w:t>
      </w:r>
      <w:r w:rsidRPr="00115864">
        <w:rPr>
          <w:strike/>
        </w:rPr>
        <w:t xml:space="preserve">. (1993). Antigenic differentiation of avian </w:t>
      </w:r>
      <w:proofErr w:type="spellStart"/>
      <w:r w:rsidRPr="00115864">
        <w:rPr>
          <w:strike/>
        </w:rPr>
        <w:t>pneumovirus</w:t>
      </w:r>
      <w:proofErr w:type="spellEnd"/>
      <w:r w:rsidRPr="00115864">
        <w:rPr>
          <w:strike/>
        </w:rPr>
        <w:t xml:space="preserve"> isolates using polyclonal antibody and mouse monoclonal antibodies. </w:t>
      </w:r>
      <w:r w:rsidRPr="00115864">
        <w:rPr>
          <w:i/>
          <w:iCs/>
          <w:strike/>
        </w:rPr>
        <w:t xml:space="preserve">Avian </w:t>
      </w:r>
      <w:proofErr w:type="spellStart"/>
      <w:r w:rsidRPr="00115864">
        <w:rPr>
          <w:i/>
          <w:iCs/>
          <w:strike/>
        </w:rPr>
        <w:t>Pathol</w:t>
      </w:r>
      <w:proofErr w:type="spellEnd"/>
      <w:r w:rsidRPr="00115864">
        <w:rPr>
          <w:strike/>
        </w:rPr>
        <w:t xml:space="preserve">., </w:t>
      </w:r>
      <w:r w:rsidRPr="00115864">
        <w:rPr>
          <w:b/>
          <w:strike/>
        </w:rPr>
        <w:t>22</w:t>
      </w:r>
      <w:r w:rsidRPr="00115864">
        <w:rPr>
          <w:bCs/>
          <w:strike/>
        </w:rPr>
        <w:t>, 4</w:t>
      </w:r>
      <w:r w:rsidRPr="00115864">
        <w:rPr>
          <w:strike/>
        </w:rPr>
        <w:t>69–479.</w:t>
      </w:r>
    </w:p>
    <w:p w14:paraId="72DBA8FF" w14:textId="5AE98DD4" w:rsidR="00FB52DE" w:rsidRPr="00115864" w:rsidRDefault="00FB52DE" w:rsidP="009A1D56">
      <w:pPr>
        <w:pStyle w:val="StyleRefGauche0cmPremireligne0cmAprs10pt"/>
        <w:rPr>
          <w:strike/>
        </w:rPr>
      </w:pPr>
      <w:r w:rsidRPr="00115864">
        <w:rPr>
          <w:smallCaps/>
          <w:strike/>
        </w:rPr>
        <w:t>Cook</w:t>
      </w:r>
      <w:r w:rsidRPr="00115864">
        <w:rPr>
          <w:strike/>
        </w:rPr>
        <w:t xml:space="preserve"> J.K.A. (2000</w:t>
      </w:r>
      <w:r w:rsidR="00894526" w:rsidRPr="00115864">
        <w:rPr>
          <w:strike/>
        </w:rPr>
        <w:t>a</w:t>
      </w:r>
      <w:r w:rsidRPr="00115864">
        <w:rPr>
          <w:strike/>
        </w:rPr>
        <w:t xml:space="preserve">). Avian rhinotracheitis. </w:t>
      </w:r>
      <w:r w:rsidRPr="00115864">
        <w:rPr>
          <w:i/>
          <w:iCs/>
          <w:strike/>
        </w:rPr>
        <w:t xml:space="preserve">Rev. Sci. Tech. Off. Int. </w:t>
      </w:r>
      <w:proofErr w:type="spellStart"/>
      <w:r w:rsidRPr="00115864">
        <w:rPr>
          <w:i/>
          <w:iCs/>
          <w:strike/>
        </w:rPr>
        <w:t>Epiz</w:t>
      </w:r>
      <w:proofErr w:type="spellEnd"/>
      <w:r w:rsidRPr="00115864">
        <w:rPr>
          <w:i/>
          <w:iCs/>
          <w:strike/>
        </w:rPr>
        <w:t>.,</w:t>
      </w:r>
      <w:r w:rsidRPr="00115864">
        <w:rPr>
          <w:strike/>
        </w:rPr>
        <w:t xml:space="preserve"> </w:t>
      </w:r>
      <w:r w:rsidRPr="00115864">
        <w:rPr>
          <w:b/>
          <w:strike/>
        </w:rPr>
        <w:t>19</w:t>
      </w:r>
      <w:r w:rsidRPr="00115864">
        <w:rPr>
          <w:strike/>
        </w:rPr>
        <w:t xml:space="preserve">, 602–613. </w:t>
      </w:r>
    </w:p>
    <w:p w14:paraId="6FEF3878" w14:textId="5E9ABC0F" w:rsidR="00FB52DE" w:rsidRPr="00080062" w:rsidRDefault="00FB52DE" w:rsidP="009A1D56">
      <w:pPr>
        <w:pStyle w:val="StyleRefGauche0cmPremireligne0cmAprs10pt"/>
      </w:pPr>
      <w:r w:rsidRPr="00080062">
        <w:rPr>
          <w:smallCaps/>
        </w:rPr>
        <w:t>Cook</w:t>
      </w:r>
      <w:r w:rsidRPr="00080062">
        <w:t xml:space="preserve"> J.K.A. (2000</w:t>
      </w:r>
      <w:r w:rsidR="00894526" w:rsidRPr="00115864">
        <w:rPr>
          <w:strike/>
        </w:rPr>
        <w:t>b</w:t>
      </w:r>
      <w:r w:rsidRPr="00080062">
        <w:t xml:space="preserve">). Avian </w:t>
      </w:r>
      <w:proofErr w:type="spellStart"/>
      <w:r w:rsidRPr="00080062">
        <w:t>pneumovirus</w:t>
      </w:r>
      <w:proofErr w:type="spellEnd"/>
      <w:r w:rsidRPr="00080062">
        <w:t xml:space="preserve"> infections of turkey and chickens. </w:t>
      </w:r>
      <w:r w:rsidRPr="00080062">
        <w:rPr>
          <w:i/>
          <w:iCs/>
        </w:rPr>
        <w:t>Vet. J.</w:t>
      </w:r>
      <w:r w:rsidRPr="00080062">
        <w:t xml:space="preserve"> </w:t>
      </w:r>
      <w:r w:rsidRPr="00080062">
        <w:rPr>
          <w:b/>
        </w:rPr>
        <w:t>160</w:t>
      </w:r>
      <w:r w:rsidRPr="00080062">
        <w:t>, 118–125.</w:t>
      </w:r>
    </w:p>
    <w:p w14:paraId="47563AEB" w14:textId="77F648B2" w:rsidR="00FB52DE" w:rsidRPr="00F93DEA" w:rsidRDefault="00FB52DE" w:rsidP="009A1D56">
      <w:pPr>
        <w:pStyle w:val="StyleRefGauche0cmPremireligne0cmAprs10pt"/>
        <w:rPr>
          <w:strike/>
        </w:rPr>
      </w:pPr>
      <w:r w:rsidRPr="00F93DEA">
        <w:rPr>
          <w:smallCaps/>
          <w:strike/>
        </w:rPr>
        <w:t xml:space="preserve">Cook J.K.A. &amp; Cavanagh D. </w:t>
      </w:r>
      <w:r w:rsidRPr="00F93DEA">
        <w:rPr>
          <w:strike/>
        </w:rPr>
        <w:t xml:space="preserve">(2002). Detection and differentiation of avian </w:t>
      </w:r>
      <w:proofErr w:type="spellStart"/>
      <w:r w:rsidRPr="00F93DEA">
        <w:rPr>
          <w:strike/>
        </w:rPr>
        <w:t>pneumoviruses</w:t>
      </w:r>
      <w:proofErr w:type="spellEnd"/>
      <w:r w:rsidRPr="00F93DEA">
        <w:rPr>
          <w:strike/>
        </w:rPr>
        <w:t xml:space="preserve"> (metapneumoviruses). </w:t>
      </w:r>
      <w:r w:rsidRPr="00F93DEA">
        <w:rPr>
          <w:i/>
          <w:iCs/>
          <w:strike/>
        </w:rPr>
        <w:t xml:space="preserve">Avian </w:t>
      </w:r>
      <w:proofErr w:type="spellStart"/>
      <w:r w:rsidRPr="00F93DEA">
        <w:rPr>
          <w:i/>
          <w:iCs/>
          <w:strike/>
        </w:rPr>
        <w:t>Pathol</w:t>
      </w:r>
      <w:proofErr w:type="spellEnd"/>
      <w:r w:rsidRPr="00F93DEA">
        <w:rPr>
          <w:strike/>
        </w:rPr>
        <w:t xml:space="preserve">., </w:t>
      </w:r>
      <w:r w:rsidRPr="00F93DEA">
        <w:rPr>
          <w:b/>
          <w:strike/>
        </w:rPr>
        <w:t>31</w:t>
      </w:r>
      <w:r w:rsidRPr="00F93DEA">
        <w:rPr>
          <w:strike/>
        </w:rPr>
        <w:t>, 117–132.</w:t>
      </w:r>
    </w:p>
    <w:p w14:paraId="521F35CB" w14:textId="19FCA220" w:rsidR="00FB52DE" w:rsidRPr="00F93DEA" w:rsidRDefault="00FB52DE" w:rsidP="009A1D56">
      <w:pPr>
        <w:pStyle w:val="StyleRefGauche0cmPremireligne0cmAprs10pt"/>
        <w:rPr>
          <w:strike/>
        </w:rPr>
      </w:pPr>
      <w:r w:rsidRPr="00F93DEA">
        <w:rPr>
          <w:smallCaps/>
          <w:strike/>
        </w:rPr>
        <w:t>Cook J.K.A., Ellis M.M. &amp; Huggins M.B.</w:t>
      </w:r>
      <w:r w:rsidRPr="00F93DEA">
        <w:rPr>
          <w:strike/>
        </w:rPr>
        <w:t xml:space="preserve"> (1991). The pathogenesis of turkey rhinotracheitis virus in turkey poults inoculated with the virus alone or together with two strains of bacteria. </w:t>
      </w:r>
      <w:r w:rsidRPr="00F93DEA">
        <w:rPr>
          <w:i/>
          <w:iCs/>
          <w:strike/>
        </w:rPr>
        <w:t xml:space="preserve">Avian </w:t>
      </w:r>
      <w:proofErr w:type="spellStart"/>
      <w:r w:rsidRPr="00F93DEA">
        <w:rPr>
          <w:i/>
          <w:iCs/>
          <w:strike/>
        </w:rPr>
        <w:t>Pathol</w:t>
      </w:r>
      <w:proofErr w:type="spellEnd"/>
      <w:r w:rsidRPr="00F93DEA">
        <w:rPr>
          <w:i/>
          <w:iCs/>
          <w:strike/>
        </w:rPr>
        <w:t>.,</w:t>
      </w:r>
      <w:r w:rsidRPr="00F93DEA">
        <w:rPr>
          <w:strike/>
        </w:rPr>
        <w:t xml:space="preserve"> </w:t>
      </w:r>
      <w:r w:rsidRPr="00F93DEA">
        <w:rPr>
          <w:b/>
          <w:strike/>
        </w:rPr>
        <w:t>20</w:t>
      </w:r>
      <w:r w:rsidRPr="00F93DEA">
        <w:rPr>
          <w:strike/>
        </w:rPr>
        <w:t>, 155–166.</w:t>
      </w:r>
    </w:p>
    <w:p w14:paraId="125F8038" w14:textId="6F02D378" w:rsidR="00FB52DE" w:rsidRPr="00F93DEA" w:rsidRDefault="00FB52DE" w:rsidP="009A1D56">
      <w:pPr>
        <w:pStyle w:val="StyleRefGauche0cmPremireligne0cmAprs10pt"/>
        <w:rPr>
          <w:strike/>
        </w:rPr>
      </w:pPr>
      <w:r w:rsidRPr="00F93DEA">
        <w:rPr>
          <w:smallCaps/>
          <w:strike/>
        </w:rPr>
        <w:t>Cook J.K.A., Huggins M.B., Orvell S.J. &amp; Senne D.A.</w:t>
      </w:r>
      <w:r w:rsidRPr="00F93DEA">
        <w:rPr>
          <w:strike/>
        </w:rPr>
        <w:t xml:space="preserve"> (1999). Preliminary antigenic characterization of an avian </w:t>
      </w:r>
      <w:proofErr w:type="spellStart"/>
      <w:r w:rsidRPr="00F93DEA">
        <w:rPr>
          <w:strike/>
        </w:rPr>
        <w:t>pneumovirus</w:t>
      </w:r>
      <w:proofErr w:type="spellEnd"/>
      <w:r w:rsidRPr="00F93DEA">
        <w:rPr>
          <w:strike/>
        </w:rPr>
        <w:t xml:space="preserve"> isolated from commercial turkeys in Colorado, USA. </w:t>
      </w:r>
      <w:r w:rsidRPr="00F93DEA">
        <w:rPr>
          <w:i/>
          <w:iCs/>
          <w:strike/>
        </w:rPr>
        <w:t xml:space="preserve">Avian </w:t>
      </w:r>
      <w:proofErr w:type="spellStart"/>
      <w:r w:rsidRPr="00F93DEA">
        <w:rPr>
          <w:i/>
          <w:iCs/>
          <w:strike/>
        </w:rPr>
        <w:t>Pathol</w:t>
      </w:r>
      <w:proofErr w:type="spellEnd"/>
      <w:r w:rsidRPr="00F93DEA">
        <w:rPr>
          <w:strike/>
        </w:rPr>
        <w:t xml:space="preserve">., </w:t>
      </w:r>
      <w:r w:rsidRPr="00F93DEA">
        <w:rPr>
          <w:b/>
          <w:strike/>
        </w:rPr>
        <w:t>28</w:t>
      </w:r>
      <w:r w:rsidRPr="00F93DEA">
        <w:rPr>
          <w:strike/>
        </w:rPr>
        <w:t xml:space="preserve">, 607–617. </w:t>
      </w:r>
    </w:p>
    <w:p w14:paraId="74C6A527" w14:textId="77777777" w:rsidR="00FB52DE" w:rsidRPr="00FD4D88" w:rsidRDefault="00FB52DE" w:rsidP="009A1D56">
      <w:pPr>
        <w:pStyle w:val="StyleRefGauche0cmPremireligne0cmAprs10pt"/>
      </w:pPr>
      <w:r w:rsidRPr="00F93DEA">
        <w:rPr>
          <w:smallCaps/>
        </w:rPr>
        <w:t>Cook J.K.A., Jones B. V., Ellis M. M., Li J. &amp; Cavanagh D.</w:t>
      </w:r>
      <w:r w:rsidRPr="00F93DEA">
        <w:t xml:space="preserve"> (1993</w:t>
      </w:r>
      <w:r w:rsidR="00BD7156" w:rsidRPr="00F93DEA">
        <w:t>a</w:t>
      </w:r>
      <w:r w:rsidRPr="00F93DEA">
        <w:t xml:space="preserve">). </w:t>
      </w:r>
      <w:r w:rsidRPr="00FD4D88">
        <w:t xml:space="preserve">Antigenic differentiation of strains of turkey rhinotracheitis virus using monoclonal antibodies. </w:t>
      </w:r>
      <w:r w:rsidRPr="00FD4D88">
        <w:rPr>
          <w:i/>
          <w:iCs/>
        </w:rPr>
        <w:t xml:space="preserve">Avian </w:t>
      </w:r>
      <w:proofErr w:type="spellStart"/>
      <w:r w:rsidRPr="00FD4D88">
        <w:rPr>
          <w:i/>
          <w:iCs/>
        </w:rPr>
        <w:t>Pathol</w:t>
      </w:r>
      <w:proofErr w:type="spellEnd"/>
      <w:r w:rsidRPr="00FD4D88">
        <w:rPr>
          <w:i/>
          <w:iCs/>
        </w:rPr>
        <w:t>.,</w:t>
      </w:r>
      <w:r w:rsidRPr="00FD4D88">
        <w:t xml:space="preserve"> </w:t>
      </w:r>
      <w:r w:rsidRPr="00FD4D88">
        <w:rPr>
          <w:b/>
        </w:rPr>
        <w:t>22</w:t>
      </w:r>
      <w:r w:rsidRPr="00FD4D88">
        <w:t>, 257–273.</w:t>
      </w:r>
    </w:p>
    <w:p w14:paraId="03BACDF2" w14:textId="77777777" w:rsidR="00FB52DE" w:rsidRPr="007879D4" w:rsidRDefault="00FB52DE" w:rsidP="009A1D56">
      <w:pPr>
        <w:pStyle w:val="StyleRefGauche0cmPremireligne0cmAprs10pt"/>
        <w:rPr>
          <w:lang w:val="fr-FR"/>
        </w:rPr>
      </w:pPr>
      <w:r w:rsidRPr="007879D4">
        <w:rPr>
          <w:smallCaps/>
        </w:rPr>
        <w:t>Cook J.K.A., Kinloch S., &amp; Ellis M.M.</w:t>
      </w:r>
      <w:r w:rsidRPr="007879D4">
        <w:t xml:space="preserve"> (1993</w:t>
      </w:r>
      <w:r w:rsidR="00BD7156" w:rsidRPr="007879D4">
        <w:t>b</w:t>
      </w:r>
      <w:r w:rsidRPr="007879D4">
        <w:t xml:space="preserve">). </w:t>
      </w:r>
      <w:r w:rsidRPr="007879D4">
        <w:rPr>
          <w:i/>
          <w:iCs/>
        </w:rPr>
        <w:t>In vitro</w:t>
      </w:r>
      <w:r w:rsidRPr="007879D4">
        <w:t xml:space="preserve"> and </w:t>
      </w:r>
      <w:r w:rsidRPr="007879D4">
        <w:rPr>
          <w:i/>
          <w:iCs/>
        </w:rPr>
        <w:t>in vivo</w:t>
      </w:r>
      <w:r w:rsidRPr="007879D4">
        <w:t xml:space="preserve"> studies in chickens and turkeys on strains of turkey rhinotracheitis virus isolated from the two species. </w:t>
      </w:r>
      <w:proofErr w:type="spellStart"/>
      <w:r w:rsidRPr="007879D4">
        <w:rPr>
          <w:i/>
          <w:iCs/>
          <w:lang w:val="fr-FR"/>
        </w:rPr>
        <w:t>Avian</w:t>
      </w:r>
      <w:proofErr w:type="spellEnd"/>
      <w:r w:rsidRPr="007879D4">
        <w:rPr>
          <w:i/>
          <w:iCs/>
          <w:lang w:val="fr-FR"/>
        </w:rPr>
        <w:t xml:space="preserve"> </w:t>
      </w:r>
      <w:proofErr w:type="spellStart"/>
      <w:r w:rsidRPr="007879D4">
        <w:rPr>
          <w:i/>
          <w:iCs/>
          <w:lang w:val="fr-FR"/>
        </w:rPr>
        <w:t>Pathol</w:t>
      </w:r>
      <w:proofErr w:type="spellEnd"/>
      <w:r w:rsidRPr="007879D4">
        <w:rPr>
          <w:lang w:val="fr-FR"/>
        </w:rPr>
        <w:t xml:space="preserve">., </w:t>
      </w:r>
      <w:r w:rsidRPr="007879D4">
        <w:rPr>
          <w:b/>
          <w:lang w:val="fr-FR"/>
        </w:rPr>
        <w:t>22</w:t>
      </w:r>
      <w:r w:rsidRPr="007879D4">
        <w:rPr>
          <w:bCs/>
          <w:lang w:val="fr-FR"/>
        </w:rPr>
        <w:t xml:space="preserve">, </w:t>
      </w:r>
      <w:r w:rsidRPr="007879D4">
        <w:rPr>
          <w:lang w:val="fr-FR"/>
        </w:rPr>
        <w:t xml:space="preserve">157–170. </w:t>
      </w:r>
    </w:p>
    <w:p w14:paraId="307B6B4C" w14:textId="77777777" w:rsidR="00FB52DE" w:rsidRPr="00326277" w:rsidRDefault="00FB52DE" w:rsidP="009A1D56">
      <w:pPr>
        <w:pStyle w:val="StyleRefGauche0cmPremireligne0cmAprs10pt"/>
      </w:pPr>
      <w:proofErr w:type="spellStart"/>
      <w:r w:rsidRPr="00326277">
        <w:rPr>
          <w:smallCaps/>
          <w:lang w:val="fr-FR"/>
        </w:rPr>
        <w:t>Eterradossi</w:t>
      </w:r>
      <w:proofErr w:type="spellEnd"/>
      <w:r w:rsidRPr="00326277">
        <w:rPr>
          <w:smallCaps/>
          <w:lang w:val="fr-FR"/>
        </w:rPr>
        <w:t xml:space="preserve"> N.</w:t>
      </w:r>
      <w:r w:rsidR="00D311EB" w:rsidRPr="00326277">
        <w:rPr>
          <w:smallCaps/>
          <w:lang w:val="fr-FR"/>
        </w:rPr>
        <w:t>,</w:t>
      </w:r>
      <w:r w:rsidRPr="00326277">
        <w:rPr>
          <w:smallCaps/>
          <w:lang w:val="fr-FR"/>
        </w:rPr>
        <w:t xml:space="preserve"> Toquin D., </w:t>
      </w:r>
      <w:proofErr w:type="spellStart"/>
      <w:r w:rsidRPr="00326277">
        <w:rPr>
          <w:smallCaps/>
          <w:lang w:val="fr-FR"/>
        </w:rPr>
        <w:t>Guittet</w:t>
      </w:r>
      <w:proofErr w:type="spellEnd"/>
      <w:r w:rsidRPr="00326277">
        <w:rPr>
          <w:smallCaps/>
          <w:lang w:val="fr-FR"/>
        </w:rPr>
        <w:t xml:space="preserve"> M</w:t>
      </w:r>
      <w:r w:rsidR="00D311EB" w:rsidRPr="00326277">
        <w:rPr>
          <w:smallCaps/>
          <w:lang w:val="fr-FR"/>
        </w:rPr>
        <w:t>.</w:t>
      </w:r>
      <w:r w:rsidRPr="00326277">
        <w:rPr>
          <w:smallCaps/>
          <w:lang w:val="fr-FR"/>
        </w:rPr>
        <w:t xml:space="preserve"> &amp; </w:t>
      </w:r>
      <w:proofErr w:type="spellStart"/>
      <w:r w:rsidRPr="00326277">
        <w:rPr>
          <w:smallCaps/>
          <w:lang w:val="fr-FR"/>
        </w:rPr>
        <w:t>Bennejean</w:t>
      </w:r>
      <w:proofErr w:type="spellEnd"/>
      <w:r w:rsidRPr="00326277">
        <w:rPr>
          <w:smallCaps/>
          <w:lang w:val="fr-FR"/>
        </w:rPr>
        <w:t xml:space="preserve"> G.</w:t>
      </w:r>
      <w:r w:rsidRPr="00326277">
        <w:rPr>
          <w:lang w:val="fr-FR"/>
        </w:rPr>
        <w:t xml:space="preserve"> (1995). </w:t>
      </w:r>
      <w:r w:rsidRPr="00326277">
        <w:t xml:space="preserve">Evaluation of different turkey rhinotracheitis viruses used as antigens for serological testing following live vaccination and challenge. </w:t>
      </w:r>
      <w:r w:rsidRPr="00326277">
        <w:rPr>
          <w:i/>
          <w:iCs/>
        </w:rPr>
        <w:t>J. Vet Med</w:t>
      </w:r>
      <w:r w:rsidRPr="00326277">
        <w:t>. [</w:t>
      </w:r>
      <w:r w:rsidRPr="00326277">
        <w:rPr>
          <w:i/>
          <w:iCs/>
        </w:rPr>
        <w:t>B</w:t>
      </w:r>
      <w:r w:rsidRPr="00326277">
        <w:t xml:space="preserve">], </w:t>
      </w:r>
      <w:r w:rsidRPr="00326277">
        <w:rPr>
          <w:b/>
        </w:rPr>
        <w:t>42</w:t>
      </w:r>
      <w:r w:rsidRPr="00326277">
        <w:t xml:space="preserve">, 175–186. </w:t>
      </w:r>
    </w:p>
    <w:p w14:paraId="09D006CC" w14:textId="2BE77DA8" w:rsidR="00FB52DE" w:rsidRPr="00080062" w:rsidRDefault="00FB52DE" w:rsidP="009A1D56">
      <w:pPr>
        <w:pStyle w:val="StyleRefGauche0cmPremireligne0cmAprs10pt"/>
        <w:rPr>
          <w:lang w:val="en-IE"/>
        </w:rPr>
      </w:pPr>
      <w:r w:rsidRPr="000C6983">
        <w:rPr>
          <w:smallCaps/>
          <w:lang w:val="en-US"/>
        </w:rPr>
        <w:t xml:space="preserve">Giraud P., </w:t>
      </w:r>
      <w:proofErr w:type="spellStart"/>
      <w:r w:rsidRPr="000C6983">
        <w:rPr>
          <w:smallCaps/>
          <w:lang w:val="en-US"/>
        </w:rPr>
        <w:t>Guittet</w:t>
      </w:r>
      <w:proofErr w:type="spellEnd"/>
      <w:r w:rsidRPr="000C6983">
        <w:rPr>
          <w:smallCaps/>
          <w:lang w:val="en-US"/>
        </w:rPr>
        <w:t xml:space="preserve"> M., </w:t>
      </w:r>
      <w:proofErr w:type="spellStart"/>
      <w:r w:rsidRPr="000C6983">
        <w:rPr>
          <w:smallCaps/>
          <w:lang w:val="en-US"/>
        </w:rPr>
        <w:t>Toquin</w:t>
      </w:r>
      <w:proofErr w:type="spellEnd"/>
      <w:r w:rsidRPr="000C6983">
        <w:rPr>
          <w:smallCaps/>
          <w:lang w:val="en-US"/>
        </w:rPr>
        <w:t xml:space="preserve"> D.</w:t>
      </w:r>
      <w:r w:rsidR="00D72D29" w:rsidRPr="000C6983">
        <w:rPr>
          <w:smallCaps/>
          <w:lang w:val="en-US"/>
        </w:rPr>
        <w:t xml:space="preserve"> &amp;</w:t>
      </w:r>
      <w:r w:rsidRPr="000C6983">
        <w:rPr>
          <w:smallCaps/>
          <w:lang w:val="en-US"/>
        </w:rPr>
        <w:t xml:space="preserve"> </w:t>
      </w:r>
      <w:proofErr w:type="spellStart"/>
      <w:r w:rsidRPr="000C6983">
        <w:rPr>
          <w:smallCaps/>
          <w:lang w:val="en-US"/>
        </w:rPr>
        <w:t>Benejean</w:t>
      </w:r>
      <w:proofErr w:type="spellEnd"/>
      <w:r w:rsidRPr="000C6983">
        <w:rPr>
          <w:smallCaps/>
          <w:lang w:val="en-US"/>
        </w:rPr>
        <w:t xml:space="preserve"> G.</w:t>
      </w:r>
      <w:r w:rsidRPr="000C6983">
        <w:rPr>
          <w:lang w:val="en-US"/>
        </w:rPr>
        <w:t xml:space="preserve"> (1988). </w:t>
      </w:r>
      <w:r w:rsidRPr="00080062">
        <w:rPr>
          <w:lang w:val="fr-FR"/>
        </w:rPr>
        <w:t>La rhinotrachéite infectieuse de la dinde: description et rôle d</w:t>
      </w:r>
      <w:r w:rsidR="00721993" w:rsidRPr="00080062">
        <w:rPr>
          <w:lang w:val="fr-FR"/>
        </w:rPr>
        <w:t>’</w:t>
      </w:r>
      <w:r w:rsidRPr="00080062">
        <w:rPr>
          <w:lang w:val="fr-FR"/>
        </w:rPr>
        <w:t xml:space="preserve">un nouvel agent viral. </w:t>
      </w:r>
      <w:r w:rsidRPr="00080062">
        <w:rPr>
          <w:i/>
          <w:iCs/>
          <w:lang w:val="en-IE"/>
        </w:rPr>
        <w:t>Rec. Med. Vet.</w:t>
      </w:r>
      <w:r w:rsidR="00D72D29" w:rsidRPr="00080062">
        <w:rPr>
          <w:i/>
          <w:iCs/>
          <w:lang w:val="en-IE"/>
        </w:rPr>
        <w:t>,</w:t>
      </w:r>
      <w:r w:rsidRPr="00080062">
        <w:rPr>
          <w:lang w:val="en-IE"/>
        </w:rPr>
        <w:t xml:space="preserve"> </w:t>
      </w:r>
      <w:r w:rsidRPr="00080062">
        <w:rPr>
          <w:b/>
          <w:lang w:val="en-IE"/>
        </w:rPr>
        <w:t>164</w:t>
      </w:r>
      <w:r w:rsidRPr="00080062">
        <w:rPr>
          <w:lang w:val="en-IE"/>
        </w:rPr>
        <w:t>, 1, 39</w:t>
      </w:r>
      <w:r w:rsidR="00D72D29" w:rsidRPr="00080062">
        <w:rPr>
          <w:lang w:val="en-IE"/>
        </w:rPr>
        <w:t>–</w:t>
      </w:r>
      <w:r w:rsidRPr="00080062">
        <w:rPr>
          <w:lang w:val="en-IE"/>
        </w:rPr>
        <w:t>44.</w:t>
      </w:r>
    </w:p>
    <w:p w14:paraId="0CA17ED4" w14:textId="036A2F50" w:rsidR="00FB52DE" w:rsidRPr="001E291E" w:rsidRDefault="00FB52DE" w:rsidP="009A1D56">
      <w:pPr>
        <w:pStyle w:val="StyleRefGauche0cmPremireligne0cmAprs10pt"/>
        <w:rPr>
          <w:lang w:val="fr-FR"/>
        </w:rPr>
      </w:pPr>
      <w:r w:rsidRPr="00326277">
        <w:rPr>
          <w:smallCaps/>
        </w:rPr>
        <w:t xml:space="preserve">Giraud P., </w:t>
      </w:r>
      <w:proofErr w:type="spellStart"/>
      <w:r w:rsidRPr="00326277">
        <w:rPr>
          <w:smallCaps/>
        </w:rPr>
        <w:t>Toquin</w:t>
      </w:r>
      <w:proofErr w:type="spellEnd"/>
      <w:r w:rsidRPr="00326277">
        <w:rPr>
          <w:smallCaps/>
        </w:rPr>
        <w:t xml:space="preserve"> D., </w:t>
      </w:r>
      <w:proofErr w:type="spellStart"/>
      <w:r w:rsidRPr="00326277">
        <w:rPr>
          <w:smallCaps/>
        </w:rPr>
        <w:t>Picault</w:t>
      </w:r>
      <w:proofErr w:type="spellEnd"/>
      <w:r w:rsidRPr="00326277">
        <w:rPr>
          <w:smallCaps/>
        </w:rPr>
        <w:t xml:space="preserve"> J.P., </w:t>
      </w:r>
      <w:proofErr w:type="spellStart"/>
      <w:r w:rsidRPr="00326277">
        <w:rPr>
          <w:smallCaps/>
        </w:rPr>
        <w:t>Guittet</w:t>
      </w:r>
      <w:proofErr w:type="spellEnd"/>
      <w:r w:rsidRPr="00326277">
        <w:rPr>
          <w:smallCaps/>
        </w:rPr>
        <w:t xml:space="preserve"> M.</w:t>
      </w:r>
      <w:r w:rsidR="00D72D29" w:rsidRPr="00326277">
        <w:rPr>
          <w:smallCaps/>
        </w:rPr>
        <w:t xml:space="preserve"> &amp; </w:t>
      </w:r>
      <w:proofErr w:type="spellStart"/>
      <w:r w:rsidRPr="00326277">
        <w:rPr>
          <w:smallCaps/>
        </w:rPr>
        <w:t>Benejean</w:t>
      </w:r>
      <w:proofErr w:type="spellEnd"/>
      <w:r w:rsidRPr="00326277">
        <w:rPr>
          <w:smallCaps/>
        </w:rPr>
        <w:t xml:space="preserve"> G.</w:t>
      </w:r>
      <w:r w:rsidRPr="00326277">
        <w:t xml:space="preserve"> (1987). </w:t>
      </w:r>
      <w:r w:rsidRPr="00326277">
        <w:rPr>
          <w:lang w:val="fr-FR"/>
        </w:rPr>
        <w:t>Utilisation de la méthode EL</w:t>
      </w:r>
      <w:r w:rsidR="00721993" w:rsidRPr="00326277">
        <w:rPr>
          <w:lang w:val="fr-FR"/>
        </w:rPr>
        <w:t>ISA pour le sérodiagnostic de l’</w:t>
      </w:r>
      <w:r w:rsidRPr="00326277">
        <w:rPr>
          <w:lang w:val="fr-FR"/>
        </w:rPr>
        <w:t xml:space="preserve">infection par le virus de la rhinotrachéite infectieuse chez la dinde la poule et la pintade. </w:t>
      </w:r>
      <w:r w:rsidRPr="001E291E">
        <w:rPr>
          <w:i/>
          <w:iCs/>
          <w:lang w:val="fr-FR"/>
        </w:rPr>
        <w:t xml:space="preserve">Bull. Lab. </w:t>
      </w:r>
      <w:proofErr w:type="spellStart"/>
      <w:r w:rsidRPr="001E291E">
        <w:rPr>
          <w:i/>
          <w:iCs/>
          <w:lang w:val="fr-FR"/>
        </w:rPr>
        <w:t>Vet</w:t>
      </w:r>
      <w:proofErr w:type="spellEnd"/>
      <w:r w:rsidRPr="001E291E">
        <w:rPr>
          <w:i/>
          <w:iCs/>
          <w:lang w:val="fr-FR"/>
        </w:rPr>
        <w:t>.</w:t>
      </w:r>
      <w:r w:rsidR="00D72D29" w:rsidRPr="001E291E">
        <w:rPr>
          <w:i/>
          <w:iCs/>
          <w:lang w:val="fr-FR"/>
        </w:rPr>
        <w:t>,</w:t>
      </w:r>
      <w:r w:rsidRPr="001E291E">
        <w:rPr>
          <w:lang w:val="fr-FR"/>
        </w:rPr>
        <w:t xml:space="preserve"> </w:t>
      </w:r>
      <w:r w:rsidRPr="001E291E">
        <w:rPr>
          <w:b/>
          <w:lang w:val="fr-FR"/>
        </w:rPr>
        <w:t>27</w:t>
      </w:r>
      <w:r w:rsidR="00D72D29" w:rsidRPr="001E291E">
        <w:rPr>
          <w:b/>
          <w:lang w:val="fr-FR"/>
        </w:rPr>
        <w:t>–</w:t>
      </w:r>
      <w:r w:rsidRPr="001E291E">
        <w:rPr>
          <w:b/>
          <w:lang w:val="fr-FR"/>
        </w:rPr>
        <w:t>28,</w:t>
      </w:r>
      <w:r w:rsidRPr="001E291E">
        <w:rPr>
          <w:lang w:val="fr-FR"/>
        </w:rPr>
        <w:t xml:space="preserve"> 71</w:t>
      </w:r>
      <w:r w:rsidR="00D72D29" w:rsidRPr="001E291E">
        <w:rPr>
          <w:lang w:val="fr-FR"/>
        </w:rPr>
        <w:t>–</w:t>
      </w:r>
      <w:r w:rsidRPr="001E291E">
        <w:rPr>
          <w:lang w:val="fr-FR"/>
        </w:rPr>
        <w:t>75.</w:t>
      </w:r>
    </w:p>
    <w:p w14:paraId="2A8B3FC4" w14:textId="77777777" w:rsidR="00FB52DE" w:rsidRPr="001E291E" w:rsidRDefault="00FB52DE" w:rsidP="009A1D56">
      <w:pPr>
        <w:pStyle w:val="StyleRefGauche0cmPremireligne0cmAprs10pt"/>
        <w:rPr>
          <w:strike/>
        </w:rPr>
      </w:pPr>
      <w:proofErr w:type="spellStart"/>
      <w:r w:rsidRPr="001E291E">
        <w:rPr>
          <w:smallCaps/>
          <w:strike/>
          <w:lang w:val="fr-FR"/>
        </w:rPr>
        <w:t>Gough</w:t>
      </w:r>
      <w:proofErr w:type="spellEnd"/>
      <w:r w:rsidRPr="001E291E">
        <w:rPr>
          <w:strike/>
          <w:lang w:val="fr-FR"/>
        </w:rPr>
        <w:t xml:space="preserve"> R.E. (2003). </w:t>
      </w:r>
      <w:proofErr w:type="spellStart"/>
      <w:r w:rsidRPr="001E291E">
        <w:rPr>
          <w:strike/>
          <w:lang w:val="fr-FR"/>
        </w:rPr>
        <w:t>Avian</w:t>
      </w:r>
      <w:proofErr w:type="spellEnd"/>
      <w:r w:rsidRPr="001E291E">
        <w:rPr>
          <w:strike/>
          <w:lang w:val="fr-FR"/>
        </w:rPr>
        <w:t xml:space="preserve"> </w:t>
      </w:r>
      <w:proofErr w:type="spellStart"/>
      <w:r w:rsidRPr="001E291E">
        <w:rPr>
          <w:strike/>
          <w:lang w:val="fr-FR"/>
        </w:rPr>
        <w:t>pneumoviruses</w:t>
      </w:r>
      <w:proofErr w:type="spellEnd"/>
      <w:r w:rsidRPr="001E291E">
        <w:rPr>
          <w:strike/>
          <w:lang w:val="fr-FR"/>
        </w:rPr>
        <w:t xml:space="preserve">. </w:t>
      </w:r>
      <w:r w:rsidRPr="001E291E">
        <w:rPr>
          <w:i/>
          <w:iCs/>
          <w:strike/>
          <w:lang w:val="fr-FR"/>
        </w:rPr>
        <w:t>In:</w:t>
      </w:r>
      <w:r w:rsidRPr="001E291E">
        <w:rPr>
          <w:strike/>
          <w:lang w:val="fr-FR"/>
        </w:rPr>
        <w:t xml:space="preserve"> </w:t>
      </w:r>
      <w:proofErr w:type="spellStart"/>
      <w:r w:rsidRPr="001E291E">
        <w:rPr>
          <w:strike/>
          <w:lang w:val="fr-FR"/>
        </w:rPr>
        <w:t>Diseases</w:t>
      </w:r>
      <w:proofErr w:type="spellEnd"/>
      <w:r w:rsidRPr="001E291E">
        <w:rPr>
          <w:strike/>
          <w:lang w:val="fr-FR"/>
        </w:rPr>
        <w:t xml:space="preserve"> of </w:t>
      </w:r>
      <w:proofErr w:type="spellStart"/>
      <w:r w:rsidRPr="001E291E">
        <w:rPr>
          <w:strike/>
          <w:lang w:val="fr-FR"/>
        </w:rPr>
        <w:t>Poultry</w:t>
      </w:r>
      <w:proofErr w:type="spellEnd"/>
      <w:r w:rsidRPr="001E291E">
        <w:rPr>
          <w:strike/>
          <w:lang w:val="fr-FR"/>
        </w:rPr>
        <w:t xml:space="preserve">, </w:t>
      </w:r>
      <w:proofErr w:type="spellStart"/>
      <w:r w:rsidRPr="001E291E">
        <w:rPr>
          <w:strike/>
          <w:lang w:val="fr-FR"/>
        </w:rPr>
        <w:t>eleventh</w:t>
      </w:r>
      <w:proofErr w:type="spellEnd"/>
      <w:r w:rsidRPr="001E291E">
        <w:rPr>
          <w:strike/>
          <w:lang w:val="fr-FR"/>
        </w:rPr>
        <w:t xml:space="preserve"> </w:t>
      </w:r>
      <w:proofErr w:type="spellStart"/>
      <w:r w:rsidRPr="001E291E">
        <w:rPr>
          <w:strike/>
          <w:lang w:val="fr-FR"/>
        </w:rPr>
        <w:t>edition</w:t>
      </w:r>
      <w:proofErr w:type="spellEnd"/>
      <w:r w:rsidRPr="001E291E">
        <w:rPr>
          <w:strike/>
          <w:lang w:val="fr-FR"/>
        </w:rPr>
        <w:t xml:space="preserve">, </w:t>
      </w:r>
      <w:proofErr w:type="spellStart"/>
      <w:r w:rsidRPr="001E291E">
        <w:rPr>
          <w:strike/>
          <w:lang w:val="fr-FR"/>
        </w:rPr>
        <w:t>Saif</w:t>
      </w:r>
      <w:proofErr w:type="spellEnd"/>
      <w:r w:rsidRPr="001E291E">
        <w:rPr>
          <w:strike/>
          <w:lang w:val="fr-FR"/>
        </w:rPr>
        <w:t xml:space="preserve"> Y.M., Barnes H.J., Glisson J.R., </w:t>
      </w:r>
      <w:proofErr w:type="spellStart"/>
      <w:r w:rsidRPr="001E291E">
        <w:rPr>
          <w:strike/>
          <w:lang w:val="fr-FR"/>
        </w:rPr>
        <w:t>Fadly</w:t>
      </w:r>
      <w:proofErr w:type="spellEnd"/>
      <w:r w:rsidRPr="001E291E">
        <w:rPr>
          <w:strike/>
          <w:lang w:val="fr-FR"/>
        </w:rPr>
        <w:t xml:space="preserve"> A.M., </w:t>
      </w:r>
      <w:proofErr w:type="spellStart"/>
      <w:r w:rsidRPr="001E291E">
        <w:rPr>
          <w:strike/>
          <w:lang w:val="fr-FR"/>
        </w:rPr>
        <w:t>McDougald</w:t>
      </w:r>
      <w:proofErr w:type="spellEnd"/>
      <w:r w:rsidRPr="001E291E">
        <w:rPr>
          <w:strike/>
          <w:lang w:val="fr-FR"/>
        </w:rPr>
        <w:t xml:space="preserve"> L.R. &amp; Swayne D.</w:t>
      </w:r>
      <w:r w:rsidR="00D311EB" w:rsidRPr="001E291E">
        <w:rPr>
          <w:strike/>
          <w:lang w:val="fr-FR"/>
        </w:rPr>
        <w:t>,</w:t>
      </w:r>
      <w:r w:rsidRPr="001E291E">
        <w:rPr>
          <w:strike/>
          <w:lang w:val="fr-FR"/>
        </w:rPr>
        <w:t xml:space="preserve"> </w:t>
      </w:r>
      <w:proofErr w:type="spellStart"/>
      <w:r w:rsidRPr="001E291E">
        <w:rPr>
          <w:strike/>
          <w:lang w:val="fr-FR"/>
        </w:rPr>
        <w:t>eds</w:t>
      </w:r>
      <w:proofErr w:type="spellEnd"/>
      <w:r w:rsidRPr="001E291E">
        <w:rPr>
          <w:strike/>
          <w:lang w:val="fr-FR"/>
        </w:rPr>
        <w:t xml:space="preserve">. </w:t>
      </w:r>
      <w:r w:rsidRPr="001E291E">
        <w:rPr>
          <w:strike/>
        </w:rPr>
        <w:t>Blackwell Publishing, 92–99.</w:t>
      </w:r>
    </w:p>
    <w:p w14:paraId="3B1A173F" w14:textId="4F941F2C" w:rsidR="00FB52DE" w:rsidRPr="009733A1" w:rsidRDefault="00FB52DE" w:rsidP="009A1D56">
      <w:pPr>
        <w:pStyle w:val="StyleRefGauche0cmPremireligne0cmAprs10pt"/>
        <w:rPr>
          <w:strike/>
        </w:rPr>
      </w:pPr>
      <w:r w:rsidRPr="009733A1">
        <w:rPr>
          <w:smallCaps/>
          <w:strike/>
        </w:rPr>
        <w:t xml:space="preserve">Gough R.E., Collins M.S., Cox W.J. &amp; </w:t>
      </w:r>
      <w:proofErr w:type="spellStart"/>
      <w:r w:rsidRPr="009733A1">
        <w:rPr>
          <w:smallCaps/>
          <w:strike/>
        </w:rPr>
        <w:t>Chettle</w:t>
      </w:r>
      <w:proofErr w:type="spellEnd"/>
      <w:r w:rsidRPr="009733A1">
        <w:rPr>
          <w:smallCaps/>
          <w:strike/>
        </w:rPr>
        <w:t xml:space="preserve"> N.J.</w:t>
      </w:r>
      <w:r w:rsidRPr="009733A1">
        <w:rPr>
          <w:strike/>
        </w:rPr>
        <w:t xml:space="preserve"> (1988). Experimental infection of turkeys, chickens, ducks, guinea fowl, pheasants and pigeons with turkey rhinotracheitis virus. </w:t>
      </w:r>
      <w:r w:rsidRPr="009733A1">
        <w:rPr>
          <w:i/>
          <w:iCs/>
          <w:strike/>
        </w:rPr>
        <w:t>Vet. Rec</w:t>
      </w:r>
      <w:r w:rsidRPr="009733A1">
        <w:rPr>
          <w:strike/>
        </w:rPr>
        <w:t xml:space="preserve">., </w:t>
      </w:r>
      <w:r w:rsidRPr="009733A1">
        <w:rPr>
          <w:b/>
          <w:strike/>
        </w:rPr>
        <w:t>123</w:t>
      </w:r>
      <w:r w:rsidRPr="009733A1">
        <w:rPr>
          <w:strike/>
        </w:rPr>
        <w:t>, 58–59.</w:t>
      </w:r>
    </w:p>
    <w:p w14:paraId="72FAABF1" w14:textId="77777777" w:rsidR="00FB52DE" w:rsidRPr="00080062" w:rsidRDefault="00FB52DE" w:rsidP="009A1D56">
      <w:pPr>
        <w:pStyle w:val="StyleRefGauche0cmPremireligne0cmAprs10pt"/>
      </w:pPr>
      <w:r w:rsidRPr="00080062">
        <w:rPr>
          <w:smallCaps/>
        </w:rPr>
        <w:t xml:space="preserve">Gough R.E., </w:t>
      </w:r>
      <w:proofErr w:type="spellStart"/>
      <w:r w:rsidRPr="00080062">
        <w:rPr>
          <w:smallCaps/>
        </w:rPr>
        <w:t>Manvell</w:t>
      </w:r>
      <w:proofErr w:type="spellEnd"/>
      <w:r w:rsidRPr="00080062">
        <w:rPr>
          <w:smallCaps/>
        </w:rPr>
        <w:t xml:space="preserve"> R.J., Drury S.E.N. &amp; Pearson D.B</w:t>
      </w:r>
      <w:r w:rsidRPr="00080062">
        <w:t xml:space="preserve">. (1994). Isolation of an avian </w:t>
      </w:r>
      <w:proofErr w:type="spellStart"/>
      <w:r w:rsidRPr="00080062">
        <w:t>pneumovirus</w:t>
      </w:r>
      <w:proofErr w:type="spellEnd"/>
      <w:r w:rsidRPr="00080062">
        <w:t xml:space="preserve"> from broiler chickens. </w:t>
      </w:r>
      <w:r w:rsidRPr="00080062">
        <w:rPr>
          <w:i/>
          <w:iCs/>
        </w:rPr>
        <w:t>Vet. Rec</w:t>
      </w:r>
      <w:r w:rsidRPr="00080062">
        <w:t xml:space="preserve">., </w:t>
      </w:r>
      <w:r w:rsidRPr="00080062">
        <w:rPr>
          <w:b/>
        </w:rPr>
        <w:t>134</w:t>
      </w:r>
      <w:r w:rsidRPr="00080062">
        <w:t>, 353–354.</w:t>
      </w:r>
    </w:p>
    <w:p w14:paraId="15A33783" w14:textId="78F316C3" w:rsidR="00FB52DE" w:rsidRPr="009733A1" w:rsidRDefault="00FB52DE" w:rsidP="009A1D56">
      <w:pPr>
        <w:pStyle w:val="Ref"/>
        <w:rPr>
          <w:strike/>
        </w:rPr>
      </w:pPr>
      <w:r w:rsidRPr="009733A1">
        <w:rPr>
          <w:smallCaps/>
          <w:strike/>
        </w:rPr>
        <w:t>Goyal S.M., Chiang S.J., Dar A.M., Nagaraja K.V., Shaw D.P., Halvorson D.A. &amp; Kapur V.</w:t>
      </w:r>
      <w:r w:rsidRPr="009733A1">
        <w:rPr>
          <w:strike/>
        </w:rPr>
        <w:t xml:space="preserve"> (2000). Isolation of avian </w:t>
      </w:r>
      <w:proofErr w:type="spellStart"/>
      <w:r w:rsidRPr="009733A1">
        <w:rPr>
          <w:strike/>
        </w:rPr>
        <w:t>pneumovirus</w:t>
      </w:r>
      <w:proofErr w:type="spellEnd"/>
      <w:r w:rsidRPr="009733A1">
        <w:rPr>
          <w:strike/>
        </w:rPr>
        <w:t xml:space="preserve"> from an outbreak of respiratory illness in Minnesota turkeys. </w:t>
      </w:r>
      <w:r w:rsidRPr="009733A1">
        <w:rPr>
          <w:i/>
          <w:iCs/>
          <w:strike/>
          <w:lang w:val="en-IE"/>
        </w:rPr>
        <w:t xml:space="preserve">J. Vet. Diagn. </w:t>
      </w:r>
      <w:r w:rsidRPr="009733A1">
        <w:rPr>
          <w:i/>
          <w:iCs/>
          <w:strike/>
        </w:rPr>
        <w:t>Invest.,</w:t>
      </w:r>
      <w:r w:rsidRPr="009733A1">
        <w:rPr>
          <w:strike/>
        </w:rPr>
        <w:t xml:space="preserve"> </w:t>
      </w:r>
      <w:r w:rsidRPr="009733A1">
        <w:rPr>
          <w:b/>
          <w:strike/>
        </w:rPr>
        <w:t>12</w:t>
      </w:r>
      <w:r w:rsidRPr="009733A1">
        <w:rPr>
          <w:strike/>
        </w:rPr>
        <w:t>, 166–168.</w:t>
      </w:r>
    </w:p>
    <w:p w14:paraId="319552EA" w14:textId="77777777" w:rsidR="00FB52DE" w:rsidRPr="001E291E" w:rsidRDefault="00FB52DE" w:rsidP="009A1D56">
      <w:pPr>
        <w:pStyle w:val="Ref"/>
        <w:rPr>
          <w:lang w:val="fr-FR"/>
        </w:rPr>
      </w:pPr>
      <w:r w:rsidRPr="00326277">
        <w:rPr>
          <w:smallCaps/>
        </w:rPr>
        <w:t>Grant M., Baxter-Jones C.</w:t>
      </w:r>
      <w:r w:rsidR="00412AE9" w:rsidRPr="00326277">
        <w:rPr>
          <w:smallCaps/>
        </w:rPr>
        <w:t xml:space="preserve"> &amp;</w:t>
      </w:r>
      <w:r w:rsidRPr="00326277">
        <w:rPr>
          <w:smallCaps/>
        </w:rPr>
        <w:t xml:space="preserve"> Wilding G.P.</w:t>
      </w:r>
      <w:r w:rsidRPr="00326277">
        <w:t xml:space="preserve"> </w:t>
      </w:r>
      <w:r w:rsidRPr="00326277">
        <w:rPr>
          <w:bCs/>
        </w:rPr>
        <w:t>(1987)</w:t>
      </w:r>
      <w:r w:rsidR="00412AE9" w:rsidRPr="00326277">
        <w:rPr>
          <w:bCs/>
        </w:rPr>
        <w:t>.</w:t>
      </w:r>
      <w:r w:rsidRPr="00326277">
        <w:t xml:space="preserve"> An enzyme-linked immunosorbent assay for the serodiagnosis of turkey rhinotracheitis infection. </w:t>
      </w:r>
      <w:proofErr w:type="spellStart"/>
      <w:r w:rsidRPr="001E291E">
        <w:rPr>
          <w:i/>
          <w:iCs/>
          <w:lang w:val="fr-FR"/>
        </w:rPr>
        <w:t>Vet</w:t>
      </w:r>
      <w:proofErr w:type="spellEnd"/>
      <w:r w:rsidRPr="001E291E">
        <w:rPr>
          <w:i/>
          <w:iCs/>
          <w:lang w:val="fr-FR"/>
        </w:rPr>
        <w:t>. Rec.</w:t>
      </w:r>
      <w:r w:rsidRPr="001E291E">
        <w:rPr>
          <w:lang w:val="fr-FR"/>
        </w:rPr>
        <w:t xml:space="preserve">, </w:t>
      </w:r>
      <w:r w:rsidRPr="001E291E">
        <w:rPr>
          <w:b/>
          <w:bCs/>
          <w:lang w:val="fr-FR"/>
        </w:rPr>
        <w:t>120</w:t>
      </w:r>
      <w:r w:rsidRPr="001E291E">
        <w:rPr>
          <w:lang w:val="fr-FR"/>
        </w:rPr>
        <w:t>, 279</w:t>
      </w:r>
      <w:r w:rsidR="00412AE9" w:rsidRPr="001E291E">
        <w:rPr>
          <w:lang w:val="fr-FR"/>
        </w:rPr>
        <w:t>–</w:t>
      </w:r>
      <w:r w:rsidRPr="001E291E">
        <w:rPr>
          <w:lang w:val="fr-FR"/>
        </w:rPr>
        <w:t>280.</w:t>
      </w:r>
    </w:p>
    <w:p w14:paraId="489AA8EF" w14:textId="0B06CCE3" w:rsidR="00706CD8" w:rsidRPr="00C94963" w:rsidRDefault="00706CD8" w:rsidP="009A1D56">
      <w:pPr>
        <w:pStyle w:val="Ref"/>
      </w:pPr>
      <w:proofErr w:type="spellStart"/>
      <w:r w:rsidRPr="001E291E">
        <w:rPr>
          <w:smallCaps/>
          <w:lang w:val="fr-FR"/>
        </w:rPr>
        <w:t>Guionie</w:t>
      </w:r>
      <w:proofErr w:type="spellEnd"/>
      <w:r w:rsidRPr="001E291E">
        <w:rPr>
          <w:smallCaps/>
          <w:lang w:val="fr-FR"/>
        </w:rPr>
        <w:t xml:space="preserve"> O., Toquin D., </w:t>
      </w:r>
      <w:proofErr w:type="spellStart"/>
      <w:r w:rsidRPr="001E291E">
        <w:rPr>
          <w:smallCaps/>
          <w:lang w:val="fr-FR"/>
        </w:rPr>
        <w:t>Zwingelstein</w:t>
      </w:r>
      <w:proofErr w:type="spellEnd"/>
      <w:r w:rsidRPr="001E291E">
        <w:rPr>
          <w:smallCaps/>
          <w:lang w:val="fr-FR"/>
        </w:rPr>
        <w:t xml:space="preserve"> F., Allée C., </w:t>
      </w:r>
      <w:proofErr w:type="spellStart"/>
      <w:r w:rsidRPr="001E291E">
        <w:rPr>
          <w:smallCaps/>
          <w:lang w:val="fr-FR"/>
        </w:rPr>
        <w:t>Sellal</w:t>
      </w:r>
      <w:proofErr w:type="spellEnd"/>
      <w:r w:rsidRPr="001E291E">
        <w:rPr>
          <w:smallCaps/>
          <w:lang w:val="fr-FR"/>
        </w:rPr>
        <w:t xml:space="preserve"> E., </w:t>
      </w:r>
      <w:proofErr w:type="spellStart"/>
      <w:r w:rsidRPr="001E291E">
        <w:rPr>
          <w:smallCaps/>
          <w:lang w:val="fr-FR"/>
        </w:rPr>
        <w:t>Lemière</w:t>
      </w:r>
      <w:proofErr w:type="spellEnd"/>
      <w:r w:rsidRPr="001E291E">
        <w:rPr>
          <w:smallCaps/>
          <w:lang w:val="fr-FR"/>
        </w:rPr>
        <w:t xml:space="preserve"> S.</w:t>
      </w:r>
      <w:r w:rsidR="00AF1CF9" w:rsidRPr="001E291E">
        <w:rPr>
          <w:smallCaps/>
          <w:lang w:val="fr-FR"/>
        </w:rPr>
        <w:t xml:space="preserve"> &amp;</w:t>
      </w:r>
      <w:r w:rsidRPr="001E291E">
        <w:rPr>
          <w:smallCaps/>
          <w:lang w:val="fr-FR"/>
        </w:rPr>
        <w:t xml:space="preserve"> </w:t>
      </w:r>
      <w:proofErr w:type="spellStart"/>
      <w:r w:rsidRPr="001E291E">
        <w:rPr>
          <w:smallCaps/>
          <w:lang w:val="fr-FR"/>
        </w:rPr>
        <w:t>Eterradossi</w:t>
      </w:r>
      <w:proofErr w:type="spellEnd"/>
      <w:r w:rsidRPr="001E291E">
        <w:rPr>
          <w:smallCaps/>
          <w:lang w:val="fr-FR"/>
        </w:rPr>
        <w:t xml:space="preserve"> N.</w:t>
      </w:r>
      <w:r w:rsidRPr="001E291E">
        <w:rPr>
          <w:lang w:val="fr-FR"/>
        </w:rPr>
        <w:t xml:space="preserve"> </w:t>
      </w:r>
      <w:r w:rsidRPr="001E291E">
        <w:rPr>
          <w:bCs/>
          <w:lang w:val="fr-FR"/>
        </w:rPr>
        <w:t>(2007).</w:t>
      </w:r>
      <w:r w:rsidRPr="001E291E">
        <w:rPr>
          <w:lang w:val="fr-FR"/>
        </w:rPr>
        <w:t xml:space="preserve"> </w:t>
      </w:r>
      <w:r w:rsidRPr="00C94963">
        <w:t xml:space="preserve">A laboratory evaluation of a quantitative real-time RT-PCR for the detection and identification of the four subgroups of avian metapneumoviruses. </w:t>
      </w:r>
      <w:r w:rsidRPr="00C94963">
        <w:rPr>
          <w:i/>
          <w:iCs/>
        </w:rPr>
        <w:t xml:space="preserve">J. </w:t>
      </w:r>
      <w:proofErr w:type="spellStart"/>
      <w:r w:rsidRPr="00C94963">
        <w:rPr>
          <w:i/>
          <w:iCs/>
        </w:rPr>
        <w:t>Virol</w:t>
      </w:r>
      <w:proofErr w:type="spellEnd"/>
      <w:r w:rsidRPr="00C94963">
        <w:rPr>
          <w:i/>
          <w:iCs/>
        </w:rPr>
        <w:t>. Methods</w:t>
      </w:r>
      <w:r w:rsidRPr="00C94963">
        <w:t xml:space="preserve">, </w:t>
      </w:r>
      <w:r w:rsidRPr="00C94963">
        <w:rPr>
          <w:b/>
          <w:bCs/>
        </w:rPr>
        <w:t>139</w:t>
      </w:r>
      <w:r w:rsidRPr="00C94963">
        <w:t>, 150–158.</w:t>
      </w:r>
    </w:p>
    <w:p w14:paraId="671126C6" w14:textId="5BFF50DC" w:rsidR="008C047B" w:rsidRPr="00326277" w:rsidRDefault="008C047B" w:rsidP="009A1D56">
      <w:pPr>
        <w:pStyle w:val="Ref"/>
        <w:rPr>
          <w:u w:val="double"/>
        </w:rPr>
      </w:pPr>
      <w:r w:rsidRPr="00326277">
        <w:rPr>
          <w:smallCaps/>
          <w:u w:val="double"/>
        </w:rPr>
        <w:t>Gulati B.R., Cameron K.T., Seal B.S., Goyal S.M., Halvorson D.A.</w:t>
      </w:r>
      <w:r w:rsidR="00EA67AA" w:rsidRPr="00326277">
        <w:rPr>
          <w:smallCaps/>
          <w:u w:val="double"/>
        </w:rPr>
        <w:t xml:space="preserve"> &amp;</w:t>
      </w:r>
      <w:r w:rsidRPr="00326277">
        <w:rPr>
          <w:smallCaps/>
          <w:u w:val="double"/>
        </w:rPr>
        <w:t xml:space="preserve"> Njenga M.K.</w:t>
      </w:r>
      <w:r w:rsidRPr="00326277">
        <w:rPr>
          <w:u w:val="double"/>
        </w:rPr>
        <w:t xml:space="preserve"> </w:t>
      </w:r>
      <w:r w:rsidR="00E06B2C" w:rsidRPr="00326277">
        <w:rPr>
          <w:u w:val="double"/>
        </w:rPr>
        <w:t>(</w:t>
      </w:r>
      <w:r w:rsidRPr="00326277">
        <w:rPr>
          <w:u w:val="double"/>
        </w:rPr>
        <w:t>2000</w:t>
      </w:r>
      <w:r w:rsidR="00E06B2C" w:rsidRPr="00326277">
        <w:rPr>
          <w:u w:val="double"/>
        </w:rPr>
        <w:t>)</w:t>
      </w:r>
      <w:r w:rsidRPr="00326277">
        <w:rPr>
          <w:u w:val="double"/>
        </w:rPr>
        <w:t xml:space="preserve">. Development of a highly sensitive and specific enzyme-linked immunosorbent assay based on recombinant matrix protein for detection of avian </w:t>
      </w:r>
      <w:proofErr w:type="spellStart"/>
      <w:r w:rsidRPr="00326277">
        <w:rPr>
          <w:u w:val="double"/>
        </w:rPr>
        <w:t>pneumovirus</w:t>
      </w:r>
      <w:proofErr w:type="spellEnd"/>
      <w:r w:rsidRPr="00326277">
        <w:rPr>
          <w:u w:val="double"/>
        </w:rPr>
        <w:t xml:space="preserve"> antibodies.</w:t>
      </w:r>
      <w:r w:rsidRPr="00326277">
        <w:rPr>
          <w:i/>
          <w:u w:val="double"/>
        </w:rPr>
        <w:t xml:space="preserve"> J</w:t>
      </w:r>
      <w:r w:rsidR="00EA67AA" w:rsidRPr="00326277">
        <w:rPr>
          <w:i/>
          <w:u w:val="double"/>
        </w:rPr>
        <w:t>.</w:t>
      </w:r>
      <w:r w:rsidRPr="00326277">
        <w:rPr>
          <w:i/>
          <w:u w:val="double"/>
        </w:rPr>
        <w:t xml:space="preserve"> Clin</w:t>
      </w:r>
      <w:r w:rsidR="00EA67AA" w:rsidRPr="00326277">
        <w:rPr>
          <w:i/>
          <w:u w:val="double"/>
        </w:rPr>
        <w:t>.</w:t>
      </w:r>
      <w:r w:rsidRPr="00326277">
        <w:rPr>
          <w:i/>
          <w:u w:val="double"/>
        </w:rPr>
        <w:t xml:space="preserve"> </w:t>
      </w:r>
      <w:proofErr w:type="spellStart"/>
      <w:r w:rsidRPr="00326277">
        <w:rPr>
          <w:i/>
          <w:u w:val="double"/>
        </w:rPr>
        <w:t>Microbiol</w:t>
      </w:r>
      <w:proofErr w:type="spellEnd"/>
      <w:r w:rsidR="00EA67AA" w:rsidRPr="00326277">
        <w:rPr>
          <w:i/>
          <w:u w:val="double"/>
        </w:rPr>
        <w:t>.</w:t>
      </w:r>
      <w:r w:rsidRPr="00326277">
        <w:rPr>
          <w:u w:val="double"/>
        </w:rPr>
        <w:t xml:space="preserve"> </w:t>
      </w:r>
      <w:r w:rsidRPr="00326277">
        <w:rPr>
          <w:b/>
          <w:u w:val="double"/>
        </w:rPr>
        <w:t>38</w:t>
      </w:r>
      <w:r w:rsidRPr="00326277">
        <w:rPr>
          <w:u w:val="double"/>
        </w:rPr>
        <w:t>, 4010</w:t>
      </w:r>
      <w:r w:rsidR="00E06B2C" w:rsidRPr="00326277">
        <w:rPr>
          <w:u w:val="double"/>
        </w:rPr>
        <w:t>–</w:t>
      </w:r>
      <w:r w:rsidRPr="00326277">
        <w:rPr>
          <w:u w:val="double"/>
        </w:rPr>
        <w:t>4014.</w:t>
      </w:r>
    </w:p>
    <w:p w14:paraId="1EEEDBCF" w14:textId="06C6C860" w:rsidR="008C047B" w:rsidRPr="00326277" w:rsidRDefault="008C047B" w:rsidP="009A1D56">
      <w:pPr>
        <w:pStyle w:val="Ref"/>
        <w:rPr>
          <w:u w:val="double"/>
        </w:rPr>
      </w:pPr>
      <w:r w:rsidRPr="00326277">
        <w:rPr>
          <w:smallCaps/>
          <w:u w:val="double"/>
        </w:rPr>
        <w:lastRenderedPageBreak/>
        <w:t xml:space="preserve">Gulati B.R., Munir S., </w:t>
      </w:r>
      <w:proofErr w:type="spellStart"/>
      <w:r w:rsidRPr="00326277">
        <w:rPr>
          <w:smallCaps/>
          <w:u w:val="double"/>
        </w:rPr>
        <w:t>Patnayak</w:t>
      </w:r>
      <w:proofErr w:type="spellEnd"/>
      <w:r w:rsidRPr="00326277">
        <w:rPr>
          <w:smallCaps/>
          <w:u w:val="double"/>
        </w:rPr>
        <w:t xml:space="preserve"> D.P., Goyal</w:t>
      </w:r>
      <w:r w:rsidR="00EA67AA" w:rsidRPr="00326277">
        <w:rPr>
          <w:smallCaps/>
          <w:u w:val="double"/>
        </w:rPr>
        <w:t xml:space="preserve"> </w:t>
      </w:r>
      <w:r w:rsidR="00E06B2C" w:rsidRPr="00326277">
        <w:rPr>
          <w:smallCaps/>
          <w:u w:val="double"/>
        </w:rPr>
        <w:t xml:space="preserve">S.M. </w:t>
      </w:r>
      <w:r w:rsidR="00EA67AA" w:rsidRPr="00326277">
        <w:rPr>
          <w:smallCaps/>
          <w:u w:val="double"/>
        </w:rPr>
        <w:t>&amp;</w:t>
      </w:r>
      <w:r w:rsidRPr="00326277">
        <w:rPr>
          <w:smallCaps/>
          <w:u w:val="double"/>
        </w:rPr>
        <w:t xml:space="preserve"> Kapur V.</w:t>
      </w:r>
      <w:r w:rsidRPr="00326277">
        <w:rPr>
          <w:u w:val="double"/>
        </w:rPr>
        <w:t xml:space="preserve"> </w:t>
      </w:r>
      <w:r w:rsidR="00E06B2C" w:rsidRPr="00326277">
        <w:rPr>
          <w:u w:val="double"/>
        </w:rPr>
        <w:t>(</w:t>
      </w:r>
      <w:r w:rsidRPr="00326277">
        <w:rPr>
          <w:u w:val="double"/>
        </w:rPr>
        <w:t>2001</w:t>
      </w:r>
      <w:r w:rsidR="00E06B2C" w:rsidRPr="00326277">
        <w:rPr>
          <w:u w:val="double"/>
        </w:rPr>
        <w:t>)</w:t>
      </w:r>
      <w:r w:rsidRPr="00326277">
        <w:rPr>
          <w:u w:val="double"/>
        </w:rPr>
        <w:t xml:space="preserve">. Detection of antibodies to U.S. isolates of avian </w:t>
      </w:r>
      <w:proofErr w:type="spellStart"/>
      <w:r w:rsidRPr="00326277">
        <w:rPr>
          <w:u w:val="double"/>
        </w:rPr>
        <w:t>pneumovirus</w:t>
      </w:r>
      <w:proofErr w:type="spellEnd"/>
      <w:r w:rsidRPr="00326277">
        <w:rPr>
          <w:u w:val="double"/>
        </w:rPr>
        <w:t xml:space="preserve"> by a recombinant nucleocapsid protein-based sandwich enzyme-linked immunosorbent assay. </w:t>
      </w:r>
      <w:r w:rsidRPr="00326277">
        <w:rPr>
          <w:i/>
          <w:u w:val="double"/>
        </w:rPr>
        <w:t>J</w:t>
      </w:r>
      <w:r w:rsidR="00EA67AA" w:rsidRPr="00326277">
        <w:rPr>
          <w:i/>
          <w:u w:val="double"/>
        </w:rPr>
        <w:t>.</w:t>
      </w:r>
      <w:r w:rsidRPr="00326277">
        <w:rPr>
          <w:i/>
          <w:u w:val="double"/>
        </w:rPr>
        <w:t xml:space="preserve"> Clin</w:t>
      </w:r>
      <w:r w:rsidR="00EA67AA" w:rsidRPr="00326277">
        <w:rPr>
          <w:i/>
          <w:u w:val="double"/>
        </w:rPr>
        <w:t>.</w:t>
      </w:r>
      <w:r w:rsidRPr="00326277">
        <w:rPr>
          <w:i/>
          <w:u w:val="double"/>
        </w:rPr>
        <w:t xml:space="preserve"> </w:t>
      </w:r>
      <w:proofErr w:type="spellStart"/>
      <w:r w:rsidRPr="00326277">
        <w:rPr>
          <w:i/>
          <w:u w:val="double"/>
        </w:rPr>
        <w:t>Microbiol</w:t>
      </w:r>
      <w:proofErr w:type="spellEnd"/>
      <w:r w:rsidR="00EA67AA" w:rsidRPr="00326277">
        <w:rPr>
          <w:i/>
          <w:u w:val="double"/>
        </w:rPr>
        <w:t>.</w:t>
      </w:r>
      <w:r w:rsidR="00E06B2C" w:rsidRPr="00326277">
        <w:rPr>
          <w:i/>
          <w:u w:val="double"/>
        </w:rPr>
        <w:t>,</w:t>
      </w:r>
      <w:r w:rsidRPr="00326277">
        <w:rPr>
          <w:u w:val="double"/>
        </w:rPr>
        <w:t xml:space="preserve"> </w:t>
      </w:r>
      <w:r w:rsidRPr="00326277">
        <w:rPr>
          <w:b/>
          <w:u w:val="double"/>
        </w:rPr>
        <w:t>39</w:t>
      </w:r>
      <w:r w:rsidRPr="00326277">
        <w:rPr>
          <w:u w:val="double"/>
        </w:rPr>
        <w:t>, 2967</w:t>
      </w:r>
      <w:r w:rsidR="00E06B2C" w:rsidRPr="00326277">
        <w:rPr>
          <w:u w:val="double"/>
        </w:rPr>
        <w:t>–</w:t>
      </w:r>
      <w:r w:rsidRPr="00326277">
        <w:rPr>
          <w:u w:val="double"/>
        </w:rPr>
        <w:t>2970.</w:t>
      </w:r>
    </w:p>
    <w:p w14:paraId="704FAF10" w14:textId="77777777" w:rsidR="00FB52DE" w:rsidRPr="007879D4" w:rsidRDefault="00FB52DE" w:rsidP="009A1D56">
      <w:pPr>
        <w:pStyle w:val="StyleRefGauche0cmPremireligne0cmAprs10pt"/>
        <w:rPr>
          <w:lang w:val="en-IE"/>
        </w:rPr>
      </w:pPr>
      <w:r w:rsidRPr="007879D4">
        <w:rPr>
          <w:smallCaps/>
        </w:rPr>
        <w:t>Jirjis F.F., Noll S.L., Halvorson D.A., Nagaraja K.V., Martin F. &amp; Shaw D.P.</w:t>
      </w:r>
      <w:r w:rsidRPr="007879D4">
        <w:t xml:space="preserve"> (2004). Effects of bacterial coinfection on the </w:t>
      </w:r>
      <w:proofErr w:type="spellStart"/>
      <w:r w:rsidRPr="007879D4">
        <w:t>pathogensis</w:t>
      </w:r>
      <w:proofErr w:type="spellEnd"/>
      <w:r w:rsidRPr="007879D4">
        <w:t xml:space="preserve"> of </w:t>
      </w:r>
      <w:r w:rsidR="00C16CFF" w:rsidRPr="007879D4">
        <w:t xml:space="preserve">avian </w:t>
      </w:r>
      <w:proofErr w:type="spellStart"/>
      <w:r w:rsidR="00C16CFF" w:rsidRPr="007879D4">
        <w:t>pneumovirus</w:t>
      </w:r>
      <w:proofErr w:type="spellEnd"/>
      <w:r w:rsidR="00C16CFF" w:rsidRPr="007879D4">
        <w:t xml:space="preserve"> </w:t>
      </w:r>
      <w:r w:rsidRPr="007879D4">
        <w:t xml:space="preserve">infection in turkeys. </w:t>
      </w:r>
      <w:r w:rsidRPr="007879D4">
        <w:rPr>
          <w:i/>
          <w:iCs/>
          <w:lang w:val="en-IE"/>
        </w:rPr>
        <w:t>Avian Dis</w:t>
      </w:r>
      <w:r w:rsidRPr="007879D4">
        <w:rPr>
          <w:lang w:val="en-IE"/>
        </w:rPr>
        <w:t xml:space="preserve">., </w:t>
      </w:r>
      <w:r w:rsidRPr="007879D4">
        <w:rPr>
          <w:b/>
          <w:lang w:val="en-IE"/>
        </w:rPr>
        <w:t>48</w:t>
      </w:r>
      <w:r w:rsidRPr="007879D4">
        <w:rPr>
          <w:lang w:val="en-IE"/>
        </w:rPr>
        <w:t>, 34–49.</w:t>
      </w:r>
    </w:p>
    <w:p w14:paraId="3BFBFBA3" w14:textId="40C13CC5" w:rsidR="00FB52DE" w:rsidRPr="009733A1" w:rsidRDefault="00FB52DE" w:rsidP="009A1D56">
      <w:pPr>
        <w:pStyle w:val="StyleRefGauche0cmPremireligne0cmAprs10pt"/>
        <w:rPr>
          <w:strike/>
        </w:rPr>
      </w:pPr>
      <w:r w:rsidRPr="009733A1">
        <w:rPr>
          <w:smallCaps/>
          <w:strike/>
        </w:rPr>
        <w:t>Jones R.C., Williams R.A., Baxter-Jones C., Savage C.E.</w:t>
      </w:r>
      <w:r w:rsidR="00412AE9" w:rsidRPr="009733A1">
        <w:rPr>
          <w:smallCaps/>
          <w:strike/>
        </w:rPr>
        <w:t xml:space="preserve"> &amp;</w:t>
      </w:r>
      <w:r w:rsidRPr="009733A1">
        <w:rPr>
          <w:smallCaps/>
          <w:strike/>
        </w:rPr>
        <w:t xml:space="preserve"> </w:t>
      </w:r>
      <w:r w:rsidR="00412AE9" w:rsidRPr="009733A1">
        <w:rPr>
          <w:smallCaps/>
          <w:strike/>
        </w:rPr>
        <w:t>W</w:t>
      </w:r>
      <w:r w:rsidRPr="009733A1">
        <w:rPr>
          <w:smallCaps/>
          <w:strike/>
        </w:rPr>
        <w:t>ilding P.</w:t>
      </w:r>
      <w:r w:rsidRPr="009733A1">
        <w:rPr>
          <w:strike/>
        </w:rPr>
        <w:t xml:space="preserve"> (1988). </w:t>
      </w:r>
      <w:r w:rsidR="00412AE9" w:rsidRPr="009733A1">
        <w:rPr>
          <w:strike/>
        </w:rPr>
        <w:t>Experimental</w:t>
      </w:r>
      <w:r w:rsidRPr="009733A1">
        <w:rPr>
          <w:strike/>
        </w:rPr>
        <w:t xml:space="preserve"> infection of laying turkeys with rhinotracheitis virus: distribution of virus in the tissues and serological response. </w:t>
      </w:r>
      <w:r w:rsidRPr="009733A1">
        <w:rPr>
          <w:i/>
          <w:iCs/>
          <w:strike/>
        </w:rPr>
        <w:t xml:space="preserve">Avian </w:t>
      </w:r>
      <w:proofErr w:type="spellStart"/>
      <w:r w:rsidRPr="009733A1">
        <w:rPr>
          <w:i/>
          <w:iCs/>
          <w:strike/>
        </w:rPr>
        <w:t>Pathol</w:t>
      </w:r>
      <w:proofErr w:type="spellEnd"/>
      <w:r w:rsidRPr="009733A1">
        <w:rPr>
          <w:strike/>
        </w:rPr>
        <w:t xml:space="preserve">., </w:t>
      </w:r>
      <w:r w:rsidRPr="009733A1">
        <w:rPr>
          <w:b/>
          <w:strike/>
        </w:rPr>
        <w:t>17</w:t>
      </w:r>
      <w:r w:rsidRPr="009733A1">
        <w:rPr>
          <w:strike/>
        </w:rPr>
        <w:t>, 841–850.</w:t>
      </w:r>
    </w:p>
    <w:p w14:paraId="487FB01D" w14:textId="4627F3DE" w:rsidR="00380B5E" w:rsidRPr="009733A1" w:rsidRDefault="00C16CFF" w:rsidP="009A1D56">
      <w:pPr>
        <w:pStyle w:val="StyleRefGauche0cmPremireligne0cmAprs10pt"/>
        <w:rPr>
          <w:strike/>
          <w:lang w:val="fr-FR"/>
        </w:rPr>
      </w:pPr>
      <w:r w:rsidRPr="009733A1">
        <w:rPr>
          <w:smallCaps/>
          <w:strike/>
        </w:rPr>
        <w:t>Juhasz K.</w:t>
      </w:r>
      <w:r w:rsidR="00FB52DE" w:rsidRPr="009733A1">
        <w:rPr>
          <w:smallCaps/>
          <w:strike/>
        </w:rPr>
        <w:t xml:space="preserve"> &amp; Easton A. J. (</w:t>
      </w:r>
      <w:r w:rsidR="00FB52DE" w:rsidRPr="009733A1">
        <w:rPr>
          <w:strike/>
        </w:rPr>
        <w:t xml:space="preserve">1994). Extensive sequence variation in the attachment (G) protein gene of avian </w:t>
      </w:r>
      <w:proofErr w:type="spellStart"/>
      <w:r w:rsidR="00FB52DE" w:rsidRPr="009733A1">
        <w:rPr>
          <w:strike/>
        </w:rPr>
        <w:t>pneumovirus</w:t>
      </w:r>
      <w:proofErr w:type="spellEnd"/>
      <w:r w:rsidR="00FB52DE" w:rsidRPr="009733A1">
        <w:rPr>
          <w:strike/>
        </w:rPr>
        <w:t xml:space="preserve">: evidence for two distinct subgroups. </w:t>
      </w:r>
      <w:r w:rsidR="00FB52DE" w:rsidRPr="009733A1">
        <w:rPr>
          <w:i/>
          <w:iCs/>
          <w:strike/>
          <w:lang w:val="fr-FR"/>
        </w:rPr>
        <w:t xml:space="preserve">J. </w:t>
      </w:r>
      <w:proofErr w:type="spellStart"/>
      <w:r w:rsidR="00FB52DE" w:rsidRPr="009733A1">
        <w:rPr>
          <w:i/>
          <w:iCs/>
          <w:strike/>
          <w:lang w:val="fr-FR"/>
        </w:rPr>
        <w:t>Gen</w:t>
      </w:r>
      <w:proofErr w:type="spellEnd"/>
      <w:r w:rsidR="00FB52DE" w:rsidRPr="009733A1">
        <w:rPr>
          <w:i/>
          <w:iCs/>
          <w:strike/>
          <w:lang w:val="fr-FR"/>
        </w:rPr>
        <w:t xml:space="preserve">. </w:t>
      </w:r>
      <w:proofErr w:type="spellStart"/>
      <w:r w:rsidR="00FB52DE" w:rsidRPr="009733A1">
        <w:rPr>
          <w:i/>
          <w:iCs/>
          <w:strike/>
          <w:lang w:val="fr-FR"/>
        </w:rPr>
        <w:t>Virol</w:t>
      </w:r>
      <w:proofErr w:type="spellEnd"/>
      <w:r w:rsidR="00FB52DE" w:rsidRPr="009733A1">
        <w:rPr>
          <w:strike/>
          <w:lang w:val="fr-FR"/>
        </w:rPr>
        <w:t xml:space="preserve">., </w:t>
      </w:r>
      <w:r w:rsidR="00FB52DE" w:rsidRPr="009733A1">
        <w:rPr>
          <w:b/>
          <w:strike/>
          <w:lang w:val="fr-FR"/>
        </w:rPr>
        <w:t>75</w:t>
      </w:r>
      <w:r w:rsidR="00FB52DE" w:rsidRPr="009733A1">
        <w:rPr>
          <w:strike/>
          <w:lang w:val="fr-FR"/>
        </w:rPr>
        <w:t>, 2873–2880.</w:t>
      </w:r>
    </w:p>
    <w:p w14:paraId="2C4C1336" w14:textId="59D19648" w:rsidR="00380B5E" w:rsidRPr="00FD4D88" w:rsidRDefault="00380B5E" w:rsidP="009A1D56">
      <w:pPr>
        <w:pStyle w:val="StyleRefGauche0cmPremireligne0cmAprs10pt"/>
        <w:rPr>
          <w:u w:val="double"/>
          <w:lang w:val="en-IE"/>
        </w:rPr>
      </w:pPr>
      <w:r w:rsidRPr="00FD4D88">
        <w:rPr>
          <w:smallCaps/>
          <w:u w:val="double"/>
          <w:lang w:val="fr-FR"/>
        </w:rPr>
        <w:t>Kuhn J</w:t>
      </w:r>
      <w:r w:rsidR="00B4411E" w:rsidRPr="00FD4D88">
        <w:rPr>
          <w:smallCaps/>
          <w:u w:val="double"/>
          <w:lang w:val="fr-FR"/>
        </w:rPr>
        <w:t>.</w:t>
      </w:r>
      <w:r w:rsidRPr="00FD4D88">
        <w:rPr>
          <w:smallCaps/>
          <w:u w:val="double"/>
          <w:lang w:val="fr-FR"/>
        </w:rPr>
        <w:t>H</w:t>
      </w:r>
      <w:r w:rsidR="00B4411E" w:rsidRPr="00FD4D88">
        <w:rPr>
          <w:smallCaps/>
          <w:u w:val="double"/>
          <w:lang w:val="fr-FR"/>
        </w:rPr>
        <w:t>.</w:t>
      </w:r>
      <w:r w:rsidRPr="00FD4D88">
        <w:rPr>
          <w:smallCaps/>
          <w:u w:val="double"/>
          <w:lang w:val="fr-FR"/>
        </w:rPr>
        <w:t xml:space="preserve">, </w:t>
      </w:r>
      <w:proofErr w:type="spellStart"/>
      <w:r w:rsidRPr="00FD4D88">
        <w:rPr>
          <w:smallCaps/>
          <w:u w:val="double"/>
          <w:lang w:val="fr-FR"/>
        </w:rPr>
        <w:t>Adkins</w:t>
      </w:r>
      <w:proofErr w:type="spellEnd"/>
      <w:r w:rsidRPr="00FD4D88">
        <w:rPr>
          <w:smallCaps/>
          <w:u w:val="double"/>
          <w:lang w:val="fr-FR"/>
        </w:rPr>
        <w:t xml:space="preserve"> S</w:t>
      </w:r>
      <w:r w:rsidR="00B4411E" w:rsidRPr="00FD4D88">
        <w:rPr>
          <w:smallCaps/>
          <w:u w:val="double"/>
          <w:lang w:val="fr-FR"/>
        </w:rPr>
        <w:t>.</w:t>
      </w:r>
      <w:r w:rsidRPr="00FD4D88">
        <w:rPr>
          <w:smallCaps/>
          <w:u w:val="double"/>
          <w:lang w:val="fr-FR"/>
        </w:rPr>
        <w:t xml:space="preserve">, </w:t>
      </w:r>
      <w:proofErr w:type="spellStart"/>
      <w:r w:rsidRPr="00FD4D88">
        <w:rPr>
          <w:smallCaps/>
          <w:u w:val="double"/>
          <w:lang w:val="fr-FR"/>
        </w:rPr>
        <w:t>Alioto</w:t>
      </w:r>
      <w:proofErr w:type="spellEnd"/>
      <w:r w:rsidRPr="00FD4D88">
        <w:rPr>
          <w:smallCaps/>
          <w:u w:val="double"/>
          <w:lang w:val="fr-FR"/>
        </w:rPr>
        <w:t xml:space="preserve"> D</w:t>
      </w:r>
      <w:r w:rsidR="00B4411E" w:rsidRPr="00FD4D88">
        <w:rPr>
          <w:smallCaps/>
          <w:u w:val="double"/>
          <w:lang w:val="fr-FR"/>
        </w:rPr>
        <w:t>.</w:t>
      </w:r>
      <w:r w:rsidR="00FD4D88" w:rsidRPr="00FD4D88">
        <w:rPr>
          <w:smallCaps/>
          <w:u w:val="double"/>
          <w:lang w:val="fr-FR"/>
        </w:rPr>
        <w:t>,</w:t>
      </w:r>
      <w:r w:rsidRPr="00FD4D88">
        <w:rPr>
          <w:u w:val="double"/>
          <w:lang w:val="fr-FR"/>
        </w:rPr>
        <w:t xml:space="preserve"> </w:t>
      </w:r>
      <w:r w:rsidRPr="00FD4D88">
        <w:rPr>
          <w:i/>
          <w:iCs/>
          <w:u w:val="double"/>
          <w:lang w:val="fr-FR"/>
        </w:rPr>
        <w:t>et al.</w:t>
      </w:r>
      <w:r w:rsidRPr="00FD4D88">
        <w:rPr>
          <w:u w:val="double"/>
          <w:lang w:val="fr-FR"/>
        </w:rPr>
        <w:t xml:space="preserve"> </w:t>
      </w:r>
      <w:r w:rsidR="00B4411E" w:rsidRPr="00FD4D88">
        <w:rPr>
          <w:u w:val="double"/>
          <w:lang w:val="en-IE"/>
        </w:rPr>
        <w:t>(</w:t>
      </w:r>
      <w:r w:rsidRPr="00FD4D88">
        <w:rPr>
          <w:u w:val="double"/>
          <w:lang w:val="en-IE"/>
        </w:rPr>
        <w:t>2020</w:t>
      </w:r>
      <w:r w:rsidR="00B4411E" w:rsidRPr="00FD4D88">
        <w:rPr>
          <w:u w:val="double"/>
          <w:lang w:val="en-IE"/>
        </w:rPr>
        <w:t>)</w:t>
      </w:r>
      <w:r w:rsidRPr="00FD4D88">
        <w:rPr>
          <w:u w:val="double"/>
          <w:lang w:val="en-IE"/>
        </w:rPr>
        <w:t xml:space="preserve"> </w:t>
      </w:r>
      <w:r w:rsidR="00E06B2C" w:rsidRPr="00FD4D88">
        <w:rPr>
          <w:u w:val="double"/>
          <w:lang w:val="en-IE"/>
        </w:rPr>
        <w:t>.</w:t>
      </w:r>
      <w:r w:rsidR="00B4411E" w:rsidRPr="00FD4D88">
        <w:rPr>
          <w:u w:val="double"/>
          <w:lang w:val="en-IE"/>
        </w:rPr>
        <w:t xml:space="preserve">Taxonomic </w:t>
      </w:r>
      <w:r w:rsidRPr="00FD4D88">
        <w:rPr>
          <w:u w:val="double"/>
          <w:lang w:val="en-IE"/>
        </w:rPr>
        <w:t xml:space="preserve">update for phylum </w:t>
      </w:r>
      <w:proofErr w:type="spellStart"/>
      <w:r w:rsidRPr="00FD4D88">
        <w:rPr>
          <w:u w:val="double"/>
          <w:lang w:val="en-IE"/>
        </w:rPr>
        <w:t>Negarnaviricota</w:t>
      </w:r>
      <w:proofErr w:type="spellEnd"/>
      <w:r w:rsidRPr="00FD4D88">
        <w:rPr>
          <w:u w:val="double"/>
          <w:lang w:val="en-IE"/>
        </w:rPr>
        <w:t xml:space="preserve"> (</w:t>
      </w:r>
      <w:proofErr w:type="spellStart"/>
      <w:r w:rsidRPr="00FD4D88">
        <w:rPr>
          <w:u w:val="double"/>
          <w:lang w:val="en-IE"/>
        </w:rPr>
        <w:t>Riboviria</w:t>
      </w:r>
      <w:proofErr w:type="spellEnd"/>
      <w:r w:rsidRPr="00FD4D88">
        <w:rPr>
          <w:u w:val="double"/>
          <w:lang w:val="en-IE"/>
        </w:rPr>
        <w:t xml:space="preserve">: </w:t>
      </w:r>
      <w:proofErr w:type="spellStart"/>
      <w:r w:rsidRPr="00FD4D88">
        <w:rPr>
          <w:u w:val="double"/>
          <w:lang w:val="en-IE"/>
        </w:rPr>
        <w:t>Orthornavirae</w:t>
      </w:r>
      <w:proofErr w:type="spellEnd"/>
      <w:r w:rsidRPr="00FD4D88">
        <w:rPr>
          <w:u w:val="double"/>
          <w:lang w:val="en-IE"/>
        </w:rPr>
        <w:t xml:space="preserve">), including the large orders </w:t>
      </w:r>
      <w:proofErr w:type="spellStart"/>
      <w:r w:rsidRPr="00FD4D88">
        <w:rPr>
          <w:u w:val="double"/>
          <w:lang w:val="en-IE"/>
        </w:rPr>
        <w:t>Bunyavirales</w:t>
      </w:r>
      <w:proofErr w:type="spellEnd"/>
      <w:r w:rsidRPr="00FD4D88">
        <w:rPr>
          <w:u w:val="double"/>
          <w:lang w:val="en-IE"/>
        </w:rPr>
        <w:t xml:space="preserve"> and </w:t>
      </w:r>
      <w:proofErr w:type="spellStart"/>
      <w:r w:rsidRPr="00FD4D88">
        <w:rPr>
          <w:u w:val="double"/>
          <w:lang w:val="en-IE"/>
        </w:rPr>
        <w:t>Mononegavirales</w:t>
      </w:r>
      <w:proofErr w:type="spellEnd"/>
      <w:r w:rsidRPr="00FD4D88">
        <w:rPr>
          <w:u w:val="double"/>
          <w:lang w:val="en-IE"/>
        </w:rPr>
        <w:t>.</w:t>
      </w:r>
      <w:r w:rsidRPr="00FD4D88">
        <w:rPr>
          <w:i/>
          <w:u w:val="double"/>
          <w:lang w:val="en-IE"/>
        </w:rPr>
        <w:t xml:space="preserve"> Arch</w:t>
      </w:r>
      <w:r w:rsidR="00B4411E" w:rsidRPr="00FD4D88">
        <w:rPr>
          <w:i/>
          <w:u w:val="double"/>
          <w:lang w:val="en-IE"/>
        </w:rPr>
        <w:t>.</w:t>
      </w:r>
      <w:r w:rsidRPr="00FD4D88">
        <w:rPr>
          <w:i/>
          <w:u w:val="double"/>
          <w:lang w:val="en-IE"/>
        </w:rPr>
        <w:t xml:space="preserve"> </w:t>
      </w:r>
      <w:proofErr w:type="spellStart"/>
      <w:r w:rsidRPr="00FD4D88">
        <w:rPr>
          <w:i/>
          <w:u w:val="double"/>
          <w:lang w:val="en-IE"/>
        </w:rPr>
        <w:t>Virol</w:t>
      </w:r>
      <w:proofErr w:type="spellEnd"/>
      <w:r w:rsidR="00B4411E" w:rsidRPr="00FD4D88">
        <w:rPr>
          <w:i/>
          <w:u w:val="double"/>
          <w:lang w:val="en-IE"/>
        </w:rPr>
        <w:t>.</w:t>
      </w:r>
      <w:r w:rsidR="00E06B2C" w:rsidRPr="00FD4D88">
        <w:rPr>
          <w:i/>
          <w:u w:val="double"/>
          <w:lang w:val="en-IE"/>
        </w:rPr>
        <w:t>,</w:t>
      </w:r>
      <w:r w:rsidRPr="00FD4D88">
        <w:rPr>
          <w:u w:val="double"/>
          <w:lang w:val="en-IE"/>
        </w:rPr>
        <w:t xml:space="preserve"> </w:t>
      </w:r>
      <w:r w:rsidR="00B4411E" w:rsidRPr="00FD4D88">
        <w:rPr>
          <w:b/>
          <w:bCs/>
          <w:u w:val="double"/>
          <w:lang w:val="en-IE"/>
        </w:rPr>
        <w:t>165</w:t>
      </w:r>
      <w:r w:rsidR="00E06B2C" w:rsidRPr="00FD4D88">
        <w:rPr>
          <w:u w:val="double"/>
          <w:lang w:val="en-IE"/>
        </w:rPr>
        <w:t xml:space="preserve">, </w:t>
      </w:r>
      <w:r w:rsidR="00B4411E" w:rsidRPr="00FD4D88">
        <w:rPr>
          <w:u w:val="double"/>
          <w:lang w:val="en-IE"/>
        </w:rPr>
        <w:t>3023</w:t>
      </w:r>
      <w:r w:rsidR="00E06B2C" w:rsidRPr="00FD4D88">
        <w:rPr>
          <w:u w:val="double"/>
          <w:lang w:val="en-IE"/>
        </w:rPr>
        <w:t>–</w:t>
      </w:r>
      <w:r w:rsidR="00B4411E" w:rsidRPr="00FD4D88">
        <w:rPr>
          <w:u w:val="double"/>
          <w:lang w:val="en-IE"/>
        </w:rPr>
        <w:t>3072</w:t>
      </w:r>
      <w:r w:rsidRPr="00FD4D88">
        <w:rPr>
          <w:u w:val="double"/>
          <w:lang w:val="en-IE"/>
        </w:rPr>
        <w:t>.</w:t>
      </w:r>
    </w:p>
    <w:p w14:paraId="67253EED" w14:textId="4F1E7959" w:rsidR="00FB52DE" w:rsidRPr="009733A1" w:rsidRDefault="00FB52DE" w:rsidP="009A1D56">
      <w:pPr>
        <w:pStyle w:val="StyleRefGauche0cmPremireligne0cmAprs10pt"/>
        <w:rPr>
          <w:strike/>
          <w:lang w:val="fr-FR"/>
        </w:rPr>
      </w:pPr>
      <w:r w:rsidRPr="009733A1">
        <w:rPr>
          <w:smallCaps/>
          <w:strike/>
          <w:lang w:val="en-IE"/>
        </w:rPr>
        <w:t>Lee E.H., Song M.S., Shin J.Y., Lee Y.M., Kim C.J., Lee Y.S., Kim H.</w:t>
      </w:r>
      <w:r w:rsidR="00412AE9" w:rsidRPr="009733A1">
        <w:rPr>
          <w:smallCaps/>
          <w:strike/>
          <w:lang w:val="en-IE"/>
        </w:rPr>
        <w:t xml:space="preserve"> &amp;</w:t>
      </w:r>
      <w:r w:rsidRPr="009733A1">
        <w:rPr>
          <w:smallCaps/>
          <w:strike/>
          <w:lang w:val="en-IE"/>
        </w:rPr>
        <w:t xml:space="preserve"> Choi Y.K.</w:t>
      </w:r>
      <w:r w:rsidRPr="009733A1">
        <w:rPr>
          <w:strike/>
          <w:lang w:val="en-IE"/>
        </w:rPr>
        <w:t xml:space="preserve"> (2007). </w:t>
      </w:r>
      <w:r w:rsidRPr="009733A1">
        <w:rPr>
          <w:strike/>
        </w:rPr>
        <w:t xml:space="preserve">Genetic characterization of avian metapneumovirus subtype C from pheasants in a live bird market. </w:t>
      </w:r>
      <w:r w:rsidRPr="009733A1">
        <w:rPr>
          <w:i/>
          <w:strike/>
          <w:lang w:val="fr-FR"/>
        </w:rPr>
        <w:t xml:space="preserve">Virus </w:t>
      </w:r>
      <w:proofErr w:type="spellStart"/>
      <w:r w:rsidRPr="009733A1">
        <w:rPr>
          <w:i/>
          <w:strike/>
          <w:lang w:val="fr-FR"/>
        </w:rPr>
        <w:t>Res</w:t>
      </w:r>
      <w:proofErr w:type="spellEnd"/>
      <w:r w:rsidR="00412AE9" w:rsidRPr="009733A1">
        <w:rPr>
          <w:strike/>
          <w:lang w:val="fr-FR"/>
        </w:rPr>
        <w:t>.</w:t>
      </w:r>
      <w:r w:rsidRPr="009733A1">
        <w:rPr>
          <w:strike/>
          <w:lang w:val="fr-FR"/>
        </w:rPr>
        <w:t xml:space="preserve">, </w:t>
      </w:r>
      <w:r w:rsidR="00C14374" w:rsidRPr="009733A1">
        <w:rPr>
          <w:b/>
          <w:strike/>
          <w:lang w:val="fr-FR"/>
        </w:rPr>
        <w:t>128</w:t>
      </w:r>
      <w:r w:rsidR="00C14374" w:rsidRPr="009733A1">
        <w:rPr>
          <w:strike/>
          <w:lang w:val="fr-FR"/>
        </w:rPr>
        <w:t>, 18–25</w:t>
      </w:r>
      <w:r w:rsidR="00B52FB3" w:rsidRPr="009733A1">
        <w:rPr>
          <w:strike/>
          <w:lang w:val="fr-FR"/>
        </w:rPr>
        <w:t>.</w:t>
      </w:r>
    </w:p>
    <w:p w14:paraId="4BE388F8" w14:textId="5E6D8741" w:rsidR="001E74F0" w:rsidRPr="00C94963" w:rsidRDefault="001E74F0" w:rsidP="009A1D56">
      <w:pPr>
        <w:pStyle w:val="StyleRefGauche0cmPremireligne0cmAprs10pt"/>
        <w:rPr>
          <w:u w:val="double"/>
          <w:lang w:val="it-IT"/>
        </w:rPr>
      </w:pPr>
      <w:r w:rsidRPr="00C94963">
        <w:rPr>
          <w:smallCaps/>
          <w:u w:val="double"/>
          <w:lang w:val="fr-FR"/>
        </w:rPr>
        <w:t xml:space="preserve">Lemaitre E., Allee C., </w:t>
      </w:r>
      <w:proofErr w:type="spellStart"/>
      <w:r w:rsidRPr="00C94963">
        <w:rPr>
          <w:smallCaps/>
          <w:u w:val="double"/>
          <w:lang w:val="fr-FR"/>
        </w:rPr>
        <w:t>Vabret</w:t>
      </w:r>
      <w:proofErr w:type="spellEnd"/>
      <w:r w:rsidRPr="00C94963">
        <w:rPr>
          <w:smallCaps/>
          <w:u w:val="double"/>
          <w:lang w:val="fr-FR"/>
        </w:rPr>
        <w:t xml:space="preserve"> A., </w:t>
      </w:r>
      <w:proofErr w:type="spellStart"/>
      <w:r w:rsidRPr="00C94963">
        <w:rPr>
          <w:smallCaps/>
          <w:u w:val="double"/>
          <w:lang w:val="fr-FR"/>
        </w:rPr>
        <w:t>Eterradossi</w:t>
      </w:r>
      <w:proofErr w:type="spellEnd"/>
      <w:r w:rsidRPr="00C94963">
        <w:rPr>
          <w:smallCaps/>
          <w:u w:val="double"/>
          <w:lang w:val="fr-FR"/>
        </w:rPr>
        <w:t xml:space="preserve"> N. &amp; Brown P.A.</w:t>
      </w:r>
      <w:r w:rsidRPr="00C94963">
        <w:rPr>
          <w:u w:val="double"/>
          <w:lang w:val="fr-FR"/>
        </w:rPr>
        <w:t xml:space="preserve"> (2018). </w:t>
      </w:r>
      <w:r w:rsidRPr="00C94963">
        <w:rPr>
          <w:u w:val="double"/>
        </w:rPr>
        <w:t xml:space="preserve">Single reaction, real time RT-PCR detection of all known avian and human metapneumoviruses. </w:t>
      </w:r>
      <w:r w:rsidRPr="00C94963">
        <w:rPr>
          <w:i/>
          <w:u w:val="double"/>
          <w:lang w:val="it-IT"/>
        </w:rPr>
        <w:t>J</w:t>
      </w:r>
      <w:r w:rsidR="00B4411E" w:rsidRPr="00C94963">
        <w:rPr>
          <w:i/>
          <w:u w:val="double"/>
          <w:lang w:val="it-IT"/>
        </w:rPr>
        <w:t>.</w:t>
      </w:r>
      <w:r w:rsidRPr="00C94963">
        <w:rPr>
          <w:i/>
          <w:u w:val="double"/>
          <w:lang w:val="it-IT"/>
        </w:rPr>
        <w:t xml:space="preserve"> Virol</w:t>
      </w:r>
      <w:r w:rsidR="00B4411E" w:rsidRPr="00C94963">
        <w:rPr>
          <w:i/>
          <w:u w:val="double"/>
          <w:lang w:val="it-IT"/>
        </w:rPr>
        <w:t>.</w:t>
      </w:r>
      <w:r w:rsidRPr="00C94963">
        <w:rPr>
          <w:i/>
          <w:u w:val="double"/>
          <w:lang w:val="it-IT"/>
        </w:rPr>
        <w:t xml:space="preserve"> Methods</w:t>
      </w:r>
      <w:r w:rsidRPr="00C94963">
        <w:rPr>
          <w:u w:val="double"/>
          <w:lang w:val="it-IT"/>
        </w:rPr>
        <w:t xml:space="preserve">, </w:t>
      </w:r>
      <w:r w:rsidRPr="00C94963">
        <w:rPr>
          <w:b/>
          <w:u w:val="double"/>
          <w:lang w:val="it-IT"/>
        </w:rPr>
        <w:t>251</w:t>
      </w:r>
      <w:r w:rsidRPr="00C94963">
        <w:rPr>
          <w:u w:val="double"/>
          <w:lang w:val="it-IT"/>
        </w:rPr>
        <w:t>, 61</w:t>
      </w:r>
      <w:r w:rsidR="00E06B2C" w:rsidRPr="00C94963">
        <w:rPr>
          <w:u w:val="double"/>
          <w:lang w:val="it-IT"/>
        </w:rPr>
        <w:t>–</w:t>
      </w:r>
      <w:r w:rsidRPr="00C94963">
        <w:rPr>
          <w:u w:val="double"/>
          <w:lang w:val="it-IT"/>
        </w:rPr>
        <w:t xml:space="preserve">68. </w:t>
      </w:r>
    </w:p>
    <w:p w14:paraId="7E10C0BC" w14:textId="2F7EDAD2" w:rsidR="008C047B" w:rsidRPr="00326277" w:rsidRDefault="008C047B" w:rsidP="009A1D56">
      <w:pPr>
        <w:pStyle w:val="StyleRefGauche0cmPremireligne0cmAprs10pt"/>
        <w:rPr>
          <w:u w:val="double"/>
        </w:rPr>
      </w:pPr>
      <w:r w:rsidRPr="00326277">
        <w:rPr>
          <w:smallCaps/>
          <w:u w:val="double"/>
          <w:lang w:val="it-IT"/>
        </w:rPr>
        <w:t>Luo L., Sabara M.I</w:t>
      </w:r>
      <w:r w:rsidR="00B4411E" w:rsidRPr="00326277">
        <w:rPr>
          <w:smallCaps/>
          <w:u w:val="double"/>
          <w:lang w:val="it-IT"/>
        </w:rPr>
        <w:t xml:space="preserve">. &amp; </w:t>
      </w:r>
      <w:r w:rsidRPr="00326277">
        <w:rPr>
          <w:smallCaps/>
          <w:u w:val="double"/>
          <w:lang w:val="it-IT"/>
        </w:rPr>
        <w:t xml:space="preserve">Li Y. </w:t>
      </w:r>
      <w:r w:rsidR="00B4411E" w:rsidRPr="00326277">
        <w:rPr>
          <w:u w:val="double"/>
          <w:lang w:val="it-IT"/>
        </w:rPr>
        <w:t>(</w:t>
      </w:r>
      <w:r w:rsidRPr="00326277">
        <w:rPr>
          <w:u w:val="double"/>
          <w:lang w:val="it-IT"/>
        </w:rPr>
        <w:t>2004</w:t>
      </w:r>
      <w:r w:rsidR="00B4411E" w:rsidRPr="00326277">
        <w:rPr>
          <w:u w:val="double"/>
          <w:lang w:val="it-IT"/>
        </w:rPr>
        <w:t>)</w:t>
      </w:r>
      <w:r w:rsidRPr="00326277">
        <w:rPr>
          <w:u w:val="double"/>
          <w:lang w:val="it-IT"/>
        </w:rPr>
        <w:t xml:space="preserve">. </w:t>
      </w:r>
      <w:r w:rsidRPr="00326277">
        <w:rPr>
          <w:u w:val="double"/>
        </w:rPr>
        <w:t xml:space="preserve">Expression of Recombinant Small Hydrophobic Protein for </w:t>
      </w:r>
      <w:proofErr w:type="spellStart"/>
      <w:r w:rsidRPr="00326277">
        <w:rPr>
          <w:u w:val="double"/>
        </w:rPr>
        <w:t>Serospecific</w:t>
      </w:r>
      <w:proofErr w:type="spellEnd"/>
      <w:r w:rsidRPr="00326277">
        <w:rPr>
          <w:u w:val="double"/>
        </w:rPr>
        <w:t xml:space="preserve"> Detection of Avian </w:t>
      </w:r>
      <w:proofErr w:type="spellStart"/>
      <w:r w:rsidRPr="00326277">
        <w:rPr>
          <w:u w:val="double"/>
        </w:rPr>
        <w:t>Pneumovirus</w:t>
      </w:r>
      <w:proofErr w:type="spellEnd"/>
      <w:r w:rsidRPr="00326277">
        <w:rPr>
          <w:u w:val="double"/>
        </w:rPr>
        <w:t xml:space="preserve"> Subgroup C</w:t>
      </w:r>
      <w:r w:rsidR="00B4411E" w:rsidRPr="00326277">
        <w:rPr>
          <w:u w:val="double"/>
        </w:rPr>
        <w:t>.</w:t>
      </w:r>
      <w:r w:rsidRPr="00326277">
        <w:rPr>
          <w:u w:val="double"/>
        </w:rPr>
        <w:t xml:space="preserve"> </w:t>
      </w:r>
      <w:r w:rsidRPr="00326277">
        <w:rPr>
          <w:i/>
          <w:u w:val="double"/>
        </w:rPr>
        <w:t>Clin</w:t>
      </w:r>
      <w:r w:rsidR="00B4411E" w:rsidRPr="00326277">
        <w:rPr>
          <w:i/>
          <w:u w:val="double"/>
        </w:rPr>
        <w:t>.</w:t>
      </w:r>
      <w:r w:rsidR="00E06B2C" w:rsidRPr="00326277">
        <w:rPr>
          <w:i/>
          <w:u w:val="double"/>
        </w:rPr>
        <w:t xml:space="preserve"> </w:t>
      </w:r>
      <w:r w:rsidR="00B4411E" w:rsidRPr="00326277">
        <w:rPr>
          <w:i/>
          <w:u w:val="double"/>
        </w:rPr>
        <w:t>Diag. Lab. Immunol.</w:t>
      </w:r>
      <w:r w:rsidR="00E06B2C" w:rsidRPr="00326277">
        <w:rPr>
          <w:i/>
          <w:u w:val="double"/>
        </w:rPr>
        <w:t>,</w:t>
      </w:r>
      <w:r w:rsidR="00B4411E" w:rsidRPr="00326277">
        <w:rPr>
          <w:u w:val="double"/>
        </w:rPr>
        <w:t xml:space="preserve"> </w:t>
      </w:r>
      <w:r w:rsidRPr="00326277">
        <w:rPr>
          <w:b/>
          <w:u w:val="double"/>
        </w:rPr>
        <w:t>12</w:t>
      </w:r>
      <w:r w:rsidRPr="00326277">
        <w:rPr>
          <w:u w:val="double"/>
        </w:rPr>
        <w:t>, 187</w:t>
      </w:r>
      <w:r w:rsidR="00E06B2C" w:rsidRPr="00326277">
        <w:rPr>
          <w:u w:val="double"/>
        </w:rPr>
        <w:t>–</w:t>
      </w:r>
      <w:r w:rsidRPr="00326277">
        <w:rPr>
          <w:u w:val="double"/>
        </w:rPr>
        <w:t>191.</w:t>
      </w:r>
    </w:p>
    <w:p w14:paraId="350DDE9B" w14:textId="6CBE159F" w:rsidR="001E74F0" w:rsidRPr="00C94963" w:rsidRDefault="00FB52DE" w:rsidP="009A1D56">
      <w:pPr>
        <w:pStyle w:val="StyleRefGauche0cmPremireligne0cmAprs10pt"/>
        <w:rPr>
          <w:lang w:val="fr-FR"/>
        </w:rPr>
      </w:pPr>
      <w:r w:rsidRPr="00C94963">
        <w:rPr>
          <w:smallCaps/>
        </w:rPr>
        <w:t xml:space="preserve">Lwamba H.C.M., Alvarez R., Wise M.G., Yu Q. Halvorson D., Njenga M.K. &amp; Seal B.S. </w:t>
      </w:r>
      <w:r w:rsidRPr="00C94963">
        <w:t xml:space="preserve">(2005). Comparison of full-length genome sequence of </w:t>
      </w:r>
      <w:r w:rsidR="00C14374" w:rsidRPr="00C94963">
        <w:t>a</w:t>
      </w:r>
      <w:r w:rsidRPr="00C94963">
        <w:t xml:space="preserve">vian metapneumovirus subtype C with other paramyxoviruses. </w:t>
      </w:r>
      <w:r w:rsidRPr="00C94963">
        <w:rPr>
          <w:i/>
          <w:iCs/>
          <w:lang w:val="fr-FR"/>
        </w:rPr>
        <w:t xml:space="preserve">Virus </w:t>
      </w:r>
      <w:proofErr w:type="spellStart"/>
      <w:r w:rsidRPr="00C94963">
        <w:rPr>
          <w:i/>
          <w:iCs/>
          <w:lang w:val="fr-FR"/>
        </w:rPr>
        <w:t>Res</w:t>
      </w:r>
      <w:proofErr w:type="spellEnd"/>
      <w:r w:rsidRPr="00C94963">
        <w:rPr>
          <w:i/>
          <w:iCs/>
          <w:lang w:val="fr-FR"/>
        </w:rPr>
        <w:t>.</w:t>
      </w:r>
      <w:r w:rsidRPr="00C94963">
        <w:rPr>
          <w:lang w:val="fr-FR"/>
        </w:rPr>
        <w:t xml:space="preserve">, </w:t>
      </w:r>
      <w:r w:rsidRPr="00C94963">
        <w:rPr>
          <w:b/>
          <w:lang w:val="fr-FR"/>
        </w:rPr>
        <w:t>107</w:t>
      </w:r>
      <w:r w:rsidRPr="00C94963">
        <w:rPr>
          <w:lang w:val="fr-FR"/>
        </w:rPr>
        <w:t>, 83–92.</w:t>
      </w:r>
    </w:p>
    <w:p w14:paraId="6B514948" w14:textId="77777777" w:rsidR="00FB52DE" w:rsidRPr="009733A1" w:rsidRDefault="00FB52DE" w:rsidP="009A1D56">
      <w:pPr>
        <w:pStyle w:val="StyleRefGauche0cmPremireligne0cmAprs10pt"/>
      </w:pPr>
      <w:r w:rsidRPr="00080062">
        <w:rPr>
          <w:smallCaps/>
          <w:lang w:val="fr-FR"/>
        </w:rPr>
        <w:t xml:space="preserve">Majo N., Allan G.M., </w:t>
      </w:r>
      <w:proofErr w:type="spellStart"/>
      <w:r w:rsidRPr="00080062">
        <w:rPr>
          <w:smallCaps/>
          <w:lang w:val="fr-FR"/>
        </w:rPr>
        <w:t>O’Loan</w:t>
      </w:r>
      <w:proofErr w:type="spellEnd"/>
      <w:r w:rsidRPr="00080062">
        <w:rPr>
          <w:smallCaps/>
          <w:lang w:val="fr-FR"/>
        </w:rPr>
        <w:t xml:space="preserve"> C.J., Pages A. &amp; Ramis A.J.</w:t>
      </w:r>
      <w:r w:rsidRPr="00080062">
        <w:rPr>
          <w:lang w:val="fr-FR"/>
        </w:rPr>
        <w:t xml:space="preserve"> (1995). </w:t>
      </w:r>
      <w:r w:rsidRPr="00080062">
        <w:t xml:space="preserve">A sequential histopathologic and immunocytochemical study of chickens, turkey poults and broiler breeders experimentally infected with turkey rhinotracheitis virus. </w:t>
      </w:r>
      <w:r w:rsidRPr="009733A1">
        <w:rPr>
          <w:i/>
          <w:iCs/>
        </w:rPr>
        <w:t>Avian Dis</w:t>
      </w:r>
      <w:r w:rsidRPr="009733A1">
        <w:t xml:space="preserve">., </w:t>
      </w:r>
      <w:r w:rsidRPr="009733A1">
        <w:rPr>
          <w:b/>
        </w:rPr>
        <w:t>39</w:t>
      </w:r>
      <w:r w:rsidRPr="009733A1">
        <w:t>, 887–896.</w:t>
      </w:r>
    </w:p>
    <w:p w14:paraId="2875422C" w14:textId="77777777" w:rsidR="00FB52DE" w:rsidRPr="006E5C4E" w:rsidRDefault="00FB52DE" w:rsidP="009A1D56">
      <w:pPr>
        <w:pStyle w:val="StyleRefGauche0cmPremireligne0cmAprs10pt"/>
      </w:pPr>
      <w:r w:rsidRPr="009733A1">
        <w:rPr>
          <w:smallCaps/>
        </w:rPr>
        <w:t>Mase M.S., Asahi S., Imari K. Nakamura K &amp; Yamaguchi S</w:t>
      </w:r>
      <w:r w:rsidRPr="009733A1">
        <w:t xml:space="preserve">. (1996). </w:t>
      </w:r>
      <w:r w:rsidRPr="00326277">
        <w:t xml:space="preserve">Detection of turkey rhinotracheitis virus from chickens with swollen head syndrome by reverse transcriptase-polymerase chain reaction (RT-PCR). </w:t>
      </w:r>
      <w:r w:rsidRPr="006E5C4E">
        <w:rPr>
          <w:i/>
          <w:iCs/>
        </w:rPr>
        <w:t>J. Vet. Med. Sci.,</w:t>
      </w:r>
      <w:r w:rsidRPr="006E5C4E">
        <w:t xml:space="preserve"> </w:t>
      </w:r>
      <w:r w:rsidRPr="006E5C4E">
        <w:rPr>
          <w:b/>
        </w:rPr>
        <w:t>58</w:t>
      </w:r>
      <w:r w:rsidRPr="006E5C4E">
        <w:t>, 359–361.</w:t>
      </w:r>
    </w:p>
    <w:p w14:paraId="357864EE" w14:textId="16F16F9F" w:rsidR="00FB52DE" w:rsidRPr="00C94963" w:rsidRDefault="00FB52DE" w:rsidP="009A1D56">
      <w:pPr>
        <w:pStyle w:val="StyleRefGauche0cmPremireligne0cmAprs10pt"/>
      </w:pPr>
      <w:r w:rsidRPr="006E5C4E">
        <w:rPr>
          <w:smallCaps/>
        </w:rPr>
        <w:t>Mase M., Yamaguchi S., Tsukamoto K., Imada T., Imai K. &amp; Nakamura K</w:t>
      </w:r>
      <w:r w:rsidRPr="006E5C4E">
        <w:t xml:space="preserve">. (2003). </w:t>
      </w:r>
      <w:r w:rsidRPr="00C94963">
        <w:t xml:space="preserve">Presence of avian </w:t>
      </w:r>
      <w:proofErr w:type="spellStart"/>
      <w:r w:rsidRPr="00C94963">
        <w:t>pneumovirus</w:t>
      </w:r>
      <w:proofErr w:type="spellEnd"/>
      <w:r w:rsidRPr="00C94963">
        <w:t xml:space="preserve"> subtypes A and B in Japan. </w:t>
      </w:r>
      <w:r w:rsidRPr="00C94963">
        <w:rPr>
          <w:i/>
          <w:iCs/>
        </w:rPr>
        <w:t>Avian Dis.,</w:t>
      </w:r>
      <w:r w:rsidRPr="00C94963">
        <w:t xml:space="preserve"> </w:t>
      </w:r>
      <w:r w:rsidRPr="00C94963">
        <w:rPr>
          <w:b/>
        </w:rPr>
        <w:t>47</w:t>
      </w:r>
      <w:r w:rsidRPr="00C94963">
        <w:t>, 481–484.</w:t>
      </w:r>
    </w:p>
    <w:p w14:paraId="66C4DB38" w14:textId="77777777" w:rsidR="00FB52DE" w:rsidRPr="00326277" w:rsidRDefault="00FB52DE" w:rsidP="009A1D56">
      <w:pPr>
        <w:pStyle w:val="StyleRefGauche0cmPremireligne0cmAprs10pt"/>
      </w:pPr>
      <w:r w:rsidRPr="00326277">
        <w:rPr>
          <w:smallCaps/>
        </w:rPr>
        <w:t>McFarlane-Toms I.P. &amp; Jackson R.J.H.</w:t>
      </w:r>
      <w:r w:rsidRPr="00326277">
        <w:t xml:space="preserve"> (1998). A comparison of three commercially available ELISAs for detecting antibodies to turkey rhinotracheitis virus (TRTV). </w:t>
      </w:r>
      <w:r w:rsidRPr="00326277">
        <w:rPr>
          <w:i/>
          <w:iCs/>
        </w:rPr>
        <w:t xml:space="preserve">Proceedings of the International Symposium on Infectious Bronchitis and </w:t>
      </w:r>
      <w:proofErr w:type="spellStart"/>
      <w:r w:rsidRPr="00326277">
        <w:rPr>
          <w:i/>
          <w:iCs/>
        </w:rPr>
        <w:t>Pneumovirus</w:t>
      </w:r>
      <w:proofErr w:type="spellEnd"/>
      <w:r w:rsidRPr="00326277">
        <w:rPr>
          <w:i/>
          <w:iCs/>
        </w:rPr>
        <w:t xml:space="preserve"> infections in Poultry</w:t>
      </w:r>
      <w:r w:rsidRPr="00326277">
        <w:t xml:space="preserve">, </w:t>
      </w:r>
      <w:proofErr w:type="spellStart"/>
      <w:r w:rsidRPr="00326277">
        <w:rPr>
          <w:color w:val="000000"/>
        </w:rPr>
        <w:t>Rauischholzhausen</w:t>
      </w:r>
      <w:proofErr w:type="spellEnd"/>
      <w:r w:rsidRPr="00326277">
        <w:rPr>
          <w:color w:val="000000"/>
        </w:rPr>
        <w:t xml:space="preserve">, Germany, 15–18 June, </w:t>
      </w:r>
      <w:r w:rsidRPr="00326277">
        <w:t>26–37.</w:t>
      </w:r>
    </w:p>
    <w:p w14:paraId="291AEE9A" w14:textId="77777777" w:rsidR="00FB52DE" w:rsidRPr="007879D4" w:rsidRDefault="00FB52DE" w:rsidP="009A1D56">
      <w:pPr>
        <w:pStyle w:val="StyleRefGauche0cmPremireligne0cmAprs10pt"/>
      </w:pPr>
      <w:r w:rsidRPr="007879D4">
        <w:rPr>
          <w:smallCaps/>
          <w:lang w:val="nl-NL"/>
        </w:rPr>
        <w:t>Mekkes D.R. &amp; De Wit J.J.</w:t>
      </w:r>
      <w:r w:rsidRPr="007879D4">
        <w:rPr>
          <w:lang w:val="nl-NL"/>
        </w:rPr>
        <w:t xml:space="preserve"> (1999). </w:t>
      </w:r>
      <w:r w:rsidRPr="007879D4">
        <w:t xml:space="preserve">Comparison of three commercial ELISA kits for the detection of turkey rhinotracheitis virus antibodies. </w:t>
      </w:r>
      <w:r w:rsidRPr="007879D4">
        <w:rPr>
          <w:i/>
          <w:iCs/>
        </w:rPr>
        <w:t xml:space="preserve">Avian </w:t>
      </w:r>
      <w:proofErr w:type="spellStart"/>
      <w:r w:rsidRPr="007879D4">
        <w:rPr>
          <w:i/>
          <w:iCs/>
        </w:rPr>
        <w:t>Pathol</w:t>
      </w:r>
      <w:proofErr w:type="spellEnd"/>
      <w:r w:rsidRPr="007879D4">
        <w:rPr>
          <w:i/>
          <w:iCs/>
        </w:rPr>
        <w:t>.,</w:t>
      </w:r>
      <w:r w:rsidRPr="007879D4">
        <w:t xml:space="preserve"> </w:t>
      </w:r>
      <w:r w:rsidRPr="007879D4">
        <w:rPr>
          <w:b/>
        </w:rPr>
        <w:t>27</w:t>
      </w:r>
      <w:r w:rsidRPr="007879D4">
        <w:t xml:space="preserve">, 301–305. </w:t>
      </w:r>
    </w:p>
    <w:p w14:paraId="09405C12" w14:textId="77777777" w:rsidR="00FB52DE" w:rsidRPr="00080062" w:rsidRDefault="00FB52DE" w:rsidP="009A1D56">
      <w:pPr>
        <w:pStyle w:val="StyleRefGauche0cmPremireligne0cmAprs10pt"/>
      </w:pPr>
      <w:r w:rsidRPr="00080062">
        <w:rPr>
          <w:smallCaps/>
        </w:rPr>
        <w:t>Morley A.J. &amp;Thomson D.K.</w:t>
      </w:r>
      <w:r w:rsidRPr="00080062">
        <w:t xml:space="preserve"> (1984). Swollen-head syndrome in broiler chickens. </w:t>
      </w:r>
      <w:r w:rsidRPr="00080062">
        <w:rPr>
          <w:i/>
          <w:iCs/>
        </w:rPr>
        <w:t>Avian Dis.,</w:t>
      </w:r>
      <w:r w:rsidRPr="00080062">
        <w:t xml:space="preserve"> </w:t>
      </w:r>
      <w:r w:rsidRPr="00080062">
        <w:rPr>
          <w:b/>
        </w:rPr>
        <w:t>28</w:t>
      </w:r>
      <w:r w:rsidRPr="00080062">
        <w:t>,</w:t>
      </w:r>
      <w:r w:rsidR="00793D7F" w:rsidRPr="00080062">
        <w:t xml:space="preserve"> </w:t>
      </w:r>
      <w:r w:rsidRPr="00080062">
        <w:t xml:space="preserve">238–243. </w:t>
      </w:r>
    </w:p>
    <w:p w14:paraId="0518D504" w14:textId="66CA938C" w:rsidR="00FB52DE" w:rsidRPr="009733A1" w:rsidRDefault="00FB52DE" w:rsidP="009A1D56">
      <w:pPr>
        <w:pStyle w:val="StyleRefGauche0cmPremireligne0cmAprs10pt"/>
        <w:rPr>
          <w:strike/>
        </w:rPr>
      </w:pPr>
      <w:r w:rsidRPr="009733A1">
        <w:rPr>
          <w:smallCaps/>
          <w:strike/>
          <w:lang w:val="en-US"/>
        </w:rPr>
        <w:t>Naylor C.J. &amp; Jones R.C.</w:t>
      </w:r>
      <w:r w:rsidRPr="009733A1">
        <w:rPr>
          <w:strike/>
          <w:lang w:val="en-US"/>
        </w:rPr>
        <w:t xml:space="preserve"> (1993). </w:t>
      </w:r>
      <w:r w:rsidRPr="009733A1">
        <w:rPr>
          <w:strike/>
        </w:rPr>
        <w:t xml:space="preserve">Turkey rhinotracheitis: a review. </w:t>
      </w:r>
      <w:r w:rsidRPr="009733A1">
        <w:rPr>
          <w:i/>
          <w:iCs/>
          <w:strike/>
        </w:rPr>
        <w:t>Vet. Bull</w:t>
      </w:r>
      <w:r w:rsidRPr="009733A1">
        <w:rPr>
          <w:strike/>
        </w:rPr>
        <w:t xml:space="preserve">., </w:t>
      </w:r>
      <w:r w:rsidRPr="009733A1">
        <w:rPr>
          <w:b/>
          <w:strike/>
        </w:rPr>
        <w:t>63</w:t>
      </w:r>
      <w:r w:rsidRPr="009733A1">
        <w:rPr>
          <w:bCs/>
          <w:strike/>
        </w:rPr>
        <w:t>, 439</w:t>
      </w:r>
      <w:r w:rsidR="00412AE9" w:rsidRPr="009733A1">
        <w:rPr>
          <w:bCs/>
          <w:strike/>
        </w:rPr>
        <w:t>–</w:t>
      </w:r>
      <w:r w:rsidRPr="009733A1">
        <w:rPr>
          <w:bCs/>
          <w:strike/>
        </w:rPr>
        <w:t>449</w:t>
      </w:r>
      <w:r w:rsidRPr="009733A1">
        <w:rPr>
          <w:strike/>
        </w:rPr>
        <w:t>.</w:t>
      </w:r>
    </w:p>
    <w:p w14:paraId="24B0AFF4" w14:textId="77777777" w:rsidR="00FB52DE" w:rsidRPr="00C94963" w:rsidRDefault="00FB52DE" w:rsidP="009A1D56">
      <w:pPr>
        <w:pStyle w:val="StyleRefGauche0cmPremireligne0cmAprs10pt"/>
      </w:pPr>
      <w:r w:rsidRPr="00C94963">
        <w:rPr>
          <w:smallCaps/>
        </w:rPr>
        <w:t>Naylor C., Shaw K., Britton P. &amp; Cavanagh</w:t>
      </w:r>
      <w:r w:rsidRPr="00C94963">
        <w:t xml:space="preserve"> D. (1997). Appearance of type B avian </w:t>
      </w:r>
      <w:proofErr w:type="spellStart"/>
      <w:r w:rsidRPr="00C94963">
        <w:t>pneumovirus</w:t>
      </w:r>
      <w:proofErr w:type="spellEnd"/>
      <w:r w:rsidRPr="00C94963">
        <w:t xml:space="preserve"> in Great </w:t>
      </w:r>
      <w:proofErr w:type="spellStart"/>
      <w:r w:rsidRPr="00C94963">
        <w:t>Britian</w:t>
      </w:r>
      <w:proofErr w:type="spellEnd"/>
      <w:r w:rsidRPr="00C94963">
        <w:t xml:space="preserve">. </w:t>
      </w:r>
      <w:r w:rsidRPr="00C94963">
        <w:rPr>
          <w:i/>
          <w:iCs/>
        </w:rPr>
        <w:t>Avian Path.,</w:t>
      </w:r>
      <w:r w:rsidRPr="00C94963">
        <w:t xml:space="preserve"> </w:t>
      </w:r>
      <w:r w:rsidRPr="00C94963">
        <w:rPr>
          <w:b/>
        </w:rPr>
        <w:t>26</w:t>
      </w:r>
      <w:r w:rsidRPr="00C94963">
        <w:t>, 327–338.</w:t>
      </w:r>
    </w:p>
    <w:p w14:paraId="295AF1A5" w14:textId="77777777" w:rsidR="00FB52DE" w:rsidRPr="009E2F26" w:rsidRDefault="00FB52DE" w:rsidP="009A1D56">
      <w:pPr>
        <w:pStyle w:val="StyleRefGauche0cmPremireligne0cmAprs10pt"/>
      </w:pPr>
      <w:r w:rsidRPr="009E2F26">
        <w:rPr>
          <w:smallCaps/>
        </w:rPr>
        <w:t>Njenga M.K., Lwamba H.M. &amp; Seal B.S.</w:t>
      </w:r>
      <w:r w:rsidRPr="009E2F26">
        <w:t xml:space="preserve"> (2003). Metapneumoviruses in birds and humans. </w:t>
      </w:r>
      <w:r w:rsidRPr="009E2F26">
        <w:rPr>
          <w:i/>
          <w:iCs/>
        </w:rPr>
        <w:t>Virus Res</w:t>
      </w:r>
      <w:r w:rsidRPr="009E2F26">
        <w:t xml:space="preserve">., </w:t>
      </w:r>
      <w:r w:rsidRPr="009E2F26">
        <w:rPr>
          <w:b/>
        </w:rPr>
        <w:t>91</w:t>
      </w:r>
      <w:r w:rsidRPr="009E2F26">
        <w:t>, 163–169.</w:t>
      </w:r>
    </w:p>
    <w:p w14:paraId="20F4FDCB" w14:textId="77777777" w:rsidR="00FB52DE" w:rsidRPr="007879D4" w:rsidRDefault="00FB52DE" w:rsidP="009A1D56">
      <w:pPr>
        <w:pStyle w:val="StyleRefGauche0cmPremireligne0cmAprs10pt"/>
      </w:pPr>
      <w:r w:rsidRPr="007879D4">
        <w:rPr>
          <w:smallCaps/>
        </w:rPr>
        <w:t>O’Brien J.D.P.</w:t>
      </w:r>
      <w:r w:rsidRPr="007879D4">
        <w:t xml:space="preserve"> (1985). Swollen head syndrome in broiler breeders. </w:t>
      </w:r>
      <w:r w:rsidRPr="007879D4">
        <w:rPr>
          <w:i/>
          <w:iCs/>
        </w:rPr>
        <w:t>Vet. Rec</w:t>
      </w:r>
      <w:r w:rsidRPr="007879D4">
        <w:t xml:space="preserve">., </w:t>
      </w:r>
      <w:r w:rsidRPr="007879D4">
        <w:rPr>
          <w:b/>
        </w:rPr>
        <w:t>117</w:t>
      </w:r>
      <w:r w:rsidRPr="007879D4">
        <w:t>, 619–620.</w:t>
      </w:r>
    </w:p>
    <w:p w14:paraId="71B906B8" w14:textId="77777777" w:rsidR="00FB52DE" w:rsidRPr="007879D4" w:rsidRDefault="00FB52DE" w:rsidP="009A1D56">
      <w:pPr>
        <w:pStyle w:val="StyleRefGauche0cmPremireligne0cmAprs10pt"/>
      </w:pPr>
      <w:r w:rsidRPr="007879D4">
        <w:rPr>
          <w:smallCaps/>
        </w:rPr>
        <w:t xml:space="preserve">Pattison M., </w:t>
      </w:r>
      <w:proofErr w:type="spellStart"/>
      <w:r w:rsidRPr="007879D4">
        <w:rPr>
          <w:smallCaps/>
        </w:rPr>
        <w:t>Chettle</w:t>
      </w:r>
      <w:proofErr w:type="spellEnd"/>
      <w:r w:rsidRPr="007879D4">
        <w:rPr>
          <w:smallCaps/>
        </w:rPr>
        <w:t xml:space="preserve"> N., Randall C.J. &amp; Wyeth P.J.</w:t>
      </w:r>
      <w:r w:rsidRPr="007879D4">
        <w:t xml:space="preserve"> (1989). Observations on swollen head syndrome in broiler and broiler breeder chickens. </w:t>
      </w:r>
      <w:r w:rsidRPr="007879D4">
        <w:rPr>
          <w:i/>
          <w:iCs/>
        </w:rPr>
        <w:t>Vet. Rec</w:t>
      </w:r>
      <w:r w:rsidRPr="007879D4">
        <w:t xml:space="preserve">., </w:t>
      </w:r>
      <w:r w:rsidRPr="007879D4">
        <w:rPr>
          <w:b/>
        </w:rPr>
        <w:t>125</w:t>
      </w:r>
      <w:r w:rsidRPr="007879D4">
        <w:t>, 229–231.</w:t>
      </w:r>
    </w:p>
    <w:p w14:paraId="6243C6F7" w14:textId="77777777" w:rsidR="00FB52DE" w:rsidRPr="00C94963" w:rsidRDefault="00FB52DE" w:rsidP="009A1D56">
      <w:pPr>
        <w:pStyle w:val="StyleRefGauche0cmPremireligne0cmAprs10pt"/>
      </w:pPr>
      <w:r w:rsidRPr="00C94963">
        <w:rPr>
          <w:smallCaps/>
        </w:rPr>
        <w:t>Pedersen J.C., Reynolds D.L. &amp; Ali A. (</w:t>
      </w:r>
      <w:r w:rsidRPr="00C94963">
        <w:t xml:space="preserve">2000). The sensitivity and specificity of a reverse transcriptase-polymerase chain reaction assay for the avian </w:t>
      </w:r>
      <w:proofErr w:type="spellStart"/>
      <w:r w:rsidRPr="00C94963">
        <w:t>pneumovirus</w:t>
      </w:r>
      <w:proofErr w:type="spellEnd"/>
      <w:r w:rsidRPr="00C94963">
        <w:t xml:space="preserve"> (</w:t>
      </w:r>
      <w:smartTag w:uri="urn:schemas-microsoft-com:office:smarttags" w:element="place">
        <w:smartTag w:uri="urn:schemas-microsoft-com:office:smarttags" w:element="State">
          <w:r w:rsidRPr="00C94963">
            <w:t>Colorado</w:t>
          </w:r>
        </w:smartTag>
      </w:smartTag>
      <w:r w:rsidRPr="00C94963">
        <w:t xml:space="preserve"> strain). </w:t>
      </w:r>
      <w:r w:rsidRPr="00C94963">
        <w:rPr>
          <w:i/>
          <w:iCs/>
        </w:rPr>
        <w:t>Avian Dis.,</w:t>
      </w:r>
      <w:r w:rsidRPr="00C94963">
        <w:t xml:space="preserve"> </w:t>
      </w:r>
      <w:r w:rsidRPr="00C94963">
        <w:rPr>
          <w:b/>
        </w:rPr>
        <w:t>44</w:t>
      </w:r>
      <w:r w:rsidRPr="00C94963">
        <w:t>, 681–685.</w:t>
      </w:r>
    </w:p>
    <w:p w14:paraId="5D34D0F6" w14:textId="77777777" w:rsidR="00FB52DE" w:rsidRPr="009733A1" w:rsidRDefault="00FB52DE" w:rsidP="009A1D56">
      <w:pPr>
        <w:pStyle w:val="StyleRefGauche0cmPremireligne0cmAprs10pt"/>
      </w:pPr>
      <w:r w:rsidRPr="00C94963">
        <w:rPr>
          <w:smallCaps/>
        </w:rPr>
        <w:lastRenderedPageBreak/>
        <w:t xml:space="preserve">Pedersen J.C., </w:t>
      </w:r>
      <w:proofErr w:type="spellStart"/>
      <w:r w:rsidRPr="00C94963">
        <w:rPr>
          <w:smallCaps/>
        </w:rPr>
        <w:t>Senne</w:t>
      </w:r>
      <w:proofErr w:type="spellEnd"/>
      <w:r w:rsidRPr="00C94963">
        <w:rPr>
          <w:smallCaps/>
        </w:rPr>
        <w:t xml:space="preserve"> D.A., </w:t>
      </w:r>
      <w:proofErr w:type="spellStart"/>
      <w:r w:rsidRPr="00C94963">
        <w:rPr>
          <w:smallCaps/>
        </w:rPr>
        <w:t>Panigrahy</w:t>
      </w:r>
      <w:proofErr w:type="spellEnd"/>
      <w:r w:rsidRPr="00C94963">
        <w:rPr>
          <w:smallCaps/>
        </w:rPr>
        <w:t xml:space="preserve"> B. &amp; Reynolds D.L.</w:t>
      </w:r>
      <w:r w:rsidRPr="00C94963">
        <w:t xml:space="preserve"> (2001). Detection of avian </w:t>
      </w:r>
      <w:proofErr w:type="spellStart"/>
      <w:r w:rsidRPr="00C94963">
        <w:t>pneumovirus</w:t>
      </w:r>
      <w:proofErr w:type="spellEnd"/>
      <w:r w:rsidRPr="00C94963">
        <w:t xml:space="preserve"> in tissue and swab specimens from infected turkeys. </w:t>
      </w:r>
      <w:r w:rsidRPr="009733A1">
        <w:rPr>
          <w:i/>
          <w:iCs/>
        </w:rPr>
        <w:t>Avian Dis.,</w:t>
      </w:r>
      <w:r w:rsidRPr="009733A1">
        <w:t xml:space="preserve"> </w:t>
      </w:r>
      <w:r w:rsidRPr="009733A1">
        <w:rPr>
          <w:b/>
        </w:rPr>
        <w:t>45</w:t>
      </w:r>
      <w:r w:rsidRPr="009733A1">
        <w:t>, 581–592.</w:t>
      </w:r>
    </w:p>
    <w:p w14:paraId="4E416866" w14:textId="77777777" w:rsidR="00FB52DE" w:rsidRPr="00080062" w:rsidRDefault="00FB52DE" w:rsidP="009A1D56">
      <w:pPr>
        <w:pStyle w:val="StyleRefGauche0cmPremireligne0cmAprs10pt"/>
        <w:rPr>
          <w:lang w:val="en-IE"/>
        </w:rPr>
      </w:pPr>
      <w:proofErr w:type="spellStart"/>
      <w:r w:rsidRPr="009733A1">
        <w:rPr>
          <w:smallCaps/>
        </w:rPr>
        <w:t>Picault</w:t>
      </w:r>
      <w:proofErr w:type="spellEnd"/>
      <w:r w:rsidRPr="009733A1">
        <w:rPr>
          <w:smallCaps/>
        </w:rPr>
        <w:t xml:space="preserve"> J.P., Giraud P., Drouin P., </w:t>
      </w:r>
      <w:proofErr w:type="spellStart"/>
      <w:r w:rsidRPr="009733A1">
        <w:rPr>
          <w:smallCaps/>
        </w:rPr>
        <w:t>Guittet</w:t>
      </w:r>
      <w:proofErr w:type="spellEnd"/>
      <w:r w:rsidRPr="009733A1">
        <w:rPr>
          <w:smallCaps/>
        </w:rPr>
        <w:t xml:space="preserve"> M., </w:t>
      </w:r>
      <w:proofErr w:type="spellStart"/>
      <w:r w:rsidRPr="009733A1">
        <w:rPr>
          <w:smallCaps/>
        </w:rPr>
        <w:t>Bennejean</w:t>
      </w:r>
      <w:proofErr w:type="spellEnd"/>
      <w:r w:rsidRPr="009733A1">
        <w:rPr>
          <w:smallCaps/>
        </w:rPr>
        <w:t xml:space="preserve"> G., </w:t>
      </w:r>
      <w:proofErr w:type="spellStart"/>
      <w:r w:rsidRPr="009733A1">
        <w:rPr>
          <w:smallCaps/>
        </w:rPr>
        <w:t>Lamande</w:t>
      </w:r>
      <w:proofErr w:type="spellEnd"/>
      <w:r w:rsidRPr="009733A1">
        <w:rPr>
          <w:smallCaps/>
        </w:rPr>
        <w:t xml:space="preserve"> J., </w:t>
      </w:r>
      <w:proofErr w:type="spellStart"/>
      <w:r w:rsidRPr="009733A1">
        <w:rPr>
          <w:smallCaps/>
        </w:rPr>
        <w:t>Toquin</w:t>
      </w:r>
      <w:proofErr w:type="spellEnd"/>
      <w:r w:rsidRPr="009733A1">
        <w:rPr>
          <w:smallCaps/>
        </w:rPr>
        <w:t xml:space="preserve"> D.</w:t>
      </w:r>
      <w:r w:rsidR="0019333D" w:rsidRPr="009733A1">
        <w:rPr>
          <w:smallCaps/>
        </w:rPr>
        <w:t xml:space="preserve"> &amp; </w:t>
      </w:r>
      <w:r w:rsidRPr="009733A1">
        <w:rPr>
          <w:smallCaps/>
        </w:rPr>
        <w:t>Gueguen C.</w:t>
      </w:r>
      <w:r w:rsidRPr="009733A1">
        <w:t xml:space="preserve"> (1987)</w:t>
      </w:r>
      <w:r w:rsidR="00D92003" w:rsidRPr="009733A1">
        <w:t>.</w:t>
      </w:r>
      <w:r w:rsidRPr="009733A1">
        <w:t xml:space="preserve"> </w:t>
      </w:r>
      <w:r w:rsidRPr="00080062">
        <w:rPr>
          <w:lang w:val="en-IE"/>
        </w:rPr>
        <w:t xml:space="preserve">Isolation of a TRTV-like virus from chickens with swollen-head syndrome. </w:t>
      </w:r>
      <w:r w:rsidRPr="00080062">
        <w:rPr>
          <w:i/>
          <w:lang w:val="en-IE"/>
        </w:rPr>
        <w:t>Vet</w:t>
      </w:r>
      <w:r w:rsidR="00D92003" w:rsidRPr="00080062">
        <w:rPr>
          <w:i/>
          <w:lang w:val="en-IE"/>
        </w:rPr>
        <w:t>.</w:t>
      </w:r>
      <w:r w:rsidRPr="00080062">
        <w:rPr>
          <w:i/>
          <w:lang w:val="en-IE"/>
        </w:rPr>
        <w:t xml:space="preserve"> Rec.</w:t>
      </w:r>
      <w:r w:rsidR="00D92003" w:rsidRPr="00080062">
        <w:rPr>
          <w:i/>
          <w:lang w:val="en-IE"/>
        </w:rPr>
        <w:t>,</w:t>
      </w:r>
      <w:r w:rsidRPr="00080062">
        <w:rPr>
          <w:lang w:val="en-IE"/>
        </w:rPr>
        <w:t xml:space="preserve"> </w:t>
      </w:r>
      <w:r w:rsidRPr="00080062">
        <w:rPr>
          <w:b/>
          <w:lang w:val="en-IE"/>
        </w:rPr>
        <w:t>121</w:t>
      </w:r>
      <w:r w:rsidR="00D92003" w:rsidRPr="00080062">
        <w:rPr>
          <w:lang w:val="en-IE"/>
        </w:rPr>
        <w:t xml:space="preserve">, </w:t>
      </w:r>
      <w:r w:rsidRPr="00080062">
        <w:rPr>
          <w:lang w:val="en-IE"/>
        </w:rPr>
        <w:t>135.</w:t>
      </w:r>
    </w:p>
    <w:p w14:paraId="1B820FC6" w14:textId="77777777" w:rsidR="00B23683" w:rsidRPr="007879D4" w:rsidRDefault="00FB52DE" w:rsidP="009A1D56">
      <w:pPr>
        <w:pStyle w:val="StyleRefGauche0cmPremireligne0cmAprs10pt"/>
        <w:rPr>
          <w:lang w:val="de-DE"/>
        </w:rPr>
      </w:pPr>
      <w:r w:rsidRPr="007879D4">
        <w:rPr>
          <w:smallCaps/>
          <w:lang w:val="en-IE"/>
        </w:rPr>
        <w:t>Pringle C.R</w:t>
      </w:r>
      <w:r w:rsidRPr="007879D4">
        <w:rPr>
          <w:lang w:val="en-IE"/>
        </w:rPr>
        <w:t xml:space="preserve">. (1998). Virus Taxonomy-San Diego. </w:t>
      </w:r>
      <w:r w:rsidRPr="007879D4">
        <w:rPr>
          <w:i/>
          <w:iCs/>
          <w:lang w:val="en-IE"/>
        </w:rPr>
        <w:t xml:space="preserve">Arch. </w:t>
      </w:r>
      <w:r w:rsidRPr="007879D4">
        <w:rPr>
          <w:i/>
          <w:iCs/>
          <w:lang w:val="de-DE"/>
        </w:rPr>
        <w:t>Virol</w:t>
      </w:r>
      <w:r w:rsidRPr="007879D4">
        <w:rPr>
          <w:lang w:val="de-DE"/>
        </w:rPr>
        <w:t xml:space="preserve">., </w:t>
      </w:r>
      <w:r w:rsidRPr="007879D4">
        <w:rPr>
          <w:b/>
          <w:lang w:val="de-DE"/>
        </w:rPr>
        <w:t>143</w:t>
      </w:r>
      <w:r w:rsidRPr="007879D4">
        <w:rPr>
          <w:lang w:val="de-DE"/>
        </w:rPr>
        <w:t>, 1449–1459.</w:t>
      </w:r>
    </w:p>
    <w:p w14:paraId="693FA6E5" w14:textId="6BD96C39" w:rsidR="00E52A20" w:rsidRPr="003407D5" w:rsidRDefault="00E52A20" w:rsidP="009A1D56">
      <w:pPr>
        <w:pStyle w:val="StyleRefGauche0cmPremireligne0cmAprs10pt"/>
        <w:rPr>
          <w:u w:val="double"/>
          <w:lang w:val="en-IE"/>
        </w:rPr>
      </w:pPr>
      <w:r w:rsidRPr="003407D5">
        <w:rPr>
          <w:smallCaps/>
          <w:u w:val="double"/>
          <w:lang w:val="de-DE"/>
        </w:rPr>
        <w:t>Rautenschlein S.</w:t>
      </w:r>
      <w:r w:rsidRPr="003407D5">
        <w:rPr>
          <w:u w:val="double"/>
          <w:lang w:val="de-DE"/>
        </w:rPr>
        <w:t xml:space="preserve"> (2020). Avian Metapneumovirus. </w:t>
      </w:r>
      <w:r w:rsidRPr="003407D5">
        <w:rPr>
          <w:u w:val="double"/>
          <w:lang w:val="en-IE"/>
        </w:rPr>
        <w:t xml:space="preserve">Chapter 3: Newcastle disease, other avian paramyxoviruses and avian metapneumovirus infections. </w:t>
      </w:r>
      <w:r w:rsidRPr="003407D5">
        <w:rPr>
          <w:i/>
          <w:iCs/>
          <w:u w:val="double"/>
          <w:lang w:val="en-IE"/>
        </w:rPr>
        <w:t xml:space="preserve">In: </w:t>
      </w:r>
      <w:r w:rsidRPr="003407D5">
        <w:rPr>
          <w:u w:val="double"/>
          <w:lang w:val="en-IE"/>
        </w:rPr>
        <w:t>Diseases of Poultry, 14th Edition, Swayne</w:t>
      </w:r>
      <w:r w:rsidR="00B23683" w:rsidRPr="003407D5">
        <w:rPr>
          <w:u w:val="double"/>
          <w:lang w:val="en-IE"/>
        </w:rPr>
        <w:t xml:space="preserve"> D.E.</w:t>
      </w:r>
      <w:r w:rsidRPr="003407D5">
        <w:rPr>
          <w:u w:val="double"/>
          <w:lang w:val="en-IE"/>
        </w:rPr>
        <w:t xml:space="preserve">, </w:t>
      </w:r>
      <w:r w:rsidR="00B23683" w:rsidRPr="003407D5">
        <w:rPr>
          <w:u w:val="double"/>
          <w:lang w:val="en-IE"/>
        </w:rPr>
        <w:t xml:space="preserve">ed. </w:t>
      </w:r>
      <w:r w:rsidRPr="003407D5">
        <w:rPr>
          <w:u w:val="double"/>
          <w:lang w:val="en-IE"/>
        </w:rPr>
        <w:t>John Wiley &amp; Sons, Hoboken, NJ, USA, 135–143.</w:t>
      </w:r>
    </w:p>
    <w:p w14:paraId="648E2DB4" w14:textId="2BBB23B6" w:rsidR="005D4BF2" w:rsidRPr="00FD4D88" w:rsidRDefault="005D4BF2" w:rsidP="009A1D56">
      <w:pPr>
        <w:pStyle w:val="StyleRefGauche0cmPremireligne0cmAprs10pt"/>
        <w:rPr>
          <w:u w:val="double"/>
          <w:lang w:val="en-IE"/>
        </w:rPr>
      </w:pPr>
      <w:r w:rsidRPr="00FD4D88">
        <w:rPr>
          <w:smallCaps/>
          <w:u w:val="double"/>
          <w:lang w:val="en-IE"/>
        </w:rPr>
        <w:t>Retallack H</w:t>
      </w:r>
      <w:r w:rsidR="00B4411E" w:rsidRPr="00FD4D88">
        <w:rPr>
          <w:smallCaps/>
          <w:u w:val="double"/>
          <w:lang w:val="en-IE"/>
        </w:rPr>
        <w:t>.</w:t>
      </w:r>
      <w:r w:rsidRPr="00FD4D88">
        <w:rPr>
          <w:smallCaps/>
          <w:u w:val="double"/>
          <w:lang w:val="en-IE"/>
        </w:rPr>
        <w:t>, Clubb S</w:t>
      </w:r>
      <w:r w:rsidR="00B4411E" w:rsidRPr="00FD4D88">
        <w:rPr>
          <w:smallCaps/>
          <w:u w:val="double"/>
          <w:lang w:val="en-IE"/>
        </w:rPr>
        <w:t xml:space="preserve">. &amp; </w:t>
      </w:r>
      <w:r w:rsidRPr="00FD4D88">
        <w:rPr>
          <w:smallCaps/>
          <w:u w:val="double"/>
          <w:lang w:val="en-IE"/>
        </w:rPr>
        <w:t>DeRisi J</w:t>
      </w:r>
      <w:r w:rsidR="00B4411E" w:rsidRPr="00FD4D88">
        <w:rPr>
          <w:smallCaps/>
          <w:u w:val="double"/>
          <w:lang w:val="en-IE"/>
        </w:rPr>
        <w:t>.</w:t>
      </w:r>
      <w:r w:rsidRPr="00FD4D88">
        <w:rPr>
          <w:smallCaps/>
          <w:u w:val="double"/>
          <w:lang w:val="en-IE"/>
        </w:rPr>
        <w:t>L.</w:t>
      </w:r>
      <w:r w:rsidRPr="00FD4D88">
        <w:rPr>
          <w:u w:val="double"/>
          <w:lang w:val="en-IE"/>
        </w:rPr>
        <w:t xml:space="preserve"> </w:t>
      </w:r>
      <w:r w:rsidR="00B4411E" w:rsidRPr="00FD4D88">
        <w:rPr>
          <w:u w:val="double"/>
          <w:lang w:val="en-IE"/>
        </w:rPr>
        <w:t>(</w:t>
      </w:r>
      <w:r w:rsidRPr="00FD4D88">
        <w:rPr>
          <w:u w:val="double"/>
          <w:lang w:val="en-IE"/>
        </w:rPr>
        <w:t>2019</w:t>
      </w:r>
      <w:r w:rsidR="00B4411E" w:rsidRPr="00FD4D88">
        <w:rPr>
          <w:u w:val="double"/>
          <w:lang w:val="en-IE"/>
        </w:rPr>
        <w:t>)</w:t>
      </w:r>
      <w:r w:rsidRPr="00FD4D88">
        <w:rPr>
          <w:u w:val="double"/>
          <w:lang w:val="en-IE"/>
        </w:rPr>
        <w:t xml:space="preserve">. Genome </w:t>
      </w:r>
      <w:r w:rsidR="00B4411E" w:rsidRPr="00FD4D88">
        <w:rPr>
          <w:u w:val="double"/>
          <w:lang w:val="en-IE"/>
        </w:rPr>
        <w:t xml:space="preserve">sequence </w:t>
      </w:r>
      <w:r w:rsidRPr="00FD4D88">
        <w:rPr>
          <w:u w:val="double"/>
          <w:lang w:val="en-IE"/>
        </w:rPr>
        <w:t xml:space="preserve">of a </w:t>
      </w:r>
      <w:r w:rsidR="00B4411E" w:rsidRPr="00FD4D88">
        <w:rPr>
          <w:u w:val="double"/>
          <w:lang w:val="en-IE"/>
        </w:rPr>
        <w:t xml:space="preserve">divergent avian metapneumovirus </w:t>
      </w:r>
      <w:r w:rsidRPr="00FD4D88">
        <w:rPr>
          <w:u w:val="double"/>
          <w:lang w:val="en-IE"/>
        </w:rPr>
        <w:t xml:space="preserve">from a </w:t>
      </w:r>
      <w:r w:rsidR="00B4411E" w:rsidRPr="00FD4D88">
        <w:rPr>
          <w:u w:val="double"/>
          <w:lang w:val="en-IE"/>
        </w:rPr>
        <w:t xml:space="preserve">monk parakeet </w:t>
      </w:r>
      <w:r w:rsidRPr="00FD4D88">
        <w:rPr>
          <w:u w:val="double"/>
          <w:lang w:val="en-IE"/>
        </w:rPr>
        <w:t>(</w:t>
      </w:r>
      <w:proofErr w:type="spellStart"/>
      <w:r w:rsidRPr="00FD4D88">
        <w:rPr>
          <w:i/>
          <w:u w:val="double"/>
          <w:lang w:val="en-IE"/>
        </w:rPr>
        <w:t>Myiopsitta</w:t>
      </w:r>
      <w:proofErr w:type="spellEnd"/>
      <w:r w:rsidRPr="00FD4D88">
        <w:rPr>
          <w:i/>
          <w:u w:val="double"/>
          <w:lang w:val="en-IE"/>
        </w:rPr>
        <w:t xml:space="preserve"> </w:t>
      </w:r>
      <w:proofErr w:type="spellStart"/>
      <w:r w:rsidRPr="00FD4D88">
        <w:rPr>
          <w:i/>
          <w:u w:val="double"/>
          <w:lang w:val="en-IE"/>
        </w:rPr>
        <w:t>monachus</w:t>
      </w:r>
      <w:proofErr w:type="spellEnd"/>
      <w:r w:rsidRPr="00FD4D88">
        <w:rPr>
          <w:u w:val="double"/>
          <w:lang w:val="en-IE"/>
        </w:rPr>
        <w:t xml:space="preserve">). </w:t>
      </w:r>
      <w:proofErr w:type="spellStart"/>
      <w:r w:rsidRPr="00FD4D88">
        <w:rPr>
          <w:i/>
          <w:u w:val="double"/>
          <w:lang w:val="en-IE"/>
        </w:rPr>
        <w:t>Microbiol</w:t>
      </w:r>
      <w:proofErr w:type="spellEnd"/>
      <w:r w:rsidR="00B4411E" w:rsidRPr="00FD4D88">
        <w:rPr>
          <w:i/>
          <w:u w:val="double"/>
          <w:lang w:val="en-IE"/>
        </w:rPr>
        <w:t>.</w:t>
      </w:r>
      <w:r w:rsidRPr="00FD4D88">
        <w:rPr>
          <w:i/>
          <w:u w:val="double"/>
          <w:lang w:val="en-IE"/>
        </w:rPr>
        <w:t xml:space="preserve"> </w:t>
      </w:r>
      <w:proofErr w:type="spellStart"/>
      <w:r w:rsidRPr="00FD4D88">
        <w:rPr>
          <w:i/>
          <w:u w:val="double"/>
          <w:lang w:val="en-IE"/>
        </w:rPr>
        <w:t>Resour</w:t>
      </w:r>
      <w:proofErr w:type="spellEnd"/>
      <w:r w:rsidR="00B4411E" w:rsidRPr="00FD4D88">
        <w:rPr>
          <w:i/>
          <w:u w:val="double"/>
          <w:lang w:val="en-IE"/>
        </w:rPr>
        <w:t>.</w:t>
      </w:r>
      <w:r w:rsidRPr="00FD4D88">
        <w:rPr>
          <w:i/>
          <w:u w:val="double"/>
          <w:lang w:val="en-IE"/>
        </w:rPr>
        <w:t xml:space="preserve"> </w:t>
      </w:r>
      <w:proofErr w:type="spellStart"/>
      <w:r w:rsidRPr="00FD4D88">
        <w:rPr>
          <w:i/>
          <w:u w:val="double"/>
          <w:lang w:val="en-IE"/>
        </w:rPr>
        <w:t>Announc</w:t>
      </w:r>
      <w:proofErr w:type="spellEnd"/>
      <w:r w:rsidR="00B4411E" w:rsidRPr="00FD4D88">
        <w:rPr>
          <w:i/>
          <w:u w:val="double"/>
          <w:lang w:val="en-IE"/>
        </w:rPr>
        <w:t>.</w:t>
      </w:r>
      <w:r w:rsidR="00FD4D88">
        <w:rPr>
          <w:i/>
          <w:u w:val="double"/>
          <w:lang w:val="en-IE"/>
        </w:rPr>
        <w:t>,</w:t>
      </w:r>
      <w:r w:rsidRPr="00FD4D88">
        <w:rPr>
          <w:u w:val="double"/>
          <w:lang w:val="en-IE"/>
        </w:rPr>
        <w:t xml:space="preserve"> </w:t>
      </w:r>
      <w:r w:rsidR="00B4411E" w:rsidRPr="00FD4D88">
        <w:rPr>
          <w:b/>
          <w:bCs/>
          <w:u w:val="double"/>
          <w:lang w:val="en-IE"/>
        </w:rPr>
        <w:t>8</w:t>
      </w:r>
      <w:r w:rsidR="00B4411E" w:rsidRPr="00FD4D88">
        <w:rPr>
          <w:u w:val="double"/>
          <w:lang w:val="en-IE"/>
        </w:rPr>
        <w:t>(16):e00284-19.</w:t>
      </w:r>
    </w:p>
    <w:p w14:paraId="760BD40C" w14:textId="77777777" w:rsidR="00FB52DE" w:rsidRPr="007879D4" w:rsidRDefault="00FB52DE" w:rsidP="009A1D56">
      <w:pPr>
        <w:pStyle w:val="Ref"/>
      </w:pPr>
      <w:r w:rsidRPr="007879D4">
        <w:rPr>
          <w:smallCaps/>
          <w:lang w:val="en-IE"/>
        </w:rPr>
        <w:t xml:space="preserve">Senne D.A., Edson R.K., Pedersen J.C. &amp; </w:t>
      </w:r>
      <w:proofErr w:type="spellStart"/>
      <w:r w:rsidRPr="007879D4">
        <w:rPr>
          <w:smallCaps/>
          <w:lang w:val="en-IE"/>
        </w:rPr>
        <w:t>Panigrahy</w:t>
      </w:r>
      <w:proofErr w:type="spellEnd"/>
      <w:r w:rsidRPr="007879D4">
        <w:rPr>
          <w:smallCaps/>
          <w:lang w:val="en-IE"/>
        </w:rPr>
        <w:t xml:space="preserve"> B</w:t>
      </w:r>
      <w:r w:rsidRPr="007879D4">
        <w:rPr>
          <w:lang w:val="en-IE"/>
        </w:rPr>
        <w:t xml:space="preserve">. (1997). </w:t>
      </w:r>
      <w:r w:rsidRPr="007879D4">
        <w:t xml:space="preserve">Avian </w:t>
      </w:r>
      <w:proofErr w:type="spellStart"/>
      <w:r w:rsidRPr="007879D4">
        <w:t>pneumovirus</w:t>
      </w:r>
      <w:proofErr w:type="spellEnd"/>
      <w:r w:rsidRPr="007879D4">
        <w:t xml:space="preserve"> update. </w:t>
      </w:r>
      <w:r w:rsidRPr="007879D4">
        <w:rPr>
          <w:i/>
        </w:rPr>
        <w:t>In:</w:t>
      </w:r>
      <w:r w:rsidRPr="007879D4">
        <w:t xml:space="preserve"> Proceedings of the American Veterinary Medical Association, 134th Annual Congress, Reno, Nevada, July 1997, </w:t>
      </w:r>
      <w:r w:rsidR="00A74CEF" w:rsidRPr="007879D4">
        <w:t>p.</w:t>
      </w:r>
      <w:r w:rsidRPr="007879D4">
        <w:t>190.</w:t>
      </w:r>
    </w:p>
    <w:p w14:paraId="3ED2D176" w14:textId="77777777" w:rsidR="00FB52DE" w:rsidRPr="00080062" w:rsidRDefault="00FB52DE" w:rsidP="009A1D56">
      <w:pPr>
        <w:pStyle w:val="StyleRefGauche0cmPremireligne0cmAprs10pt"/>
      </w:pPr>
      <w:r w:rsidRPr="00080062">
        <w:rPr>
          <w:smallCaps/>
        </w:rPr>
        <w:t>Shin H.J., Jirjis F.F., Kumar M.C., Njenga M.K., Shaw D.P., Noll S.L., Nagaraja K.V. &amp; Halvorson D.</w:t>
      </w:r>
      <w:r w:rsidRPr="00080062">
        <w:t>A. (2002</w:t>
      </w:r>
      <w:r w:rsidR="00A74CEF" w:rsidRPr="00080062">
        <w:t>a</w:t>
      </w:r>
      <w:r w:rsidRPr="00080062">
        <w:t xml:space="preserve">). Neonatal avian </w:t>
      </w:r>
      <w:proofErr w:type="spellStart"/>
      <w:r w:rsidRPr="00080062">
        <w:t>pneumovirus</w:t>
      </w:r>
      <w:proofErr w:type="spellEnd"/>
      <w:r w:rsidRPr="00080062">
        <w:t xml:space="preserve"> infection in commercial turkeys. </w:t>
      </w:r>
      <w:r w:rsidRPr="00080062">
        <w:rPr>
          <w:i/>
          <w:iCs/>
        </w:rPr>
        <w:t>Avian Dis.,</w:t>
      </w:r>
      <w:r w:rsidRPr="00080062">
        <w:t xml:space="preserve"> </w:t>
      </w:r>
      <w:r w:rsidRPr="00080062">
        <w:rPr>
          <w:b/>
        </w:rPr>
        <w:t>46</w:t>
      </w:r>
      <w:r w:rsidRPr="00080062">
        <w:t xml:space="preserve">, 239–244. </w:t>
      </w:r>
    </w:p>
    <w:p w14:paraId="38BA7482" w14:textId="53348C91" w:rsidR="00FB52DE" w:rsidRPr="009733A1" w:rsidRDefault="00FB52DE" w:rsidP="009A1D56">
      <w:pPr>
        <w:pStyle w:val="StyleRefGauche0cmPremireligne0cmAprs10pt"/>
        <w:rPr>
          <w:strike/>
        </w:rPr>
      </w:pPr>
      <w:r w:rsidRPr="009733A1">
        <w:rPr>
          <w:smallCaps/>
          <w:strike/>
        </w:rPr>
        <w:t>Shin H.J., McComb B., Back A., Shaw D.P., Halvorson D.A. &amp; Nagaraja K.</w:t>
      </w:r>
      <w:r w:rsidRPr="009733A1">
        <w:rPr>
          <w:strike/>
        </w:rPr>
        <w:t xml:space="preserve"> (2000). Susceptibility of broiler chicks to infection by avian </w:t>
      </w:r>
      <w:proofErr w:type="spellStart"/>
      <w:r w:rsidRPr="009733A1">
        <w:rPr>
          <w:strike/>
        </w:rPr>
        <w:t>pneumovirus</w:t>
      </w:r>
      <w:proofErr w:type="spellEnd"/>
      <w:r w:rsidRPr="009733A1">
        <w:rPr>
          <w:strike/>
        </w:rPr>
        <w:t xml:space="preserve"> of turkey origin. </w:t>
      </w:r>
      <w:r w:rsidRPr="009733A1">
        <w:rPr>
          <w:i/>
          <w:iCs/>
          <w:strike/>
        </w:rPr>
        <w:t>Avian Dis.</w:t>
      </w:r>
      <w:r w:rsidRPr="009733A1">
        <w:rPr>
          <w:strike/>
        </w:rPr>
        <w:t xml:space="preserve">, </w:t>
      </w:r>
      <w:r w:rsidRPr="009733A1">
        <w:rPr>
          <w:b/>
          <w:strike/>
        </w:rPr>
        <w:t>44</w:t>
      </w:r>
      <w:r w:rsidRPr="009733A1">
        <w:rPr>
          <w:strike/>
        </w:rPr>
        <w:t>, 797–802.</w:t>
      </w:r>
    </w:p>
    <w:p w14:paraId="6414747E" w14:textId="77777777" w:rsidR="00FB52DE" w:rsidRPr="00080062" w:rsidRDefault="00FB52DE" w:rsidP="009A1D56">
      <w:pPr>
        <w:pStyle w:val="StyleRefGauche0cmPremireligne0cmAprs10pt"/>
      </w:pPr>
      <w:r w:rsidRPr="00080062">
        <w:rPr>
          <w:smallCaps/>
        </w:rPr>
        <w:t>Shin H.J., Nagaraja K.V., Mccomb B., Halvorson D.A., Jirjis F.F., Shaw D.P., Seal B.S. &amp; Njenga M.K.</w:t>
      </w:r>
      <w:r w:rsidRPr="00080062">
        <w:t xml:space="preserve"> (2002</w:t>
      </w:r>
      <w:r w:rsidR="00A74CEF" w:rsidRPr="00080062">
        <w:t>b</w:t>
      </w:r>
      <w:r w:rsidRPr="00080062">
        <w:t xml:space="preserve">). Isolation of avian </w:t>
      </w:r>
      <w:proofErr w:type="spellStart"/>
      <w:r w:rsidRPr="00080062">
        <w:t>pneumovirus</w:t>
      </w:r>
      <w:proofErr w:type="spellEnd"/>
      <w:r w:rsidRPr="00080062">
        <w:t xml:space="preserve"> from mallard ducks that is genetically similar to viruses isolated from neighbouring commercial turkeys. </w:t>
      </w:r>
      <w:r w:rsidRPr="00080062">
        <w:rPr>
          <w:i/>
          <w:iCs/>
        </w:rPr>
        <w:t>Virus Res.</w:t>
      </w:r>
      <w:r w:rsidRPr="00080062">
        <w:t xml:space="preserve">, </w:t>
      </w:r>
      <w:r w:rsidRPr="00080062">
        <w:rPr>
          <w:b/>
        </w:rPr>
        <w:t>83</w:t>
      </w:r>
      <w:r w:rsidRPr="00080062">
        <w:t>, 207–212.</w:t>
      </w:r>
    </w:p>
    <w:p w14:paraId="7FC5FABC" w14:textId="77777777" w:rsidR="00FB52DE" w:rsidRPr="00080062" w:rsidRDefault="00FB52DE" w:rsidP="009A1D56">
      <w:pPr>
        <w:pStyle w:val="StyleRefGauche0cmPremireligne0cmAprs10pt"/>
      </w:pPr>
      <w:r w:rsidRPr="00080062">
        <w:rPr>
          <w:smallCaps/>
        </w:rPr>
        <w:t>Stuart J.C. (1989</w:t>
      </w:r>
      <w:r w:rsidRPr="00080062">
        <w:t xml:space="preserve">). </w:t>
      </w:r>
      <w:proofErr w:type="spellStart"/>
      <w:r w:rsidRPr="00080062">
        <w:t>Rhinotracheitis:turkey</w:t>
      </w:r>
      <w:proofErr w:type="spellEnd"/>
      <w:r w:rsidRPr="00080062">
        <w:t xml:space="preserve"> rhinotracheitis (TRT) in </w:t>
      </w:r>
      <w:smartTag w:uri="urn:schemas-microsoft-com:office:smarttags" w:element="country-region">
        <w:smartTag w:uri="urn:schemas-microsoft-com:office:smarttags" w:element="place">
          <w:r w:rsidRPr="00080062">
            <w:t>Great Britain</w:t>
          </w:r>
        </w:smartTag>
      </w:smartTag>
      <w:r w:rsidRPr="00080062">
        <w:t>. Recent Advances in Turkey Science</w:t>
      </w:r>
      <w:r w:rsidRPr="00080062">
        <w:rPr>
          <w:i/>
          <w:iCs/>
        </w:rPr>
        <w:t>. Poultry Science Symposium</w:t>
      </w:r>
      <w:r w:rsidRPr="00080062">
        <w:t xml:space="preserve">, </w:t>
      </w:r>
      <w:r w:rsidRPr="00080062">
        <w:rPr>
          <w:b/>
        </w:rPr>
        <w:t>21</w:t>
      </w:r>
      <w:r w:rsidRPr="00080062">
        <w:t>, 217–224.</w:t>
      </w:r>
    </w:p>
    <w:p w14:paraId="142FCDC0" w14:textId="4A6FF524" w:rsidR="003D7CFA" w:rsidRPr="003D7CFA" w:rsidRDefault="003D7CFA" w:rsidP="003D7CFA">
      <w:pPr>
        <w:pStyle w:val="para1"/>
        <w:rPr>
          <w:u w:val="double"/>
        </w:rPr>
      </w:pPr>
      <w:r w:rsidRPr="003D7CFA">
        <w:rPr>
          <w:smallCaps/>
          <w:u w:val="double"/>
          <w:lang w:val="en-IE"/>
        </w:rPr>
        <w:t xml:space="preserve">Swayne D.E., </w:t>
      </w:r>
      <w:proofErr w:type="spellStart"/>
      <w:r w:rsidRPr="003D7CFA">
        <w:rPr>
          <w:smallCaps/>
          <w:u w:val="double"/>
          <w:lang w:val="en-IE"/>
        </w:rPr>
        <w:t>Boulianne</w:t>
      </w:r>
      <w:proofErr w:type="spellEnd"/>
      <w:r w:rsidRPr="003D7CFA">
        <w:rPr>
          <w:smallCaps/>
          <w:u w:val="double"/>
          <w:lang w:val="en-IE"/>
        </w:rPr>
        <w:t xml:space="preserve"> M., Logue C.M.</w:t>
      </w:r>
      <w:r w:rsidRPr="003D7CFA">
        <w:rPr>
          <w:smallCaps/>
          <w:u w:val="double"/>
        </w:rPr>
        <w:t xml:space="preserve">, </w:t>
      </w:r>
      <w:proofErr w:type="spellStart"/>
      <w:r w:rsidRPr="003D7CFA">
        <w:rPr>
          <w:smallCaps/>
          <w:u w:val="double"/>
        </w:rPr>
        <w:t>Mcdougald</w:t>
      </w:r>
      <w:proofErr w:type="spellEnd"/>
      <w:r w:rsidRPr="003D7CFA">
        <w:rPr>
          <w:smallCaps/>
          <w:u w:val="double"/>
        </w:rPr>
        <w:t xml:space="preserve"> L.R., Nair V. &amp; Suarez D.L.,</w:t>
      </w:r>
      <w:r w:rsidRPr="003D7CFA">
        <w:rPr>
          <w:u w:val="double"/>
        </w:rPr>
        <w:t xml:space="preserve"> eds (2020)</w:t>
      </w:r>
      <w:r w:rsidRPr="003D7CFA">
        <w:rPr>
          <w:i/>
          <w:iCs/>
          <w:u w:val="double"/>
        </w:rPr>
        <w:t xml:space="preserve"> In:</w:t>
      </w:r>
      <w:r w:rsidRPr="003D7CFA">
        <w:rPr>
          <w:u w:val="double"/>
        </w:rPr>
        <w:t xml:space="preserve"> Diseases of Poultry, 14th Edition. </w:t>
      </w:r>
      <w:r w:rsidRPr="003D7CFA">
        <w:rPr>
          <w:u w:val="double"/>
          <w:lang w:val="en-IE"/>
        </w:rPr>
        <w:t>John Wiley &amp; Sons, Hoboken, NJ, USA</w:t>
      </w:r>
      <w:r w:rsidRPr="003D7CFA">
        <w:rPr>
          <w:u w:val="double"/>
        </w:rPr>
        <w:t>.</w:t>
      </w:r>
    </w:p>
    <w:p w14:paraId="6930ECE4" w14:textId="77777777" w:rsidR="00FB52DE" w:rsidRPr="00FD4D88" w:rsidRDefault="00FB52DE" w:rsidP="009A1D56">
      <w:pPr>
        <w:pStyle w:val="StyleRefGauche0cmPremireligne0cmAprs10pt"/>
      </w:pPr>
      <w:r w:rsidRPr="00FD4D88">
        <w:rPr>
          <w:smallCaps/>
        </w:rPr>
        <w:t xml:space="preserve">Tanaka M., Takuma H., </w:t>
      </w:r>
      <w:proofErr w:type="spellStart"/>
      <w:r w:rsidRPr="00FD4D88">
        <w:rPr>
          <w:smallCaps/>
        </w:rPr>
        <w:t>Kokumai</w:t>
      </w:r>
      <w:proofErr w:type="spellEnd"/>
      <w:r w:rsidRPr="00FD4D88">
        <w:rPr>
          <w:smallCaps/>
        </w:rPr>
        <w:t xml:space="preserve"> N., Oishi E., Obi T., Hiramatsu K. &amp; Shimizu Y. (1995</w:t>
      </w:r>
      <w:r w:rsidRPr="00FD4D88">
        <w:t xml:space="preserve">). </w:t>
      </w:r>
      <w:smartTag w:uri="urn:schemas-microsoft-com:office:smarttags" w:element="country-region">
        <w:r w:rsidRPr="00FD4D88">
          <w:t>Turkey</w:t>
        </w:r>
      </w:smartTag>
      <w:r w:rsidRPr="00FD4D88">
        <w:t xml:space="preserve"> rhinotracheitis virus isolated from broiler chicken with swollen head syndrome in </w:t>
      </w:r>
      <w:smartTag w:uri="urn:schemas-microsoft-com:office:smarttags" w:element="place">
        <w:smartTag w:uri="urn:schemas-microsoft-com:office:smarttags" w:element="country-region">
          <w:r w:rsidRPr="00FD4D88">
            <w:t>Japan</w:t>
          </w:r>
        </w:smartTag>
      </w:smartTag>
      <w:r w:rsidRPr="00FD4D88">
        <w:t xml:space="preserve">. </w:t>
      </w:r>
      <w:r w:rsidRPr="00FD4D88">
        <w:rPr>
          <w:i/>
          <w:iCs/>
        </w:rPr>
        <w:t>J. Vet. Med. Sci</w:t>
      </w:r>
      <w:r w:rsidRPr="00FD4D88">
        <w:t xml:space="preserve">., </w:t>
      </w:r>
      <w:r w:rsidRPr="00FD4D88">
        <w:rPr>
          <w:b/>
        </w:rPr>
        <w:t>57</w:t>
      </w:r>
      <w:r w:rsidRPr="00FD4D88">
        <w:t>, 939–945.</w:t>
      </w:r>
    </w:p>
    <w:p w14:paraId="14FCC491" w14:textId="7B42E2A2" w:rsidR="00FB52DE" w:rsidRPr="009733A1" w:rsidRDefault="00FB52DE" w:rsidP="009A1D56">
      <w:pPr>
        <w:pStyle w:val="StyleRefGauche0cmPremireligne0cmAprs10pt"/>
        <w:rPr>
          <w:strike/>
          <w:lang w:val="fr-FR"/>
        </w:rPr>
      </w:pPr>
      <w:proofErr w:type="spellStart"/>
      <w:r w:rsidRPr="009733A1">
        <w:rPr>
          <w:smallCaps/>
          <w:strike/>
        </w:rPr>
        <w:t>Toquin</w:t>
      </w:r>
      <w:proofErr w:type="spellEnd"/>
      <w:r w:rsidRPr="009733A1">
        <w:rPr>
          <w:smallCaps/>
          <w:strike/>
        </w:rPr>
        <w:t xml:space="preserve"> D., </w:t>
      </w:r>
      <w:proofErr w:type="spellStart"/>
      <w:r w:rsidRPr="009733A1">
        <w:rPr>
          <w:smallCaps/>
          <w:strike/>
        </w:rPr>
        <w:t>Bayon-Auboyer</w:t>
      </w:r>
      <w:proofErr w:type="spellEnd"/>
      <w:r w:rsidRPr="009733A1">
        <w:rPr>
          <w:smallCaps/>
          <w:strike/>
        </w:rPr>
        <w:t xml:space="preserve"> M.H., </w:t>
      </w:r>
      <w:proofErr w:type="spellStart"/>
      <w:r w:rsidRPr="009733A1">
        <w:rPr>
          <w:smallCaps/>
          <w:strike/>
        </w:rPr>
        <w:t>Eterradossi</w:t>
      </w:r>
      <w:proofErr w:type="spellEnd"/>
      <w:r w:rsidRPr="009733A1">
        <w:rPr>
          <w:smallCaps/>
          <w:strike/>
        </w:rPr>
        <w:t xml:space="preserve"> N., Morin H. &amp; Jestin V.</w:t>
      </w:r>
      <w:r w:rsidRPr="009733A1">
        <w:rPr>
          <w:strike/>
        </w:rPr>
        <w:t xml:space="preserve"> (1999). Isolation of a </w:t>
      </w:r>
      <w:proofErr w:type="spellStart"/>
      <w:r w:rsidRPr="009733A1">
        <w:rPr>
          <w:strike/>
        </w:rPr>
        <w:t>pneumovirus</w:t>
      </w:r>
      <w:proofErr w:type="spellEnd"/>
      <w:r w:rsidRPr="009733A1">
        <w:rPr>
          <w:strike/>
        </w:rPr>
        <w:t xml:space="preserve"> from a Muscovy duck. </w:t>
      </w:r>
      <w:proofErr w:type="spellStart"/>
      <w:r w:rsidRPr="009733A1">
        <w:rPr>
          <w:i/>
          <w:iCs/>
          <w:strike/>
          <w:lang w:val="fr-FR"/>
        </w:rPr>
        <w:t>Vet</w:t>
      </w:r>
      <w:proofErr w:type="spellEnd"/>
      <w:r w:rsidRPr="009733A1">
        <w:rPr>
          <w:i/>
          <w:iCs/>
          <w:strike/>
          <w:lang w:val="fr-FR"/>
        </w:rPr>
        <w:t>. Rec.,</w:t>
      </w:r>
      <w:r w:rsidRPr="009733A1">
        <w:rPr>
          <w:strike/>
          <w:lang w:val="fr-FR"/>
        </w:rPr>
        <w:t xml:space="preserve"> </w:t>
      </w:r>
      <w:r w:rsidRPr="009733A1">
        <w:rPr>
          <w:b/>
          <w:strike/>
          <w:lang w:val="fr-FR"/>
        </w:rPr>
        <w:t>145</w:t>
      </w:r>
      <w:r w:rsidRPr="009733A1">
        <w:rPr>
          <w:bCs/>
          <w:strike/>
          <w:lang w:val="fr-FR"/>
        </w:rPr>
        <w:t xml:space="preserve">, </w:t>
      </w:r>
      <w:r w:rsidRPr="009733A1">
        <w:rPr>
          <w:strike/>
          <w:lang w:val="fr-FR"/>
        </w:rPr>
        <w:t>680.</w:t>
      </w:r>
    </w:p>
    <w:p w14:paraId="400DAB11" w14:textId="44083814" w:rsidR="00FB52DE" w:rsidRPr="009733A1" w:rsidRDefault="00044AF7" w:rsidP="009A1D56">
      <w:pPr>
        <w:pStyle w:val="StyleRefGauche0cmPremireligne0cmAprs10pt"/>
        <w:rPr>
          <w:strike/>
          <w:lang w:val="fr-FR"/>
        </w:rPr>
      </w:pPr>
      <w:r w:rsidRPr="009733A1">
        <w:rPr>
          <w:smallCaps/>
          <w:strike/>
          <w:lang w:val="fr-FR"/>
        </w:rPr>
        <w:t>Toquin D., B</w:t>
      </w:r>
      <w:r w:rsidR="00C94963" w:rsidRPr="009733A1">
        <w:rPr>
          <w:smallCaps/>
          <w:strike/>
          <w:lang w:val="fr-FR"/>
        </w:rPr>
        <w:t>a</w:t>
      </w:r>
      <w:r w:rsidRPr="009733A1">
        <w:rPr>
          <w:smallCaps/>
          <w:strike/>
          <w:lang w:val="fr-FR"/>
        </w:rPr>
        <w:t>yon-</w:t>
      </w:r>
      <w:proofErr w:type="spellStart"/>
      <w:r w:rsidRPr="009733A1">
        <w:rPr>
          <w:smallCaps/>
          <w:strike/>
          <w:lang w:val="fr-FR"/>
        </w:rPr>
        <w:t>Auboyer</w:t>
      </w:r>
      <w:proofErr w:type="spellEnd"/>
      <w:r w:rsidRPr="009733A1">
        <w:rPr>
          <w:smallCaps/>
          <w:strike/>
          <w:lang w:val="fr-FR"/>
        </w:rPr>
        <w:t xml:space="preserve"> M.H., Senne D. &amp; </w:t>
      </w:r>
      <w:proofErr w:type="spellStart"/>
      <w:r w:rsidRPr="009733A1">
        <w:rPr>
          <w:smallCaps/>
          <w:strike/>
          <w:lang w:val="fr-FR"/>
        </w:rPr>
        <w:t>Eterradossi</w:t>
      </w:r>
      <w:proofErr w:type="spellEnd"/>
      <w:r w:rsidRPr="009733A1">
        <w:rPr>
          <w:smallCaps/>
          <w:strike/>
          <w:lang w:val="fr-FR"/>
        </w:rPr>
        <w:t xml:space="preserve"> N.</w:t>
      </w:r>
      <w:r w:rsidRPr="009733A1">
        <w:rPr>
          <w:bCs/>
          <w:strike/>
          <w:lang w:val="fr-FR"/>
        </w:rPr>
        <w:t xml:space="preserve"> </w:t>
      </w:r>
      <w:r w:rsidR="00FB52DE" w:rsidRPr="009733A1">
        <w:rPr>
          <w:bCs/>
          <w:strike/>
          <w:lang w:val="fr-FR"/>
        </w:rPr>
        <w:t>(2000)</w:t>
      </w:r>
      <w:r w:rsidR="00FB52DE" w:rsidRPr="009733A1">
        <w:rPr>
          <w:strike/>
          <w:lang w:val="fr-FR"/>
        </w:rPr>
        <w:t xml:space="preserve">. </w:t>
      </w:r>
      <w:r w:rsidR="00FB52DE" w:rsidRPr="009733A1">
        <w:rPr>
          <w:strike/>
        </w:rPr>
        <w:t xml:space="preserve">Lack of antigenic relationship between early French and recent North-American </w:t>
      </w:r>
      <w:r w:rsidR="00E41DB0" w:rsidRPr="009733A1">
        <w:rPr>
          <w:strike/>
        </w:rPr>
        <w:t>n</w:t>
      </w:r>
      <w:r w:rsidR="00FB52DE" w:rsidRPr="009733A1">
        <w:rPr>
          <w:strike/>
        </w:rPr>
        <w:t xml:space="preserve">on-A </w:t>
      </w:r>
      <w:r w:rsidR="00E41DB0" w:rsidRPr="009733A1">
        <w:rPr>
          <w:strike/>
        </w:rPr>
        <w:t>n</w:t>
      </w:r>
      <w:r w:rsidR="00FB52DE" w:rsidRPr="009733A1">
        <w:rPr>
          <w:strike/>
        </w:rPr>
        <w:t xml:space="preserve">on-B </w:t>
      </w:r>
      <w:r w:rsidR="00E41DB0" w:rsidRPr="009733A1">
        <w:rPr>
          <w:strike/>
        </w:rPr>
        <w:t>t</w:t>
      </w:r>
      <w:r w:rsidR="00FB52DE" w:rsidRPr="009733A1">
        <w:rPr>
          <w:strike/>
        </w:rPr>
        <w:t xml:space="preserve">urkey rhinotracheitis viruses. </w:t>
      </w:r>
      <w:proofErr w:type="spellStart"/>
      <w:r w:rsidR="00FB52DE" w:rsidRPr="009733A1">
        <w:rPr>
          <w:i/>
          <w:strike/>
          <w:lang w:val="fr-FR"/>
        </w:rPr>
        <w:t>Avian</w:t>
      </w:r>
      <w:proofErr w:type="spellEnd"/>
      <w:r w:rsidR="00FB52DE" w:rsidRPr="009733A1">
        <w:rPr>
          <w:i/>
          <w:strike/>
          <w:lang w:val="fr-FR"/>
        </w:rPr>
        <w:t xml:space="preserve"> Dis</w:t>
      </w:r>
      <w:r w:rsidR="00E41DB0" w:rsidRPr="009733A1">
        <w:rPr>
          <w:strike/>
          <w:lang w:val="fr-FR"/>
        </w:rPr>
        <w:t>.</w:t>
      </w:r>
      <w:r w:rsidR="00FB52DE" w:rsidRPr="009733A1">
        <w:rPr>
          <w:strike/>
          <w:lang w:val="fr-FR"/>
        </w:rPr>
        <w:t>, 44, 977</w:t>
      </w:r>
      <w:r w:rsidR="00E41DB0" w:rsidRPr="009733A1">
        <w:rPr>
          <w:strike/>
          <w:lang w:val="fr-FR"/>
        </w:rPr>
        <w:t>–</w:t>
      </w:r>
      <w:r w:rsidR="00FB52DE" w:rsidRPr="009733A1">
        <w:rPr>
          <w:strike/>
          <w:lang w:val="fr-FR"/>
        </w:rPr>
        <w:t>982.</w:t>
      </w:r>
    </w:p>
    <w:p w14:paraId="67689473" w14:textId="77777777" w:rsidR="00FB52DE" w:rsidRPr="009E2F26" w:rsidRDefault="00FB52DE" w:rsidP="009A1D56">
      <w:pPr>
        <w:pStyle w:val="StyleRefGauche0cmPremireligne0cmAprs10pt"/>
        <w:rPr>
          <w:lang w:val="en-US"/>
        </w:rPr>
      </w:pPr>
      <w:r w:rsidRPr="009E2F26">
        <w:rPr>
          <w:smallCaps/>
          <w:lang w:val="fr-FR"/>
        </w:rPr>
        <w:t xml:space="preserve">Toquin D., De </w:t>
      </w:r>
      <w:proofErr w:type="spellStart"/>
      <w:r w:rsidRPr="009E2F26">
        <w:rPr>
          <w:smallCaps/>
          <w:lang w:val="fr-FR"/>
        </w:rPr>
        <w:t>Boisseson</w:t>
      </w:r>
      <w:proofErr w:type="spellEnd"/>
      <w:r w:rsidRPr="009E2F26">
        <w:rPr>
          <w:smallCaps/>
          <w:lang w:val="fr-FR"/>
        </w:rPr>
        <w:t xml:space="preserve"> C., </w:t>
      </w:r>
      <w:proofErr w:type="spellStart"/>
      <w:r w:rsidRPr="009E2F26">
        <w:rPr>
          <w:smallCaps/>
          <w:lang w:val="fr-FR"/>
        </w:rPr>
        <w:t>Beven</w:t>
      </w:r>
      <w:proofErr w:type="spellEnd"/>
      <w:r w:rsidRPr="009E2F26">
        <w:rPr>
          <w:smallCaps/>
          <w:lang w:val="fr-FR"/>
        </w:rPr>
        <w:t xml:space="preserve"> V., Senne D.A. &amp; </w:t>
      </w:r>
      <w:proofErr w:type="spellStart"/>
      <w:r w:rsidRPr="009E2F26">
        <w:rPr>
          <w:smallCaps/>
          <w:lang w:val="fr-FR"/>
        </w:rPr>
        <w:t>Eterradossi</w:t>
      </w:r>
      <w:proofErr w:type="spellEnd"/>
      <w:r w:rsidRPr="009E2F26">
        <w:rPr>
          <w:smallCaps/>
          <w:lang w:val="fr-FR"/>
        </w:rPr>
        <w:t xml:space="preserve"> N. (2003</w:t>
      </w:r>
      <w:r w:rsidRPr="009E2F26">
        <w:rPr>
          <w:lang w:val="fr-FR"/>
        </w:rPr>
        <w:t xml:space="preserve">). </w:t>
      </w:r>
      <w:r w:rsidRPr="009E2F26">
        <w:rPr>
          <w:lang w:val="en-US"/>
        </w:rPr>
        <w:t xml:space="preserve">Subgroup C avian metapneumovirus (MPV) and the recently isolated human MPV exhibit a common organization but have extensive sequence divergence in their putative SH and G genes. </w:t>
      </w:r>
      <w:r w:rsidRPr="009E2F26">
        <w:rPr>
          <w:i/>
          <w:iCs/>
          <w:lang w:val="en-US"/>
        </w:rPr>
        <w:t xml:space="preserve">J. Gen. </w:t>
      </w:r>
      <w:proofErr w:type="spellStart"/>
      <w:r w:rsidRPr="009E2F26">
        <w:rPr>
          <w:i/>
          <w:iCs/>
          <w:lang w:val="en-US"/>
        </w:rPr>
        <w:t>Virol</w:t>
      </w:r>
      <w:proofErr w:type="spellEnd"/>
      <w:r w:rsidRPr="009E2F26">
        <w:rPr>
          <w:lang w:val="en-US"/>
        </w:rPr>
        <w:t xml:space="preserve">., </w:t>
      </w:r>
      <w:r w:rsidRPr="009E2F26">
        <w:rPr>
          <w:b/>
          <w:lang w:val="en-US"/>
        </w:rPr>
        <w:t>84</w:t>
      </w:r>
      <w:r w:rsidRPr="009E2F26">
        <w:rPr>
          <w:lang w:val="en-US"/>
        </w:rPr>
        <w:t>, 2169–2178.</w:t>
      </w:r>
    </w:p>
    <w:p w14:paraId="3213E17C" w14:textId="77777777" w:rsidR="002C2AED" w:rsidRPr="007662DA" w:rsidRDefault="002C2AED" w:rsidP="009A1D56">
      <w:pPr>
        <w:pStyle w:val="StyleRefGauche0cmPremireligne0cmAprs10pt"/>
        <w:rPr>
          <w:lang w:val="nl-NL"/>
        </w:rPr>
      </w:pPr>
      <w:proofErr w:type="spellStart"/>
      <w:r w:rsidRPr="00C94963">
        <w:rPr>
          <w:smallCaps/>
        </w:rPr>
        <w:t>Toquin</w:t>
      </w:r>
      <w:proofErr w:type="spellEnd"/>
      <w:r w:rsidRPr="00C94963">
        <w:rPr>
          <w:smallCaps/>
        </w:rPr>
        <w:t xml:space="preserve"> D., </w:t>
      </w:r>
      <w:proofErr w:type="spellStart"/>
      <w:r w:rsidRPr="00C94963">
        <w:rPr>
          <w:smallCaps/>
        </w:rPr>
        <w:t>Guionie</w:t>
      </w:r>
      <w:proofErr w:type="spellEnd"/>
      <w:r w:rsidRPr="00C94963">
        <w:rPr>
          <w:smallCaps/>
        </w:rPr>
        <w:t xml:space="preserve"> O., Jestin V., </w:t>
      </w:r>
      <w:proofErr w:type="spellStart"/>
      <w:r w:rsidRPr="00C94963">
        <w:rPr>
          <w:smallCaps/>
        </w:rPr>
        <w:t>Zwingelstein</w:t>
      </w:r>
      <w:proofErr w:type="spellEnd"/>
      <w:r w:rsidRPr="00C94963">
        <w:rPr>
          <w:smallCaps/>
        </w:rPr>
        <w:t xml:space="preserve"> F., Allee C. &amp; </w:t>
      </w:r>
      <w:proofErr w:type="spellStart"/>
      <w:r w:rsidRPr="00C94963">
        <w:rPr>
          <w:smallCaps/>
        </w:rPr>
        <w:t>Eterradossi</w:t>
      </w:r>
      <w:proofErr w:type="spellEnd"/>
      <w:r w:rsidRPr="00C94963">
        <w:rPr>
          <w:smallCaps/>
        </w:rPr>
        <w:t xml:space="preserve"> N</w:t>
      </w:r>
      <w:r w:rsidRPr="00C94963">
        <w:t xml:space="preserve">. (2006) European and American subgroup C isolates of avian metapneumovirus belong to different genetic lineages. </w:t>
      </w:r>
      <w:r w:rsidRPr="007662DA">
        <w:rPr>
          <w:i/>
          <w:lang w:val="nl-NL"/>
        </w:rPr>
        <w:t>Virus Genes,</w:t>
      </w:r>
      <w:r w:rsidRPr="007662DA">
        <w:rPr>
          <w:lang w:val="nl-NL"/>
        </w:rPr>
        <w:t xml:space="preserve"> </w:t>
      </w:r>
      <w:r w:rsidRPr="007662DA">
        <w:rPr>
          <w:b/>
          <w:lang w:val="nl-NL"/>
        </w:rPr>
        <w:t>32</w:t>
      </w:r>
      <w:r w:rsidRPr="007662DA">
        <w:rPr>
          <w:lang w:val="nl-NL"/>
        </w:rPr>
        <w:t>, 97–103.</w:t>
      </w:r>
    </w:p>
    <w:p w14:paraId="3FBE267E" w14:textId="043922DC" w:rsidR="00FB52DE" w:rsidRPr="00FD4D88" w:rsidRDefault="00FB52DE" w:rsidP="009A1D56">
      <w:pPr>
        <w:pStyle w:val="StyleRefGauche0cmPremireligne0cmAprs10pt"/>
        <w:rPr>
          <w:lang w:val="nl-NL"/>
        </w:rPr>
      </w:pPr>
      <w:r w:rsidRPr="00FD4D88">
        <w:rPr>
          <w:smallCaps/>
          <w:lang w:val="nl-NL"/>
        </w:rPr>
        <w:t>Van den Hoogen B.G., De Jong J.C., Groen J., Kuiken T., De Groot R., Fouchier R.A</w:t>
      </w:r>
      <w:r w:rsidR="00283403" w:rsidRPr="00FD4D88">
        <w:rPr>
          <w:smallCaps/>
          <w:lang w:val="nl-NL"/>
        </w:rPr>
        <w:t>.</w:t>
      </w:r>
      <w:r w:rsidRPr="00FD4D88">
        <w:rPr>
          <w:smallCaps/>
          <w:lang w:val="nl-NL"/>
        </w:rPr>
        <w:t>M.</w:t>
      </w:r>
      <w:r w:rsidR="00AF1CF9" w:rsidRPr="00FD4D88">
        <w:rPr>
          <w:smallCaps/>
          <w:lang w:val="nl-NL"/>
        </w:rPr>
        <w:t xml:space="preserve"> &amp;</w:t>
      </w:r>
      <w:r w:rsidRPr="00FD4D88">
        <w:rPr>
          <w:smallCaps/>
          <w:lang w:val="nl-NL"/>
        </w:rPr>
        <w:t xml:space="preserve"> Osterhaus A.D.M.E.</w:t>
      </w:r>
      <w:r w:rsidRPr="00FD4D88">
        <w:rPr>
          <w:lang w:val="nl-NL"/>
        </w:rPr>
        <w:t xml:space="preserve"> (2001)</w:t>
      </w:r>
      <w:r w:rsidR="00FD4D88" w:rsidRPr="00FD4D88">
        <w:rPr>
          <w:lang w:val="nl-NL"/>
        </w:rPr>
        <w:t>.</w:t>
      </w:r>
      <w:r w:rsidRPr="00FD4D88">
        <w:rPr>
          <w:lang w:val="nl-NL"/>
        </w:rPr>
        <w:t xml:space="preserve"> </w:t>
      </w:r>
      <w:r w:rsidRPr="00FD4D88">
        <w:t xml:space="preserve">A newly discovered human </w:t>
      </w:r>
      <w:proofErr w:type="spellStart"/>
      <w:r w:rsidRPr="00FD4D88">
        <w:t>pneumovirus</w:t>
      </w:r>
      <w:proofErr w:type="spellEnd"/>
      <w:r w:rsidRPr="00FD4D88">
        <w:t xml:space="preserve"> isolated from young children with respiratory tract disease. </w:t>
      </w:r>
      <w:r w:rsidRPr="00FD4D88">
        <w:rPr>
          <w:i/>
          <w:lang w:val="nl-NL"/>
        </w:rPr>
        <w:t>Nature Med</w:t>
      </w:r>
      <w:r w:rsidR="003538A1" w:rsidRPr="00FD4D88">
        <w:rPr>
          <w:lang w:val="nl-NL"/>
        </w:rPr>
        <w:t>.</w:t>
      </w:r>
      <w:r w:rsidRPr="00FD4D88">
        <w:rPr>
          <w:lang w:val="nl-NL"/>
        </w:rPr>
        <w:t xml:space="preserve">, </w:t>
      </w:r>
      <w:r w:rsidRPr="00FD4D88">
        <w:rPr>
          <w:b/>
          <w:lang w:val="nl-NL"/>
        </w:rPr>
        <w:t>7</w:t>
      </w:r>
      <w:r w:rsidRPr="00FD4D88">
        <w:rPr>
          <w:lang w:val="nl-NL"/>
        </w:rPr>
        <w:t>, 719</w:t>
      </w:r>
      <w:r w:rsidR="00E41DB0" w:rsidRPr="00FD4D88">
        <w:rPr>
          <w:lang w:val="nl-NL"/>
        </w:rPr>
        <w:t>–</w:t>
      </w:r>
      <w:r w:rsidRPr="00FD4D88">
        <w:rPr>
          <w:lang w:val="nl-NL"/>
        </w:rPr>
        <w:t>724.</w:t>
      </w:r>
    </w:p>
    <w:p w14:paraId="7CD77E72" w14:textId="77777777" w:rsidR="00FB52DE" w:rsidRPr="007879D4" w:rsidRDefault="00FB52DE" w:rsidP="009A1D56">
      <w:pPr>
        <w:pStyle w:val="StyleRefGauche0cmPremireligne0cmAprs10pt"/>
        <w:rPr>
          <w:lang w:val="nl-NL"/>
        </w:rPr>
      </w:pPr>
      <w:r w:rsidRPr="007879D4">
        <w:rPr>
          <w:smallCaps/>
          <w:lang w:val="nl-NL"/>
        </w:rPr>
        <w:t>Van De</w:t>
      </w:r>
      <w:r w:rsidRPr="007879D4">
        <w:rPr>
          <w:lang w:val="nl-NL"/>
        </w:rPr>
        <w:t xml:space="preserve"> </w:t>
      </w:r>
      <w:r w:rsidRPr="007879D4">
        <w:rPr>
          <w:smallCaps/>
          <w:lang w:val="nl-NL"/>
        </w:rPr>
        <w:t xml:space="preserve">Zande S., Nauwynck H., De Jonghe S. &amp; Pensaert M. </w:t>
      </w:r>
      <w:r w:rsidRPr="007879D4">
        <w:rPr>
          <w:lang w:val="nl-NL"/>
        </w:rPr>
        <w:t xml:space="preserve">(1999). </w:t>
      </w:r>
      <w:r w:rsidRPr="007879D4">
        <w:t xml:space="preserve">Comparative pathogenesis of a subtype A with a subtype B avian </w:t>
      </w:r>
      <w:proofErr w:type="spellStart"/>
      <w:r w:rsidRPr="007879D4">
        <w:t>pneumovirus</w:t>
      </w:r>
      <w:proofErr w:type="spellEnd"/>
      <w:r w:rsidRPr="007879D4">
        <w:t xml:space="preserve"> in turkeys. </w:t>
      </w:r>
      <w:r w:rsidRPr="007879D4">
        <w:rPr>
          <w:i/>
          <w:iCs/>
          <w:lang w:val="nl-NL"/>
        </w:rPr>
        <w:t>Avian Pathol.,</w:t>
      </w:r>
      <w:r w:rsidRPr="007879D4">
        <w:rPr>
          <w:lang w:val="nl-NL"/>
        </w:rPr>
        <w:t xml:space="preserve"> </w:t>
      </w:r>
      <w:r w:rsidRPr="007879D4">
        <w:rPr>
          <w:b/>
          <w:lang w:val="nl-NL"/>
        </w:rPr>
        <w:t>28</w:t>
      </w:r>
      <w:r w:rsidRPr="007879D4">
        <w:rPr>
          <w:lang w:val="nl-NL"/>
        </w:rPr>
        <w:t>, 239–244.</w:t>
      </w:r>
    </w:p>
    <w:p w14:paraId="721AD0F9" w14:textId="77777777" w:rsidR="002F38C9" w:rsidRPr="00326277" w:rsidRDefault="002F38C9" w:rsidP="009A1D56">
      <w:pPr>
        <w:pStyle w:val="StyleRefGauche0cmPremireligne0cmAprs10pt"/>
      </w:pPr>
      <w:r w:rsidRPr="00326277">
        <w:rPr>
          <w:smallCaps/>
          <w:lang w:val="nl-NL"/>
        </w:rPr>
        <w:t>Van De</w:t>
      </w:r>
      <w:r w:rsidRPr="00326277">
        <w:rPr>
          <w:lang w:val="nl-NL"/>
        </w:rPr>
        <w:t xml:space="preserve"> </w:t>
      </w:r>
      <w:r w:rsidRPr="00326277">
        <w:rPr>
          <w:smallCaps/>
          <w:lang w:val="nl-NL"/>
        </w:rPr>
        <w:t>Zande S., Nauwynck H., Naylor C. &amp; Pensaert M.</w:t>
      </w:r>
      <w:r w:rsidRPr="00326277">
        <w:rPr>
          <w:lang w:val="nl-NL"/>
        </w:rPr>
        <w:t xml:space="preserve"> (2000). </w:t>
      </w:r>
      <w:r w:rsidRPr="00326277">
        <w:t xml:space="preserve">Duration of cross-protection between subtypes A and B avian </w:t>
      </w:r>
      <w:proofErr w:type="spellStart"/>
      <w:r w:rsidRPr="00326277">
        <w:t>pneumovirus</w:t>
      </w:r>
      <w:proofErr w:type="spellEnd"/>
      <w:r w:rsidRPr="00326277">
        <w:t xml:space="preserve"> in turkeys. </w:t>
      </w:r>
      <w:r w:rsidRPr="00326277">
        <w:rPr>
          <w:i/>
          <w:iCs/>
        </w:rPr>
        <w:t>Vet. Rec.,</w:t>
      </w:r>
      <w:r w:rsidRPr="00326277">
        <w:t xml:space="preserve"> </w:t>
      </w:r>
      <w:r w:rsidRPr="00326277">
        <w:rPr>
          <w:b/>
          <w:bCs/>
        </w:rPr>
        <w:t>147</w:t>
      </w:r>
      <w:r w:rsidRPr="00326277">
        <w:rPr>
          <w:bCs/>
        </w:rPr>
        <w:t xml:space="preserve">, </w:t>
      </w:r>
      <w:r w:rsidRPr="00326277">
        <w:t>132–134.</w:t>
      </w:r>
    </w:p>
    <w:p w14:paraId="09CFE083" w14:textId="77777777" w:rsidR="002C2AED" w:rsidRPr="007879D4" w:rsidRDefault="002C2AED" w:rsidP="009A1D56">
      <w:pPr>
        <w:pStyle w:val="StyleRefGauche0cmPremireligne0cmAprs10pt"/>
      </w:pPr>
      <w:r w:rsidRPr="007879D4">
        <w:rPr>
          <w:smallCaps/>
        </w:rPr>
        <w:t xml:space="preserve">Van Loock M, Loots K, Zande SV, Heerden MV, </w:t>
      </w:r>
      <w:proofErr w:type="spellStart"/>
      <w:r w:rsidRPr="007879D4">
        <w:rPr>
          <w:smallCaps/>
        </w:rPr>
        <w:t>Nauwynck</w:t>
      </w:r>
      <w:proofErr w:type="spellEnd"/>
      <w:r w:rsidRPr="007879D4">
        <w:rPr>
          <w:smallCaps/>
        </w:rPr>
        <w:t xml:space="preserve"> H, </w:t>
      </w:r>
      <w:proofErr w:type="spellStart"/>
      <w:r w:rsidRPr="007879D4">
        <w:rPr>
          <w:smallCaps/>
        </w:rPr>
        <w:t>Goddeeris</w:t>
      </w:r>
      <w:proofErr w:type="spellEnd"/>
      <w:r w:rsidRPr="007879D4">
        <w:rPr>
          <w:smallCaps/>
        </w:rPr>
        <w:t xml:space="preserve"> BM, </w:t>
      </w:r>
      <w:proofErr w:type="spellStart"/>
      <w:r w:rsidRPr="007879D4">
        <w:rPr>
          <w:smallCaps/>
        </w:rPr>
        <w:t>Vanrompay</w:t>
      </w:r>
      <w:proofErr w:type="spellEnd"/>
      <w:r w:rsidRPr="007879D4">
        <w:rPr>
          <w:smallCaps/>
        </w:rPr>
        <w:t xml:space="preserve"> D. (2006)</w:t>
      </w:r>
      <w:r w:rsidRPr="007879D4">
        <w:t xml:space="preserve"> Pathogenic interactions between </w:t>
      </w:r>
      <w:r w:rsidRPr="007879D4">
        <w:rPr>
          <w:i/>
        </w:rPr>
        <w:t xml:space="preserve">Chlamydophila </w:t>
      </w:r>
      <w:proofErr w:type="spellStart"/>
      <w:r w:rsidRPr="007879D4">
        <w:rPr>
          <w:i/>
        </w:rPr>
        <w:t>psittaci</w:t>
      </w:r>
      <w:proofErr w:type="spellEnd"/>
      <w:r w:rsidRPr="007879D4">
        <w:t xml:space="preserve"> and avian </w:t>
      </w:r>
      <w:proofErr w:type="spellStart"/>
      <w:r w:rsidRPr="007879D4">
        <w:t>pneumovirus</w:t>
      </w:r>
      <w:proofErr w:type="spellEnd"/>
      <w:r w:rsidRPr="007879D4">
        <w:t xml:space="preserve"> infections in turkeys. </w:t>
      </w:r>
      <w:r w:rsidRPr="007879D4">
        <w:rPr>
          <w:i/>
        </w:rPr>
        <w:t xml:space="preserve">Vet. </w:t>
      </w:r>
      <w:proofErr w:type="spellStart"/>
      <w:r w:rsidRPr="007879D4">
        <w:rPr>
          <w:i/>
        </w:rPr>
        <w:t>Microbiol</w:t>
      </w:r>
      <w:proofErr w:type="spellEnd"/>
      <w:r w:rsidRPr="007879D4">
        <w:rPr>
          <w:i/>
        </w:rPr>
        <w:t>.,</w:t>
      </w:r>
      <w:r w:rsidRPr="007879D4">
        <w:t xml:space="preserve"> </w:t>
      </w:r>
      <w:r w:rsidRPr="007879D4">
        <w:rPr>
          <w:b/>
        </w:rPr>
        <w:t>10</w:t>
      </w:r>
      <w:r w:rsidRPr="007879D4">
        <w:t>, 53–63.</w:t>
      </w:r>
    </w:p>
    <w:p w14:paraId="06E4C567" w14:textId="1A930F01" w:rsidR="00FB52DE" w:rsidRPr="00326277" w:rsidRDefault="00FB52DE" w:rsidP="009A1D56">
      <w:pPr>
        <w:pStyle w:val="StyleRefGauche0cmPremireligne0cmAprs10pt"/>
      </w:pPr>
      <w:proofErr w:type="spellStart"/>
      <w:r w:rsidRPr="00326277">
        <w:rPr>
          <w:smallCaps/>
        </w:rPr>
        <w:lastRenderedPageBreak/>
        <w:t>Velayudhan</w:t>
      </w:r>
      <w:proofErr w:type="spellEnd"/>
      <w:r w:rsidRPr="00326277">
        <w:rPr>
          <w:smallCaps/>
        </w:rPr>
        <w:t xml:space="preserve"> B.T., </w:t>
      </w:r>
      <w:proofErr w:type="spellStart"/>
      <w:r w:rsidRPr="00326277">
        <w:rPr>
          <w:smallCaps/>
        </w:rPr>
        <w:t>McComb</w:t>
      </w:r>
      <w:proofErr w:type="spellEnd"/>
      <w:r w:rsidRPr="00326277">
        <w:rPr>
          <w:smallCaps/>
        </w:rPr>
        <w:t xml:space="preserve"> B., Bennett R.S., Lopes V.C., Shaw D., Halvorson D.A., Nagaraja K.V.</w:t>
      </w:r>
      <w:r w:rsidRPr="00326277">
        <w:t xml:space="preserve"> (2005). Emergence of a virulent type C avian metapneumovirus in turkeys in Minnesota. </w:t>
      </w:r>
      <w:r w:rsidRPr="00326277">
        <w:rPr>
          <w:i/>
          <w:iCs/>
        </w:rPr>
        <w:t>Avian Dis</w:t>
      </w:r>
      <w:r w:rsidRPr="00326277">
        <w:t xml:space="preserve">., </w:t>
      </w:r>
      <w:r w:rsidRPr="00326277">
        <w:rPr>
          <w:b/>
        </w:rPr>
        <w:t>49</w:t>
      </w:r>
      <w:r w:rsidRPr="00326277">
        <w:t>, 520–526.</w:t>
      </w:r>
    </w:p>
    <w:p w14:paraId="16B346B3" w14:textId="70C2CACE" w:rsidR="00A77CFB" w:rsidRPr="003407D5" w:rsidRDefault="00A77CFB" w:rsidP="009A1D56">
      <w:pPr>
        <w:pStyle w:val="StyleRefGauche0cmPremireligne0cmAprs10pt"/>
        <w:rPr>
          <w:u w:val="double"/>
        </w:rPr>
      </w:pPr>
      <w:r w:rsidRPr="003407D5">
        <w:rPr>
          <w:smallCaps/>
          <w:u w:val="double"/>
        </w:rPr>
        <w:t>Williams R. A., Savage</w:t>
      </w:r>
      <w:r w:rsidR="00B4411E" w:rsidRPr="003407D5">
        <w:rPr>
          <w:smallCaps/>
          <w:u w:val="double"/>
        </w:rPr>
        <w:t xml:space="preserve"> C.E.</w:t>
      </w:r>
      <w:r w:rsidRPr="003407D5">
        <w:rPr>
          <w:smallCaps/>
          <w:u w:val="double"/>
        </w:rPr>
        <w:t>, Worthington</w:t>
      </w:r>
      <w:r w:rsidR="00B4411E" w:rsidRPr="003407D5">
        <w:rPr>
          <w:smallCaps/>
          <w:u w:val="double"/>
        </w:rPr>
        <w:t xml:space="preserve"> K.J.</w:t>
      </w:r>
      <w:r w:rsidRPr="003407D5">
        <w:rPr>
          <w:smallCaps/>
          <w:u w:val="double"/>
        </w:rPr>
        <w:t xml:space="preserve"> </w:t>
      </w:r>
      <w:r w:rsidR="00B4411E" w:rsidRPr="003407D5">
        <w:rPr>
          <w:smallCaps/>
          <w:u w:val="double"/>
        </w:rPr>
        <w:t xml:space="preserve">&amp; </w:t>
      </w:r>
      <w:r w:rsidRPr="003407D5">
        <w:rPr>
          <w:smallCaps/>
          <w:u w:val="double"/>
        </w:rPr>
        <w:t xml:space="preserve">Jones </w:t>
      </w:r>
      <w:r w:rsidR="00B4411E" w:rsidRPr="003407D5">
        <w:rPr>
          <w:smallCaps/>
          <w:u w:val="double"/>
        </w:rPr>
        <w:t>R.C.</w:t>
      </w:r>
      <w:r w:rsidR="00B4411E" w:rsidRPr="003407D5">
        <w:rPr>
          <w:u w:val="double"/>
        </w:rPr>
        <w:t xml:space="preserve"> </w:t>
      </w:r>
      <w:r w:rsidRPr="003407D5">
        <w:rPr>
          <w:u w:val="double"/>
        </w:rPr>
        <w:t xml:space="preserve">(1991). Further studies on the development of a live attenuated vaccine against turkey rhinotracheitis. </w:t>
      </w:r>
      <w:r w:rsidRPr="003407D5">
        <w:rPr>
          <w:i/>
          <w:u w:val="double"/>
        </w:rPr>
        <w:t xml:space="preserve">Avian </w:t>
      </w:r>
      <w:proofErr w:type="spellStart"/>
      <w:r w:rsidRPr="003407D5">
        <w:rPr>
          <w:i/>
          <w:u w:val="double"/>
        </w:rPr>
        <w:t>Pathol</w:t>
      </w:r>
      <w:proofErr w:type="spellEnd"/>
      <w:r w:rsidR="00B4411E" w:rsidRPr="003407D5">
        <w:rPr>
          <w:i/>
          <w:u w:val="double"/>
        </w:rPr>
        <w:t>.</w:t>
      </w:r>
      <w:r w:rsidR="00B23683" w:rsidRPr="003407D5">
        <w:rPr>
          <w:i/>
          <w:u w:val="double"/>
        </w:rPr>
        <w:t>,</w:t>
      </w:r>
      <w:r w:rsidRPr="003407D5">
        <w:rPr>
          <w:u w:val="double"/>
        </w:rPr>
        <w:t xml:space="preserve"> </w:t>
      </w:r>
      <w:r w:rsidRPr="003407D5">
        <w:rPr>
          <w:b/>
          <w:u w:val="double"/>
        </w:rPr>
        <w:t>20</w:t>
      </w:r>
      <w:r w:rsidR="00B4411E" w:rsidRPr="003407D5">
        <w:rPr>
          <w:bCs/>
          <w:u w:val="double"/>
        </w:rPr>
        <w:t>,</w:t>
      </w:r>
      <w:r w:rsidRPr="003407D5">
        <w:rPr>
          <w:bCs/>
          <w:u w:val="double"/>
        </w:rPr>
        <w:t xml:space="preserve"> </w:t>
      </w:r>
      <w:r w:rsidRPr="003407D5">
        <w:rPr>
          <w:u w:val="double"/>
        </w:rPr>
        <w:t>585</w:t>
      </w:r>
      <w:r w:rsidR="00B23683" w:rsidRPr="003407D5">
        <w:rPr>
          <w:u w:val="double"/>
        </w:rPr>
        <w:t>–</w:t>
      </w:r>
      <w:r w:rsidRPr="003407D5">
        <w:rPr>
          <w:u w:val="double"/>
        </w:rPr>
        <w:t>596.</w:t>
      </w:r>
    </w:p>
    <w:p w14:paraId="1175C2A8" w14:textId="6DA4E1F9" w:rsidR="00444EF9" w:rsidRPr="009733A1" w:rsidRDefault="00444EF9" w:rsidP="009A1D56">
      <w:pPr>
        <w:pStyle w:val="StyleRefGauche0cmPremireligne0cmAprs10pt"/>
        <w:rPr>
          <w:strike/>
          <w:lang w:val="it-IT"/>
        </w:rPr>
      </w:pPr>
      <w:r w:rsidRPr="009733A1">
        <w:rPr>
          <w:smallCaps/>
          <w:strike/>
        </w:rPr>
        <w:t>Worthington K.J., Sargent B.A., Davelaar F.G. &amp; Jones R.C</w:t>
      </w:r>
      <w:r w:rsidRPr="009733A1">
        <w:rPr>
          <w:strike/>
        </w:rPr>
        <w:t xml:space="preserve">. (2003). Immunity to avian </w:t>
      </w:r>
      <w:proofErr w:type="spellStart"/>
      <w:r w:rsidRPr="009733A1">
        <w:rPr>
          <w:strike/>
        </w:rPr>
        <w:t>pneumovirus</w:t>
      </w:r>
      <w:proofErr w:type="spellEnd"/>
      <w:r w:rsidRPr="009733A1">
        <w:rPr>
          <w:strike/>
        </w:rPr>
        <w:t xml:space="preserve"> infection in turkeys following </w:t>
      </w:r>
      <w:r w:rsidRPr="009733A1">
        <w:rPr>
          <w:i/>
          <w:strike/>
        </w:rPr>
        <w:t xml:space="preserve">in </w:t>
      </w:r>
      <w:proofErr w:type="spellStart"/>
      <w:r w:rsidRPr="009733A1">
        <w:rPr>
          <w:i/>
          <w:strike/>
        </w:rPr>
        <w:t>ovo</w:t>
      </w:r>
      <w:proofErr w:type="spellEnd"/>
      <w:r w:rsidRPr="009733A1">
        <w:rPr>
          <w:strike/>
        </w:rPr>
        <w:t xml:space="preserve"> vaccination with an attenuated vaccine. </w:t>
      </w:r>
      <w:r w:rsidRPr="009733A1">
        <w:rPr>
          <w:i/>
          <w:iCs/>
          <w:strike/>
          <w:lang w:val="it-IT"/>
        </w:rPr>
        <w:t>Vaccine</w:t>
      </w:r>
      <w:r w:rsidRPr="009733A1">
        <w:rPr>
          <w:strike/>
          <w:lang w:val="it-IT"/>
        </w:rPr>
        <w:t xml:space="preserve">, </w:t>
      </w:r>
      <w:r w:rsidRPr="009733A1">
        <w:rPr>
          <w:b/>
          <w:bCs/>
          <w:strike/>
          <w:lang w:val="it-IT"/>
        </w:rPr>
        <w:t>21</w:t>
      </w:r>
      <w:r w:rsidRPr="009733A1">
        <w:rPr>
          <w:strike/>
          <w:lang w:val="it-IT"/>
        </w:rPr>
        <w:t>, 1355–1362.</w:t>
      </w:r>
    </w:p>
    <w:p w14:paraId="6DB97062" w14:textId="77777777" w:rsidR="00FB52DE" w:rsidRPr="003F598E" w:rsidRDefault="00FB52DE" w:rsidP="009A1D56">
      <w:pPr>
        <w:pStyle w:val="StyleRefGauche0cmPremireligne0cmAprs10pt"/>
        <w:rPr>
          <w:lang w:val="en-IE"/>
        </w:rPr>
      </w:pPr>
      <w:r w:rsidRPr="00326277">
        <w:rPr>
          <w:smallCaps/>
          <w:lang w:val="it-IT"/>
        </w:rPr>
        <w:t>Yu Q., Davis P.J., Li J. &amp; Cavanagh D.</w:t>
      </w:r>
      <w:r w:rsidRPr="00326277">
        <w:rPr>
          <w:lang w:val="it-IT"/>
        </w:rPr>
        <w:t xml:space="preserve"> (1992). </w:t>
      </w:r>
      <w:r w:rsidRPr="00326277">
        <w:t xml:space="preserve">Cloning and sequencing of the matrix protein (M) gene of turkey rhinotracheitis virus reveals a gene order different from that of respiratory syncytial virus. </w:t>
      </w:r>
      <w:r w:rsidRPr="00326277">
        <w:rPr>
          <w:i/>
          <w:iCs/>
          <w:lang w:val="en-IE"/>
        </w:rPr>
        <w:t>Virology</w:t>
      </w:r>
      <w:r w:rsidRPr="00326277">
        <w:rPr>
          <w:lang w:val="en-IE"/>
        </w:rPr>
        <w:t xml:space="preserve">, </w:t>
      </w:r>
      <w:r w:rsidRPr="00326277">
        <w:rPr>
          <w:b/>
          <w:lang w:val="en-IE"/>
        </w:rPr>
        <w:t>186</w:t>
      </w:r>
      <w:r w:rsidRPr="00326277">
        <w:rPr>
          <w:lang w:val="en-IE"/>
        </w:rPr>
        <w:t>, 426–434.</w:t>
      </w:r>
    </w:p>
    <w:p w14:paraId="7E195922" w14:textId="77777777" w:rsidR="00FB52DE" w:rsidRPr="00171E83" w:rsidRDefault="00FB52DE">
      <w:pPr>
        <w:pStyle w:val="rtoiles"/>
        <w:rPr>
          <w:sz w:val="18"/>
          <w:lang w:val="en-GB"/>
        </w:rPr>
      </w:pPr>
      <w:bookmarkStart w:id="1" w:name="resmicr"/>
      <w:bookmarkEnd w:id="0"/>
      <w:r w:rsidRPr="00171E83">
        <w:rPr>
          <w:sz w:val="18"/>
          <w:lang w:val="en-GB"/>
        </w:rPr>
        <w:t>*</w:t>
      </w:r>
      <w:r w:rsidRPr="00171E83">
        <w:rPr>
          <w:sz w:val="18"/>
          <w:lang w:val="en-GB"/>
        </w:rPr>
        <w:br/>
        <w:t>*   *</w:t>
      </w:r>
      <w:bookmarkEnd w:id="1"/>
    </w:p>
    <w:p w14:paraId="2D7D5F2B" w14:textId="52D455FF" w:rsidR="003E43C2" w:rsidRDefault="003E43C2" w:rsidP="00421F9D">
      <w:pPr>
        <w:tabs>
          <w:tab w:val="clear" w:pos="-720"/>
        </w:tabs>
        <w:spacing w:before="120" w:after="240" w:line="240" w:lineRule="auto"/>
        <w:jc w:val="center"/>
        <w:rPr>
          <w:rFonts w:ascii="Arial" w:hAnsi="Arial" w:cs="Arial"/>
          <w:sz w:val="18"/>
          <w:szCs w:val="18"/>
          <w:lang w:val="en"/>
        </w:rPr>
      </w:pPr>
      <w:r w:rsidRPr="00D66963">
        <w:rPr>
          <w:rStyle w:val="ReflabnoteCar"/>
          <w:b/>
        </w:rPr>
        <w:t>NB:</w:t>
      </w:r>
      <w:r w:rsidRPr="00D66963">
        <w:rPr>
          <w:rStyle w:val="ReflabnoteCar"/>
        </w:rPr>
        <w:t xml:space="preserve"> There </w:t>
      </w:r>
      <w:r w:rsidR="00C16CFF">
        <w:rPr>
          <w:rStyle w:val="ReflabnoteCar"/>
        </w:rPr>
        <w:t>is an</w:t>
      </w:r>
      <w:r w:rsidRPr="00D66963">
        <w:rPr>
          <w:rStyle w:val="ReflabnoteCar"/>
        </w:rPr>
        <w:t xml:space="preserve"> OIE Reference Laborator</w:t>
      </w:r>
      <w:r w:rsidR="00C16CFF">
        <w:rPr>
          <w:rStyle w:val="ReflabnoteCar"/>
        </w:rPr>
        <w:t>y</w:t>
      </w:r>
      <w:r w:rsidRPr="00D66963">
        <w:rPr>
          <w:rStyle w:val="ReflabnoteCar"/>
        </w:rPr>
        <w:t xml:space="preserve"> for </w:t>
      </w:r>
      <w:r w:rsidR="00C16CFF" w:rsidRPr="002E0DF3">
        <w:rPr>
          <w:rFonts w:ascii="Arial" w:hAnsi="Arial" w:cs="Arial"/>
          <w:sz w:val="18"/>
          <w:szCs w:val="18"/>
          <w:lang w:val="en"/>
        </w:rPr>
        <w:t>Turkey rhinotracheitis</w:t>
      </w:r>
      <w:r w:rsidRPr="00D66963">
        <w:rPr>
          <w:rStyle w:val="ReflabnoteCar"/>
        </w:rPr>
        <w:br/>
        <w:t xml:space="preserve">(see Table in </w:t>
      </w:r>
      <w:r w:rsidR="00171E83">
        <w:rPr>
          <w:rStyle w:val="ReflabnoteCar"/>
        </w:rPr>
        <w:t>Part 4</w:t>
      </w:r>
      <w:r w:rsidRPr="00D66963">
        <w:rPr>
          <w:rStyle w:val="ReflabnoteCar"/>
        </w:rPr>
        <w:t xml:space="preserve"> of this </w:t>
      </w:r>
      <w:r w:rsidRPr="00D66963">
        <w:rPr>
          <w:rFonts w:ascii="Arial" w:hAnsi="Arial" w:cs="Arial"/>
          <w:i/>
          <w:sz w:val="18"/>
          <w:szCs w:val="18"/>
        </w:rPr>
        <w:t xml:space="preserve">Terrestrial Manual </w:t>
      </w:r>
      <w:r w:rsidRPr="00D66963">
        <w:rPr>
          <w:rStyle w:val="ReflabnoteCar"/>
        </w:rPr>
        <w:t xml:space="preserve">or consult the OIE Web site for the most up-to-date list: </w:t>
      </w:r>
      <w:hyperlink r:id="rId8" w:anchor="ui-id-3" w:history="1">
        <w:r w:rsidR="00B012A2" w:rsidRPr="001E6BD5">
          <w:rPr>
            <w:rStyle w:val="Hyperlink"/>
            <w:rFonts w:ascii="Arial" w:hAnsi="Arial" w:cs="Arial"/>
            <w:sz w:val="18"/>
            <w:szCs w:val="18"/>
          </w:rPr>
          <w:t>https://www.oie.int/en/what-we-offer/expertise-network/reference-laboratories/#ui-id-3</w:t>
        </w:r>
      </w:hyperlink>
      <w:hyperlink r:id="rId9" w:history="1"/>
      <w:r w:rsidRPr="00D66963">
        <w:rPr>
          <w:rStyle w:val="ReflabnoteCar"/>
        </w:rPr>
        <w:t xml:space="preserve">). </w:t>
      </w:r>
      <w:r w:rsidRPr="00D66963">
        <w:rPr>
          <w:rStyle w:val="ReflabnoteCar"/>
        </w:rPr>
        <w:br/>
      </w:r>
      <w:r w:rsidRPr="00D66963">
        <w:rPr>
          <w:rFonts w:ascii="Arial" w:hAnsi="Arial" w:cs="Arial"/>
          <w:sz w:val="18"/>
          <w:szCs w:val="18"/>
        </w:rPr>
        <w:t xml:space="preserve">Please contact the OIE Reference Laboratories for any further information on </w:t>
      </w:r>
      <w:r w:rsidRPr="00D66963">
        <w:rPr>
          <w:rFonts w:ascii="Arial" w:hAnsi="Arial" w:cs="Arial"/>
          <w:sz w:val="18"/>
          <w:szCs w:val="18"/>
        </w:rPr>
        <w:br/>
        <w:t xml:space="preserve">diagnostic tests, reagents and vaccines for </w:t>
      </w:r>
      <w:r w:rsidR="00C16CFF" w:rsidRPr="002E0DF3">
        <w:rPr>
          <w:rFonts w:ascii="Arial" w:hAnsi="Arial" w:cs="Arial"/>
          <w:sz w:val="18"/>
          <w:szCs w:val="18"/>
          <w:lang w:val="en"/>
        </w:rPr>
        <w:t>Turkey rhinotracheitis</w:t>
      </w:r>
    </w:p>
    <w:p w14:paraId="3DB8CB2A" w14:textId="77777777" w:rsidR="009B4772" w:rsidRPr="009B4772" w:rsidRDefault="009B4772" w:rsidP="00D32B0C">
      <w:pPr>
        <w:tabs>
          <w:tab w:val="clear" w:pos="-720"/>
        </w:tabs>
        <w:spacing w:before="120" w:line="240" w:lineRule="auto"/>
        <w:jc w:val="center"/>
        <w:rPr>
          <w:rFonts w:ascii="Arial" w:hAnsi="Arial" w:cs="Arial"/>
          <w:sz w:val="18"/>
          <w:szCs w:val="18"/>
        </w:rPr>
      </w:pPr>
      <w:r w:rsidRPr="009B4772">
        <w:rPr>
          <w:rFonts w:ascii="Arial" w:hAnsi="Arial" w:cs="Arial"/>
          <w:b/>
          <w:smallCaps/>
          <w:sz w:val="18"/>
          <w:szCs w:val="18"/>
        </w:rPr>
        <w:t>NB:</w:t>
      </w:r>
      <w:r w:rsidRPr="009B4772">
        <w:rPr>
          <w:rFonts w:ascii="Arial" w:hAnsi="Arial" w:cs="Arial"/>
          <w:smallCaps/>
          <w:sz w:val="18"/>
          <w:szCs w:val="18"/>
        </w:rPr>
        <w:t xml:space="preserve"> First adopted in </w:t>
      </w:r>
      <w:r>
        <w:rPr>
          <w:rFonts w:ascii="Arial" w:hAnsi="Arial" w:cs="Arial"/>
          <w:smallCaps/>
          <w:sz w:val="18"/>
          <w:szCs w:val="18"/>
        </w:rPr>
        <w:t>2008</w:t>
      </w:r>
      <w:r w:rsidRPr="009B4772">
        <w:rPr>
          <w:rFonts w:ascii="Arial" w:hAnsi="Arial" w:cs="Arial"/>
          <w:smallCaps/>
          <w:sz w:val="18"/>
          <w:szCs w:val="18"/>
        </w:rPr>
        <w:t>; Most recent updates adopted in 20</w:t>
      </w:r>
      <w:r>
        <w:rPr>
          <w:rFonts w:ascii="Arial" w:hAnsi="Arial" w:cs="Arial"/>
          <w:smallCaps/>
          <w:sz w:val="18"/>
          <w:szCs w:val="18"/>
        </w:rPr>
        <w:t>09</w:t>
      </w:r>
      <w:r w:rsidRPr="009B4772">
        <w:rPr>
          <w:rFonts w:ascii="Arial" w:hAnsi="Arial" w:cs="Arial"/>
          <w:smallCaps/>
          <w:sz w:val="18"/>
          <w:szCs w:val="18"/>
        </w:rPr>
        <w:t>.</w:t>
      </w:r>
    </w:p>
    <w:sectPr w:rsidR="009B4772" w:rsidRPr="009B4772" w:rsidSect="00193B3E">
      <w:headerReference w:type="even" r:id="rId10"/>
      <w:headerReference w:type="default" r:id="rId11"/>
      <w:footerReference w:type="even" r:id="rId12"/>
      <w:footerReference w:type="default" r:id="rId13"/>
      <w:footerReference w:type="first" r:id="rId14"/>
      <w:type w:val="continuous"/>
      <w:pgSz w:w="11907" w:h="16840" w:code="9"/>
      <w:pgMar w:top="-1418" w:right="1418" w:bottom="1418" w:left="1418" w:header="567" w:footer="567" w:gutter="0"/>
      <w:paperSrc w:first="259" w:other="259"/>
      <w:lnNumType w:countBy="1" w:restart="continuou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9DB88" w14:textId="77777777" w:rsidR="000B2B0E" w:rsidRDefault="000B2B0E">
      <w:r>
        <w:separator/>
      </w:r>
    </w:p>
  </w:endnote>
  <w:endnote w:type="continuationSeparator" w:id="0">
    <w:p w14:paraId="17283D01" w14:textId="77777777" w:rsidR="000B2B0E" w:rsidRDefault="000B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539CA" w14:textId="757CD8DA" w:rsidR="00E60A08" w:rsidRDefault="00E60A08" w:rsidP="003E43C2">
    <w:pPr>
      <w:pBdr>
        <w:top w:val="single" w:sz="6" w:space="5" w:color="auto"/>
      </w:pBdr>
      <w:tabs>
        <w:tab w:val="clear" w:pos="-720"/>
        <w:tab w:val="right" w:pos="9072"/>
      </w:tabs>
      <w:spacing w:line="240" w:lineRule="exact"/>
      <w:jc w:val="left"/>
      <w:rPr>
        <w:rFonts w:ascii="Ottawa" w:hAnsi="Ottawa"/>
        <w:sz w:val="22"/>
        <w:szCs w:val="22"/>
      </w:rPr>
    </w:pPr>
    <w:r>
      <w:rPr>
        <w:rFonts w:ascii="Ottawa" w:hAnsi="Ottawa"/>
        <w:sz w:val="22"/>
        <w:szCs w:val="22"/>
      </w:rPr>
      <w:fldChar w:fldCharType="begin"/>
    </w:r>
    <w:r>
      <w:rPr>
        <w:rFonts w:ascii="Ottawa" w:hAnsi="Ottawa"/>
        <w:sz w:val="22"/>
        <w:szCs w:val="22"/>
      </w:rPr>
      <w:instrText>PAGE</w:instrText>
    </w:r>
    <w:r>
      <w:rPr>
        <w:rFonts w:ascii="Ottawa" w:hAnsi="Ottawa"/>
        <w:sz w:val="22"/>
        <w:szCs w:val="22"/>
      </w:rPr>
      <w:fldChar w:fldCharType="separate"/>
    </w:r>
    <w:r w:rsidR="007D46E9">
      <w:rPr>
        <w:rFonts w:ascii="Ottawa" w:hAnsi="Ottawa"/>
        <w:noProof/>
        <w:sz w:val="22"/>
        <w:szCs w:val="22"/>
      </w:rPr>
      <w:t>18</w:t>
    </w:r>
    <w:r>
      <w:rPr>
        <w:rFonts w:ascii="Ottawa" w:hAnsi="Ottawa"/>
        <w:sz w:val="22"/>
        <w:szCs w:val="22"/>
      </w:rPr>
      <w:fldChar w:fldCharType="end"/>
    </w:r>
    <w:r>
      <w:rPr>
        <w:rFonts w:ascii="Ottawa" w:hAnsi="Ottawa"/>
        <w:i/>
        <w:sz w:val="22"/>
        <w:szCs w:val="22"/>
      </w:rPr>
      <w:tab/>
    </w:r>
    <w:r>
      <w:rPr>
        <w:rFonts w:ascii="Ottawa" w:hAnsi="Ottawa"/>
        <w:sz w:val="22"/>
        <w:szCs w:val="22"/>
      </w:rPr>
      <w:t xml:space="preserve">OIE </w:t>
    </w:r>
    <w:r>
      <w:rPr>
        <w:rFonts w:ascii="Ottawa" w:hAnsi="Ottawa"/>
        <w:i/>
        <w:iCs/>
        <w:sz w:val="22"/>
        <w:szCs w:val="22"/>
      </w:rPr>
      <w:t>Terrestrial</w:t>
    </w:r>
    <w:r>
      <w:rPr>
        <w:rFonts w:ascii="Ottawa" w:hAnsi="Ottawa"/>
        <w:sz w:val="22"/>
        <w:szCs w:val="22"/>
      </w:rPr>
      <w:t xml:space="preserve"> </w:t>
    </w:r>
    <w:r>
      <w:rPr>
        <w:rFonts w:ascii="Ottawa" w:hAnsi="Ottawa"/>
        <w:i/>
        <w:sz w:val="22"/>
        <w:szCs w:val="22"/>
      </w:rPr>
      <w:t>Manual</w:t>
    </w:r>
    <w:r>
      <w:rPr>
        <w:rFonts w:ascii="Ottawa" w:hAnsi="Ottawa"/>
        <w:sz w:val="22"/>
        <w:szCs w:val="22"/>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02C97" w14:textId="554229D6" w:rsidR="00E60A08" w:rsidRDefault="00E60A08" w:rsidP="003E43C2">
    <w:pPr>
      <w:pBdr>
        <w:top w:val="single" w:sz="6" w:space="5" w:color="auto"/>
      </w:pBdr>
      <w:tabs>
        <w:tab w:val="clear" w:pos="-720"/>
        <w:tab w:val="right" w:pos="9072"/>
      </w:tabs>
      <w:spacing w:line="240" w:lineRule="exact"/>
      <w:jc w:val="left"/>
      <w:rPr>
        <w:rFonts w:ascii="Ottawa" w:hAnsi="Ottawa"/>
        <w:sz w:val="22"/>
        <w:szCs w:val="22"/>
      </w:rPr>
    </w:pPr>
    <w:r>
      <w:rPr>
        <w:rFonts w:ascii="Ottawa" w:hAnsi="Ottawa"/>
        <w:sz w:val="22"/>
        <w:szCs w:val="22"/>
      </w:rPr>
      <w:t xml:space="preserve">OIE </w:t>
    </w:r>
    <w:r>
      <w:rPr>
        <w:rFonts w:ascii="Ottawa" w:hAnsi="Ottawa"/>
        <w:i/>
        <w:iCs/>
        <w:sz w:val="22"/>
        <w:szCs w:val="22"/>
      </w:rPr>
      <w:t>Terrestrial</w:t>
    </w:r>
    <w:r>
      <w:rPr>
        <w:rFonts w:ascii="Ottawa" w:hAnsi="Ottawa"/>
        <w:sz w:val="22"/>
        <w:szCs w:val="22"/>
      </w:rPr>
      <w:t xml:space="preserve"> </w:t>
    </w:r>
    <w:r>
      <w:rPr>
        <w:rFonts w:ascii="Ottawa" w:hAnsi="Ottawa"/>
        <w:i/>
        <w:sz w:val="22"/>
        <w:szCs w:val="22"/>
      </w:rPr>
      <w:t>Manual</w:t>
    </w:r>
    <w:r>
      <w:rPr>
        <w:rFonts w:ascii="Ottawa" w:hAnsi="Ottawa"/>
        <w:sz w:val="22"/>
        <w:szCs w:val="22"/>
      </w:rPr>
      <w:t xml:space="preserve"> 2022</w:t>
    </w:r>
    <w:r>
      <w:rPr>
        <w:rFonts w:ascii="Ottawa" w:hAnsi="Ottawa"/>
        <w:sz w:val="22"/>
        <w:szCs w:val="22"/>
      </w:rPr>
      <w:tab/>
    </w:r>
    <w:r>
      <w:rPr>
        <w:rFonts w:ascii="Ottawa" w:hAnsi="Ottawa"/>
        <w:sz w:val="22"/>
        <w:szCs w:val="22"/>
      </w:rPr>
      <w:fldChar w:fldCharType="begin"/>
    </w:r>
    <w:r>
      <w:rPr>
        <w:rFonts w:ascii="Ottawa" w:hAnsi="Ottawa"/>
        <w:sz w:val="22"/>
        <w:szCs w:val="22"/>
      </w:rPr>
      <w:instrText>PAGE</w:instrText>
    </w:r>
    <w:r>
      <w:rPr>
        <w:rFonts w:ascii="Ottawa" w:hAnsi="Ottawa"/>
        <w:sz w:val="22"/>
        <w:szCs w:val="22"/>
      </w:rPr>
      <w:fldChar w:fldCharType="separate"/>
    </w:r>
    <w:r w:rsidR="007D46E9">
      <w:rPr>
        <w:rFonts w:ascii="Ottawa" w:hAnsi="Ottawa"/>
        <w:noProof/>
        <w:sz w:val="22"/>
        <w:szCs w:val="22"/>
      </w:rPr>
      <w:t>19</w:t>
    </w:r>
    <w:r>
      <w:rPr>
        <w:rFonts w:ascii="Ottawa" w:hAnsi="Ottaw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2D7BD" w14:textId="080EB8F7" w:rsidR="00E60A08" w:rsidRDefault="00E60A08" w:rsidP="00C30B77">
    <w:pPr>
      <w:pBdr>
        <w:top w:val="single" w:sz="6" w:space="5" w:color="auto"/>
      </w:pBdr>
      <w:tabs>
        <w:tab w:val="clear" w:pos="-720"/>
        <w:tab w:val="right" w:pos="9072"/>
      </w:tabs>
      <w:spacing w:line="240" w:lineRule="exact"/>
      <w:jc w:val="left"/>
      <w:rPr>
        <w:rFonts w:ascii="Ottawa" w:hAnsi="Ottawa"/>
        <w:sz w:val="22"/>
        <w:szCs w:val="22"/>
      </w:rPr>
    </w:pPr>
    <w:r>
      <w:rPr>
        <w:rFonts w:ascii="Ottawa" w:hAnsi="Ottawa"/>
        <w:sz w:val="22"/>
        <w:szCs w:val="22"/>
      </w:rPr>
      <w:t xml:space="preserve">OIE </w:t>
    </w:r>
    <w:r>
      <w:rPr>
        <w:rFonts w:ascii="Ottawa" w:hAnsi="Ottawa"/>
        <w:i/>
        <w:iCs/>
        <w:sz w:val="22"/>
        <w:szCs w:val="22"/>
      </w:rPr>
      <w:t>Terrestrial</w:t>
    </w:r>
    <w:r>
      <w:rPr>
        <w:rFonts w:ascii="Ottawa" w:hAnsi="Ottawa"/>
        <w:sz w:val="22"/>
        <w:szCs w:val="22"/>
      </w:rPr>
      <w:t xml:space="preserve"> </w:t>
    </w:r>
    <w:r>
      <w:rPr>
        <w:rFonts w:ascii="Ottawa" w:hAnsi="Ottawa"/>
        <w:i/>
        <w:sz w:val="22"/>
        <w:szCs w:val="22"/>
      </w:rPr>
      <w:t>Manual</w:t>
    </w:r>
    <w:r>
      <w:rPr>
        <w:rFonts w:ascii="Ottawa" w:hAnsi="Ottawa"/>
        <w:sz w:val="22"/>
        <w:szCs w:val="22"/>
      </w:rPr>
      <w:t xml:space="preserve"> 2022</w:t>
    </w:r>
    <w:r>
      <w:rPr>
        <w:rFonts w:ascii="Ottawa" w:hAnsi="Ottawa"/>
        <w:sz w:val="22"/>
        <w:szCs w:val="22"/>
      </w:rPr>
      <w:tab/>
    </w:r>
    <w:r>
      <w:rPr>
        <w:rFonts w:ascii="Ottawa" w:hAnsi="Ottawa"/>
        <w:sz w:val="22"/>
        <w:szCs w:val="22"/>
      </w:rPr>
      <w:fldChar w:fldCharType="begin"/>
    </w:r>
    <w:r>
      <w:rPr>
        <w:rFonts w:ascii="Ottawa" w:hAnsi="Ottawa"/>
        <w:sz w:val="22"/>
        <w:szCs w:val="22"/>
      </w:rPr>
      <w:instrText>PAGE</w:instrText>
    </w:r>
    <w:r>
      <w:rPr>
        <w:rFonts w:ascii="Ottawa" w:hAnsi="Ottawa"/>
        <w:sz w:val="22"/>
        <w:szCs w:val="22"/>
      </w:rPr>
      <w:fldChar w:fldCharType="separate"/>
    </w:r>
    <w:r w:rsidR="007D46E9">
      <w:rPr>
        <w:rFonts w:ascii="Ottawa" w:hAnsi="Ottawa"/>
        <w:noProof/>
        <w:sz w:val="22"/>
        <w:szCs w:val="22"/>
      </w:rPr>
      <w:t>1</w:t>
    </w:r>
    <w:r>
      <w:rPr>
        <w:rFonts w:ascii="Ottawa" w:hAnsi="Ottaw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BC55D" w14:textId="77777777" w:rsidR="000B2B0E" w:rsidRDefault="000B2B0E">
      <w:r>
        <w:separator/>
      </w:r>
    </w:p>
  </w:footnote>
  <w:footnote w:type="continuationSeparator" w:id="0">
    <w:p w14:paraId="18C6184C" w14:textId="77777777" w:rsidR="000B2B0E" w:rsidRDefault="000B2B0E">
      <w:r>
        <w:continuationSeparator/>
      </w:r>
    </w:p>
  </w:footnote>
  <w:footnote w:id="1">
    <w:p w14:paraId="48F1BC99" w14:textId="7DEB251E" w:rsidR="00E60A08" w:rsidRPr="00322D31" w:rsidRDefault="00E60A08" w:rsidP="00193B3E">
      <w:pPr>
        <w:pStyle w:val="FootnoteText"/>
        <w:tabs>
          <w:tab w:val="left" w:pos="-1843"/>
        </w:tabs>
        <w:spacing w:line="240" w:lineRule="auto"/>
        <w:ind w:left="425" w:hanging="425"/>
        <w:rPr>
          <w:u w:val="double"/>
        </w:rPr>
      </w:pPr>
      <w:r w:rsidRPr="00322D31">
        <w:rPr>
          <w:rStyle w:val="FootnoteReference"/>
          <w:rFonts w:ascii="Arial" w:hAnsi="Arial" w:cs="Arial"/>
          <w:sz w:val="16"/>
          <w:szCs w:val="16"/>
          <w:u w:val="double"/>
          <w:vertAlign w:val="baseline"/>
        </w:rPr>
        <w:footnoteRef/>
      </w:r>
      <w:r w:rsidRPr="00322D31">
        <w:rPr>
          <w:rFonts w:ascii="Arial" w:hAnsi="Arial" w:cs="Arial"/>
          <w:sz w:val="16"/>
          <w:szCs w:val="16"/>
          <w:u w:val="double"/>
        </w:rPr>
        <w:t xml:space="preserve"> </w:t>
      </w:r>
      <w:r w:rsidRPr="00322D31">
        <w:rPr>
          <w:rFonts w:ascii="Arial" w:hAnsi="Arial" w:cs="Arial"/>
          <w:sz w:val="16"/>
          <w:szCs w:val="16"/>
          <w:u w:val="double"/>
        </w:rPr>
        <w:tab/>
        <w:t>A combination of agent identification methods applied on the same clinical specimen is recommended.</w:t>
      </w:r>
    </w:p>
  </w:footnote>
  <w:footnote w:id="2">
    <w:p w14:paraId="7D2D1074" w14:textId="05562DB0" w:rsidR="004C2C49" w:rsidRPr="004C2C49" w:rsidRDefault="004C2C49" w:rsidP="004C2C49">
      <w:pPr>
        <w:pStyle w:val="FootnoteText"/>
        <w:spacing w:line="240" w:lineRule="auto"/>
        <w:rPr>
          <w:rFonts w:ascii="Arial" w:hAnsi="Arial" w:cs="Arial"/>
          <w:sz w:val="16"/>
          <w:szCs w:val="16"/>
        </w:rPr>
      </w:pPr>
      <w:r w:rsidRPr="004C2C49">
        <w:rPr>
          <w:rStyle w:val="FootnoteReference"/>
          <w:rFonts w:ascii="Arial" w:hAnsi="Arial" w:cs="Arial"/>
          <w:sz w:val="16"/>
          <w:szCs w:val="16"/>
          <w:vertAlign w:val="baseline"/>
        </w:rPr>
        <w:footnoteRef/>
      </w:r>
      <w:r w:rsidRPr="004C2C49">
        <w:rPr>
          <w:rFonts w:ascii="Arial" w:hAnsi="Arial" w:cs="Arial"/>
          <w:sz w:val="16"/>
          <w:szCs w:val="16"/>
        </w:rPr>
        <w:t xml:space="preserve"> </w:t>
      </w:r>
      <w:r w:rsidRPr="004C2C49">
        <w:rPr>
          <w:rFonts w:ascii="Arial" w:hAnsi="Arial" w:cs="Arial"/>
          <w:sz w:val="16"/>
          <w:szCs w:val="16"/>
        </w:rPr>
        <w:tab/>
      </w:r>
      <w:hyperlink r:id="rId1" w:anchor="ui-id-3" w:history="1">
        <w:r w:rsidRPr="001E6BD5">
          <w:rPr>
            <w:rStyle w:val="Hyperlink"/>
            <w:rFonts w:ascii="Arial" w:hAnsi="Arial" w:cs="Arial"/>
            <w:sz w:val="16"/>
            <w:szCs w:val="16"/>
          </w:rPr>
          <w:t>https://www.oie.int/en/what-we-offer/expertise-network/reference-laboratories/#ui-id-3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B9521" w14:textId="77777777" w:rsidR="00E60A08" w:rsidRDefault="00E60A08">
    <w:pPr>
      <w:pBdr>
        <w:bottom w:val="single" w:sz="6" w:space="1" w:color="auto"/>
      </w:pBdr>
      <w:spacing w:line="240" w:lineRule="auto"/>
      <w:ind w:right="-1"/>
      <w:jc w:val="center"/>
      <w:rPr>
        <w:rFonts w:ascii="Ottawa" w:hAnsi="Ottawa"/>
        <w:i/>
        <w:sz w:val="18"/>
        <w:szCs w:val="18"/>
      </w:rPr>
    </w:pPr>
    <w:r>
      <w:rPr>
        <w:rFonts w:ascii="Ottawa" w:hAnsi="Ottawa"/>
        <w:i/>
        <w:sz w:val="18"/>
        <w:szCs w:val="18"/>
      </w:rPr>
      <w:t xml:space="preserve">Chapter 3.3.15. – </w:t>
    </w:r>
    <w:smartTag w:uri="urn:schemas-microsoft-com:office:smarttags" w:element="place">
      <w:smartTag w:uri="urn:schemas-microsoft-com:office:smarttags" w:element="country-region">
        <w:r>
          <w:rPr>
            <w:rFonts w:ascii="Ottawa" w:hAnsi="Ottawa"/>
            <w:i/>
            <w:sz w:val="18"/>
            <w:szCs w:val="18"/>
          </w:rPr>
          <w:t>Turkey</w:t>
        </w:r>
      </w:smartTag>
    </w:smartTag>
    <w:r>
      <w:rPr>
        <w:rFonts w:ascii="Ottawa" w:hAnsi="Ottawa"/>
        <w:i/>
        <w:sz w:val="18"/>
        <w:szCs w:val="18"/>
      </w:rPr>
      <w:t xml:space="preserve"> rhinotracheitis </w:t>
    </w:r>
    <w:r>
      <w:rPr>
        <w:rFonts w:ascii="Ottawa" w:hAnsi="Ottawa"/>
        <w:iCs/>
        <w:sz w:val="18"/>
        <w:szCs w:val="18"/>
      </w:rPr>
      <w:t>(</w:t>
    </w:r>
    <w:r>
      <w:rPr>
        <w:rFonts w:ascii="Ottawa" w:hAnsi="Ottawa"/>
        <w:i/>
        <w:sz w:val="18"/>
        <w:szCs w:val="18"/>
      </w:rPr>
      <w:t>avian metapneumovirus infections</w:t>
    </w:r>
    <w:r>
      <w:rPr>
        <w:rFonts w:ascii="Ottawa" w:hAnsi="Ottawa"/>
        <w:iCs/>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3A4DB" w14:textId="77777777" w:rsidR="00E60A08" w:rsidRDefault="00E60A08">
    <w:pPr>
      <w:pBdr>
        <w:bottom w:val="single" w:sz="6" w:space="1" w:color="auto"/>
      </w:pBdr>
      <w:spacing w:line="240" w:lineRule="auto"/>
      <w:ind w:right="-1"/>
      <w:jc w:val="center"/>
      <w:rPr>
        <w:rFonts w:ascii="Ottawa" w:hAnsi="Ottawa"/>
        <w:i/>
        <w:sz w:val="18"/>
        <w:szCs w:val="18"/>
      </w:rPr>
    </w:pPr>
    <w:r>
      <w:rPr>
        <w:rFonts w:ascii="Ottawa" w:hAnsi="Ottawa"/>
        <w:i/>
        <w:sz w:val="18"/>
        <w:szCs w:val="18"/>
      </w:rPr>
      <w:t xml:space="preserve">Chapter 3.3.15. – </w:t>
    </w:r>
    <w:smartTag w:uri="urn:schemas-microsoft-com:office:smarttags" w:element="place">
      <w:smartTag w:uri="urn:schemas-microsoft-com:office:smarttags" w:element="country-region">
        <w:r>
          <w:rPr>
            <w:rFonts w:ascii="Ottawa" w:hAnsi="Ottawa"/>
            <w:i/>
            <w:sz w:val="18"/>
            <w:szCs w:val="18"/>
          </w:rPr>
          <w:t>Turkey</w:t>
        </w:r>
      </w:smartTag>
    </w:smartTag>
    <w:r>
      <w:rPr>
        <w:rFonts w:ascii="Ottawa" w:hAnsi="Ottawa"/>
        <w:i/>
        <w:sz w:val="18"/>
        <w:szCs w:val="18"/>
      </w:rPr>
      <w:t xml:space="preserve"> rhinotracheitis </w:t>
    </w:r>
    <w:r>
      <w:rPr>
        <w:rFonts w:ascii="Ottawa" w:hAnsi="Ottawa"/>
        <w:iCs/>
        <w:sz w:val="18"/>
        <w:szCs w:val="18"/>
      </w:rPr>
      <w:t>(</w:t>
    </w:r>
    <w:r>
      <w:rPr>
        <w:rFonts w:ascii="Ottawa" w:hAnsi="Ottawa"/>
        <w:i/>
        <w:sz w:val="18"/>
        <w:szCs w:val="18"/>
      </w:rPr>
      <w:t>avian metapneumovirus infections</w:t>
    </w:r>
    <w:r>
      <w:rPr>
        <w:rFonts w:ascii="Ottawa" w:hAnsi="Ottawa"/>
        <w:iCs/>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53F2"/>
    <w:multiLevelType w:val="multilevel"/>
    <w:tmpl w:val="A574C6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F3C94"/>
    <w:multiLevelType w:val="hybridMultilevel"/>
    <w:tmpl w:val="4A3EA8EC"/>
    <w:lvl w:ilvl="0" w:tplc="69CE784A">
      <w:start w:val="1"/>
      <w:numFmt w:val="lowerRoman"/>
      <w:lvlText w:val="%1)"/>
      <w:lvlJc w:val="left"/>
      <w:pPr>
        <w:ind w:left="2138" w:hanging="72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 w15:restartNumberingAfterBreak="0">
    <w:nsid w:val="09E11FDA"/>
    <w:multiLevelType w:val="hybridMultilevel"/>
    <w:tmpl w:val="A574C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714B2F"/>
    <w:multiLevelType w:val="hybridMultilevel"/>
    <w:tmpl w:val="1F742632"/>
    <w:lvl w:ilvl="0" w:tplc="7E889BB0">
      <w:start w:val="1"/>
      <w:numFmt w:val="bullet"/>
      <w:lvlText w:val="-"/>
      <w:lvlJc w:val="left"/>
      <w:pPr>
        <w:tabs>
          <w:tab w:val="num" w:pos="1080"/>
        </w:tabs>
        <w:ind w:left="108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987B62"/>
    <w:multiLevelType w:val="hybridMultilevel"/>
    <w:tmpl w:val="1EE69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A2104"/>
    <w:multiLevelType w:val="hybridMultilevel"/>
    <w:tmpl w:val="429CC09A"/>
    <w:lvl w:ilvl="0" w:tplc="F586CC2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0B0ACD"/>
    <w:multiLevelType w:val="hybridMultilevel"/>
    <w:tmpl w:val="EF7E47D8"/>
    <w:lvl w:ilvl="0" w:tplc="04090007">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350"/>
        </w:tabs>
        <w:ind w:left="135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DE7A39"/>
    <w:multiLevelType w:val="hybridMultilevel"/>
    <w:tmpl w:val="B94C52D0"/>
    <w:lvl w:ilvl="0" w:tplc="040C000F">
      <w:start w:val="57"/>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9" w15:restartNumberingAfterBreak="0">
    <w:nsid w:val="7DA748B6"/>
    <w:multiLevelType w:val="multilevel"/>
    <w:tmpl w:val="B94C52D0"/>
    <w:lvl w:ilvl="0">
      <w:start w:val="5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hint="default"/>
        <w:b w:val="0"/>
        <w:i w:val="0"/>
        <w:sz w:val="18"/>
        <w:u w:val="none"/>
      </w:rPr>
    </w:lvl>
  </w:abstractNum>
  <w:num w:numId="1">
    <w:abstractNumId w:val="8"/>
  </w:num>
  <w:num w:numId="2">
    <w:abstractNumId w:val="10"/>
  </w:num>
  <w:num w:numId="3">
    <w:abstractNumId w:val="10"/>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4">
    <w:abstractNumId w:val="2"/>
  </w:num>
  <w:num w:numId="5">
    <w:abstractNumId w:val="5"/>
  </w:num>
  <w:num w:numId="6">
    <w:abstractNumId w:val="4"/>
  </w:num>
  <w:num w:numId="7">
    <w:abstractNumId w:val="0"/>
  </w:num>
  <w:num w:numId="8">
    <w:abstractNumId w:val="6"/>
  </w:num>
  <w:num w:numId="9">
    <w:abstractNumId w:val="7"/>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IE" w:vendorID="64" w:dllVersion="6" w:nlCheck="1" w:checkStyle="1"/>
  <w:activeWritingStyle w:appName="MSWord" w:lang="en-GB" w:vendorID="64" w:dllVersion="6" w:nlCheck="1" w:checkStyle="1"/>
  <w:activeWritingStyle w:appName="MSWord" w:lang="de-DE" w:vendorID="64" w:dllVersion="6" w:nlCheck="1" w:checkStyle="0"/>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fr-FR" w:vendorID="64" w:dllVersion="0" w:nlCheck="1" w:checkStyle="0"/>
  <w:activeWritingStyle w:appName="MSWord" w:lang="nl-NL"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IE" w:vendorID="64" w:dllVersion="0" w:nlCheck="1" w:checkStyle="0"/>
  <w:activeWritingStyle w:appName="MSWord" w:lang="de-DE" w:vendorID="64" w:dllVersion="0" w:nlCheck="1" w:checkStyle="0"/>
  <w:activeWritingStyle w:appName="MSWord" w:lang="nl-NL" w:vendorID="64" w:dllVersion="6" w:nlCheck="1" w:checkStyle="0"/>
  <w:activeWritingStyle w:appName="MSWord" w:lang="es-SV" w:vendorID="64" w:dllVersion="0" w:nlCheck="1" w:checkStyle="0"/>
  <w:activeWritingStyle w:appName="MSWord" w:lang="es-SV" w:vendorID="64" w:dllVersion="6" w:nlCheck="1" w:checkStyle="0"/>
  <w:activeWritingStyle w:appName="MSWord" w:lang="en-GB" w:vendorID="8" w:dllVersion="513" w:checkStyle="1"/>
  <w:activeWritingStyle w:appName="MSWord" w:lang="en-US" w:vendorID="8" w:dllVersion="513"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MANUAL96"/>
  </w:docVars>
  <w:rsids>
    <w:rsidRoot w:val="000318D4"/>
    <w:rsid w:val="000035A0"/>
    <w:rsid w:val="00007878"/>
    <w:rsid w:val="00014649"/>
    <w:rsid w:val="00022F24"/>
    <w:rsid w:val="00024317"/>
    <w:rsid w:val="000270C6"/>
    <w:rsid w:val="000318D4"/>
    <w:rsid w:val="00032A08"/>
    <w:rsid w:val="0003509E"/>
    <w:rsid w:val="00035660"/>
    <w:rsid w:val="00037B9D"/>
    <w:rsid w:val="00037D45"/>
    <w:rsid w:val="00044AF7"/>
    <w:rsid w:val="00054967"/>
    <w:rsid w:val="00063640"/>
    <w:rsid w:val="0007132F"/>
    <w:rsid w:val="0007777B"/>
    <w:rsid w:val="00080062"/>
    <w:rsid w:val="0009547A"/>
    <w:rsid w:val="0009654B"/>
    <w:rsid w:val="000A425C"/>
    <w:rsid w:val="000B1AC7"/>
    <w:rsid w:val="000B2B0E"/>
    <w:rsid w:val="000B2CB6"/>
    <w:rsid w:val="000B46E7"/>
    <w:rsid w:val="000B48A1"/>
    <w:rsid w:val="000B4953"/>
    <w:rsid w:val="000C6983"/>
    <w:rsid w:val="000D2324"/>
    <w:rsid w:val="000E2C1A"/>
    <w:rsid w:val="000E3906"/>
    <w:rsid w:val="001021BE"/>
    <w:rsid w:val="00103A6B"/>
    <w:rsid w:val="00115864"/>
    <w:rsid w:val="00124355"/>
    <w:rsid w:val="001315CE"/>
    <w:rsid w:val="001360CA"/>
    <w:rsid w:val="00140930"/>
    <w:rsid w:val="001421A1"/>
    <w:rsid w:val="0014428D"/>
    <w:rsid w:val="00153076"/>
    <w:rsid w:val="00162C31"/>
    <w:rsid w:val="00171E83"/>
    <w:rsid w:val="00182DA2"/>
    <w:rsid w:val="0018723B"/>
    <w:rsid w:val="001909FB"/>
    <w:rsid w:val="0019154C"/>
    <w:rsid w:val="0019333D"/>
    <w:rsid w:val="00193B3E"/>
    <w:rsid w:val="001A003A"/>
    <w:rsid w:val="001A6B1D"/>
    <w:rsid w:val="001B60D6"/>
    <w:rsid w:val="001B7E66"/>
    <w:rsid w:val="001C2BDF"/>
    <w:rsid w:val="001C6AE0"/>
    <w:rsid w:val="001D683A"/>
    <w:rsid w:val="001E0117"/>
    <w:rsid w:val="001E291E"/>
    <w:rsid w:val="001E343B"/>
    <w:rsid w:val="001E3B73"/>
    <w:rsid w:val="001E74F0"/>
    <w:rsid w:val="001F2C72"/>
    <w:rsid w:val="001F4FEA"/>
    <w:rsid w:val="00200A06"/>
    <w:rsid w:val="002054EF"/>
    <w:rsid w:val="00221851"/>
    <w:rsid w:val="00222895"/>
    <w:rsid w:val="00231B7A"/>
    <w:rsid w:val="00242CFC"/>
    <w:rsid w:val="00242F2E"/>
    <w:rsid w:val="0024354C"/>
    <w:rsid w:val="00243799"/>
    <w:rsid w:val="0024425B"/>
    <w:rsid w:val="00247A82"/>
    <w:rsid w:val="00253D2A"/>
    <w:rsid w:val="00253EEC"/>
    <w:rsid w:val="00273CD1"/>
    <w:rsid w:val="002814FC"/>
    <w:rsid w:val="00283403"/>
    <w:rsid w:val="00285E27"/>
    <w:rsid w:val="00297506"/>
    <w:rsid w:val="002A28F2"/>
    <w:rsid w:val="002A5086"/>
    <w:rsid w:val="002A5A71"/>
    <w:rsid w:val="002A7DA6"/>
    <w:rsid w:val="002B3246"/>
    <w:rsid w:val="002B64DF"/>
    <w:rsid w:val="002C0BF8"/>
    <w:rsid w:val="002C2AED"/>
    <w:rsid w:val="002D3895"/>
    <w:rsid w:val="002D506E"/>
    <w:rsid w:val="002D579F"/>
    <w:rsid w:val="002E0DF3"/>
    <w:rsid w:val="002E755B"/>
    <w:rsid w:val="002E7F2A"/>
    <w:rsid w:val="002F07A7"/>
    <w:rsid w:val="002F38C9"/>
    <w:rsid w:val="00305040"/>
    <w:rsid w:val="0031339D"/>
    <w:rsid w:val="00320D9C"/>
    <w:rsid w:val="0032295B"/>
    <w:rsid w:val="00322D31"/>
    <w:rsid w:val="00326277"/>
    <w:rsid w:val="00331EFC"/>
    <w:rsid w:val="00332BC3"/>
    <w:rsid w:val="003367C8"/>
    <w:rsid w:val="003403F7"/>
    <w:rsid w:val="003407D5"/>
    <w:rsid w:val="00340FF9"/>
    <w:rsid w:val="0034168E"/>
    <w:rsid w:val="00347290"/>
    <w:rsid w:val="003538A1"/>
    <w:rsid w:val="0035579F"/>
    <w:rsid w:val="00357946"/>
    <w:rsid w:val="0037222E"/>
    <w:rsid w:val="0037763F"/>
    <w:rsid w:val="00377708"/>
    <w:rsid w:val="00380B5E"/>
    <w:rsid w:val="00381877"/>
    <w:rsid w:val="003822FD"/>
    <w:rsid w:val="00387141"/>
    <w:rsid w:val="003974DC"/>
    <w:rsid w:val="003A7335"/>
    <w:rsid w:val="003B0706"/>
    <w:rsid w:val="003C21D6"/>
    <w:rsid w:val="003C7F52"/>
    <w:rsid w:val="003D1E47"/>
    <w:rsid w:val="003D5A7E"/>
    <w:rsid w:val="003D6A00"/>
    <w:rsid w:val="003D7CFA"/>
    <w:rsid w:val="003E40DC"/>
    <w:rsid w:val="003E43C2"/>
    <w:rsid w:val="003E68CD"/>
    <w:rsid w:val="003E7E7E"/>
    <w:rsid w:val="003F009E"/>
    <w:rsid w:val="003F116E"/>
    <w:rsid w:val="003F1C0E"/>
    <w:rsid w:val="003F3062"/>
    <w:rsid w:val="003F4C5D"/>
    <w:rsid w:val="003F598E"/>
    <w:rsid w:val="003F7418"/>
    <w:rsid w:val="00404B62"/>
    <w:rsid w:val="00412AE9"/>
    <w:rsid w:val="00414616"/>
    <w:rsid w:val="00421F9D"/>
    <w:rsid w:val="00423085"/>
    <w:rsid w:val="004349FE"/>
    <w:rsid w:val="004442B3"/>
    <w:rsid w:val="00444EF9"/>
    <w:rsid w:val="00466864"/>
    <w:rsid w:val="00472570"/>
    <w:rsid w:val="0047347B"/>
    <w:rsid w:val="00484CBA"/>
    <w:rsid w:val="0049135F"/>
    <w:rsid w:val="00493163"/>
    <w:rsid w:val="00495315"/>
    <w:rsid w:val="00497250"/>
    <w:rsid w:val="004A68A4"/>
    <w:rsid w:val="004B15DF"/>
    <w:rsid w:val="004B2A3F"/>
    <w:rsid w:val="004C2C49"/>
    <w:rsid w:val="004C5334"/>
    <w:rsid w:val="004C7708"/>
    <w:rsid w:val="004D2530"/>
    <w:rsid w:val="004D4C45"/>
    <w:rsid w:val="004D5B88"/>
    <w:rsid w:val="004D7549"/>
    <w:rsid w:val="004E4E0C"/>
    <w:rsid w:val="004E7C01"/>
    <w:rsid w:val="004F23C5"/>
    <w:rsid w:val="004F2AAD"/>
    <w:rsid w:val="00507BA7"/>
    <w:rsid w:val="0051090E"/>
    <w:rsid w:val="00511800"/>
    <w:rsid w:val="00512F58"/>
    <w:rsid w:val="00513B20"/>
    <w:rsid w:val="00514161"/>
    <w:rsid w:val="00515998"/>
    <w:rsid w:val="00516D7B"/>
    <w:rsid w:val="00517CA2"/>
    <w:rsid w:val="00520970"/>
    <w:rsid w:val="00530EB3"/>
    <w:rsid w:val="0053341F"/>
    <w:rsid w:val="00536613"/>
    <w:rsid w:val="00551621"/>
    <w:rsid w:val="005548E5"/>
    <w:rsid w:val="00554E7D"/>
    <w:rsid w:val="005550BD"/>
    <w:rsid w:val="00556648"/>
    <w:rsid w:val="00560E11"/>
    <w:rsid w:val="00561B5D"/>
    <w:rsid w:val="00567430"/>
    <w:rsid w:val="00571846"/>
    <w:rsid w:val="00573331"/>
    <w:rsid w:val="005740C2"/>
    <w:rsid w:val="00575A74"/>
    <w:rsid w:val="005860F3"/>
    <w:rsid w:val="005863AF"/>
    <w:rsid w:val="005901C1"/>
    <w:rsid w:val="005911CF"/>
    <w:rsid w:val="0059560B"/>
    <w:rsid w:val="005A0015"/>
    <w:rsid w:val="005C0737"/>
    <w:rsid w:val="005D2CB6"/>
    <w:rsid w:val="005D4498"/>
    <w:rsid w:val="005D4BF2"/>
    <w:rsid w:val="005E1489"/>
    <w:rsid w:val="005E6AA3"/>
    <w:rsid w:val="005E6E3D"/>
    <w:rsid w:val="005E7905"/>
    <w:rsid w:val="006112CF"/>
    <w:rsid w:val="00612A04"/>
    <w:rsid w:val="00616E85"/>
    <w:rsid w:val="0061728A"/>
    <w:rsid w:val="00631E60"/>
    <w:rsid w:val="006401F6"/>
    <w:rsid w:val="0064090F"/>
    <w:rsid w:val="00643FB2"/>
    <w:rsid w:val="00644946"/>
    <w:rsid w:val="00650173"/>
    <w:rsid w:val="00655DD0"/>
    <w:rsid w:val="006561A0"/>
    <w:rsid w:val="00656379"/>
    <w:rsid w:val="006669F3"/>
    <w:rsid w:val="006723F1"/>
    <w:rsid w:val="00691802"/>
    <w:rsid w:val="006940DC"/>
    <w:rsid w:val="0069558A"/>
    <w:rsid w:val="006959A6"/>
    <w:rsid w:val="006A1993"/>
    <w:rsid w:val="006A37DD"/>
    <w:rsid w:val="006B3222"/>
    <w:rsid w:val="006D126C"/>
    <w:rsid w:val="006D773E"/>
    <w:rsid w:val="006E5C4E"/>
    <w:rsid w:val="006F0010"/>
    <w:rsid w:val="006F3FEF"/>
    <w:rsid w:val="00702F4A"/>
    <w:rsid w:val="00703588"/>
    <w:rsid w:val="00706CD8"/>
    <w:rsid w:val="007105E0"/>
    <w:rsid w:val="007160EA"/>
    <w:rsid w:val="00721100"/>
    <w:rsid w:val="00721993"/>
    <w:rsid w:val="00725A7A"/>
    <w:rsid w:val="0072759C"/>
    <w:rsid w:val="00732217"/>
    <w:rsid w:val="0073663C"/>
    <w:rsid w:val="00740D33"/>
    <w:rsid w:val="00741A1A"/>
    <w:rsid w:val="00741E90"/>
    <w:rsid w:val="007615F3"/>
    <w:rsid w:val="00762547"/>
    <w:rsid w:val="00765EAD"/>
    <w:rsid w:val="007662DA"/>
    <w:rsid w:val="00767A39"/>
    <w:rsid w:val="00776CDC"/>
    <w:rsid w:val="00784997"/>
    <w:rsid w:val="007861FA"/>
    <w:rsid w:val="007879D4"/>
    <w:rsid w:val="00790863"/>
    <w:rsid w:val="00790A10"/>
    <w:rsid w:val="00792221"/>
    <w:rsid w:val="00793D7F"/>
    <w:rsid w:val="007B0B03"/>
    <w:rsid w:val="007B0F43"/>
    <w:rsid w:val="007B2653"/>
    <w:rsid w:val="007C3779"/>
    <w:rsid w:val="007C4656"/>
    <w:rsid w:val="007C5980"/>
    <w:rsid w:val="007D3C18"/>
    <w:rsid w:val="007D46E9"/>
    <w:rsid w:val="007E1FFB"/>
    <w:rsid w:val="007E2F8E"/>
    <w:rsid w:val="007E4393"/>
    <w:rsid w:val="007E6EB2"/>
    <w:rsid w:val="007E7D71"/>
    <w:rsid w:val="007F01C5"/>
    <w:rsid w:val="007F2681"/>
    <w:rsid w:val="007F75C6"/>
    <w:rsid w:val="00802155"/>
    <w:rsid w:val="00804150"/>
    <w:rsid w:val="00811E64"/>
    <w:rsid w:val="0081319F"/>
    <w:rsid w:val="00816496"/>
    <w:rsid w:val="00821296"/>
    <w:rsid w:val="00823298"/>
    <w:rsid w:val="00827B1A"/>
    <w:rsid w:val="00833E0A"/>
    <w:rsid w:val="008403B6"/>
    <w:rsid w:val="008578A8"/>
    <w:rsid w:val="00860CE1"/>
    <w:rsid w:val="00891CAE"/>
    <w:rsid w:val="00893776"/>
    <w:rsid w:val="00894526"/>
    <w:rsid w:val="00897605"/>
    <w:rsid w:val="008A10F8"/>
    <w:rsid w:val="008A7BDD"/>
    <w:rsid w:val="008B4758"/>
    <w:rsid w:val="008C047B"/>
    <w:rsid w:val="008C1463"/>
    <w:rsid w:val="008C4A6F"/>
    <w:rsid w:val="008D0F47"/>
    <w:rsid w:val="008D5DA0"/>
    <w:rsid w:val="008E49C2"/>
    <w:rsid w:val="008E7CC4"/>
    <w:rsid w:val="008F1912"/>
    <w:rsid w:val="008F1E7E"/>
    <w:rsid w:val="008F50A9"/>
    <w:rsid w:val="00913810"/>
    <w:rsid w:val="009161D3"/>
    <w:rsid w:val="009227EF"/>
    <w:rsid w:val="00933A05"/>
    <w:rsid w:val="009342CC"/>
    <w:rsid w:val="00936475"/>
    <w:rsid w:val="00937A19"/>
    <w:rsid w:val="00950505"/>
    <w:rsid w:val="009615C3"/>
    <w:rsid w:val="00961A01"/>
    <w:rsid w:val="009733A1"/>
    <w:rsid w:val="00974C48"/>
    <w:rsid w:val="00976E6B"/>
    <w:rsid w:val="009777C1"/>
    <w:rsid w:val="00991A49"/>
    <w:rsid w:val="0099375F"/>
    <w:rsid w:val="00997A24"/>
    <w:rsid w:val="009A1D56"/>
    <w:rsid w:val="009A3D3E"/>
    <w:rsid w:val="009B06CE"/>
    <w:rsid w:val="009B0EE0"/>
    <w:rsid w:val="009B17DF"/>
    <w:rsid w:val="009B4772"/>
    <w:rsid w:val="009C01A9"/>
    <w:rsid w:val="009D076F"/>
    <w:rsid w:val="009D7B5D"/>
    <w:rsid w:val="009E2F26"/>
    <w:rsid w:val="009E35B8"/>
    <w:rsid w:val="009E473E"/>
    <w:rsid w:val="009F30E0"/>
    <w:rsid w:val="00A0050C"/>
    <w:rsid w:val="00A01A6F"/>
    <w:rsid w:val="00A07A78"/>
    <w:rsid w:val="00A14DA0"/>
    <w:rsid w:val="00A17DF5"/>
    <w:rsid w:val="00A2088D"/>
    <w:rsid w:val="00A20943"/>
    <w:rsid w:val="00A25E72"/>
    <w:rsid w:val="00A26810"/>
    <w:rsid w:val="00A26E43"/>
    <w:rsid w:val="00A31BDA"/>
    <w:rsid w:val="00A3561A"/>
    <w:rsid w:val="00A3604E"/>
    <w:rsid w:val="00A4169F"/>
    <w:rsid w:val="00A440D7"/>
    <w:rsid w:val="00A46294"/>
    <w:rsid w:val="00A479DF"/>
    <w:rsid w:val="00A5272C"/>
    <w:rsid w:val="00A609D0"/>
    <w:rsid w:val="00A61BCC"/>
    <w:rsid w:val="00A73062"/>
    <w:rsid w:val="00A74CEF"/>
    <w:rsid w:val="00A75081"/>
    <w:rsid w:val="00A754E9"/>
    <w:rsid w:val="00A77CFB"/>
    <w:rsid w:val="00A85671"/>
    <w:rsid w:val="00A85EBE"/>
    <w:rsid w:val="00A87712"/>
    <w:rsid w:val="00A90C88"/>
    <w:rsid w:val="00A91A8C"/>
    <w:rsid w:val="00A94441"/>
    <w:rsid w:val="00A947C1"/>
    <w:rsid w:val="00A9746D"/>
    <w:rsid w:val="00A974F2"/>
    <w:rsid w:val="00AB40D0"/>
    <w:rsid w:val="00AB74B6"/>
    <w:rsid w:val="00AC0689"/>
    <w:rsid w:val="00AC23EB"/>
    <w:rsid w:val="00AC330E"/>
    <w:rsid w:val="00AD00FE"/>
    <w:rsid w:val="00AE367E"/>
    <w:rsid w:val="00AE6480"/>
    <w:rsid w:val="00AF1CF9"/>
    <w:rsid w:val="00B012A2"/>
    <w:rsid w:val="00B04828"/>
    <w:rsid w:val="00B0606E"/>
    <w:rsid w:val="00B103C6"/>
    <w:rsid w:val="00B1525C"/>
    <w:rsid w:val="00B21195"/>
    <w:rsid w:val="00B23683"/>
    <w:rsid w:val="00B24F1D"/>
    <w:rsid w:val="00B310DC"/>
    <w:rsid w:val="00B33818"/>
    <w:rsid w:val="00B4411E"/>
    <w:rsid w:val="00B52FB3"/>
    <w:rsid w:val="00B6085C"/>
    <w:rsid w:val="00B64FB8"/>
    <w:rsid w:val="00B7724F"/>
    <w:rsid w:val="00B776CE"/>
    <w:rsid w:val="00B92BF3"/>
    <w:rsid w:val="00B949B6"/>
    <w:rsid w:val="00B97B8D"/>
    <w:rsid w:val="00BA007C"/>
    <w:rsid w:val="00BA1285"/>
    <w:rsid w:val="00BB276B"/>
    <w:rsid w:val="00BB6CEB"/>
    <w:rsid w:val="00BD5665"/>
    <w:rsid w:val="00BD7156"/>
    <w:rsid w:val="00BE1E3B"/>
    <w:rsid w:val="00C01980"/>
    <w:rsid w:val="00C05687"/>
    <w:rsid w:val="00C14374"/>
    <w:rsid w:val="00C16CFF"/>
    <w:rsid w:val="00C2157B"/>
    <w:rsid w:val="00C21CFE"/>
    <w:rsid w:val="00C26811"/>
    <w:rsid w:val="00C27FD4"/>
    <w:rsid w:val="00C30B77"/>
    <w:rsid w:val="00C33E8C"/>
    <w:rsid w:val="00C37F11"/>
    <w:rsid w:val="00C422FD"/>
    <w:rsid w:val="00C45C7D"/>
    <w:rsid w:val="00C61441"/>
    <w:rsid w:val="00C7087F"/>
    <w:rsid w:val="00C81721"/>
    <w:rsid w:val="00C819C3"/>
    <w:rsid w:val="00C82D30"/>
    <w:rsid w:val="00C857B7"/>
    <w:rsid w:val="00C8724A"/>
    <w:rsid w:val="00C94963"/>
    <w:rsid w:val="00CA4EFB"/>
    <w:rsid w:val="00CB1A48"/>
    <w:rsid w:val="00CB72CB"/>
    <w:rsid w:val="00CE1343"/>
    <w:rsid w:val="00D02A14"/>
    <w:rsid w:val="00D03930"/>
    <w:rsid w:val="00D06590"/>
    <w:rsid w:val="00D1162A"/>
    <w:rsid w:val="00D16C7B"/>
    <w:rsid w:val="00D26C97"/>
    <w:rsid w:val="00D311EB"/>
    <w:rsid w:val="00D32B0C"/>
    <w:rsid w:val="00D4082A"/>
    <w:rsid w:val="00D41B3F"/>
    <w:rsid w:val="00D42A6A"/>
    <w:rsid w:val="00D45D6A"/>
    <w:rsid w:val="00D50F8B"/>
    <w:rsid w:val="00D57855"/>
    <w:rsid w:val="00D62749"/>
    <w:rsid w:val="00D72D29"/>
    <w:rsid w:val="00D91709"/>
    <w:rsid w:val="00D92003"/>
    <w:rsid w:val="00D92713"/>
    <w:rsid w:val="00DA3279"/>
    <w:rsid w:val="00DA37BA"/>
    <w:rsid w:val="00DA6F0C"/>
    <w:rsid w:val="00DB27E8"/>
    <w:rsid w:val="00DC6D28"/>
    <w:rsid w:val="00DD1609"/>
    <w:rsid w:val="00DD215B"/>
    <w:rsid w:val="00DD6222"/>
    <w:rsid w:val="00DD73BC"/>
    <w:rsid w:val="00DD76EE"/>
    <w:rsid w:val="00DE289A"/>
    <w:rsid w:val="00DF1C0C"/>
    <w:rsid w:val="00DF70CE"/>
    <w:rsid w:val="00E06B2C"/>
    <w:rsid w:val="00E22AA0"/>
    <w:rsid w:val="00E365D9"/>
    <w:rsid w:val="00E41DB0"/>
    <w:rsid w:val="00E457B9"/>
    <w:rsid w:val="00E52217"/>
    <w:rsid w:val="00E52A20"/>
    <w:rsid w:val="00E54884"/>
    <w:rsid w:val="00E54CAB"/>
    <w:rsid w:val="00E54D48"/>
    <w:rsid w:val="00E60A08"/>
    <w:rsid w:val="00E6213A"/>
    <w:rsid w:val="00E7215C"/>
    <w:rsid w:val="00E743A8"/>
    <w:rsid w:val="00E74B48"/>
    <w:rsid w:val="00E75ACA"/>
    <w:rsid w:val="00E811AD"/>
    <w:rsid w:val="00E81D9F"/>
    <w:rsid w:val="00E83BEB"/>
    <w:rsid w:val="00E95082"/>
    <w:rsid w:val="00E950C9"/>
    <w:rsid w:val="00EA3F55"/>
    <w:rsid w:val="00EA67AA"/>
    <w:rsid w:val="00EA6A48"/>
    <w:rsid w:val="00EB2D2C"/>
    <w:rsid w:val="00EB3C29"/>
    <w:rsid w:val="00EB6885"/>
    <w:rsid w:val="00EC29A0"/>
    <w:rsid w:val="00EC32D5"/>
    <w:rsid w:val="00EC40AC"/>
    <w:rsid w:val="00ED0824"/>
    <w:rsid w:val="00ED2FDD"/>
    <w:rsid w:val="00ED3E89"/>
    <w:rsid w:val="00ED6B30"/>
    <w:rsid w:val="00EE01E8"/>
    <w:rsid w:val="00EE1141"/>
    <w:rsid w:val="00EE4F05"/>
    <w:rsid w:val="00EF0C4F"/>
    <w:rsid w:val="00EF6511"/>
    <w:rsid w:val="00F01FA9"/>
    <w:rsid w:val="00F06FF8"/>
    <w:rsid w:val="00F10EEB"/>
    <w:rsid w:val="00F13604"/>
    <w:rsid w:val="00F16775"/>
    <w:rsid w:val="00F231E6"/>
    <w:rsid w:val="00F259E6"/>
    <w:rsid w:val="00F42DD8"/>
    <w:rsid w:val="00F5162B"/>
    <w:rsid w:val="00F60731"/>
    <w:rsid w:val="00F67717"/>
    <w:rsid w:val="00F70496"/>
    <w:rsid w:val="00F70AA3"/>
    <w:rsid w:val="00F730D5"/>
    <w:rsid w:val="00F74177"/>
    <w:rsid w:val="00F75940"/>
    <w:rsid w:val="00F75E11"/>
    <w:rsid w:val="00F8178C"/>
    <w:rsid w:val="00F9104A"/>
    <w:rsid w:val="00F92DE1"/>
    <w:rsid w:val="00F93DEA"/>
    <w:rsid w:val="00FA0B0B"/>
    <w:rsid w:val="00FA0E40"/>
    <w:rsid w:val="00FA5481"/>
    <w:rsid w:val="00FA7361"/>
    <w:rsid w:val="00FA7DDC"/>
    <w:rsid w:val="00FB52DE"/>
    <w:rsid w:val="00FD42ED"/>
    <w:rsid w:val="00FD4D88"/>
    <w:rsid w:val="00FD68C7"/>
    <w:rsid w:val="00FE762F"/>
    <w:rsid w:val="00FF079E"/>
    <w:rsid w:val="00FF7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4:docId w14:val="2232F22F"/>
  <w15:docId w15:val="{BEFD62FA-9BDB-4A54-94F2-A1C79A92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s>
      <w:spacing w:line="360" w:lineRule="atLeast"/>
      <w:jc w:val="both"/>
    </w:pPr>
    <w:rPr>
      <w:lang w:eastAsia="fr-FR"/>
    </w:rPr>
  </w:style>
  <w:style w:type="paragraph" w:styleId="Heading1">
    <w:name w:val="heading 1"/>
    <w:basedOn w:val="Normal"/>
    <w:next w:val="Normal"/>
    <w:qFormat/>
    <w:pPr>
      <w:spacing w:before="240"/>
      <w:outlineLvl w:val="0"/>
    </w:pPr>
    <w:rPr>
      <w:rFonts w:ascii="Arial" w:hAnsi="Arial" w:cs="Arial"/>
      <w:b/>
      <w:bCs/>
      <w:sz w:val="24"/>
      <w:szCs w:val="24"/>
      <w:u w:val="single"/>
    </w:rPr>
  </w:style>
  <w:style w:type="paragraph" w:styleId="Heading2">
    <w:name w:val="heading 2"/>
    <w:basedOn w:val="Normal"/>
    <w:next w:val="Normal"/>
    <w:qFormat/>
    <w:pPr>
      <w:spacing w:before="120"/>
      <w:outlineLvl w:val="1"/>
    </w:pPr>
    <w:rPr>
      <w:rFonts w:ascii="Arial" w:hAnsi="Arial" w:cs="Arial"/>
      <w:b/>
      <w:bCs/>
      <w:sz w:val="24"/>
      <w:szCs w:val="24"/>
    </w:rPr>
  </w:style>
  <w:style w:type="paragraph" w:styleId="Heading3">
    <w:name w:val="heading 3"/>
    <w:basedOn w:val="Normal"/>
    <w:next w:val="Normal"/>
    <w:qFormat/>
    <w:pPr>
      <w:ind w:left="360"/>
      <w:outlineLvl w:val="2"/>
    </w:pPr>
    <w:rPr>
      <w:b/>
      <w:bCs/>
      <w:sz w:val="24"/>
      <w:szCs w:val="24"/>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link w:val="Heading8Char"/>
    <w:uiPriority w:val="99"/>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615F3"/>
    <w:rPr>
      <w:rFonts w:ascii="Arial" w:hAnsi="Arial"/>
      <w:sz w:val="16"/>
    </w:rPr>
  </w:style>
  <w:style w:type="paragraph" w:styleId="Header">
    <w:name w:val="header"/>
    <w:basedOn w:val="Normal"/>
    <w:link w:val="HeaderChar"/>
    <w:pPr>
      <w:tabs>
        <w:tab w:val="clear" w:pos="-720"/>
        <w:tab w:val="center" w:pos="4536"/>
        <w:tab w:val="right" w:pos="9072"/>
      </w:tabs>
    </w:pPr>
  </w:style>
  <w:style w:type="paragraph" w:customStyle="1" w:styleId="notedebas">
    <w:name w:val="note de bas"/>
    <w:basedOn w:val="Normal"/>
    <w:pPr>
      <w:widowControl w:val="0"/>
      <w:spacing w:line="240" w:lineRule="auto"/>
      <w:ind w:left="425" w:hanging="425"/>
    </w:pPr>
    <w:rPr>
      <w:rFonts w:ascii="Arial" w:hAnsi="Arial" w:cs="Arial"/>
      <w:sz w:val="16"/>
      <w:szCs w:val="16"/>
      <w:lang w:val="en-US"/>
    </w:rPr>
  </w:style>
  <w:style w:type="paragraph" w:customStyle="1" w:styleId="a">
    <w:name w:val="a)"/>
    <w:basedOn w:val="Normal"/>
    <w:pPr>
      <w:tabs>
        <w:tab w:val="clear" w:pos="-720"/>
      </w:tabs>
      <w:spacing w:after="120" w:line="240" w:lineRule="auto"/>
      <w:ind w:left="425" w:hanging="425"/>
    </w:pPr>
    <w:rPr>
      <w:rFonts w:ascii="Ottawa" w:hAnsi="Ottawa"/>
      <w:b/>
      <w:bCs/>
    </w:rPr>
  </w:style>
  <w:style w:type="paragraph" w:customStyle="1" w:styleId="paraa">
    <w:name w:val="paraa)"/>
    <w:basedOn w:val="Normal"/>
    <w:pPr>
      <w:spacing w:after="240" w:line="240" w:lineRule="auto"/>
      <w:ind w:left="425"/>
    </w:pPr>
    <w:rPr>
      <w:rFonts w:ascii="Arial" w:hAnsi="Arial" w:cs="Arial"/>
      <w:sz w:val="18"/>
      <w:szCs w:val="18"/>
    </w:rPr>
  </w:style>
  <w:style w:type="paragraph" w:customStyle="1" w:styleId="1">
    <w:name w:val="1"/>
    <w:basedOn w:val="para1"/>
    <w:uiPriority w:val="99"/>
    <w:qFormat/>
    <w:pPr>
      <w:tabs>
        <w:tab w:val="clear" w:pos="-720"/>
      </w:tabs>
      <w:ind w:left="426" w:hanging="426"/>
    </w:pPr>
    <w:rPr>
      <w:rFonts w:ascii="Ottawa" w:hAnsi="Ottawa"/>
      <w:b/>
      <w:bCs/>
      <w:sz w:val="22"/>
      <w:szCs w:val="22"/>
    </w:rPr>
  </w:style>
  <w:style w:type="paragraph" w:customStyle="1" w:styleId="para1">
    <w:name w:val="para1"/>
    <w:basedOn w:val="Normal"/>
    <w:pPr>
      <w:spacing w:after="240" w:line="240" w:lineRule="auto"/>
    </w:pPr>
    <w:rPr>
      <w:rFonts w:ascii="Arial" w:hAnsi="Arial" w:cs="Arial"/>
      <w:sz w:val="18"/>
      <w:szCs w:val="18"/>
    </w:rPr>
  </w:style>
  <w:style w:type="paragraph" w:customStyle="1" w:styleId="i">
    <w:name w:val="i)"/>
    <w:basedOn w:val="Normal"/>
    <w:uiPriority w:val="99"/>
    <w:qFormat/>
    <w:rsid w:val="00E811AD"/>
    <w:pPr>
      <w:spacing w:after="120" w:line="240" w:lineRule="auto"/>
      <w:ind w:left="1843" w:hanging="425"/>
    </w:pPr>
    <w:rPr>
      <w:rFonts w:ascii="Arial" w:hAnsi="Arial" w:cs="Arial"/>
      <w:sz w:val="18"/>
      <w:szCs w:val="18"/>
    </w:rPr>
  </w:style>
  <w:style w:type="paragraph" w:customStyle="1" w:styleId="A0">
    <w:name w:val="A"/>
    <w:basedOn w:val="Normal"/>
    <w:uiPriority w:val="99"/>
    <w:pPr>
      <w:spacing w:after="240" w:line="240" w:lineRule="auto"/>
      <w:jc w:val="center"/>
    </w:pPr>
    <w:rPr>
      <w:rFonts w:ascii="Ottawa" w:hAnsi="Ottawa"/>
      <w:b/>
      <w:bCs/>
      <w:caps/>
      <w:sz w:val="24"/>
      <w:szCs w:val="24"/>
    </w:rPr>
  </w:style>
  <w:style w:type="paragraph" w:customStyle="1" w:styleId="Ref">
    <w:name w:val="Ref."/>
    <w:basedOn w:val="Normal"/>
    <w:rsid w:val="00124355"/>
    <w:pPr>
      <w:spacing w:after="240" w:line="240" w:lineRule="auto"/>
    </w:pPr>
    <w:rPr>
      <w:rFonts w:ascii="Arial" w:hAnsi="Arial" w:cs="Arial"/>
      <w:sz w:val="18"/>
      <w:szCs w:val="18"/>
    </w:rPr>
  </w:style>
  <w:style w:type="paragraph" w:customStyle="1" w:styleId="sumtexte">
    <w:name w:val="sumtexte"/>
    <w:basedOn w:val="Normal"/>
    <w:pPr>
      <w:spacing w:after="120" w:line="240" w:lineRule="exact"/>
      <w:ind w:left="567" w:right="567"/>
    </w:pPr>
    <w:rPr>
      <w:rFonts w:ascii="Arial" w:hAnsi="Arial" w:cs="Arial"/>
      <w:i/>
      <w:iCs/>
      <w:sz w:val="18"/>
      <w:szCs w:val="18"/>
    </w:rPr>
  </w:style>
  <w:style w:type="paragraph" w:customStyle="1" w:styleId="paraA0">
    <w:name w:val="paraA"/>
    <w:basedOn w:val="Normal"/>
    <w:uiPriority w:val="99"/>
    <w:pPr>
      <w:spacing w:after="240" w:line="240" w:lineRule="auto"/>
    </w:pPr>
    <w:rPr>
      <w:rFonts w:ascii="Arial" w:hAnsi="Arial" w:cs="Arial"/>
      <w:sz w:val="18"/>
      <w:szCs w:val="18"/>
    </w:rPr>
  </w:style>
  <w:style w:type="paragraph" w:customStyle="1" w:styleId="TITRE">
    <w:name w:val="TITRE"/>
    <w:basedOn w:val="Normal"/>
    <w:pPr>
      <w:spacing w:after="240"/>
      <w:jc w:val="center"/>
    </w:pPr>
    <w:rPr>
      <w:b/>
      <w:bCs/>
      <w:caps/>
    </w:rPr>
  </w:style>
  <w:style w:type="paragraph" w:styleId="Footer">
    <w:name w:val="footer"/>
    <w:basedOn w:val="Normal"/>
    <w:pPr>
      <w:tabs>
        <w:tab w:val="clear" w:pos="-720"/>
        <w:tab w:val="center" w:pos="4536"/>
        <w:tab w:val="right" w:pos="9072"/>
      </w:tabs>
    </w:pPr>
  </w:style>
  <w:style w:type="paragraph" w:styleId="FootnoteText">
    <w:name w:val="footnote text"/>
    <w:basedOn w:val="Normal"/>
    <w:link w:val="FootnoteTextChar"/>
    <w:uiPriority w:val="99"/>
  </w:style>
  <w:style w:type="character" w:styleId="FootnoteReference">
    <w:name w:val="footnote reference"/>
    <w:basedOn w:val="DefaultParagraphFont"/>
    <w:uiPriority w:val="99"/>
    <w:rPr>
      <w:vertAlign w:val="superscript"/>
    </w:rPr>
  </w:style>
  <w:style w:type="paragraph" w:customStyle="1" w:styleId="sumtextelastpara">
    <w:name w:val="sumtexte last para"/>
    <w:basedOn w:val="sumtexte"/>
    <w:pPr>
      <w:spacing w:after="480"/>
    </w:pPr>
  </w:style>
  <w:style w:type="paragraph" w:customStyle="1" w:styleId="b">
    <w:name w:val="b)"/>
    <w:basedOn w:val="Normal"/>
    <w:pPr>
      <w:spacing w:after="120" w:line="240" w:lineRule="auto"/>
      <w:ind w:left="850" w:hanging="425"/>
    </w:pPr>
    <w:rPr>
      <w:rFonts w:ascii="Ottawa" w:hAnsi="Ottawa"/>
      <w:b/>
      <w:sz w:val="18"/>
    </w:rPr>
  </w:style>
  <w:style w:type="paragraph" w:customStyle="1" w:styleId="ipara">
    <w:name w:val="i_para"/>
    <w:basedOn w:val="i"/>
    <w:uiPriority w:val="99"/>
    <w:pPr>
      <w:spacing w:line="200" w:lineRule="exact"/>
      <w:ind w:left="851" w:firstLine="0"/>
    </w:pPr>
  </w:style>
  <w:style w:type="paragraph" w:customStyle="1" w:styleId="iparalast">
    <w:name w:val="i_para_last"/>
    <w:basedOn w:val="i"/>
    <w:pPr>
      <w:spacing w:after="240" w:line="200" w:lineRule="exact"/>
    </w:pPr>
  </w:style>
  <w:style w:type="paragraph" w:customStyle="1" w:styleId="Referencetitle">
    <w:name w:val="Reference_title"/>
    <w:basedOn w:val="Normal"/>
    <w:pPr>
      <w:widowControl w:val="0"/>
      <w:tabs>
        <w:tab w:val="left" w:pos="2410"/>
      </w:tabs>
      <w:spacing w:after="240" w:line="240" w:lineRule="auto"/>
      <w:jc w:val="center"/>
    </w:pPr>
    <w:rPr>
      <w:rFonts w:ascii="Ottawa" w:hAnsi="Ottawa"/>
      <w:b/>
      <w:sz w:val="22"/>
    </w:rPr>
  </w:style>
  <w:style w:type="paragraph" w:customStyle="1" w:styleId="Chatperno">
    <w:name w:val="Chatper_no"/>
    <w:basedOn w:val="Normal"/>
    <w:pPr>
      <w:spacing w:after="240" w:line="240" w:lineRule="auto"/>
      <w:jc w:val="center"/>
    </w:pPr>
    <w:rPr>
      <w:rFonts w:ascii="Ottawa" w:hAnsi="Ottawa"/>
      <w:caps/>
      <w:spacing w:val="60"/>
      <w:sz w:val="24"/>
    </w:rPr>
  </w:style>
  <w:style w:type="paragraph" w:customStyle="1" w:styleId="Chaptertitle">
    <w:name w:val="Chapter_title"/>
    <w:basedOn w:val="Normal"/>
    <w:pPr>
      <w:pBdr>
        <w:bottom w:val="single" w:sz="6" w:space="10" w:color="auto"/>
      </w:pBdr>
      <w:spacing w:line="240" w:lineRule="auto"/>
      <w:jc w:val="center"/>
    </w:pPr>
    <w:rPr>
      <w:rFonts w:ascii="Ottawa" w:hAnsi="Ottawa"/>
      <w:b/>
      <w:caps/>
      <w:spacing w:val="40"/>
      <w:sz w:val="32"/>
    </w:rPr>
  </w:style>
  <w:style w:type="paragraph" w:customStyle="1" w:styleId="Summarytitle">
    <w:name w:val="Summary_title"/>
    <w:basedOn w:val="A0"/>
    <w:pPr>
      <w:spacing w:before="1200"/>
    </w:pPr>
  </w:style>
  <w:style w:type="paragraph" w:customStyle="1" w:styleId="rtoiles">
    <w:name w:val="r_étoiles"/>
    <w:basedOn w:val="Normal"/>
    <w:next w:val="Normal"/>
    <w:pPr>
      <w:keepLines/>
      <w:tabs>
        <w:tab w:val="clear" w:pos="-720"/>
      </w:tabs>
      <w:spacing w:before="240" w:after="240" w:line="240" w:lineRule="atLeast"/>
      <w:jc w:val="center"/>
    </w:pPr>
    <w:rPr>
      <w:lang w:val="fr-FR"/>
    </w:rPr>
  </w:style>
  <w:style w:type="character" w:customStyle="1" w:styleId="paraaCar">
    <w:name w:val="paraa) Car"/>
    <w:basedOn w:val="DefaultParagraphFont"/>
    <w:rPr>
      <w:rFonts w:ascii="Arial" w:hAnsi="Arial" w:cs="Arial"/>
      <w:sz w:val="18"/>
      <w:szCs w:val="18"/>
      <w:lang w:val="en-GB" w:eastAsia="fr-FR" w:bidi="ar-SA"/>
    </w:rPr>
  </w:style>
  <w:style w:type="character" w:customStyle="1" w:styleId="aCar">
    <w:name w:val="a) Car"/>
    <w:basedOn w:val="DefaultParagraphFont"/>
    <w:rPr>
      <w:rFonts w:ascii="Ottawa" w:hAnsi="Ottawa"/>
      <w:b/>
      <w:bCs/>
      <w:lang w:val="en-GB" w:eastAsia="fr-FR" w:bidi="ar-SA"/>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BodyText">
    <w:name w:val="Body Text"/>
    <w:basedOn w:val="Normal"/>
    <w:pPr>
      <w:widowControl w:val="0"/>
      <w:tabs>
        <w:tab w:val="left" w:pos="-864"/>
        <w:tab w:val="left" w:pos="0"/>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pPr>
    <w:rPr>
      <w:lang w:val="en-US" w:eastAsia="en-US"/>
    </w:rPr>
  </w:style>
  <w:style w:type="character" w:styleId="CommentReference">
    <w:name w:val="annotation reference"/>
    <w:basedOn w:val="DefaultParagraphFont"/>
    <w:semiHidden/>
    <w:rsid w:val="001F2C72"/>
    <w:rPr>
      <w:sz w:val="16"/>
      <w:szCs w:val="16"/>
    </w:rPr>
  </w:style>
  <w:style w:type="character" w:customStyle="1" w:styleId="iCar">
    <w:name w:val="i) Car"/>
    <w:basedOn w:val="DefaultParagraphFont"/>
    <w:rPr>
      <w:rFonts w:ascii="Arial" w:hAnsi="Arial" w:cs="Arial"/>
      <w:sz w:val="18"/>
      <w:szCs w:val="18"/>
      <w:lang w:val="en-GB" w:eastAsia="fr-FR" w:bidi="ar-SA"/>
    </w:rPr>
  </w:style>
  <w:style w:type="character" w:customStyle="1" w:styleId="iparalastCar">
    <w:name w:val="i_para_last Car"/>
    <w:basedOn w:val="iCar"/>
    <w:rPr>
      <w:rFonts w:ascii="Arial" w:hAnsi="Arial" w:cs="Arial"/>
      <w:sz w:val="18"/>
      <w:szCs w:val="18"/>
      <w:lang w:val="en-GB" w:eastAsia="fr-FR" w:bidi="ar-SA"/>
    </w:rPr>
  </w:style>
  <w:style w:type="paragraph" w:styleId="CommentText">
    <w:name w:val="annotation text"/>
    <w:basedOn w:val="Normal"/>
    <w:semiHidden/>
    <w:rsid w:val="001F2C72"/>
  </w:style>
  <w:style w:type="paragraph" w:styleId="CommentSubject">
    <w:name w:val="annotation subject"/>
    <w:basedOn w:val="CommentText"/>
    <w:next w:val="CommentText"/>
    <w:semiHidden/>
    <w:rsid w:val="001F2C72"/>
    <w:rPr>
      <w:b/>
      <w:bCs/>
    </w:rPr>
  </w:style>
  <w:style w:type="table" w:styleId="TableGrid">
    <w:name w:val="Table Grid"/>
    <w:basedOn w:val="TableNormal"/>
    <w:rsid w:val="00A87712"/>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rsid w:val="00A87712"/>
    <w:pPr>
      <w:tabs>
        <w:tab w:val="clear" w:pos="-720"/>
      </w:tabs>
      <w:spacing w:before="100" w:beforeAutospacing="1" w:after="100" w:afterAutospacing="1" w:line="240" w:lineRule="auto"/>
      <w:jc w:val="left"/>
    </w:pPr>
    <w:rPr>
      <w:rFonts w:ascii="Arial Unicode MS" w:hAnsi="Arial Unicode MS"/>
      <w:sz w:val="24"/>
      <w:szCs w:val="24"/>
      <w:lang w:val="en-US" w:eastAsia="en-US"/>
    </w:rPr>
  </w:style>
  <w:style w:type="paragraph" w:customStyle="1" w:styleId="Reflabnote">
    <w:name w:val="Ref_lab_note"/>
    <w:basedOn w:val="Normal"/>
    <w:link w:val="ReflabnoteCar"/>
    <w:rsid w:val="003E43C2"/>
    <w:pPr>
      <w:tabs>
        <w:tab w:val="clear" w:pos="-720"/>
      </w:tabs>
      <w:spacing w:before="120" w:after="120" w:line="240" w:lineRule="auto"/>
      <w:jc w:val="center"/>
    </w:pPr>
    <w:rPr>
      <w:rFonts w:ascii="Arial" w:hAnsi="Arial" w:cs="Arial"/>
      <w:sz w:val="18"/>
      <w:szCs w:val="18"/>
    </w:rPr>
  </w:style>
  <w:style w:type="character" w:customStyle="1" w:styleId="ReflabnoteCar">
    <w:name w:val="Ref_lab_note Car"/>
    <w:basedOn w:val="DefaultParagraphFont"/>
    <w:link w:val="Reflabnote"/>
    <w:rsid w:val="003E43C2"/>
    <w:rPr>
      <w:rFonts w:ascii="Arial" w:hAnsi="Arial" w:cs="Arial"/>
      <w:sz w:val="18"/>
      <w:szCs w:val="18"/>
      <w:lang w:eastAsia="fr-FR"/>
    </w:rPr>
  </w:style>
  <w:style w:type="paragraph" w:customStyle="1" w:styleId="StyleRefExposant">
    <w:name w:val="Style Ref. + Exposant"/>
    <w:basedOn w:val="Ref"/>
    <w:rsid w:val="00124355"/>
    <w:rPr>
      <w:vertAlign w:val="superscript"/>
    </w:rPr>
  </w:style>
  <w:style w:type="paragraph" w:customStyle="1" w:styleId="StyleRefGauche0cmPremireligne0cmAprs10pt">
    <w:name w:val="Style Ref. + Gauche :  0 cm Première ligne : 0 cm Après : 10 pt"/>
    <w:basedOn w:val="Ref"/>
    <w:rsid w:val="00124355"/>
    <w:rPr>
      <w:rFonts w:cs="Times New Roman"/>
      <w:szCs w:val="20"/>
    </w:rPr>
  </w:style>
  <w:style w:type="character" w:customStyle="1" w:styleId="HeaderChar">
    <w:name w:val="Header Char"/>
    <w:basedOn w:val="DefaultParagraphFont"/>
    <w:link w:val="Header"/>
    <w:rsid w:val="00171E83"/>
    <w:rPr>
      <w:lang w:eastAsia="fr-FR"/>
    </w:rPr>
  </w:style>
  <w:style w:type="character" w:customStyle="1" w:styleId="FootnoteTextChar">
    <w:name w:val="Footnote Text Char"/>
    <w:basedOn w:val="DefaultParagraphFont"/>
    <w:link w:val="FootnoteText"/>
    <w:uiPriority w:val="99"/>
    <w:rsid w:val="007615F3"/>
    <w:rPr>
      <w:lang w:eastAsia="fr-FR"/>
    </w:rPr>
  </w:style>
  <w:style w:type="paragraph" w:customStyle="1" w:styleId="TableHead">
    <w:name w:val="Table Head"/>
    <w:basedOn w:val="Normal"/>
    <w:uiPriority w:val="99"/>
    <w:rsid w:val="007615F3"/>
    <w:pPr>
      <w:tabs>
        <w:tab w:val="clear" w:pos="-720"/>
      </w:tabs>
      <w:spacing w:before="120" w:after="120" w:line="240" w:lineRule="auto"/>
      <w:jc w:val="center"/>
    </w:pPr>
    <w:rPr>
      <w:rFonts w:ascii="Ottawa" w:hAnsi="Ottawa" w:cs="Ottawa"/>
      <w:b/>
      <w:bCs/>
      <w:sz w:val="18"/>
      <w:szCs w:val="18"/>
      <w:lang w:val="en-IE" w:eastAsia="en-US"/>
    </w:rPr>
  </w:style>
  <w:style w:type="paragraph" w:customStyle="1" w:styleId="Tabletext">
    <w:name w:val="Table text"/>
    <w:basedOn w:val="Normal"/>
    <w:uiPriority w:val="99"/>
    <w:rsid w:val="007615F3"/>
    <w:pPr>
      <w:tabs>
        <w:tab w:val="clear" w:pos="-720"/>
      </w:tabs>
      <w:spacing w:before="120" w:after="120" w:line="240" w:lineRule="auto"/>
      <w:jc w:val="center"/>
    </w:pPr>
    <w:rPr>
      <w:rFonts w:ascii="Arial" w:hAnsi="Arial" w:cs="Arial"/>
      <w:sz w:val="18"/>
      <w:szCs w:val="18"/>
      <w:lang w:val="en-IE" w:eastAsia="en-US"/>
    </w:rPr>
  </w:style>
  <w:style w:type="paragraph" w:customStyle="1" w:styleId="Tabletitle">
    <w:name w:val="Table title"/>
    <w:basedOn w:val="Normal"/>
    <w:autoRedefine/>
    <w:uiPriority w:val="99"/>
    <w:rsid w:val="007615F3"/>
    <w:pPr>
      <w:tabs>
        <w:tab w:val="clear" w:pos="-720"/>
      </w:tabs>
      <w:spacing w:after="120" w:line="240" w:lineRule="auto"/>
      <w:jc w:val="center"/>
    </w:pPr>
    <w:rPr>
      <w:rFonts w:ascii="Ottawa" w:hAnsi="Ottawa" w:cs="Ottawa"/>
      <w:b/>
      <w:bCs/>
      <w:i/>
      <w:iCs/>
      <w:sz w:val="18"/>
      <w:szCs w:val="18"/>
      <w:lang w:eastAsia="en-US"/>
    </w:rPr>
  </w:style>
  <w:style w:type="paragraph" w:styleId="PlainText">
    <w:name w:val="Plain Text"/>
    <w:basedOn w:val="Normal"/>
    <w:link w:val="PlainTextChar"/>
    <w:uiPriority w:val="99"/>
    <w:rsid w:val="007615F3"/>
    <w:pPr>
      <w:tabs>
        <w:tab w:val="clear" w:pos="-720"/>
      </w:tabs>
      <w:spacing w:line="240" w:lineRule="auto"/>
      <w:jc w:val="left"/>
    </w:pPr>
    <w:rPr>
      <w:rFonts w:ascii="Calibri" w:hAnsi="Calibri" w:cs="Calibri"/>
      <w:sz w:val="22"/>
      <w:szCs w:val="22"/>
      <w:lang w:eastAsia="en-US"/>
    </w:rPr>
  </w:style>
  <w:style w:type="character" w:customStyle="1" w:styleId="PlainTextChar">
    <w:name w:val="Plain Text Char"/>
    <w:basedOn w:val="DefaultParagraphFont"/>
    <w:link w:val="PlainText"/>
    <w:uiPriority w:val="99"/>
    <w:rsid w:val="007615F3"/>
    <w:rPr>
      <w:rFonts w:ascii="Calibri" w:hAnsi="Calibri" w:cs="Calibri"/>
      <w:sz w:val="22"/>
      <w:szCs w:val="22"/>
      <w:lang w:eastAsia="en-US"/>
    </w:rPr>
  </w:style>
  <w:style w:type="paragraph" w:customStyle="1" w:styleId="A1">
    <w:name w:val="A1"/>
    <w:basedOn w:val="Heading1"/>
    <w:qFormat/>
    <w:rsid w:val="007615F3"/>
    <w:pPr>
      <w:tabs>
        <w:tab w:val="clear" w:pos="-720"/>
      </w:tabs>
      <w:spacing w:before="0" w:after="240" w:line="240" w:lineRule="auto"/>
      <w:ind w:left="425" w:hanging="425"/>
      <w:jc w:val="left"/>
    </w:pPr>
    <w:rPr>
      <w:rFonts w:ascii="Ottawa" w:eastAsiaTheme="majorEastAsia" w:hAnsi="Ottawa"/>
      <w:sz w:val="22"/>
      <w:szCs w:val="28"/>
      <w:u w:val="none"/>
      <w:lang w:eastAsia="en-US"/>
    </w:rPr>
  </w:style>
  <w:style w:type="paragraph" w:customStyle="1" w:styleId="1Para">
    <w:name w:val="1_Para"/>
    <w:basedOn w:val="Normal"/>
    <w:qFormat/>
    <w:rsid w:val="007615F3"/>
    <w:pPr>
      <w:tabs>
        <w:tab w:val="clear" w:pos="-720"/>
      </w:tabs>
      <w:spacing w:after="240" w:line="240" w:lineRule="auto"/>
    </w:pPr>
    <w:rPr>
      <w:rFonts w:ascii="Arial" w:eastAsiaTheme="minorHAnsi" w:hAnsi="Arial" w:cs="Arial"/>
      <w:sz w:val="18"/>
      <w:szCs w:val="18"/>
      <w:lang w:eastAsia="en-US"/>
    </w:rPr>
  </w:style>
  <w:style w:type="paragraph" w:customStyle="1" w:styleId="11">
    <w:name w:val="1.1"/>
    <w:basedOn w:val="Normal"/>
    <w:uiPriority w:val="99"/>
    <w:qFormat/>
    <w:rsid w:val="007615F3"/>
    <w:pPr>
      <w:tabs>
        <w:tab w:val="clear" w:pos="-720"/>
      </w:tabs>
      <w:spacing w:after="240" w:line="240" w:lineRule="auto"/>
      <w:ind w:left="850" w:hanging="425"/>
      <w:jc w:val="left"/>
    </w:pPr>
    <w:rPr>
      <w:rFonts w:ascii="Ottawa" w:eastAsiaTheme="minorHAnsi" w:hAnsi="Ottawa" w:cs="Arial"/>
      <w:b/>
      <w:szCs w:val="22"/>
      <w:lang w:eastAsia="en-US"/>
    </w:rPr>
  </w:style>
  <w:style w:type="paragraph" w:customStyle="1" w:styleId="11Para">
    <w:name w:val="1.1_Para"/>
    <w:basedOn w:val="Normal"/>
    <w:uiPriority w:val="99"/>
    <w:qFormat/>
    <w:rsid w:val="007615F3"/>
    <w:pPr>
      <w:tabs>
        <w:tab w:val="clear" w:pos="-720"/>
      </w:tabs>
      <w:spacing w:after="240" w:line="240" w:lineRule="auto"/>
      <w:ind w:left="851"/>
    </w:pPr>
    <w:rPr>
      <w:rFonts w:ascii="Arial" w:eastAsiaTheme="minorHAnsi" w:hAnsi="Arial" w:cs="Arial"/>
      <w:sz w:val="18"/>
      <w:szCs w:val="18"/>
      <w:lang w:eastAsia="en-US"/>
    </w:rPr>
  </w:style>
  <w:style w:type="paragraph" w:customStyle="1" w:styleId="111">
    <w:name w:val="1.1.1"/>
    <w:basedOn w:val="Normal"/>
    <w:uiPriority w:val="99"/>
    <w:qFormat/>
    <w:rsid w:val="007615F3"/>
    <w:pPr>
      <w:tabs>
        <w:tab w:val="clear" w:pos="-720"/>
      </w:tabs>
      <w:spacing w:after="120" w:line="240" w:lineRule="auto"/>
      <w:ind w:left="1418" w:hanging="567"/>
      <w:jc w:val="left"/>
    </w:pPr>
    <w:rPr>
      <w:rFonts w:ascii="Ottawa" w:eastAsiaTheme="minorHAnsi" w:hAnsi="Ottawa" w:cs="Arial"/>
      <w:b/>
      <w:sz w:val="19"/>
      <w:lang w:eastAsia="en-US"/>
    </w:rPr>
  </w:style>
  <w:style w:type="paragraph" w:customStyle="1" w:styleId="111Para">
    <w:name w:val="1.1.1_Para"/>
    <w:basedOn w:val="Normal"/>
    <w:uiPriority w:val="99"/>
    <w:qFormat/>
    <w:rsid w:val="007615F3"/>
    <w:pPr>
      <w:tabs>
        <w:tab w:val="clear" w:pos="-720"/>
      </w:tabs>
      <w:spacing w:after="240" w:line="240" w:lineRule="auto"/>
      <w:ind w:left="1418"/>
    </w:pPr>
    <w:rPr>
      <w:rFonts w:ascii="Arial" w:eastAsiaTheme="minorHAnsi" w:hAnsi="Arial" w:cs="Arial"/>
      <w:sz w:val="18"/>
      <w:szCs w:val="18"/>
      <w:lang w:eastAsia="en-US"/>
    </w:rPr>
  </w:style>
  <w:style w:type="paragraph" w:customStyle="1" w:styleId="ilast">
    <w:name w:val="i)_last"/>
    <w:basedOn w:val="Normal"/>
    <w:qFormat/>
    <w:rsid w:val="007615F3"/>
    <w:pPr>
      <w:tabs>
        <w:tab w:val="clear" w:pos="-720"/>
      </w:tabs>
      <w:spacing w:after="240" w:line="240" w:lineRule="auto"/>
      <w:ind w:left="1843" w:hanging="425"/>
      <w:jc w:val="left"/>
    </w:pPr>
    <w:rPr>
      <w:rFonts w:ascii="Arial" w:eastAsiaTheme="minorHAnsi" w:hAnsi="Arial" w:cs="Arial"/>
      <w:sz w:val="18"/>
      <w:szCs w:val="18"/>
      <w:lang w:eastAsia="en-US"/>
    </w:rPr>
  </w:style>
  <w:style w:type="paragraph" w:customStyle="1" w:styleId="afourthlevel">
    <w:name w:val="a)_fourth_level"/>
    <w:basedOn w:val="Normal"/>
    <w:qFormat/>
    <w:rsid w:val="007615F3"/>
    <w:pPr>
      <w:tabs>
        <w:tab w:val="clear" w:pos="-720"/>
      </w:tabs>
      <w:spacing w:after="120" w:line="240" w:lineRule="auto"/>
      <w:ind w:left="1843" w:hanging="425"/>
      <w:jc w:val="left"/>
    </w:pPr>
    <w:rPr>
      <w:rFonts w:ascii="Ottawa" w:eastAsiaTheme="minorHAnsi" w:hAnsi="Ottawa" w:cs="Arial"/>
      <w:b/>
      <w:sz w:val="18"/>
      <w:lang w:eastAsia="en-US"/>
    </w:rPr>
  </w:style>
  <w:style w:type="paragraph" w:customStyle="1" w:styleId="afourthpara">
    <w:name w:val="a)_fourth_para"/>
    <w:basedOn w:val="Normal"/>
    <w:qFormat/>
    <w:rsid w:val="007615F3"/>
    <w:pPr>
      <w:tabs>
        <w:tab w:val="clear" w:pos="-720"/>
      </w:tabs>
      <w:spacing w:after="240" w:line="240" w:lineRule="auto"/>
      <w:ind w:left="1843"/>
    </w:pPr>
    <w:rPr>
      <w:rFonts w:ascii="Arial" w:eastAsiaTheme="minorHAnsi" w:hAnsi="Arial" w:cs="Arial"/>
      <w:sz w:val="18"/>
      <w:szCs w:val="18"/>
      <w:lang w:eastAsia="en-US"/>
    </w:rPr>
  </w:style>
  <w:style w:type="paragraph" w:customStyle="1" w:styleId="ififthlevel">
    <w:name w:val="i)_fifth_level"/>
    <w:basedOn w:val="Normal"/>
    <w:uiPriority w:val="99"/>
    <w:qFormat/>
    <w:rsid w:val="007615F3"/>
    <w:pPr>
      <w:tabs>
        <w:tab w:val="clear" w:pos="-720"/>
      </w:tabs>
      <w:spacing w:after="120" w:line="240" w:lineRule="auto"/>
      <w:ind w:left="2268" w:hanging="425"/>
      <w:jc w:val="left"/>
    </w:pPr>
    <w:rPr>
      <w:rFonts w:ascii="Ottawa" w:eastAsiaTheme="minorHAnsi" w:hAnsi="Ottawa" w:cs="Arial"/>
      <w:b/>
      <w:sz w:val="17"/>
      <w:szCs w:val="18"/>
      <w:lang w:eastAsia="en-US"/>
    </w:rPr>
  </w:style>
  <w:style w:type="paragraph" w:customStyle="1" w:styleId="ififthpara">
    <w:name w:val="i)_fifth_para"/>
    <w:basedOn w:val="Normal"/>
    <w:uiPriority w:val="99"/>
    <w:qFormat/>
    <w:rsid w:val="007615F3"/>
    <w:pPr>
      <w:tabs>
        <w:tab w:val="clear" w:pos="-720"/>
      </w:tabs>
      <w:spacing w:after="240" w:line="240" w:lineRule="auto"/>
      <w:ind w:left="2268"/>
    </w:pPr>
    <w:rPr>
      <w:rFonts w:ascii="Arial" w:eastAsiaTheme="minorHAnsi" w:hAnsi="Arial" w:cs="Arial"/>
      <w:sz w:val="18"/>
      <w:szCs w:val="18"/>
      <w:lang w:eastAsia="en-US"/>
    </w:rPr>
  </w:style>
  <w:style w:type="paragraph" w:customStyle="1" w:styleId="dotsixthlevel">
    <w:name w:val="dot_sixth_level"/>
    <w:basedOn w:val="Normal"/>
    <w:qFormat/>
    <w:rsid w:val="007615F3"/>
    <w:pPr>
      <w:tabs>
        <w:tab w:val="clear" w:pos="-720"/>
      </w:tabs>
      <w:spacing w:after="120" w:line="240" w:lineRule="auto"/>
      <w:ind w:left="2268" w:hanging="425"/>
      <w:jc w:val="left"/>
    </w:pPr>
    <w:rPr>
      <w:rFonts w:ascii="Arial" w:eastAsiaTheme="minorHAnsi" w:hAnsi="Arial" w:cs="Arial"/>
      <w:sz w:val="18"/>
      <w:szCs w:val="18"/>
      <w:lang w:eastAsia="en-US"/>
    </w:rPr>
  </w:style>
  <w:style w:type="paragraph" w:customStyle="1" w:styleId="dotsixthpara">
    <w:name w:val="dot_sixth_para"/>
    <w:basedOn w:val="Normal"/>
    <w:qFormat/>
    <w:rsid w:val="007615F3"/>
    <w:pPr>
      <w:tabs>
        <w:tab w:val="clear" w:pos="-720"/>
      </w:tabs>
      <w:spacing w:after="240" w:line="240" w:lineRule="auto"/>
      <w:ind w:left="2268"/>
    </w:pPr>
    <w:rPr>
      <w:rFonts w:ascii="Arial" w:eastAsiaTheme="minorHAnsi" w:hAnsi="Arial" w:cs="Arial"/>
      <w:sz w:val="18"/>
      <w:szCs w:val="18"/>
      <w:lang w:eastAsia="en-US"/>
    </w:rPr>
  </w:style>
  <w:style w:type="paragraph" w:customStyle="1" w:styleId="ififthlevellist">
    <w:name w:val="i_fifth_level_list"/>
    <w:basedOn w:val="ififthpara"/>
    <w:qFormat/>
    <w:rsid w:val="007615F3"/>
    <w:pPr>
      <w:spacing w:after="120"/>
      <w:ind w:hanging="425"/>
    </w:pPr>
  </w:style>
  <w:style w:type="paragraph" w:customStyle="1" w:styleId="11ilist">
    <w:name w:val="1.1.i_list"/>
    <w:basedOn w:val="i"/>
    <w:qFormat/>
    <w:rsid w:val="007615F3"/>
    <w:pPr>
      <w:tabs>
        <w:tab w:val="clear" w:pos="-720"/>
      </w:tabs>
      <w:ind w:left="1276"/>
    </w:pPr>
    <w:rPr>
      <w:rFonts w:eastAsiaTheme="minorHAnsi"/>
      <w:lang w:eastAsia="en-US"/>
    </w:rPr>
  </w:style>
  <w:style w:type="character" w:customStyle="1" w:styleId="Heading8Char">
    <w:name w:val="Heading 8 Char"/>
    <w:basedOn w:val="DefaultParagraphFont"/>
    <w:link w:val="Heading8"/>
    <w:uiPriority w:val="99"/>
    <w:rsid w:val="00933A05"/>
    <w:rPr>
      <w:i/>
      <w:iCs/>
      <w:lang w:eastAsia="fr-FR"/>
    </w:rPr>
  </w:style>
  <w:style w:type="paragraph" w:styleId="ListParagraph">
    <w:name w:val="List Paragraph"/>
    <w:basedOn w:val="Normal"/>
    <w:uiPriority w:val="34"/>
    <w:qFormat/>
    <w:rsid w:val="00656379"/>
    <w:pPr>
      <w:ind w:left="720"/>
      <w:contextualSpacing/>
    </w:pPr>
  </w:style>
  <w:style w:type="paragraph" w:styleId="Revision">
    <w:name w:val="Revision"/>
    <w:hidden/>
    <w:uiPriority w:val="99"/>
    <w:semiHidden/>
    <w:rsid w:val="00571846"/>
    <w:rPr>
      <w:lang w:eastAsia="fr-FR"/>
    </w:rPr>
  </w:style>
  <w:style w:type="character" w:customStyle="1" w:styleId="Mentionnonrsolue1">
    <w:name w:val="Mention non résolue1"/>
    <w:basedOn w:val="DefaultParagraphFont"/>
    <w:uiPriority w:val="99"/>
    <w:semiHidden/>
    <w:unhideWhenUsed/>
    <w:rsid w:val="00B01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831422">
      <w:bodyDiv w:val="1"/>
      <w:marLeft w:val="0"/>
      <w:marRight w:val="0"/>
      <w:marTop w:val="0"/>
      <w:marBottom w:val="0"/>
      <w:divBdr>
        <w:top w:val="none" w:sz="0" w:space="0" w:color="auto"/>
        <w:left w:val="none" w:sz="0" w:space="0" w:color="auto"/>
        <w:bottom w:val="none" w:sz="0" w:space="0" w:color="auto"/>
        <w:right w:val="none" w:sz="0" w:space="0" w:color="auto"/>
      </w:divBdr>
    </w:div>
    <w:div w:id="149661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e.int/en/what-we-offer/expertise-network/reference-laborator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ie.int"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oie.int/en/what-we-offer/expertise-network/reference-laborato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A4AF-33A5-4BBD-A70B-33E6522D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MANUAL96.DOT</Template>
  <TotalTime>1</TotalTime>
  <Pages>19</Pages>
  <Words>11778</Words>
  <Characters>67137</Characters>
  <Application>Microsoft Office Word</Application>
  <DocSecurity>0</DocSecurity>
  <Lines>559</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fmd with viaa test incl.</vt:lpstr>
      <vt:lpstr>fmd with viaa test incl.</vt:lpstr>
    </vt:vector>
  </TitlesOfParts>
  <Company>Microsoft</Company>
  <LinksUpToDate>false</LinksUpToDate>
  <CharactersWithSpaces>78758</CharactersWithSpaces>
  <SharedDoc>false</SharedDoc>
  <HLinks>
    <vt:vector size="6" baseType="variant">
      <vt:variant>
        <vt:i4>3932281</vt:i4>
      </vt:variant>
      <vt:variant>
        <vt:i4>0</vt:i4>
      </vt:variant>
      <vt:variant>
        <vt:i4>0</vt:i4>
      </vt:variant>
      <vt:variant>
        <vt:i4>5</vt:i4>
      </vt:variant>
      <vt:variant>
        <vt:lpwstr>http://www.oie.int/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rhinotracheitis - avian metapneumovirus</dc:title>
  <dc:subject>arial/trait</dc:subject>
  <dc:creator>sara</dc:creator>
  <cp:lastModifiedBy>Wattenberg, Jay L - APHIS</cp:lastModifiedBy>
  <cp:revision>7</cp:revision>
  <cp:lastPrinted>2019-02-19T15:27:00Z</cp:lastPrinted>
  <dcterms:created xsi:type="dcterms:W3CDTF">2021-10-08T12:16:00Z</dcterms:created>
  <dcterms:modified xsi:type="dcterms:W3CDTF">2021-11-17T13:20:00Z</dcterms:modified>
</cp:coreProperties>
</file>