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3185" w14:textId="3A79FFDD" w:rsidR="00D40550" w:rsidRPr="00D40550" w:rsidRDefault="002B16D3" w:rsidP="00D40550">
      <w:pPr>
        <w:spacing w:after="480" w:line="240" w:lineRule="auto"/>
        <w:jc w:val="center"/>
        <w:rPr>
          <w:rFonts w:ascii="Ottawa" w:eastAsia="Times New Roman" w:hAnsi="Ottawa" w:cs="Arial"/>
          <w:b/>
          <w:bCs/>
          <w:caps/>
          <w:color w:val="000000"/>
          <w:spacing w:val="57"/>
          <w:sz w:val="28"/>
          <w:szCs w:val="28"/>
          <w:lang w:val="en-GB" w:eastAsia="fr-FR"/>
        </w:rPr>
      </w:pPr>
      <w:bookmarkStart w:id="0" w:name="_Hlk83642615"/>
      <w:r w:rsidRPr="002B16D3">
        <w:rPr>
          <w:rFonts w:ascii="Ottawa" w:eastAsia="Times New Roman" w:hAnsi="Ottawa" w:cs="Arial"/>
          <w:b/>
          <w:bCs/>
          <w:caps/>
          <w:color w:val="000000"/>
          <w:spacing w:val="57"/>
          <w:sz w:val="28"/>
          <w:szCs w:val="28"/>
          <w:lang w:val="en-GB" w:eastAsia="fr-FR"/>
        </w:rPr>
        <w:t>TERMINOLOGY: USE OF THE TERM</w:t>
      </w:r>
      <w:r>
        <w:rPr>
          <w:rFonts w:ascii="Ottawa" w:eastAsia="Times New Roman" w:hAnsi="Ottawa" w:cs="Arial"/>
          <w:b/>
          <w:bCs/>
          <w:caps/>
          <w:color w:val="000000"/>
          <w:spacing w:val="57"/>
          <w:sz w:val="28"/>
          <w:szCs w:val="28"/>
          <w:lang w:val="en-GB" w:eastAsia="fr-FR"/>
        </w:rPr>
        <w:br/>
      </w:r>
      <w:r w:rsidRPr="002B16D3">
        <w:rPr>
          <w:rFonts w:ascii="Ottawa" w:eastAsia="Times New Roman" w:hAnsi="Ottawa" w:cs="Arial"/>
          <w:b/>
          <w:bCs/>
          <w:caps/>
          <w:color w:val="000000"/>
          <w:spacing w:val="57"/>
          <w:sz w:val="28"/>
          <w:szCs w:val="28"/>
          <w:lang w:val="en-GB" w:eastAsia="fr-FR"/>
        </w:rPr>
        <w:t>‘SANITARY MEASURE</w:t>
      </w:r>
      <w:r w:rsidR="00B56344">
        <w:rPr>
          <w:rFonts w:ascii="Ottawa" w:eastAsia="Times New Roman" w:hAnsi="Ottawa" w:cs="Arial"/>
          <w:b/>
          <w:bCs/>
          <w:caps/>
          <w:color w:val="000000"/>
          <w:spacing w:val="57"/>
          <w:sz w:val="28"/>
          <w:szCs w:val="28"/>
          <w:lang w:val="en-GB" w:eastAsia="fr-FR"/>
        </w:rPr>
        <w:t>’</w:t>
      </w:r>
    </w:p>
    <w:p w14:paraId="7FDE7230" w14:textId="77777777" w:rsidR="00D40550" w:rsidRPr="00D40550" w:rsidRDefault="00D40550" w:rsidP="00D40550">
      <w:pPr>
        <w:spacing w:after="240" w:line="240" w:lineRule="auto"/>
        <w:jc w:val="center"/>
        <w:rPr>
          <w:rFonts w:ascii="Ottawa" w:eastAsia="Times New Roman" w:hAnsi="Ottawa" w:cs="Arial"/>
          <w:color w:val="000000"/>
          <w:sz w:val="18"/>
          <w:szCs w:val="18"/>
          <w:lang w:val="en-GB" w:eastAsia="fr-FR"/>
        </w:rPr>
      </w:pPr>
      <w:bookmarkStart w:id="1" w:name="article_bee_control.1."/>
      <w:bookmarkStart w:id="2" w:name="article_bee_control.6."/>
      <w:bookmarkEnd w:id="1"/>
      <w:bookmarkEnd w:id="2"/>
      <w:r w:rsidRPr="00D40550">
        <w:rPr>
          <w:rFonts w:ascii="Ottawa" w:eastAsia="Times New Roman" w:hAnsi="Ottawa" w:cs="Arial"/>
          <w:color w:val="000000"/>
          <w:sz w:val="18"/>
          <w:szCs w:val="18"/>
          <w:lang w:val="en-GB" w:eastAsia="fr-FR"/>
        </w:rPr>
        <w:t>Article 4.15.6.</w:t>
      </w:r>
    </w:p>
    <w:p w14:paraId="1BA755F4" w14:textId="77777777" w:rsidR="00D40550" w:rsidRPr="00A9385B" w:rsidRDefault="00D40550" w:rsidP="00D40550">
      <w:pPr>
        <w:spacing w:after="240" w:line="240" w:lineRule="auto"/>
        <w:rPr>
          <w:rFonts w:ascii="Ottawa" w:eastAsia="Times New Roman" w:hAnsi="Ottawa" w:cs="Arial"/>
          <w:b/>
          <w:bCs/>
          <w:color w:val="000000"/>
          <w:sz w:val="18"/>
          <w:szCs w:val="18"/>
          <w:lang w:val="en-GB" w:eastAsia="fr-FR"/>
        </w:rPr>
      </w:pPr>
      <w:r w:rsidRPr="00D40550">
        <w:rPr>
          <w:rFonts w:ascii="Ottawa" w:eastAsia="Times New Roman" w:hAnsi="Ottawa" w:cs="Arial"/>
          <w:b/>
          <w:bCs/>
          <w:color w:val="000000"/>
          <w:sz w:val="18"/>
          <w:szCs w:val="18"/>
          <w:lang w:val="en-GB" w:eastAsia="fr-FR"/>
        </w:rPr>
        <w:t>Conditions fo</w:t>
      </w:r>
      <w:r w:rsidRPr="00A9385B">
        <w:rPr>
          <w:rFonts w:ascii="Ottawa" w:eastAsia="Times New Roman" w:hAnsi="Ottawa" w:cs="Arial"/>
          <w:b/>
          <w:bCs/>
          <w:color w:val="000000"/>
          <w:sz w:val="18"/>
          <w:szCs w:val="18"/>
          <w:lang w:val="en-GB" w:eastAsia="fr-FR"/>
        </w:rPr>
        <w:t>r sanitation and disinfection or disinfestation of apicultural equipment</w:t>
      </w:r>
    </w:p>
    <w:p w14:paraId="7D9928EF" w14:textId="77777777" w:rsidR="00D40550" w:rsidRPr="00A9385B" w:rsidRDefault="00433E41" w:rsidP="00D40550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</w:pPr>
      <w:hyperlink r:id="rId10" w:anchor="terme_autorite_veterinaire" w:history="1">
        <w:r w:rsidR="00D40550"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Veterinary Authorities</w:t>
        </w:r>
      </w:hyperlink>
      <w:r w:rsidR="00D40550"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or other </w:t>
      </w:r>
      <w:hyperlink r:id="rId11" w:anchor="terme_autorite_competente" w:history="1">
        <w:r w:rsidR="00D40550"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Competent Authorities</w:t>
        </w:r>
      </w:hyperlink>
      <w:r w:rsidR="00D40550"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of countries are requested to regulate the use of products and means for sanitation and </w:t>
      </w:r>
      <w:hyperlink r:id="rId12" w:anchor="terme_desinfection" w:history="1">
        <w:r w:rsidR="00D40550"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disinfection</w:t>
        </w:r>
      </w:hyperlink>
      <w:r w:rsidR="00D40550"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or </w:t>
      </w:r>
      <w:hyperlink r:id="rId13" w:anchor="terme_desinfestation" w:history="1">
        <w:r w:rsidR="00D40550"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disinfestation</w:t>
        </w:r>
      </w:hyperlink>
      <w:r w:rsidR="00D40550"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of apicultural equipment in their own country, taking into account the following recommendations.</w:t>
      </w:r>
    </w:p>
    <w:p w14:paraId="77C45AF9" w14:textId="043921F2" w:rsidR="00D40550" w:rsidRPr="00A9385B" w:rsidRDefault="00D40550" w:rsidP="00D40550">
      <w:pPr>
        <w:spacing w:after="24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</w:pPr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1)</w:t>
      </w:r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ab/>
        <w:t>Any apicultural equipment kept in an </w:t>
      </w:r>
      <w:hyperlink r:id="rId14" w:anchor="terme_exploitation" w:history="1">
        <w:r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establishment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which has been recognised as being affected with a contagious disease of bees should be subjected to </w:t>
      </w:r>
      <w:hyperlink r:id="rId15" w:anchor="terme_mesure_sanitaire" w:history="1">
        <w:r w:rsidRPr="00A9385B">
          <w:rPr>
            <w:rFonts w:ascii="Arial" w:eastAsia="Times New Roman" w:hAnsi="Arial" w:cs="Arial"/>
            <w:i/>
            <w:iCs/>
            <w:strike/>
            <w:color w:val="000000"/>
            <w:sz w:val="18"/>
            <w:szCs w:val="18"/>
            <w:lang w:val="en-GB" w:eastAsia="fr-FR"/>
          </w:rPr>
          <w:t>sanitary measures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</w:t>
      </w:r>
      <w:r w:rsidR="009E07F7" w:rsidRPr="00A9385B">
        <w:rPr>
          <w:rFonts w:ascii="Arial" w:eastAsia="Times New Roman" w:hAnsi="Arial" w:cs="Arial"/>
          <w:color w:val="000000"/>
          <w:sz w:val="18"/>
          <w:szCs w:val="18"/>
          <w:u w:val="double"/>
          <w:lang w:val="en-GB" w:eastAsia="fr-FR"/>
        </w:rPr>
        <w:t>procedures</w:t>
      </w:r>
      <w:r w:rsidR="009E07F7" w:rsidRPr="00A9385B">
        <w:rPr>
          <w:rFonts w:ascii="Arial" w:eastAsia="Times New Roman" w:hAnsi="Arial" w:cs="Arial"/>
          <w:i/>
          <w:iCs/>
          <w:color w:val="000000"/>
          <w:sz w:val="18"/>
          <w:szCs w:val="18"/>
          <w:lang w:val="en-GB" w:eastAsia="fr-FR"/>
        </w:rPr>
        <w:t xml:space="preserve"> </w:t>
      </w:r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ensuring the elimination of pathogens.</w:t>
      </w:r>
    </w:p>
    <w:p w14:paraId="42E2EFED" w14:textId="08548B95" w:rsidR="00D40550" w:rsidRPr="00A9385B" w:rsidRDefault="00D40550" w:rsidP="00D40550">
      <w:pPr>
        <w:spacing w:after="24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</w:pPr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2)</w:t>
      </w:r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ab/>
        <w:t xml:space="preserve">In all cases, these </w:t>
      </w:r>
      <w:r w:rsidRPr="00A9385B">
        <w:rPr>
          <w:rFonts w:ascii="Arial" w:eastAsia="Times New Roman" w:hAnsi="Arial" w:cs="Arial"/>
          <w:strike/>
          <w:color w:val="000000"/>
          <w:sz w:val="18"/>
          <w:szCs w:val="18"/>
          <w:lang w:val="en-GB" w:eastAsia="fr-FR"/>
        </w:rPr>
        <w:t>measures</w:t>
      </w:r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 xml:space="preserve"> </w:t>
      </w:r>
      <w:r w:rsidR="00144DF2" w:rsidRPr="00A9385B">
        <w:rPr>
          <w:rFonts w:ascii="Arial" w:eastAsia="Times New Roman" w:hAnsi="Arial" w:cs="Arial"/>
          <w:color w:val="000000"/>
          <w:sz w:val="18"/>
          <w:szCs w:val="18"/>
          <w:u w:val="double"/>
          <w:lang w:val="en-GB" w:eastAsia="fr-FR"/>
        </w:rPr>
        <w:t>procedures</w:t>
      </w:r>
      <w:r w:rsidR="00144DF2" w:rsidRPr="00A9385B">
        <w:rPr>
          <w:rFonts w:ascii="Arial" w:eastAsia="Times New Roman" w:hAnsi="Arial" w:cs="Arial"/>
          <w:i/>
          <w:iCs/>
          <w:color w:val="000000"/>
          <w:sz w:val="18"/>
          <w:szCs w:val="18"/>
          <w:lang w:val="en-GB" w:eastAsia="fr-FR"/>
        </w:rPr>
        <w:t xml:space="preserve"> </w:t>
      </w:r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comprise the initial cleaning of the equipment, followed by sanitation or </w:t>
      </w:r>
      <w:hyperlink r:id="rId16" w:anchor="terme_desinfection" w:history="1">
        <w:r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disinfection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or </w:t>
      </w:r>
      <w:hyperlink r:id="rId17" w:anchor="terme_desinfestation" w:history="1">
        <w:r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disinfestation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depending on the disease concerned.</w:t>
      </w:r>
    </w:p>
    <w:p w14:paraId="171B3F7A" w14:textId="2E7B7FB6" w:rsidR="00D40550" w:rsidRPr="00A9385B" w:rsidRDefault="00D40550" w:rsidP="00D40550">
      <w:pPr>
        <w:spacing w:after="24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</w:pPr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3)</w:t>
      </w:r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ab/>
        <w:t xml:space="preserve">Any infested or contaminated equipment which cannot be subjected to the above-mentioned </w:t>
      </w:r>
      <w:r w:rsidRPr="00A9385B">
        <w:rPr>
          <w:rFonts w:ascii="Arial" w:eastAsia="Times New Roman" w:hAnsi="Arial" w:cs="Arial"/>
          <w:strike/>
          <w:color w:val="000000"/>
          <w:sz w:val="18"/>
          <w:szCs w:val="18"/>
          <w:lang w:val="en-GB" w:eastAsia="fr-FR"/>
        </w:rPr>
        <w:t>measures</w:t>
      </w:r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 xml:space="preserve"> </w:t>
      </w:r>
      <w:r w:rsidR="00144DF2" w:rsidRPr="00A9385B">
        <w:rPr>
          <w:rFonts w:ascii="Arial" w:eastAsia="Times New Roman" w:hAnsi="Arial" w:cs="Arial"/>
          <w:color w:val="000000"/>
          <w:sz w:val="18"/>
          <w:szCs w:val="18"/>
          <w:u w:val="double"/>
          <w:lang w:val="en-GB" w:eastAsia="fr-FR"/>
        </w:rPr>
        <w:t>procedures</w:t>
      </w:r>
      <w:r w:rsidR="00144DF2" w:rsidRPr="00A9385B">
        <w:rPr>
          <w:rFonts w:ascii="Arial" w:eastAsia="Times New Roman" w:hAnsi="Arial" w:cs="Arial"/>
          <w:i/>
          <w:iCs/>
          <w:color w:val="000000"/>
          <w:sz w:val="18"/>
          <w:szCs w:val="18"/>
          <w:lang w:val="en-GB" w:eastAsia="fr-FR"/>
        </w:rPr>
        <w:t xml:space="preserve"> </w:t>
      </w:r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should be destroyed, preferably by burning.</w:t>
      </w:r>
    </w:p>
    <w:p w14:paraId="0B5EDFC6" w14:textId="241CBF81" w:rsidR="00D40550" w:rsidRPr="00A9385B" w:rsidRDefault="00D40550" w:rsidP="00D40550">
      <w:pPr>
        <w:spacing w:after="24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</w:pPr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4)</w:t>
      </w:r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ab/>
        <w:t>The products and means used for sanitation and </w:t>
      </w:r>
      <w:hyperlink r:id="rId18" w:anchor="terme_desinfection" w:history="1">
        <w:r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disinfection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or </w:t>
      </w:r>
      <w:hyperlink r:id="rId19" w:anchor="terme_desinfestation" w:history="1">
        <w:r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disinfestation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should be accepted as being effective by the </w:t>
      </w:r>
      <w:hyperlink r:id="rId20" w:anchor="terme_autorite_veterinaire" w:history="1">
        <w:r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Veterinary Authority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or other </w:t>
      </w:r>
      <w:hyperlink r:id="rId21" w:anchor="terme_autorite_competente" w:history="1">
        <w:r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Competent Authority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. They should be used in such a manner as to exclude any risk of contaminating the equipment which could eventually affect the health of bees or adulterate the products of the hive.</w:t>
      </w:r>
    </w:p>
    <w:p w14:paraId="4B877A05" w14:textId="77777777" w:rsidR="00AE5A98" w:rsidRPr="00A9385B" w:rsidRDefault="00AE5A98" w:rsidP="00AE5A98">
      <w:pPr>
        <w:spacing w:after="240"/>
        <w:ind w:right="51"/>
        <w:jc w:val="center"/>
        <w:rPr>
          <w:rFonts w:ascii="Times New Roman" w:hAnsi="Times New Roman" w:cs="Times New Roman"/>
          <w:sz w:val="18"/>
          <w:szCs w:val="18"/>
          <w:lang w:val="en-GB" w:eastAsia="fr-FR"/>
        </w:rPr>
      </w:pPr>
      <w:r w:rsidRPr="00A9385B">
        <w:rPr>
          <w:rFonts w:ascii="Times New Roman" w:eastAsia="MS Mincho" w:hAnsi="Times New Roman"/>
          <w:kern w:val="2"/>
          <w:sz w:val="20"/>
          <w:szCs w:val="20"/>
          <w:lang w:val="en-GB"/>
        </w:rPr>
        <w:t>___________________________</w:t>
      </w:r>
    </w:p>
    <w:p w14:paraId="75598FCF" w14:textId="77777777" w:rsidR="00B56344" w:rsidRPr="00A9385B" w:rsidRDefault="00B56344" w:rsidP="00AE5A98">
      <w:pPr>
        <w:spacing w:before="360" w:after="360" w:line="240" w:lineRule="auto"/>
        <w:jc w:val="center"/>
        <w:rPr>
          <w:rFonts w:ascii="Ottawa" w:eastAsia="Times New Roman" w:hAnsi="Ottawa" w:cs="Arial"/>
          <w:color w:val="000000" w:themeColor="text1"/>
          <w:sz w:val="18"/>
          <w:szCs w:val="18"/>
          <w:lang w:val="en-GB" w:eastAsia="fr-FR"/>
        </w:rPr>
      </w:pPr>
      <w:r w:rsidRPr="00A9385B">
        <w:rPr>
          <w:rFonts w:ascii="Ottawa" w:eastAsia="Times New Roman" w:hAnsi="Ottawa" w:cs="Arial"/>
          <w:color w:val="000000" w:themeColor="text1"/>
          <w:sz w:val="18"/>
          <w:szCs w:val="18"/>
          <w:lang w:val="en-GB" w:eastAsia="fr-FR"/>
        </w:rPr>
        <w:t>------------------------------------------------------------------</w:t>
      </w:r>
    </w:p>
    <w:p w14:paraId="2A4A9FAD" w14:textId="77777777" w:rsidR="002B16D3" w:rsidRPr="00A9385B" w:rsidRDefault="002B16D3" w:rsidP="002B16D3">
      <w:pPr>
        <w:spacing w:after="240" w:line="240" w:lineRule="auto"/>
        <w:jc w:val="center"/>
        <w:rPr>
          <w:rFonts w:ascii="Ottawa" w:eastAsia="Times New Roman" w:hAnsi="Ottawa" w:cs="Arial"/>
          <w:color w:val="000000"/>
          <w:sz w:val="18"/>
          <w:szCs w:val="18"/>
          <w:lang w:val="en-GB" w:eastAsia="fr-FR"/>
        </w:rPr>
      </w:pPr>
      <w:r w:rsidRPr="00A9385B">
        <w:rPr>
          <w:rFonts w:ascii="Ottawa" w:eastAsia="Times New Roman" w:hAnsi="Ottawa" w:cs="Arial"/>
          <w:color w:val="000000"/>
          <w:sz w:val="18"/>
          <w:szCs w:val="18"/>
          <w:lang w:val="en-GB" w:eastAsia="fr-FR"/>
        </w:rPr>
        <w:t>Article 6.3.3.</w:t>
      </w:r>
    </w:p>
    <w:p w14:paraId="0BDC845F" w14:textId="77777777" w:rsidR="002B16D3" w:rsidRPr="00A9385B" w:rsidRDefault="002B16D3" w:rsidP="002B16D3">
      <w:pPr>
        <w:spacing w:after="240" w:line="240" w:lineRule="auto"/>
        <w:rPr>
          <w:rFonts w:ascii="Ottawa" w:eastAsia="Times New Roman" w:hAnsi="Ottawa" w:cs="Arial"/>
          <w:b/>
          <w:bCs/>
          <w:color w:val="000000"/>
          <w:sz w:val="18"/>
          <w:szCs w:val="18"/>
          <w:lang w:val="en-GB" w:eastAsia="fr-FR"/>
        </w:rPr>
      </w:pPr>
      <w:r w:rsidRPr="00A9385B">
        <w:rPr>
          <w:rFonts w:ascii="Ottawa" w:eastAsia="Times New Roman" w:hAnsi="Ottawa" w:cs="Arial"/>
          <w:b/>
          <w:bCs/>
          <w:color w:val="000000"/>
          <w:sz w:val="18"/>
          <w:szCs w:val="18"/>
          <w:lang w:val="en-GB" w:eastAsia="fr-FR"/>
        </w:rPr>
        <w:t>Hygienic practice throughout the meat production chain</w:t>
      </w:r>
    </w:p>
    <w:p w14:paraId="25CEDFCB" w14:textId="77777777" w:rsidR="002B16D3" w:rsidRPr="00A9385B" w:rsidRDefault="002B16D3" w:rsidP="002B16D3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</w:pPr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 xml:space="preserve">The Codex Alimentarius Code of Hygienic Practice for Meat (CHPM) constitutes the primary international standard for </w:t>
      </w:r>
      <w:hyperlink r:id="rId22" w:anchor="terme_viandes" w:history="1">
        <w:r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meat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 xml:space="preserve"> hygiene and incorporates a </w:t>
      </w:r>
      <w:hyperlink r:id="rId23" w:anchor="terme_risque" w:history="1">
        <w:r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risk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 xml:space="preserve">-based approach to application of </w:t>
      </w:r>
      <w:hyperlink r:id="rId24" w:anchor="terme_mesure_sanitaire" w:history="1">
        <w:r w:rsidRPr="00A9385B">
          <w:rPr>
            <w:rFonts w:ascii="Arial" w:eastAsia="Times New Roman" w:hAnsi="Arial" w:cs="Arial"/>
            <w:i/>
            <w:iCs/>
            <w:strike/>
            <w:color w:val="000000"/>
            <w:sz w:val="18"/>
            <w:szCs w:val="18"/>
            <w:lang w:val="en-GB" w:eastAsia="fr-FR"/>
          </w:rPr>
          <w:t>sanitary measures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 xml:space="preserve"> </w:t>
      </w:r>
      <w:r w:rsidRPr="00A9385B">
        <w:rPr>
          <w:rFonts w:ascii="Arial" w:eastAsia="Times New Roman" w:hAnsi="Arial" w:cs="Arial"/>
          <w:color w:val="000000"/>
          <w:sz w:val="18"/>
          <w:szCs w:val="18"/>
          <w:u w:val="double"/>
          <w:lang w:val="en-GB" w:eastAsia="fr-FR"/>
        </w:rPr>
        <w:t>hygiene practices and sanitation</w:t>
      </w:r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 xml:space="preserve"> throughout the </w:t>
      </w:r>
      <w:hyperlink r:id="rId25" w:anchor="terme_viandes" w:history="1">
        <w:r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meat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 xml:space="preserve"> production chain. Ante-mortem inspection is described as a primary component of </w:t>
      </w:r>
      <w:hyperlink r:id="rId26" w:anchor="terme_viandes" w:history="1">
        <w:r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meat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 xml:space="preserve"> hygiene before </w:t>
      </w:r>
      <w:hyperlink r:id="rId27" w:anchor="terme_abattage" w:history="1">
        <w:r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slaughter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 xml:space="preserve">, and post-mortem inspection is described as a primary component of process control in post-slaughter </w:t>
      </w:r>
      <w:hyperlink r:id="rId28" w:anchor="terme_viandes" w:history="1">
        <w:r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meat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 xml:space="preserve"> hygiene. The CHPM specifically recognises the dual objectives that </w:t>
      </w:r>
      <w:hyperlink r:id="rId29" w:anchor="terme_abattoir" w:history="1">
        <w:r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slaughterhouse/abattoir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inspection activities deliver in terms of animal and public health.</w:t>
      </w:r>
    </w:p>
    <w:p w14:paraId="0C6C39D4" w14:textId="77777777" w:rsidR="002B16D3" w:rsidRPr="00DF2D33" w:rsidRDefault="002B16D3" w:rsidP="002B16D3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</w:pPr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The CHPM does not provide inspection measures for specific </w:t>
      </w:r>
      <w:hyperlink r:id="rId30" w:anchor="terme_danger" w:history="1">
        <w:r w:rsidRPr="00A9385B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hazards</w:t>
        </w:r>
      </w:hyperlink>
      <w:r w:rsidRPr="00A9385B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, which remain the responsibility</w:t>
      </w:r>
      <w:r w:rsidRPr="00DF2D33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 xml:space="preserve"> of national competent authorities. The animal and public health </w:t>
      </w:r>
      <w:hyperlink r:id="rId31" w:anchor="terme_risque" w:history="1">
        <w:r w:rsidRPr="00DF2D33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risks</w:t>
        </w:r>
      </w:hyperlink>
      <w:r w:rsidRPr="00DF2D33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associated with livestock populations vary across regions and animal husbandry systems, and ante- and post-mortem inspection needs to be tailored to the individual country situation and its animal and public health objectives.</w:t>
      </w:r>
    </w:p>
    <w:p w14:paraId="2EF32DA5" w14:textId="77777777" w:rsidR="002B16D3" w:rsidRDefault="002B16D3" w:rsidP="002B16D3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</w:pPr>
      <w:r w:rsidRPr="00DF2D33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The CHPM provides a platform for development of </w:t>
      </w:r>
      <w:hyperlink r:id="rId32" w:anchor="terme_viandes" w:history="1">
        <w:r w:rsidRPr="00DF2D33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meat</w:t>
        </w:r>
      </w:hyperlink>
      <w:r w:rsidRPr="00DF2D33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hygiene systems that are based on </w:t>
      </w:r>
      <w:hyperlink r:id="rId33" w:anchor="terme_appreciation_du_risque" w:history="1">
        <w:r w:rsidRPr="00DF2D33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risk assessment</w:t>
        </w:r>
      </w:hyperlink>
      <w:r w:rsidRPr="00DF2D33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. There are few </w:t>
      </w:r>
      <w:hyperlink r:id="rId34" w:anchor="terme_appreciation_du_risque" w:history="1">
        <w:r w:rsidRPr="00DF2D33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risk assessment</w:t>
        </w:r>
      </w:hyperlink>
      <w:r w:rsidRPr="00DF2D33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models and little relevant scientific information available on public health </w:t>
      </w:r>
      <w:hyperlink r:id="rId35" w:anchor="terme_danger" w:history="1">
        <w:r w:rsidRPr="00DF2D33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hazards</w:t>
        </w:r>
      </w:hyperlink>
      <w:r w:rsidRPr="00DF2D33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derived specifically from </w:t>
      </w:r>
      <w:hyperlink r:id="rId36" w:anchor="terme_animal" w:history="1">
        <w:r w:rsidRPr="00DF2D33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animals</w:t>
        </w:r>
      </w:hyperlink>
      <w:r w:rsidRPr="00DF2D33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 and their products, making difficult the development of </w:t>
      </w:r>
      <w:hyperlink r:id="rId37" w:anchor="terme_risque" w:history="1">
        <w:r w:rsidRPr="00DF2D33">
          <w:rPr>
            <w:rFonts w:ascii="Arial" w:eastAsia="Times New Roman" w:hAnsi="Arial" w:cs="Arial"/>
            <w:i/>
            <w:iCs/>
            <w:color w:val="000000"/>
            <w:sz w:val="18"/>
            <w:szCs w:val="18"/>
            <w:lang w:val="en-GB" w:eastAsia="fr-FR"/>
          </w:rPr>
          <w:t>risk</w:t>
        </w:r>
      </w:hyperlink>
      <w:r w:rsidRPr="00DF2D33">
        <w:rPr>
          <w:rFonts w:ascii="Arial" w:eastAsia="Times New Roman" w:hAnsi="Arial" w:cs="Arial"/>
          <w:color w:val="000000"/>
          <w:sz w:val="18"/>
          <w:szCs w:val="18"/>
          <w:lang w:val="en-GB" w:eastAsia="fr-FR"/>
        </w:rPr>
        <w:t>-based standards for foodborne diseases and zoonoses. While this scientific information is being accumulated, ante- and post-mortem inspection systems will remain dependent on traditional approaches.</w:t>
      </w:r>
    </w:p>
    <w:p w14:paraId="0D2D50C3" w14:textId="77777777" w:rsidR="00405080" w:rsidRDefault="00405080" w:rsidP="00405080">
      <w:pPr>
        <w:spacing w:after="240"/>
        <w:ind w:right="51"/>
        <w:jc w:val="center"/>
        <w:rPr>
          <w:rFonts w:ascii="Times New Roman" w:hAnsi="Times New Roman" w:cs="Times New Roman"/>
          <w:sz w:val="18"/>
          <w:szCs w:val="18"/>
          <w:lang w:val="en-GB" w:eastAsia="fr-FR"/>
        </w:rPr>
      </w:pPr>
      <w:bookmarkStart w:id="3" w:name="article_bee_control.7."/>
      <w:bookmarkEnd w:id="0"/>
      <w:bookmarkEnd w:id="3"/>
      <w:r>
        <w:rPr>
          <w:rFonts w:ascii="Times New Roman" w:eastAsia="MS Mincho" w:hAnsi="Times New Roman"/>
          <w:kern w:val="2"/>
          <w:sz w:val="20"/>
          <w:szCs w:val="20"/>
          <w:lang w:val="en-GB"/>
        </w:rPr>
        <w:t>___________________________</w:t>
      </w:r>
    </w:p>
    <w:p w14:paraId="48690679" w14:textId="77777777" w:rsidR="00AE685F" w:rsidRPr="00D40550" w:rsidRDefault="00AE685F" w:rsidP="00D40550">
      <w:pPr>
        <w:spacing w:after="240" w:line="240" w:lineRule="auto"/>
        <w:rPr>
          <w:lang w:val="en-GB"/>
        </w:rPr>
      </w:pPr>
    </w:p>
    <w:sectPr w:rsidR="00AE685F" w:rsidRPr="00D40550" w:rsidSect="00D40550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CF6A" w14:textId="77777777" w:rsidR="00B50CE3" w:rsidRDefault="00B50CE3" w:rsidP="00B96DA7">
      <w:pPr>
        <w:spacing w:after="0" w:line="240" w:lineRule="auto"/>
      </w:pPr>
      <w:r>
        <w:separator/>
      </w:r>
    </w:p>
  </w:endnote>
  <w:endnote w:type="continuationSeparator" w:id="0">
    <w:p w14:paraId="3FB3741C" w14:textId="77777777" w:rsidR="00B50CE3" w:rsidRDefault="00B50CE3" w:rsidP="00B96DA7">
      <w:pPr>
        <w:spacing w:after="0" w:line="240" w:lineRule="auto"/>
      </w:pPr>
      <w:r>
        <w:continuationSeparator/>
      </w:r>
    </w:p>
  </w:endnote>
  <w:endnote w:type="continuationNotice" w:id="1">
    <w:p w14:paraId="04967482" w14:textId="77777777" w:rsidR="00B50CE3" w:rsidRDefault="00B50C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taw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3AC3" w14:textId="77777777" w:rsidR="00DD5565" w:rsidRDefault="00DD55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0FCB" w14:textId="22683B6A" w:rsidR="00B96DA7" w:rsidRPr="00B96DA7" w:rsidRDefault="00B96DA7" w:rsidP="00B96DA7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  <w:lang w:val="en-GB" w:eastAsia="fr-FR"/>
      </w:rPr>
    </w:pPr>
    <w:r w:rsidRPr="0085395B">
      <w:rPr>
        <w:rFonts w:ascii="Arial" w:eastAsia="Times New Roman" w:hAnsi="Arial" w:cs="Arial"/>
        <w:i/>
        <w:sz w:val="18"/>
        <w:szCs w:val="18"/>
        <w:lang w:val="en-US" w:eastAsia="zh-CN"/>
      </w:rPr>
      <w:t>OIE Terrestrial Animal Health Standards Commission/</w:t>
    </w:r>
    <w:r w:rsidR="00E91CF5">
      <w:rPr>
        <w:rFonts w:ascii="Arial" w:eastAsia="Times New Roman" w:hAnsi="Arial" w:cs="Arial"/>
        <w:i/>
        <w:sz w:val="18"/>
        <w:szCs w:val="18"/>
        <w:lang w:val="en-US" w:eastAsia="zh-CN"/>
      </w:rPr>
      <w:t>February</w:t>
    </w:r>
    <w:r w:rsidRPr="0085395B">
      <w:rPr>
        <w:rFonts w:ascii="Arial" w:eastAsia="Times New Roman" w:hAnsi="Arial" w:cs="Arial"/>
        <w:i/>
        <w:sz w:val="18"/>
        <w:szCs w:val="18"/>
        <w:lang w:val="en-US" w:eastAsia="zh-CN"/>
      </w:rPr>
      <w:t xml:space="preserve"> 202</w:t>
    </w:r>
    <w:r w:rsidR="00E91CF5">
      <w:rPr>
        <w:rFonts w:ascii="Arial" w:eastAsia="Times New Roman" w:hAnsi="Arial" w:cs="Arial"/>
        <w:i/>
        <w:sz w:val="18"/>
        <w:szCs w:val="18"/>
        <w:lang w:val="en-US" w:eastAsia="zh-CN"/>
      </w:rPr>
      <w:t>2</w:t>
    </w:r>
    <w:r>
      <w:rPr>
        <w:rFonts w:ascii="Arial" w:eastAsia="Times New Roman" w:hAnsi="Arial" w:cs="Arial"/>
        <w:i/>
        <w:sz w:val="18"/>
        <w:szCs w:val="18"/>
        <w:lang w:val="en-US" w:eastAsia="zh-CN"/>
      </w:rPr>
      <w:tab/>
    </w:r>
    <w:r w:rsidRPr="0085395B">
      <w:rPr>
        <w:rFonts w:ascii="Arial" w:eastAsia="Times New Roman" w:hAnsi="Arial" w:cs="Arial"/>
        <w:sz w:val="18"/>
        <w:szCs w:val="18"/>
        <w:lang w:eastAsia="fr-FR"/>
      </w:rPr>
      <w:fldChar w:fldCharType="begin"/>
    </w:r>
    <w:r w:rsidRPr="00524E72">
      <w:rPr>
        <w:rFonts w:ascii="Arial" w:eastAsia="Times New Roman" w:hAnsi="Arial" w:cs="Arial"/>
        <w:sz w:val="18"/>
        <w:szCs w:val="18"/>
        <w:lang w:val="en-GB" w:eastAsia="fr-FR"/>
      </w:rPr>
      <w:instrText>PAGE   \* MERGEFORMAT</w:instrText>
    </w:r>
    <w:r w:rsidRPr="0085395B">
      <w:rPr>
        <w:rFonts w:ascii="Arial" w:eastAsia="Times New Roman" w:hAnsi="Arial" w:cs="Arial"/>
        <w:sz w:val="18"/>
        <w:szCs w:val="18"/>
        <w:lang w:eastAsia="fr-FR"/>
      </w:rPr>
      <w:fldChar w:fldCharType="separate"/>
    </w:r>
    <w:r w:rsidRPr="00B96DA7">
      <w:rPr>
        <w:rFonts w:ascii="Arial" w:eastAsia="Times New Roman" w:hAnsi="Arial" w:cs="Arial"/>
        <w:sz w:val="18"/>
        <w:szCs w:val="18"/>
        <w:lang w:val="en-GB" w:eastAsia="fr-FR"/>
      </w:rPr>
      <w:t>1</w:t>
    </w:r>
    <w:r w:rsidRPr="0085395B">
      <w:rPr>
        <w:rFonts w:ascii="Arial" w:eastAsia="Times New Roman" w:hAnsi="Arial" w:cs="Arial"/>
        <w:sz w:val="18"/>
        <w:szCs w:val="18"/>
        <w:lang w:eastAsia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3260" w14:textId="77777777" w:rsidR="00DD5565" w:rsidRDefault="00DD5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EBD4" w14:textId="77777777" w:rsidR="00B50CE3" w:rsidRDefault="00B50CE3" w:rsidP="00B96DA7">
      <w:pPr>
        <w:spacing w:after="0" w:line="240" w:lineRule="auto"/>
      </w:pPr>
      <w:r>
        <w:separator/>
      </w:r>
    </w:p>
  </w:footnote>
  <w:footnote w:type="continuationSeparator" w:id="0">
    <w:p w14:paraId="7782552B" w14:textId="77777777" w:rsidR="00B50CE3" w:rsidRDefault="00B50CE3" w:rsidP="00B96DA7">
      <w:pPr>
        <w:spacing w:after="0" w:line="240" w:lineRule="auto"/>
      </w:pPr>
      <w:r>
        <w:continuationSeparator/>
      </w:r>
    </w:p>
  </w:footnote>
  <w:footnote w:type="continuationNotice" w:id="1">
    <w:p w14:paraId="4AA59698" w14:textId="77777777" w:rsidR="00B50CE3" w:rsidRDefault="00B50C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69E5" w14:textId="77777777" w:rsidR="00DD5565" w:rsidRDefault="00DD55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CB02" w14:textId="7DB4DDC5" w:rsidR="00DD5565" w:rsidRPr="00DD5565" w:rsidRDefault="00DD5565" w:rsidP="00DD5565">
    <w:pPr>
      <w:pStyle w:val="Header"/>
      <w:spacing w:after="480"/>
      <w:jc w:val="right"/>
      <w:rPr>
        <w:rFonts w:ascii="Times New Roman" w:hAnsi="Times New Roman" w:cs="Times New Roman"/>
        <w:sz w:val="20"/>
        <w:szCs w:val="20"/>
        <w:u w:val="single"/>
      </w:rPr>
    </w:pPr>
    <w:r w:rsidRPr="00DD5565">
      <w:rPr>
        <w:rFonts w:ascii="Times New Roman" w:hAnsi="Times New Roman" w:cs="Times New Roman"/>
        <w:sz w:val="20"/>
        <w:szCs w:val="20"/>
        <w:u w:val="single"/>
      </w:rPr>
      <w:t>Annex</w:t>
    </w:r>
    <w:r w:rsidR="00E9517F">
      <w:rPr>
        <w:rFonts w:ascii="Times New Roman" w:hAnsi="Times New Roman" w:cs="Times New Roman"/>
        <w:sz w:val="20"/>
        <w:szCs w:val="20"/>
        <w:u w:val="single"/>
      </w:rPr>
      <w:t xml:space="preserve"> 1</w:t>
    </w:r>
    <w:r w:rsidR="00DD25F7">
      <w:rPr>
        <w:rFonts w:ascii="Times New Roman" w:hAnsi="Times New Roman" w:cs="Times New Roman"/>
        <w:sz w:val="20"/>
        <w:szCs w:val="20"/>
        <w:u w:val="single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437C" w14:textId="77777777" w:rsidR="00DD5565" w:rsidRDefault="00DD55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C06DE"/>
    <w:multiLevelType w:val="multilevel"/>
    <w:tmpl w:val="2EE22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A15FE"/>
    <w:multiLevelType w:val="multilevel"/>
    <w:tmpl w:val="C8BC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F76E9"/>
    <w:multiLevelType w:val="multilevel"/>
    <w:tmpl w:val="4D8C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07C0C"/>
    <w:multiLevelType w:val="multilevel"/>
    <w:tmpl w:val="7C8C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774122"/>
    <w:multiLevelType w:val="multilevel"/>
    <w:tmpl w:val="F4CCB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246C89"/>
    <w:multiLevelType w:val="multilevel"/>
    <w:tmpl w:val="0AB663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F7491"/>
    <w:multiLevelType w:val="multilevel"/>
    <w:tmpl w:val="4EE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250896"/>
    <w:multiLevelType w:val="multilevel"/>
    <w:tmpl w:val="3EA8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945C9F"/>
    <w:multiLevelType w:val="multilevel"/>
    <w:tmpl w:val="0400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C57F5"/>
    <w:multiLevelType w:val="multilevel"/>
    <w:tmpl w:val="4BAED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B73612"/>
    <w:multiLevelType w:val="multilevel"/>
    <w:tmpl w:val="3644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1F2C42"/>
    <w:multiLevelType w:val="multilevel"/>
    <w:tmpl w:val="4878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6"/>
  </w:num>
  <w:num w:numId="8">
    <w:abstractNumId w:val="11"/>
  </w:num>
  <w:num w:numId="9">
    <w:abstractNumId w:val="10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50"/>
    <w:rsid w:val="000B4139"/>
    <w:rsid w:val="001300EE"/>
    <w:rsid w:val="00144DF2"/>
    <w:rsid w:val="00240988"/>
    <w:rsid w:val="00263F52"/>
    <w:rsid w:val="002B16D3"/>
    <w:rsid w:val="00400DBE"/>
    <w:rsid w:val="00405080"/>
    <w:rsid w:val="00433E41"/>
    <w:rsid w:val="004A718D"/>
    <w:rsid w:val="00882311"/>
    <w:rsid w:val="009E07F7"/>
    <w:rsid w:val="00A9385B"/>
    <w:rsid w:val="00AE5A98"/>
    <w:rsid w:val="00AE685F"/>
    <w:rsid w:val="00B01534"/>
    <w:rsid w:val="00B50CE3"/>
    <w:rsid w:val="00B56344"/>
    <w:rsid w:val="00B96DA7"/>
    <w:rsid w:val="00CE3D12"/>
    <w:rsid w:val="00D40550"/>
    <w:rsid w:val="00DD25F7"/>
    <w:rsid w:val="00DD5565"/>
    <w:rsid w:val="00E91CF5"/>
    <w:rsid w:val="00E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6E99"/>
  <w15:chartTrackingRefBased/>
  <w15:docId w15:val="{D502F0E8-E69B-4ABA-A1BD-FACAFB26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550"/>
    <w:pPr>
      <w:ind w:left="720"/>
      <w:contextualSpacing/>
    </w:pPr>
  </w:style>
  <w:style w:type="paragraph" w:customStyle="1" w:styleId="1">
    <w:name w:val="1."/>
    <w:basedOn w:val="Normal"/>
    <w:link w:val="1Car"/>
    <w:uiPriority w:val="99"/>
    <w:qFormat/>
    <w:rsid w:val="00D40550"/>
    <w:pPr>
      <w:overflowPunct w:val="0"/>
      <w:autoSpaceDE w:val="0"/>
      <w:autoSpaceDN w:val="0"/>
      <w:adjustRightInd w:val="0"/>
      <w:spacing w:after="240" w:line="240" w:lineRule="auto"/>
      <w:ind w:left="425" w:hanging="425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GB" w:eastAsia="fr-FR"/>
    </w:rPr>
  </w:style>
  <w:style w:type="character" w:customStyle="1" w:styleId="1Car">
    <w:name w:val="1. Car"/>
    <w:link w:val="1"/>
    <w:uiPriority w:val="99"/>
    <w:locked/>
    <w:rsid w:val="00D40550"/>
    <w:rPr>
      <w:rFonts w:ascii="Times New Roman" w:eastAsia="Times New Roman" w:hAnsi="Times New Roman" w:cs="Times New Roman"/>
      <w:b/>
      <w:bCs/>
      <w:sz w:val="20"/>
      <w:szCs w:val="20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B96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DA7"/>
  </w:style>
  <w:style w:type="paragraph" w:styleId="Footer">
    <w:name w:val="footer"/>
    <w:basedOn w:val="Normal"/>
    <w:link w:val="FooterChar"/>
    <w:uiPriority w:val="99"/>
    <w:unhideWhenUsed/>
    <w:rsid w:val="00B96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18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26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34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29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24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32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37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23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28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36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10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19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31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22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27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30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35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17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25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33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38" Type="http://schemas.openxmlformats.org/officeDocument/2006/relationships/header" Target="header1.xml"/><Relationship Id="rId20" Type="http://schemas.openxmlformats.org/officeDocument/2006/relationships/hyperlink" Target="https://www.oie.int/en/what-we-do/standards/codes-and-manuals/terrestrial-code-online-access/index.php?id=169&amp;L=1&amp;htmfile=glossaire.htm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E25257DE109429D8F061F86C8BEBF" ma:contentTypeVersion="13" ma:contentTypeDescription="Create a new document." ma:contentTypeScope="" ma:versionID="99b5df8801e7322877ea4c55c8d3faa8">
  <xsd:schema xmlns:xsd="http://www.w3.org/2001/XMLSchema" xmlns:xs="http://www.w3.org/2001/XMLSchema" xmlns:p="http://schemas.microsoft.com/office/2006/metadata/properties" xmlns:ns2="893fd4a9-69b0-4229-815d-5c6d5205746f" xmlns:ns3="c4310aad-d41c-471a-8d4b-290545d5ba7f" targetNamespace="http://schemas.microsoft.com/office/2006/metadata/properties" ma:root="true" ma:fieldsID="936cd75ce783e618b034c44f5b8d73dd" ns2:_="" ns3:_="">
    <xsd:import namespace="893fd4a9-69b0-4229-815d-5c6d5205746f"/>
    <xsd:import namespace="c4310aad-d41c-471a-8d4b-290545d5b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fd4a9-69b0-4229-815d-5c6d52057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10aad-d41c-471a-8d4b-290545d5b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43D560-679C-4F55-A1E3-1D2A9E4A5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fd4a9-69b0-4229-815d-5c6d5205746f"/>
    <ds:schemaRef ds:uri="c4310aad-d41c-471a-8d4b-290545d5b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F2564-AF6B-4839-9150-9A70017738A4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c4310aad-d41c-471a-8d4b-290545d5ba7f"/>
    <ds:schemaRef ds:uri="893fd4a9-69b0-4229-815d-5c6d5205746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26DB595-88AB-4623-9C31-1438404D2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1193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Terminology: Use of the Term ‘Sanitary Measure’</dc:title>
  <dc:subject/>
  <dc:creator>Anne Guillon</dc:creator>
  <cp:keywords/>
  <dc:description/>
  <cp:lastModifiedBy>Wattenberg, Jay L - APHIS</cp:lastModifiedBy>
  <cp:revision>5</cp:revision>
  <cp:lastPrinted>2021-10-04T08:39:00Z</cp:lastPrinted>
  <dcterms:created xsi:type="dcterms:W3CDTF">2022-02-09T15:24:00Z</dcterms:created>
  <dcterms:modified xsi:type="dcterms:W3CDTF">2022-03-17T11:34:00Z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0x010100974E25257DE109429D8F061F86C8BEBF</vt:lpwstr>
  </property>
</Properties>
</file>