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8A44" w14:textId="6C6DC531" w:rsidR="00A10761" w:rsidRPr="00A10761" w:rsidRDefault="00A10761" w:rsidP="00A10761">
      <w:pPr>
        <w:spacing w:after="480" w:line="240" w:lineRule="auto"/>
        <w:jc w:val="center"/>
        <w:rPr>
          <w:rFonts w:ascii="Ottawa" w:hAnsi="Ottawa" w:cs="Arial"/>
          <w:b/>
          <w:bCs/>
          <w:spacing w:val="57"/>
          <w:sz w:val="28"/>
          <w:szCs w:val="28"/>
          <w:lang w:val="en-US"/>
        </w:rPr>
      </w:pPr>
      <w:r w:rsidRPr="00A10761">
        <w:rPr>
          <w:rFonts w:ascii="Ottawa" w:hAnsi="Ottawa" w:cs="Arial"/>
          <w:spacing w:val="57"/>
          <w:sz w:val="24"/>
          <w:szCs w:val="24"/>
          <w:lang w:val="en-US"/>
        </w:rPr>
        <w:t>CHAPTER 6.12.</w:t>
      </w:r>
      <w:r w:rsidRPr="00A10761">
        <w:rPr>
          <w:rFonts w:ascii="Ottawa" w:hAnsi="Ottawa" w:cs="Arial"/>
          <w:spacing w:val="57"/>
          <w:sz w:val="24"/>
          <w:szCs w:val="24"/>
          <w:lang w:val="en-US"/>
        </w:rPr>
        <w:br/>
      </w:r>
      <w:r w:rsidRPr="00A10761">
        <w:rPr>
          <w:rFonts w:ascii="Ottawa" w:hAnsi="Ottawa" w:cs="Arial"/>
          <w:spacing w:val="57"/>
          <w:sz w:val="28"/>
          <w:szCs w:val="28"/>
          <w:lang w:val="en-US"/>
        </w:rPr>
        <w:br/>
      </w:r>
      <w:r w:rsidRPr="00A10761">
        <w:rPr>
          <w:rFonts w:ascii="Ottawa" w:hAnsi="Ottawa" w:cs="Arial"/>
          <w:b/>
          <w:bCs/>
          <w:spacing w:val="57"/>
          <w:sz w:val="28"/>
          <w:szCs w:val="28"/>
          <w:lang w:val="en-US"/>
        </w:rPr>
        <w:t>ZOONOSES TRANSMISSIBLE</w:t>
      </w:r>
      <w:r>
        <w:rPr>
          <w:rFonts w:ascii="Ottawa" w:hAnsi="Ottawa" w:cs="Arial"/>
          <w:b/>
          <w:bCs/>
          <w:spacing w:val="57"/>
          <w:sz w:val="28"/>
          <w:szCs w:val="28"/>
          <w:lang w:val="en-US"/>
        </w:rPr>
        <w:br/>
      </w:r>
      <w:r w:rsidRPr="00A10761">
        <w:rPr>
          <w:rFonts w:ascii="Ottawa" w:hAnsi="Ottawa" w:cs="Arial"/>
          <w:b/>
          <w:bCs/>
          <w:spacing w:val="57"/>
          <w:sz w:val="28"/>
          <w:szCs w:val="28"/>
          <w:lang w:val="en-US"/>
        </w:rPr>
        <w:t>FROM NON-HUMAN PRIMATES</w:t>
      </w:r>
    </w:p>
    <w:p w14:paraId="7705DDA3" w14:textId="77777777" w:rsidR="00421A81" w:rsidRPr="004F22B9" w:rsidRDefault="00421A81" w:rsidP="00421A81">
      <w:pPr>
        <w:spacing w:after="240" w:line="240" w:lineRule="auto"/>
        <w:jc w:val="center"/>
        <w:rPr>
          <w:rFonts w:ascii="Ottawa" w:eastAsia="Times New Roman" w:hAnsi="Ottawa" w:cs="Arial"/>
          <w:sz w:val="18"/>
          <w:szCs w:val="18"/>
          <w:lang w:val="en-GB"/>
        </w:rPr>
      </w:pPr>
      <w:bookmarkStart w:id="0" w:name="article_zoonoses_non_human_primate.1."/>
      <w:bookmarkEnd w:id="0"/>
      <w:r w:rsidRPr="004F22B9">
        <w:rPr>
          <w:rFonts w:ascii="Ottawa" w:eastAsia="Times New Roman" w:hAnsi="Ottawa" w:cs="Arial"/>
          <w:sz w:val="18"/>
          <w:szCs w:val="18"/>
          <w:lang w:val="en-GB"/>
        </w:rPr>
        <w:t>[…]</w:t>
      </w:r>
    </w:p>
    <w:p w14:paraId="09473D53" w14:textId="77777777" w:rsidR="00A10761" w:rsidRPr="00A10761" w:rsidRDefault="00A10761" w:rsidP="00D76400">
      <w:pPr>
        <w:spacing w:after="120" w:line="240" w:lineRule="auto"/>
        <w:jc w:val="center"/>
        <w:rPr>
          <w:rFonts w:ascii="Ottawa" w:hAnsi="Ottawa" w:cs="Arial"/>
          <w:sz w:val="18"/>
          <w:szCs w:val="18"/>
          <w:lang w:val="en-US"/>
        </w:rPr>
      </w:pPr>
      <w:bookmarkStart w:id="1" w:name="article_zoonoses_non_human_primate.4."/>
      <w:bookmarkEnd w:id="1"/>
      <w:r w:rsidRPr="00A10761">
        <w:rPr>
          <w:rFonts w:ascii="Ottawa" w:hAnsi="Ottawa" w:cs="Arial"/>
          <w:sz w:val="18"/>
          <w:szCs w:val="18"/>
          <w:lang w:val="en-US"/>
        </w:rPr>
        <w:t>Article 6.12.4.</w:t>
      </w:r>
    </w:p>
    <w:p w14:paraId="1408BBCD" w14:textId="77777777" w:rsidR="00A10761" w:rsidRPr="00A10761" w:rsidRDefault="00A10761" w:rsidP="00D76400">
      <w:pPr>
        <w:spacing w:after="120" w:line="240" w:lineRule="auto"/>
        <w:jc w:val="both"/>
        <w:rPr>
          <w:rFonts w:ascii="Ottawa" w:hAnsi="Ottawa" w:cs="Arial"/>
          <w:b/>
          <w:bCs/>
          <w:sz w:val="18"/>
          <w:szCs w:val="18"/>
          <w:lang w:val="en-US"/>
        </w:rPr>
      </w:pPr>
      <w:r w:rsidRPr="00A10761">
        <w:rPr>
          <w:rFonts w:ascii="Ottawa" w:hAnsi="Ottawa" w:cs="Arial"/>
          <w:b/>
          <w:bCs/>
          <w:sz w:val="18"/>
          <w:szCs w:val="18"/>
          <w:lang w:val="en-US"/>
        </w:rPr>
        <w:t>Quarantine requirements for non-human primates from an uncontrolled environment</w:t>
      </w:r>
    </w:p>
    <w:p w14:paraId="2E1950C2" w14:textId="3E7E714D" w:rsidR="00A10761" w:rsidRPr="00A10761" w:rsidRDefault="00A10761" w:rsidP="00D76400">
      <w:pPr>
        <w:spacing w:after="120" w:line="240" w:lineRule="auto"/>
        <w:jc w:val="both"/>
        <w:rPr>
          <w:rFonts w:ascii="Arial" w:hAnsi="Arial" w:cs="Arial"/>
          <w:sz w:val="18"/>
          <w:szCs w:val="18"/>
          <w:lang w:val="en-US"/>
        </w:rPr>
      </w:pPr>
      <w:r w:rsidRPr="00A10761">
        <w:rPr>
          <w:rFonts w:ascii="Arial" w:hAnsi="Arial" w:cs="Arial"/>
          <w:i/>
          <w:iCs/>
          <w:sz w:val="18"/>
          <w:szCs w:val="18"/>
          <w:lang w:val="en-US"/>
        </w:rPr>
        <w:t>Veterinary Authorities</w:t>
      </w:r>
      <w:r w:rsidRPr="00A10761">
        <w:rPr>
          <w:rFonts w:ascii="Arial" w:hAnsi="Arial" w:cs="Arial"/>
          <w:sz w:val="18"/>
          <w:szCs w:val="18"/>
          <w:lang w:val="en-US"/>
        </w:rPr>
        <w:t> of </w:t>
      </w:r>
      <w:r w:rsidRPr="00A10761">
        <w:rPr>
          <w:rFonts w:ascii="Arial" w:hAnsi="Arial" w:cs="Arial"/>
          <w:i/>
          <w:iCs/>
          <w:sz w:val="18"/>
          <w:szCs w:val="18"/>
          <w:lang w:val="en-US"/>
        </w:rPr>
        <w:t>importing countries</w:t>
      </w:r>
      <w:r w:rsidRPr="00A10761">
        <w:rPr>
          <w:rFonts w:ascii="Arial" w:hAnsi="Arial" w:cs="Arial"/>
          <w:sz w:val="18"/>
          <w:szCs w:val="18"/>
          <w:lang w:val="en-US"/>
        </w:rPr>
        <w:t> should require for shipments which originate from the wild or other sources where they were not subjected to permanent veterinary supervision:</w:t>
      </w:r>
    </w:p>
    <w:p w14:paraId="1C3BFF8A" w14:textId="6A12693D" w:rsidR="00A10761" w:rsidRPr="00A10761" w:rsidRDefault="00F2196E" w:rsidP="00D76400">
      <w:pPr>
        <w:spacing w:after="120" w:line="240" w:lineRule="auto"/>
        <w:ind w:left="426" w:hanging="426"/>
        <w:jc w:val="both"/>
        <w:rPr>
          <w:rFonts w:ascii="Arial" w:hAnsi="Arial" w:cs="Arial"/>
          <w:sz w:val="18"/>
          <w:szCs w:val="18"/>
          <w:lang w:val="en-US"/>
        </w:rPr>
      </w:pPr>
      <w:r>
        <w:rPr>
          <w:rFonts w:ascii="Arial" w:hAnsi="Arial" w:cs="Arial"/>
          <w:sz w:val="18"/>
          <w:szCs w:val="18"/>
          <w:lang w:val="en-US"/>
        </w:rPr>
        <w:t>1)</w:t>
      </w:r>
      <w:r>
        <w:rPr>
          <w:rFonts w:ascii="Arial" w:hAnsi="Arial" w:cs="Arial"/>
          <w:sz w:val="18"/>
          <w:szCs w:val="18"/>
          <w:lang w:val="en-US"/>
        </w:rPr>
        <w:tab/>
      </w:r>
      <w:r w:rsidR="00A10761" w:rsidRPr="00A10761">
        <w:rPr>
          <w:rFonts w:ascii="Arial" w:hAnsi="Arial" w:cs="Arial"/>
          <w:sz w:val="18"/>
          <w:szCs w:val="18"/>
          <w:lang w:val="en-US"/>
        </w:rPr>
        <w:t>the presentation of the documentation referred to in Article 6.12.3.;</w:t>
      </w:r>
    </w:p>
    <w:p w14:paraId="44C71B89" w14:textId="718E70EE" w:rsidR="00A10761" w:rsidRPr="00A10761" w:rsidRDefault="00F2196E" w:rsidP="00D76400">
      <w:pPr>
        <w:spacing w:after="120" w:line="240" w:lineRule="auto"/>
        <w:ind w:left="426" w:hanging="426"/>
        <w:jc w:val="both"/>
        <w:rPr>
          <w:rFonts w:ascii="Arial" w:hAnsi="Arial" w:cs="Arial"/>
          <w:sz w:val="18"/>
          <w:szCs w:val="18"/>
          <w:lang w:val="en-US"/>
        </w:rPr>
      </w:pPr>
      <w:r>
        <w:rPr>
          <w:rFonts w:ascii="Arial" w:hAnsi="Arial" w:cs="Arial"/>
          <w:sz w:val="18"/>
          <w:szCs w:val="18"/>
          <w:lang w:val="en-US"/>
        </w:rPr>
        <w:t>2)</w:t>
      </w:r>
      <w:r>
        <w:rPr>
          <w:rFonts w:ascii="Arial" w:hAnsi="Arial" w:cs="Arial"/>
          <w:sz w:val="18"/>
          <w:szCs w:val="18"/>
          <w:lang w:val="en-US"/>
        </w:rPr>
        <w:tab/>
      </w:r>
      <w:r w:rsidR="00A10761" w:rsidRPr="00A10761">
        <w:rPr>
          <w:rFonts w:ascii="Arial" w:hAnsi="Arial" w:cs="Arial"/>
          <w:sz w:val="18"/>
          <w:szCs w:val="18"/>
          <w:lang w:val="en-US"/>
        </w:rPr>
        <w:t>the immediate placement of the animals in a </w:t>
      </w:r>
      <w:r w:rsidR="00A10761" w:rsidRPr="00A10761">
        <w:rPr>
          <w:rFonts w:ascii="Arial" w:hAnsi="Arial" w:cs="Arial"/>
          <w:i/>
          <w:iCs/>
          <w:sz w:val="18"/>
          <w:szCs w:val="18"/>
          <w:lang w:val="en-US"/>
        </w:rPr>
        <w:t>quarantine station</w:t>
      </w:r>
      <w:r w:rsidR="00A10761" w:rsidRPr="00A10761">
        <w:rPr>
          <w:rFonts w:ascii="Arial" w:hAnsi="Arial" w:cs="Arial"/>
          <w:sz w:val="18"/>
          <w:szCs w:val="18"/>
          <w:lang w:val="en-US"/>
        </w:rPr>
        <w:t> meeting the standards set in Chapter 5.9. for at least 12 weeks; and during this quarantine:</w:t>
      </w:r>
    </w:p>
    <w:p w14:paraId="25783EC6" w14:textId="156C79BD" w:rsidR="00A10761" w:rsidRPr="00A10761" w:rsidRDefault="00F2196E" w:rsidP="00D76400">
      <w:pPr>
        <w:spacing w:after="120" w:line="240" w:lineRule="auto"/>
        <w:ind w:left="851" w:hanging="425"/>
        <w:jc w:val="both"/>
        <w:rPr>
          <w:rFonts w:ascii="Arial" w:hAnsi="Arial" w:cs="Arial"/>
          <w:sz w:val="18"/>
          <w:szCs w:val="18"/>
          <w:lang w:val="en-US"/>
        </w:rPr>
      </w:pPr>
      <w:r>
        <w:rPr>
          <w:rFonts w:ascii="Arial" w:hAnsi="Arial" w:cs="Arial"/>
          <w:sz w:val="18"/>
          <w:szCs w:val="18"/>
          <w:lang w:val="en-US"/>
        </w:rPr>
        <w:t>a)</w:t>
      </w:r>
      <w:r>
        <w:rPr>
          <w:rFonts w:ascii="Arial" w:hAnsi="Arial" w:cs="Arial"/>
          <w:sz w:val="18"/>
          <w:szCs w:val="18"/>
          <w:lang w:val="en-US"/>
        </w:rPr>
        <w:tab/>
      </w:r>
      <w:r w:rsidR="00A10761" w:rsidRPr="00A10761">
        <w:rPr>
          <w:rFonts w:ascii="Arial" w:hAnsi="Arial" w:cs="Arial"/>
          <w:sz w:val="18"/>
          <w:szCs w:val="18"/>
          <w:lang w:val="en-US"/>
        </w:rPr>
        <w:t>all animals to be monitored daily for signs of illness and, if necessary, be subjected to a clinical examination;</w:t>
      </w:r>
    </w:p>
    <w:p w14:paraId="110CE9E8" w14:textId="234E4721" w:rsidR="00A10761" w:rsidRPr="00A10761" w:rsidRDefault="00F2196E" w:rsidP="00D76400">
      <w:pPr>
        <w:spacing w:after="120" w:line="240" w:lineRule="auto"/>
        <w:ind w:left="851" w:hanging="425"/>
        <w:jc w:val="both"/>
        <w:rPr>
          <w:rFonts w:ascii="Arial" w:hAnsi="Arial" w:cs="Arial"/>
          <w:sz w:val="18"/>
          <w:szCs w:val="18"/>
          <w:lang w:val="en-US"/>
        </w:rPr>
      </w:pPr>
      <w:r>
        <w:rPr>
          <w:rFonts w:ascii="Arial" w:hAnsi="Arial" w:cs="Arial"/>
          <w:sz w:val="18"/>
          <w:szCs w:val="18"/>
          <w:lang w:val="en-US"/>
        </w:rPr>
        <w:t>b)</w:t>
      </w:r>
      <w:r>
        <w:rPr>
          <w:rFonts w:ascii="Arial" w:hAnsi="Arial" w:cs="Arial"/>
          <w:sz w:val="18"/>
          <w:szCs w:val="18"/>
          <w:lang w:val="en-US"/>
        </w:rPr>
        <w:tab/>
      </w:r>
      <w:r w:rsidR="00A10761" w:rsidRPr="00A10761">
        <w:rPr>
          <w:rFonts w:ascii="Arial" w:hAnsi="Arial" w:cs="Arial"/>
          <w:sz w:val="18"/>
          <w:szCs w:val="18"/>
          <w:lang w:val="en-US"/>
        </w:rPr>
        <w:t>all animals dying for any reason to be subjected to complete post-mortem examination at a</w:t>
      </w:r>
      <w:r w:rsidR="009C6A36" w:rsidRPr="001A0868">
        <w:rPr>
          <w:rFonts w:ascii="Arial" w:hAnsi="Arial" w:cs="Arial"/>
          <w:sz w:val="18"/>
          <w:szCs w:val="18"/>
          <w:highlight w:val="yellow"/>
          <w:u w:val="double"/>
          <w:lang w:val="en-US"/>
        </w:rPr>
        <w:t>n</w:t>
      </w:r>
      <w:r w:rsidR="00A10761" w:rsidRPr="00A10761">
        <w:rPr>
          <w:rFonts w:ascii="Arial" w:hAnsi="Arial" w:cs="Arial"/>
          <w:sz w:val="18"/>
          <w:szCs w:val="18"/>
          <w:lang w:val="en-US"/>
        </w:rPr>
        <w:t> </w:t>
      </w:r>
      <w:r w:rsidR="009C6A36" w:rsidRPr="001A0868">
        <w:rPr>
          <w:rFonts w:ascii="Arial" w:hAnsi="Arial" w:cs="Arial"/>
          <w:i/>
          <w:iCs/>
          <w:sz w:val="18"/>
          <w:szCs w:val="18"/>
          <w:highlight w:val="yellow"/>
          <w:u w:val="double"/>
          <w:lang w:val="en-US"/>
        </w:rPr>
        <w:t>approved</w:t>
      </w:r>
      <w:r w:rsidR="009C6A36">
        <w:rPr>
          <w:rFonts w:ascii="Arial" w:hAnsi="Arial" w:cs="Arial"/>
          <w:sz w:val="18"/>
          <w:szCs w:val="18"/>
          <w:lang w:val="en-US"/>
        </w:rPr>
        <w:t xml:space="preserve"> </w:t>
      </w:r>
      <w:r w:rsidR="00A10761" w:rsidRPr="00A10761">
        <w:rPr>
          <w:rFonts w:ascii="Arial" w:hAnsi="Arial" w:cs="Arial"/>
          <w:i/>
          <w:iCs/>
          <w:sz w:val="18"/>
          <w:szCs w:val="18"/>
          <w:lang w:val="en-US"/>
        </w:rPr>
        <w:t>laboratory</w:t>
      </w:r>
      <w:r w:rsidR="001A0868">
        <w:rPr>
          <w:rFonts w:ascii="Arial" w:hAnsi="Arial" w:cs="Arial"/>
          <w:sz w:val="18"/>
          <w:szCs w:val="18"/>
          <w:lang w:val="en-US"/>
        </w:rPr>
        <w:t xml:space="preserve"> </w:t>
      </w:r>
      <w:r w:rsidR="00A10761" w:rsidRPr="001A0868">
        <w:rPr>
          <w:rFonts w:ascii="Arial" w:hAnsi="Arial" w:cs="Arial"/>
          <w:strike/>
          <w:sz w:val="18"/>
          <w:szCs w:val="18"/>
          <w:highlight w:val="yellow"/>
          <w:lang w:val="en-US"/>
        </w:rPr>
        <w:t>approved</w:t>
      </w:r>
      <w:r w:rsidR="00A10761" w:rsidRPr="00A10761">
        <w:rPr>
          <w:rFonts w:ascii="Arial" w:hAnsi="Arial" w:cs="Arial"/>
          <w:sz w:val="18"/>
          <w:szCs w:val="18"/>
          <w:lang w:val="en-US"/>
        </w:rPr>
        <w:t xml:space="preserve"> for this purpose;</w:t>
      </w:r>
    </w:p>
    <w:p w14:paraId="377610B2" w14:textId="6110C5B9" w:rsidR="00A10761" w:rsidRPr="00A10761" w:rsidRDefault="00F2196E" w:rsidP="00D76400">
      <w:pPr>
        <w:spacing w:after="120" w:line="240" w:lineRule="auto"/>
        <w:ind w:left="851" w:hanging="425"/>
        <w:jc w:val="both"/>
        <w:rPr>
          <w:rFonts w:ascii="Arial" w:hAnsi="Arial" w:cs="Arial"/>
          <w:sz w:val="18"/>
          <w:szCs w:val="18"/>
          <w:lang w:val="en-US"/>
        </w:rPr>
      </w:pPr>
      <w:r>
        <w:rPr>
          <w:rFonts w:ascii="Arial" w:hAnsi="Arial" w:cs="Arial"/>
          <w:sz w:val="18"/>
          <w:szCs w:val="18"/>
          <w:lang w:val="en-US"/>
        </w:rPr>
        <w:t>c)</w:t>
      </w:r>
      <w:r>
        <w:rPr>
          <w:rFonts w:ascii="Arial" w:hAnsi="Arial" w:cs="Arial"/>
          <w:sz w:val="18"/>
          <w:szCs w:val="18"/>
          <w:lang w:val="en-US"/>
        </w:rPr>
        <w:tab/>
      </w:r>
      <w:r w:rsidR="00A10761" w:rsidRPr="00A10761">
        <w:rPr>
          <w:rFonts w:ascii="Arial" w:hAnsi="Arial" w:cs="Arial"/>
          <w:sz w:val="18"/>
          <w:szCs w:val="18"/>
          <w:lang w:val="en-US"/>
        </w:rPr>
        <w:t>any cause of illness or death to be determined before the group to which the animals belong is released from quarantine;</w:t>
      </w:r>
    </w:p>
    <w:p w14:paraId="476B44F8" w14:textId="60AEAAA5" w:rsidR="00A10761" w:rsidRPr="00A10761" w:rsidRDefault="00F2196E" w:rsidP="00D76400">
      <w:pPr>
        <w:spacing w:after="120" w:line="240" w:lineRule="auto"/>
        <w:ind w:left="851" w:hanging="425"/>
        <w:jc w:val="both"/>
        <w:rPr>
          <w:rFonts w:ascii="Arial" w:hAnsi="Arial" w:cs="Arial"/>
          <w:sz w:val="18"/>
          <w:szCs w:val="18"/>
          <w:lang w:val="en-US"/>
        </w:rPr>
      </w:pPr>
      <w:r>
        <w:rPr>
          <w:rFonts w:ascii="Arial" w:hAnsi="Arial" w:cs="Arial"/>
          <w:sz w:val="18"/>
          <w:szCs w:val="18"/>
          <w:lang w:val="en-US"/>
        </w:rPr>
        <w:t>d)</w:t>
      </w:r>
      <w:r>
        <w:rPr>
          <w:rFonts w:ascii="Arial" w:hAnsi="Arial" w:cs="Arial"/>
          <w:sz w:val="18"/>
          <w:szCs w:val="18"/>
          <w:lang w:val="en-US"/>
        </w:rPr>
        <w:tab/>
      </w:r>
      <w:r w:rsidR="00A10761" w:rsidRPr="00A10761">
        <w:rPr>
          <w:rFonts w:ascii="Arial" w:hAnsi="Arial" w:cs="Arial"/>
          <w:sz w:val="18"/>
          <w:szCs w:val="18"/>
          <w:lang w:val="en-US"/>
        </w:rPr>
        <w:t>animals to be subjected to the following diagnostic tests and treatments in accordance with Chapter 4.16.:</w:t>
      </w:r>
    </w:p>
    <w:tbl>
      <w:tblPr>
        <w:tblW w:w="9058" w:type="dxa"/>
        <w:jc w:val="center"/>
        <w:tblBorders>
          <w:top w:val="outset" w:sz="6" w:space="0" w:color="918C85"/>
          <w:left w:val="outset" w:sz="6" w:space="0" w:color="918C85"/>
          <w:bottom w:val="outset" w:sz="6" w:space="0" w:color="918C85"/>
          <w:right w:val="outset" w:sz="6" w:space="0" w:color="918C85"/>
        </w:tblBorders>
        <w:tblCellMar>
          <w:top w:w="15" w:type="dxa"/>
          <w:left w:w="15" w:type="dxa"/>
          <w:bottom w:w="15" w:type="dxa"/>
          <w:right w:w="15" w:type="dxa"/>
        </w:tblCellMar>
        <w:tblLook w:val="04A0" w:firstRow="1" w:lastRow="0" w:firstColumn="1" w:lastColumn="0" w:noHBand="0" w:noVBand="1"/>
      </w:tblPr>
      <w:tblGrid>
        <w:gridCol w:w="3369"/>
        <w:gridCol w:w="1227"/>
        <w:gridCol w:w="1288"/>
        <w:gridCol w:w="3174"/>
      </w:tblGrid>
      <w:tr w:rsidR="00A10761" w:rsidRPr="00A10761" w14:paraId="1CBFE829" w14:textId="77777777" w:rsidTr="001F1E39">
        <w:trPr>
          <w:tblHeader/>
          <w:jc w:val="center"/>
        </w:trPr>
        <w:tc>
          <w:tcPr>
            <w:tcW w:w="2222" w:type="dxa"/>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7941C2CB" w14:textId="77777777" w:rsidR="00A10761" w:rsidRPr="00803784" w:rsidRDefault="00A10761" w:rsidP="00F2196E">
            <w:pPr>
              <w:spacing w:after="240" w:line="240" w:lineRule="auto"/>
              <w:rPr>
                <w:rFonts w:ascii="Arial" w:hAnsi="Arial" w:cs="Arial"/>
                <w:sz w:val="16"/>
                <w:szCs w:val="16"/>
              </w:rPr>
            </w:pPr>
            <w:bookmarkStart w:id="2" w:name="table_1.6.11.1."/>
            <w:bookmarkEnd w:id="2"/>
            <w:proofErr w:type="spellStart"/>
            <w:r w:rsidRPr="00803784">
              <w:rPr>
                <w:rFonts w:ascii="Arial" w:hAnsi="Arial" w:cs="Arial"/>
                <w:b/>
                <w:bCs/>
                <w:sz w:val="16"/>
                <w:szCs w:val="16"/>
              </w:rPr>
              <w:t>Disease</w:t>
            </w:r>
            <w:proofErr w:type="spellEnd"/>
            <w:r w:rsidRPr="00803784">
              <w:rPr>
                <w:rFonts w:ascii="Arial" w:hAnsi="Arial" w:cs="Arial"/>
                <w:b/>
                <w:bCs/>
                <w:sz w:val="16"/>
                <w:szCs w:val="16"/>
              </w:rPr>
              <w:t>/agent</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6ADAEABE"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b/>
                <w:bCs/>
                <w:sz w:val="16"/>
                <w:szCs w:val="16"/>
              </w:rPr>
              <w:t>Animal groups</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6B6C64BF"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b/>
                <w:bCs/>
                <w:sz w:val="16"/>
                <w:szCs w:val="16"/>
              </w:rPr>
              <w:t>Schedule</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3861D89E"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b/>
                <w:bCs/>
                <w:sz w:val="16"/>
                <w:szCs w:val="16"/>
              </w:rPr>
              <w:t>Methods</w:t>
            </w:r>
          </w:p>
        </w:tc>
      </w:tr>
      <w:tr w:rsidR="00A10761" w:rsidRPr="000B4E47" w14:paraId="57F98D4B" w14:textId="77777777" w:rsidTr="001F1E39">
        <w:trPr>
          <w:jc w:val="center"/>
        </w:trPr>
        <w:tc>
          <w:tcPr>
            <w:tcW w:w="2222" w:type="dxa"/>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093A40AB"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b/>
                <w:bCs/>
                <w:sz w:val="16"/>
                <w:szCs w:val="16"/>
              </w:rPr>
              <w:t>Endo- and ectoparasites</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1ACF9672"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sz w:val="16"/>
                <w:szCs w:val="16"/>
              </w:rPr>
              <w:t xml:space="preserve">All </w:t>
            </w:r>
            <w:proofErr w:type="spellStart"/>
            <w:r w:rsidRPr="00803784">
              <w:rPr>
                <w:rFonts w:ascii="Arial" w:hAnsi="Arial" w:cs="Arial"/>
                <w:sz w:val="16"/>
                <w:szCs w:val="16"/>
              </w:rPr>
              <w:t>species</w:t>
            </w:r>
            <w:proofErr w:type="spellEnd"/>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28CB6157"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sz w:val="16"/>
                <w:szCs w:val="16"/>
                <w:lang w:val="en-US"/>
              </w:rPr>
              <w:t>At least two tests, one of which should be at the start, the other towards the end of the quarantine.</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1D621CDA"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sz w:val="16"/>
                <w:szCs w:val="16"/>
                <w:lang w:val="en-US"/>
              </w:rPr>
              <w:t>Testing methods and antiparasitic treatment as appropriate to species of animal and parasitic agent.</w:t>
            </w:r>
          </w:p>
        </w:tc>
      </w:tr>
      <w:tr w:rsidR="00A10761" w:rsidRPr="000B4E47" w14:paraId="641ACBF6" w14:textId="77777777" w:rsidTr="001F1E39">
        <w:trPr>
          <w:jc w:val="center"/>
        </w:trPr>
        <w:tc>
          <w:tcPr>
            <w:tcW w:w="2222" w:type="dxa"/>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1BAE55A2" w14:textId="77777777" w:rsidR="00A10761" w:rsidRPr="00803784" w:rsidRDefault="00A10761" w:rsidP="00F2196E">
            <w:pPr>
              <w:spacing w:after="240" w:line="240" w:lineRule="auto"/>
              <w:rPr>
                <w:rFonts w:ascii="Arial" w:hAnsi="Arial" w:cs="Arial"/>
                <w:sz w:val="16"/>
                <w:szCs w:val="16"/>
              </w:rPr>
            </w:pPr>
            <w:proofErr w:type="spellStart"/>
            <w:r w:rsidRPr="00803784">
              <w:rPr>
                <w:rFonts w:ascii="Arial" w:hAnsi="Arial" w:cs="Arial"/>
                <w:b/>
                <w:bCs/>
                <w:sz w:val="16"/>
                <w:szCs w:val="16"/>
              </w:rPr>
              <w:t>Tuberculosis</w:t>
            </w:r>
            <w:proofErr w:type="spellEnd"/>
            <w:r w:rsidRPr="00803784">
              <w:rPr>
                <w:rFonts w:ascii="Arial" w:hAnsi="Arial" w:cs="Arial"/>
                <w:b/>
                <w:bCs/>
                <w:sz w:val="16"/>
                <w:szCs w:val="16"/>
              </w:rPr>
              <w:br/>
            </w:r>
            <w:r w:rsidRPr="00803784">
              <w:rPr>
                <w:rFonts w:ascii="Arial" w:hAnsi="Arial" w:cs="Arial"/>
                <w:sz w:val="16"/>
                <w:szCs w:val="16"/>
              </w:rPr>
              <w:t>(M</w:t>
            </w:r>
            <w:r w:rsidRPr="00803784">
              <w:rPr>
                <w:rFonts w:ascii="Arial" w:hAnsi="Arial" w:cs="Arial"/>
                <w:i/>
                <w:iCs/>
                <w:sz w:val="16"/>
                <w:szCs w:val="16"/>
              </w:rPr>
              <w:t xml:space="preserve">ycobacterium </w:t>
            </w:r>
            <w:proofErr w:type="spellStart"/>
            <w:r w:rsidRPr="00803784">
              <w:rPr>
                <w:rFonts w:ascii="Arial" w:hAnsi="Arial" w:cs="Arial"/>
                <w:i/>
                <w:iCs/>
                <w:sz w:val="16"/>
                <w:szCs w:val="16"/>
              </w:rPr>
              <w:t>tuberculosis</w:t>
            </w:r>
            <w:proofErr w:type="spellEnd"/>
            <w:r w:rsidRPr="00803784">
              <w:rPr>
                <w:rFonts w:ascii="Arial" w:hAnsi="Arial" w:cs="Arial"/>
                <w:sz w:val="16"/>
                <w:szCs w:val="16"/>
              </w:rPr>
              <w:br/>
            </w:r>
            <w:proofErr w:type="spellStart"/>
            <w:r w:rsidRPr="00803784">
              <w:rPr>
                <w:rFonts w:ascii="Arial" w:hAnsi="Arial" w:cs="Arial"/>
                <w:sz w:val="16"/>
                <w:szCs w:val="16"/>
              </w:rPr>
              <w:t>complex</w:t>
            </w:r>
            <w:proofErr w:type="spellEnd"/>
            <w:r w:rsidRPr="00803784">
              <w:rPr>
                <w:rFonts w:ascii="Arial" w:hAnsi="Arial" w:cs="Arial"/>
                <w:sz w:val="16"/>
                <w:szCs w:val="16"/>
              </w:rPr>
              <w:t>)</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0A17E419"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sz w:val="16"/>
                <w:szCs w:val="16"/>
              </w:rPr>
              <w:t>Marmosets and tamarins</w:t>
            </w:r>
            <w:r w:rsidRPr="00803784">
              <w:rPr>
                <w:rFonts w:ascii="Arial" w:hAnsi="Arial" w:cs="Arial"/>
                <w:sz w:val="16"/>
                <w:szCs w:val="16"/>
              </w:rPr>
              <w:br/>
              <w:t> </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5196480E"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sz w:val="16"/>
                <w:szCs w:val="16"/>
                <w:lang w:val="en-US"/>
              </w:rPr>
              <w:t>Two tests at an interval of 2 to 4 weeks.</w:t>
            </w:r>
            <w:r w:rsidRPr="00803784">
              <w:rPr>
                <w:rFonts w:ascii="Arial" w:hAnsi="Arial" w:cs="Arial"/>
                <w:sz w:val="16"/>
                <w:szCs w:val="16"/>
                <w:lang w:val="en-US"/>
              </w:rPr>
              <w:br/>
              <w:t> </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0D572B0A"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sz w:val="16"/>
                <w:szCs w:val="16"/>
                <w:lang w:val="en-US"/>
              </w:rPr>
              <w:t xml:space="preserve">Skin test or serology. In-vitro gamma interferon assay or polymerase chain reaction (PCR) assay. The skin test using mammalian tuberculin (old tuberculin) is the most reliable of all. Skin tests in marmosets, tamarins or small prosimians should be performed in the abdominal skin rather than in the eyelid. In some species (e.g. orang </w:t>
            </w:r>
            <w:proofErr w:type="spellStart"/>
            <w:r w:rsidRPr="00803784">
              <w:rPr>
                <w:rFonts w:ascii="Arial" w:hAnsi="Arial" w:cs="Arial"/>
                <w:sz w:val="16"/>
                <w:szCs w:val="16"/>
                <w:lang w:val="en-US"/>
              </w:rPr>
              <w:t>utan</w:t>
            </w:r>
            <w:proofErr w:type="spellEnd"/>
            <w:r w:rsidRPr="00803784">
              <w:rPr>
                <w:rFonts w:ascii="Arial" w:hAnsi="Arial" w:cs="Arial"/>
                <w:sz w:val="16"/>
                <w:szCs w:val="16"/>
                <w:lang w:val="en-US"/>
              </w:rPr>
              <w:t xml:space="preserve">), skin tests for tuberculosis are notorious for false positive results. Comparative tests using both mammalian and avian PPD, together with cultures, radiography, ELISA, in-vitro gamma interferon assay and PCR of gastric or bronchial lavage, </w:t>
            </w:r>
            <w:proofErr w:type="spellStart"/>
            <w:r w:rsidRPr="00803784">
              <w:rPr>
                <w:rFonts w:ascii="Arial" w:hAnsi="Arial" w:cs="Arial"/>
                <w:sz w:val="16"/>
                <w:szCs w:val="16"/>
                <w:lang w:val="en-US"/>
              </w:rPr>
              <w:t>faeces</w:t>
            </w:r>
            <w:proofErr w:type="spellEnd"/>
            <w:r w:rsidRPr="00803784">
              <w:rPr>
                <w:rFonts w:ascii="Arial" w:hAnsi="Arial" w:cs="Arial"/>
                <w:sz w:val="16"/>
                <w:szCs w:val="16"/>
                <w:lang w:val="en-US"/>
              </w:rPr>
              <w:t xml:space="preserve"> or tissues may eliminate confusion.</w:t>
            </w:r>
          </w:p>
        </w:tc>
      </w:tr>
      <w:tr w:rsidR="00A10761" w:rsidRPr="000B4E47" w14:paraId="650A047D" w14:textId="77777777" w:rsidTr="001F1E39">
        <w:trPr>
          <w:jc w:val="center"/>
        </w:trPr>
        <w:tc>
          <w:tcPr>
            <w:tcW w:w="2222" w:type="dxa"/>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730F9872" w14:textId="2D0F9996" w:rsidR="00A10761" w:rsidRPr="00803784" w:rsidRDefault="00A10761" w:rsidP="00F2196E">
            <w:pPr>
              <w:spacing w:after="240" w:line="240" w:lineRule="auto"/>
              <w:rPr>
                <w:rFonts w:ascii="Arial" w:hAnsi="Arial" w:cs="Arial"/>
                <w:sz w:val="16"/>
                <w:szCs w:val="16"/>
                <w:lang w:val="en-US"/>
              </w:rPr>
            </w:pP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385845D3"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sz w:val="16"/>
                <w:szCs w:val="16"/>
                <w:lang w:val="en-US"/>
              </w:rPr>
              <w:t>Prosimians, New World monkeys, Old World monkeys, gibbons and great apes</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2D7B8599"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sz w:val="16"/>
                <w:szCs w:val="16"/>
                <w:lang w:val="en-US"/>
              </w:rPr>
              <w:t>At least three tests at intervals of 2 to 4 weeks.</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76C0FF2B" w14:textId="77777777" w:rsidR="00A10761" w:rsidRPr="00803784" w:rsidRDefault="00A10761" w:rsidP="00F2196E">
            <w:pPr>
              <w:spacing w:after="240" w:line="240" w:lineRule="auto"/>
              <w:rPr>
                <w:rFonts w:ascii="Arial" w:hAnsi="Arial" w:cs="Arial"/>
                <w:sz w:val="16"/>
                <w:szCs w:val="16"/>
                <w:lang w:val="en-US"/>
              </w:rPr>
            </w:pPr>
          </w:p>
        </w:tc>
      </w:tr>
      <w:tr w:rsidR="00A10761" w:rsidRPr="000B4E47" w14:paraId="68F20E1B" w14:textId="77777777" w:rsidTr="001F1E39">
        <w:trPr>
          <w:jc w:val="center"/>
        </w:trPr>
        <w:tc>
          <w:tcPr>
            <w:tcW w:w="2222" w:type="dxa"/>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4C5B1097"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b/>
                <w:bCs/>
                <w:sz w:val="16"/>
                <w:szCs w:val="16"/>
                <w:lang w:val="en-US"/>
              </w:rPr>
              <w:lastRenderedPageBreak/>
              <w:t>Other bacterial pathogenic agents</w:t>
            </w:r>
            <w:r w:rsidRPr="00803784">
              <w:rPr>
                <w:rFonts w:ascii="Arial" w:hAnsi="Arial" w:cs="Arial"/>
                <w:sz w:val="16"/>
                <w:szCs w:val="16"/>
                <w:lang w:val="en-US"/>
              </w:rPr>
              <w:t> (</w:t>
            </w:r>
            <w:r w:rsidRPr="00803784">
              <w:rPr>
                <w:rFonts w:ascii="Arial" w:hAnsi="Arial" w:cs="Arial"/>
                <w:i/>
                <w:iCs/>
                <w:sz w:val="16"/>
                <w:szCs w:val="16"/>
                <w:lang w:val="en-US"/>
              </w:rPr>
              <w:t>Salmonella</w:t>
            </w:r>
            <w:r w:rsidRPr="00803784">
              <w:rPr>
                <w:rFonts w:ascii="Arial" w:hAnsi="Arial" w:cs="Arial"/>
                <w:sz w:val="16"/>
                <w:szCs w:val="16"/>
                <w:lang w:val="en-US"/>
              </w:rPr>
              <w:t>, </w:t>
            </w:r>
            <w:r w:rsidRPr="00803784">
              <w:rPr>
                <w:rFonts w:ascii="Arial" w:hAnsi="Arial" w:cs="Arial"/>
                <w:i/>
                <w:iCs/>
                <w:sz w:val="16"/>
                <w:szCs w:val="16"/>
                <w:lang w:val="en-US"/>
              </w:rPr>
              <w:t>Shigella</w:t>
            </w:r>
            <w:r w:rsidRPr="00803784">
              <w:rPr>
                <w:rFonts w:ascii="Arial" w:hAnsi="Arial" w:cs="Arial"/>
                <w:sz w:val="16"/>
                <w:szCs w:val="16"/>
                <w:lang w:val="en-US"/>
              </w:rPr>
              <w:t> and </w:t>
            </w:r>
            <w:r w:rsidRPr="00803784">
              <w:rPr>
                <w:rFonts w:ascii="Arial" w:hAnsi="Arial" w:cs="Arial"/>
                <w:i/>
                <w:iCs/>
                <w:sz w:val="16"/>
                <w:szCs w:val="16"/>
                <w:lang w:val="en-US"/>
              </w:rPr>
              <w:t>Yersinia</w:t>
            </w:r>
            <w:r w:rsidRPr="00803784">
              <w:rPr>
                <w:rFonts w:ascii="Arial" w:hAnsi="Arial" w:cs="Arial"/>
                <w:sz w:val="16"/>
                <w:szCs w:val="16"/>
                <w:lang w:val="en-US"/>
              </w:rPr>
              <w:t> and others as appropriate)</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5C98613F"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sz w:val="16"/>
                <w:szCs w:val="16"/>
              </w:rPr>
              <w:t xml:space="preserve">All </w:t>
            </w:r>
            <w:proofErr w:type="spellStart"/>
            <w:r w:rsidRPr="00803784">
              <w:rPr>
                <w:rFonts w:ascii="Arial" w:hAnsi="Arial" w:cs="Arial"/>
                <w:sz w:val="16"/>
                <w:szCs w:val="16"/>
              </w:rPr>
              <w:t>species</w:t>
            </w:r>
            <w:proofErr w:type="spellEnd"/>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5CD79968"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sz w:val="16"/>
                <w:szCs w:val="16"/>
                <w:lang w:val="en-US"/>
              </w:rPr>
              <w:t>Daily test for 3 days after arrival, and at least one or two more tests at intervals of 2 to 4 weeks.</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56251DB8" w14:textId="77777777" w:rsidR="00A10761" w:rsidRPr="00803784" w:rsidRDefault="00A10761" w:rsidP="00F2196E">
            <w:pPr>
              <w:spacing w:after="240" w:line="240" w:lineRule="auto"/>
              <w:rPr>
                <w:rFonts w:ascii="Arial" w:hAnsi="Arial" w:cs="Arial"/>
                <w:sz w:val="16"/>
                <w:szCs w:val="16"/>
                <w:lang w:val="en-US"/>
              </w:rPr>
            </w:pPr>
            <w:proofErr w:type="spellStart"/>
            <w:r w:rsidRPr="00803784">
              <w:rPr>
                <w:rFonts w:ascii="Arial" w:hAnsi="Arial" w:cs="Arial"/>
                <w:sz w:val="16"/>
                <w:szCs w:val="16"/>
                <w:lang w:val="en-US"/>
              </w:rPr>
              <w:t>Faecal</w:t>
            </w:r>
            <w:proofErr w:type="spellEnd"/>
            <w:r w:rsidRPr="00803784">
              <w:rPr>
                <w:rFonts w:ascii="Arial" w:hAnsi="Arial" w:cs="Arial"/>
                <w:sz w:val="16"/>
                <w:szCs w:val="16"/>
                <w:lang w:val="en-US"/>
              </w:rPr>
              <w:t xml:space="preserve"> culture. The fresh </w:t>
            </w:r>
            <w:proofErr w:type="spellStart"/>
            <w:r w:rsidRPr="00803784">
              <w:rPr>
                <w:rFonts w:ascii="Arial" w:hAnsi="Arial" w:cs="Arial"/>
                <w:sz w:val="16"/>
                <w:szCs w:val="16"/>
                <w:lang w:val="en-US"/>
              </w:rPr>
              <w:t>faeces</w:t>
            </w:r>
            <w:proofErr w:type="spellEnd"/>
            <w:r w:rsidRPr="00803784">
              <w:rPr>
                <w:rFonts w:ascii="Arial" w:hAnsi="Arial" w:cs="Arial"/>
                <w:sz w:val="16"/>
                <w:szCs w:val="16"/>
                <w:lang w:val="en-US"/>
              </w:rPr>
              <w:t xml:space="preserve"> or rectal swabs should be cultured immediately or be placed immediately in the appropriate transportation medium.</w:t>
            </w:r>
          </w:p>
        </w:tc>
      </w:tr>
      <w:tr w:rsidR="00A10761" w:rsidRPr="000B4E47" w14:paraId="53F41F84" w14:textId="77777777" w:rsidTr="001F1E39">
        <w:trPr>
          <w:jc w:val="center"/>
        </w:trPr>
        <w:tc>
          <w:tcPr>
            <w:tcW w:w="2222" w:type="dxa"/>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29142216" w14:textId="77777777" w:rsidR="00A10761" w:rsidRPr="00803784" w:rsidRDefault="00A10761" w:rsidP="00F2196E">
            <w:pPr>
              <w:spacing w:after="240" w:line="240" w:lineRule="auto"/>
              <w:rPr>
                <w:rFonts w:ascii="Arial" w:hAnsi="Arial" w:cs="Arial"/>
                <w:strike/>
                <w:sz w:val="16"/>
                <w:szCs w:val="16"/>
              </w:rPr>
            </w:pPr>
            <w:proofErr w:type="spellStart"/>
            <w:r w:rsidRPr="00803784">
              <w:rPr>
                <w:rFonts w:ascii="Arial" w:hAnsi="Arial" w:cs="Arial"/>
                <w:b/>
                <w:bCs/>
                <w:strike/>
                <w:sz w:val="16"/>
                <w:szCs w:val="16"/>
              </w:rPr>
              <w:t>Hepatitis</w:t>
            </w:r>
            <w:proofErr w:type="spellEnd"/>
            <w:r w:rsidRPr="00803784">
              <w:rPr>
                <w:rFonts w:ascii="Arial" w:hAnsi="Arial" w:cs="Arial"/>
                <w:b/>
                <w:bCs/>
                <w:strike/>
                <w:sz w:val="16"/>
                <w:szCs w:val="16"/>
              </w:rPr>
              <w:t xml:space="preserve"> B</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046C7EA3" w14:textId="77777777" w:rsidR="00A10761" w:rsidRPr="00803784" w:rsidRDefault="00A10761" w:rsidP="00F2196E">
            <w:pPr>
              <w:spacing w:after="240" w:line="240" w:lineRule="auto"/>
              <w:rPr>
                <w:rFonts w:ascii="Arial" w:hAnsi="Arial" w:cs="Arial"/>
                <w:strike/>
                <w:sz w:val="16"/>
                <w:szCs w:val="16"/>
              </w:rPr>
            </w:pPr>
            <w:r w:rsidRPr="00803784">
              <w:rPr>
                <w:rFonts w:ascii="Arial" w:hAnsi="Arial" w:cs="Arial"/>
                <w:strike/>
                <w:sz w:val="16"/>
                <w:szCs w:val="16"/>
              </w:rPr>
              <w:t xml:space="preserve">Gibbons and </w:t>
            </w:r>
            <w:proofErr w:type="spellStart"/>
            <w:r w:rsidRPr="00803784">
              <w:rPr>
                <w:rFonts w:ascii="Arial" w:hAnsi="Arial" w:cs="Arial"/>
                <w:strike/>
                <w:sz w:val="16"/>
                <w:szCs w:val="16"/>
              </w:rPr>
              <w:t>great</w:t>
            </w:r>
            <w:proofErr w:type="spellEnd"/>
            <w:r w:rsidRPr="00803784">
              <w:rPr>
                <w:rFonts w:ascii="Arial" w:hAnsi="Arial" w:cs="Arial"/>
                <w:strike/>
                <w:sz w:val="16"/>
                <w:szCs w:val="16"/>
              </w:rPr>
              <w:t xml:space="preserve"> apes</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5142E21F" w14:textId="77777777" w:rsidR="00A10761" w:rsidRPr="00803784" w:rsidRDefault="00A10761" w:rsidP="00F2196E">
            <w:pPr>
              <w:spacing w:after="240" w:line="240" w:lineRule="auto"/>
              <w:rPr>
                <w:rFonts w:ascii="Arial" w:hAnsi="Arial" w:cs="Arial"/>
                <w:strike/>
                <w:sz w:val="16"/>
                <w:szCs w:val="16"/>
                <w:lang w:val="en-US"/>
              </w:rPr>
            </w:pPr>
            <w:r w:rsidRPr="00803784">
              <w:rPr>
                <w:rFonts w:ascii="Arial" w:hAnsi="Arial" w:cs="Arial"/>
                <w:strike/>
                <w:sz w:val="16"/>
                <w:szCs w:val="16"/>
                <w:lang w:val="en-US"/>
              </w:rPr>
              <w:t>First test during first week; second test after 3 to 4 weeks.</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0DE98DDD" w14:textId="77777777" w:rsidR="00A10761" w:rsidRPr="00803784" w:rsidRDefault="00A10761" w:rsidP="00F2196E">
            <w:pPr>
              <w:spacing w:after="240" w:line="240" w:lineRule="auto"/>
              <w:rPr>
                <w:rFonts w:ascii="Arial" w:hAnsi="Arial" w:cs="Arial"/>
                <w:strike/>
                <w:sz w:val="16"/>
                <w:szCs w:val="16"/>
                <w:lang w:val="en-US"/>
              </w:rPr>
            </w:pPr>
            <w:r w:rsidRPr="00803784">
              <w:rPr>
                <w:rFonts w:ascii="Arial" w:hAnsi="Arial" w:cs="Arial"/>
                <w:strike/>
                <w:sz w:val="16"/>
                <w:szCs w:val="16"/>
                <w:lang w:val="en-US"/>
              </w:rPr>
              <w:t>Serological tests for anti-hepatitis B core antigen and for hepatitis B surface antigen, and additional parameters as appropriate.</w:t>
            </w:r>
          </w:p>
        </w:tc>
      </w:tr>
    </w:tbl>
    <w:p w14:paraId="5769E8B0" w14:textId="693CBC68" w:rsidR="00A10761" w:rsidRPr="00A10761" w:rsidRDefault="00A10761" w:rsidP="00F2196E">
      <w:pPr>
        <w:spacing w:before="240" w:after="240" w:line="240" w:lineRule="auto"/>
        <w:jc w:val="both"/>
        <w:rPr>
          <w:rFonts w:ascii="Arial" w:hAnsi="Arial" w:cs="Arial"/>
          <w:sz w:val="18"/>
          <w:szCs w:val="18"/>
          <w:lang w:val="en-US"/>
        </w:rPr>
      </w:pPr>
      <w:r w:rsidRPr="00A10761">
        <w:rPr>
          <w:rFonts w:ascii="Arial" w:hAnsi="Arial" w:cs="Arial"/>
          <w:i/>
          <w:iCs/>
          <w:sz w:val="18"/>
          <w:szCs w:val="18"/>
          <w:lang w:val="en-US"/>
        </w:rPr>
        <w:t>Veterinary Authorities</w:t>
      </w:r>
      <w:r w:rsidRPr="00A10761">
        <w:rPr>
          <w:rFonts w:ascii="Arial" w:hAnsi="Arial" w:cs="Arial"/>
          <w:sz w:val="18"/>
          <w:szCs w:val="18"/>
          <w:lang w:val="en-US"/>
        </w:rPr>
        <w:t> of </w:t>
      </w:r>
      <w:r w:rsidRPr="00A10761">
        <w:rPr>
          <w:rFonts w:ascii="Arial" w:hAnsi="Arial" w:cs="Arial"/>
          <w:i/>
          <w:iCs/>
          <w:sz w:val="18"/>
          <w:szCs w:val="18"/>
          <w:lang w:val="en-US"/>
        </w:rPr>
        <w:t>importing countries</w:t>
      </w:r>
      <w:r w:rsidRPr="00A10761">
        <w:rPr>
          <w:rFonts w:ascii="Arial" w:hAnsi="Arial" w:cs="Arial"/>
          <w:sz w:val="18"/>
          <w:szCs w:val="18"/>
          <w:lang w:val="en-US"/>
        </w:rPr>
        <w:t xml:space="preserve"> should </w:t>
      </w:r>
      <w:proofErr w:type="spellStart"/>
      <w:r w:rsidRPr="00A10761">
        <w:rPr>
          <w:rFonts w:ascii="Arial" w:hAnsi="Arial" w:cs="Arial"/>
          <w:sz w:val="18"/>
          <w:szCs w:val="18"/>
          <w:lang w:val="en-US"/>
        </w:rPr>
        <w:t>recognise</w:t>
      </w:r>
      <w:proofErr w:type="spellEnd"/>
      <w:r w:rsidRPr="00A10761">
        <w:rPr>
          <w:rFonts w:ascii="Arial" w:hAnsi="Arial" w:cs="Arial"/>
          <w:sz w:val="18"/>
          <w:szCs w:val="18"/>
          <w:lang w:val="en-US"/>
        </w:rPr>
        <w:t xml:space="preserve"> the public health importance of zoonoses listed in the table </w:t>
      </w:r>
      <w:r w:rsidRPr="005B6D70">
        <w:rPr>
          <w:rFonts w:ascii="Arial" w:hAnsi="Arial" w:cs="Arial"/>
          <w:strike/>
          <w:sz w:val="18"/>
          <w:szCs w:val="18"/>
          <w:lang w:val="en-US"/>
        </w:rPr>
        <w:t>below</w:t>
      </w:r>
      <w:r w:rsidR="005B6D70">
        <w:rPr>
          <w:rFonts w:ascii="Arial" w:hAnsi="Arial" w:cs="Arial"/>
          <w:strike/>
          <w:sz w:val="18"/>
          <w:szCs w:val="18"/>
          <w:lang w:val="en-US"/>
        </w:rPr>
        <w:t xml:space="preserve"> </w:t>
      </w:r>
      <w:r w:rsidR="005B6D70" w:rsidRPr="005B6D70">
        <w:rPr>
          <w:rFonts w:ascii="Arial" w:hAnsi="Arial" w:cs="Arial"/>
          <w:sz w:val="18"/>
          <w:szCs w:val="18"/>
          <w:u w:val="double"/>
          <w:lang w:val="en-US"/>
        </w:rPr>
        <w:t>above</w:t>
      </w:r>
      <w:r w:rsidRPr="00A10761">
        <w:rPr>
          <w:rFonts w:ascii="Arial" w:hAnsi="Arial" w:cs="Arial"/>
          <w:sz w:val="18"/>
          <w:szCs w:val="18"/>
          <w:lang w:val="en-US"/>
        </w:rPr>
        <w:t xml:space="preserve"> as well as measles (a human disease, sometimes affecting non-human primates), hepatitis A, monkey pox, Marburg disease or Ebola/Reston virus, retroviruses, etc., even though this article does not recommend specific testing or treatment protocols for these agents during the quarantine period. </w:t>
      </w:r>
      <w:r w:rsidRPr="00A10761">
        <w:rPr>
          <w:rFonts w:ascii="Arial" w:hAnsi="Arial" w:cs="Arial"/>
          <w:i/>
          <w:iCs/>
          <w:sz w:val="18"/>
          <w:szCs w:val="18"/>
          <w:lang w:val="en-US"/>
        </w:rPr>
        <w:t>Veterinary Authorities</w:t>
      </w:r>
      <w:r w:rsidRPr="00A10761">
        <w:rPr>
          <w:rFonts w:ascii="Arial" w:hAnsi="Arial" w:cs="Arial"/>
          <w:sz w:val="18"/>
          <w:szCs w:val="18"/>
          <w:lang w:val="en-US"/>
        </w:rPr>
        <w:t xml:space="preserve"> should </w:t>
      </w:r>
      <w:proofErr w:type="spellStart"/>
      <w:r w:rsidRPr="00A10761">
        <w:rPr>
          <w:rFonts w:ascii="Arial" w:hAnsi="Arial" w:cs="Arial"/>
          <w:sz w:val="18"/>
          <w:szCs w:val="18"/>
          <w:lang w:val="en-US"/>
        </w:rPr>
        <w:t>recognise</w:t>
      </w:r>
      <w:proofErr w:type="spellEnd"/>
      <w:r w:rsidRPr="00A10761">
        <w:rPr>
          <w:rFonts w:ascii="Arial" w:hAnsi="Arial" w:cs="Arial"/>
          <w:sz w:val="18"/>
          <w:szCs w:val="18"/>
          <w:lang w:val="en-US"/>
        </w:rPr>
        <w:t xml:space="preserve"> that, if animals are infected, the importation and spread of many such agents will be best controlled by the detection of clinical signs of disease during a 12-week quarantine period.</w:t>
      </w:r>
    </w:p>
    <w:p w14:paraId="15108AB2" w14:textId="77777777" w:rsidR="00A10761" w:rsidRPr="00A10761" w:rsidRDefault="00A10761" w:rsidP="00A10761">
      <w:pPr>
        <w:spacing w:after="240" w:line="240" w:lineRule="auto"/>
        <w:jc w:val="both"/>
        <w:rPr>
          <w:rFonts w:ascii="Arial" w:hAnsi="Arial" w:cs="Arial"/>
          <w:sz w:val="18"/>
          <w:szCs w:val="18"/>
          <w:lang w:val="en-US"/>
        </w:rPr>
      </w:pPr>
      <w:r w:rsidRPr="00A10761">
        <w:rPr>
          <w:rFonts w:ascii="Arial" w:hAnsi="Arial" w:cs="Arial"/>
          <w:sz w:val="18"/>
          <w:szCs w:val="18"/>
          <w:lang w:val="en-US"/>
        </w:rPr>
        <w:t>Certain endemic viruses, such as herpesviruses or retroviruses, may be present in both wild and captive populations of primates. These viruses are often asymptomatic in primate species. If animals are being imported to be introduced to other populations of the same species, it may be advisable to determine if the animals selected for importation have similar viral profiles to the established population.</w:t>
      </w:r>
    </w:p>
    <w:p w14:paraId="31E1AEED" w14:textId="77777777" w:rsidR="00050139" w:rsidRPr="004F22B9" w:rsidRDefault="00050139" w:rsidP="00050139">
      <w:pPr>
        <w:spacing w:after="240" w:line="240" w:lineRule="auto"/>
        <w:jc w:val="center"/>
        <w:rPr>
          <w:rFonts w:ascii="Ottawa" w:eastAsia="Times New Roman" w:hAnsi="Ottawa" w:cs="Arial"/>
          <w:sz w:val="18"/>
          <w:szCs w:val="18"/>
          <w:lang w:val="en-GB"/>
        </w:rPr>
      </w:pPr>
      <w:bookmarkStart w:id="3" w:name="article_zoonoses_non_human_primate.5."/>
      <w:bookmarkEnd w:id="3"/>
      <w:r w:rsidRPr="004F22B9">
        <w:rPr>
          <w:rFonts w:ascii="Ottawa" w:eastAsia="Times New Roman" w:hAnsi="Ottawa" w:cs="Arial"/>
          <w:sz w:val="18"/>
          <w:szCs w:val="18"/>
          <w:lang w:val="en-GB"/>
        </w:rPr>
        <w:t>[…]</w:t>
      </w:r>
    </w:p>
    <w:p w14:paraId="67376F36" w14:textId="77777777" w:rsidR="00A10761" w:rsidRPr="00A10761" w:rsidRDefault="00A10761" w:rsidP="00F2196E">
      <w:pPr>
        <w:spacing w:after="240" w:line="240" w:lineRule="auto"/>
        <w:jc w:val="center"/>
        <w:rPr>
          <w:rFonts w:ascii="Ottawa" w:hAnsi="Ottawa" w:cs="Arial"/>
          <w:sz w:val="18"/>
          <w:szCs w:val="18"/>
          <w:lang w:val="en-US"/>
        </w:rPr>
      </w:pPr>
      <w:bookmarkStart w:id="4" w:name="article_zoonoses_non_human_primate.6."/>
      <w:bookmarkEnd w:id="4"/>
      <w:r w:rsidRPr="00A10761">
        <w:rPr>
          <w:rFonts w:ascii="Ottawa" w:hAnsi="Ottawa" w:cs="Arial"/>
          <w:sz w:val="18"/>
          <w:szCs w:val="18"/>
          <w:lang w:val="en-US"/>
        </w:rPr>
        <w:t>Article 6.12.6.</w:t>
      </w:r>
    </w:p>
    <w:p w14:paraId="57B0DA63" w14:textId="77777777" w:rsidR="00A10761" w:rsidRPr="00A10761" w:rsidRDefault="00A10761" w:rsidP="00A10761">
      <w:pPr>
        <w:spacing w:after="240" w:line="240" w:lineRule="auto"/>
        <w:jc w:val="both"/>
        <w:rPr>
          <w:rFonts w:ascii="Ottawa" w:hAnsi="Ottawa" w:cs="Arial"/>
          <w:b/>
          <w:bCs/>
          <w:sz w:val="18"/>
          <w:szCs w:val="18"/>
          <w:lang w:val="en-US"/>
        </w:rPr>
      </w:pPr>
      <w:r w:rsidRPr="00A10761">
        <w:rPr>
          <w:rFonts w:ascii="Ottawa" w:hAnsi="Ottawa" w:cs="Arial"/>
          <w:b/>
          <w:bCs/>
          <w:sz w:val="18"/>
          <w:szCs w:val="18"/>
          <w:lang w:val="en-US"/>
        </w:rPr>
        <w:t>Certification and quarantine requirements for other non-human primates from premises under veterinary supervision</w:t>
      </w:r>
    </w:p>
    <w:p w14:paraId="36B6F702" w14:textId="6D5D254A" w:rsidR="00A10761" w:rsidRPr="00A10761" w:rsidRDefault="00A10761" w:rsidP="00A10761">
      <w:pPr>
        <w:spacing w:after="240" w:line="240" w:lineRule="auto"/>
        <w:jc w:val="both"/>
        <w:rPr>
          <w:rFonts w:ascii="Arial" w:hAnsi="Arial" w:cs="Arial"/>
          <w:sz w:val="18"/>
          <w:szCs w:val="18"/>
          <w:lang w:val="en-US"/>
        </w:rPr>
      </w:pPr>
      <w:r w:rsidRPr="00A10761">
        <w:rPr>
          <w:rFonts w:ascii="Arial" w:hAnsi="Arial" w:cs="Arial"/>
          <w:i/>
          <w:iCs/>
          <w:sz w:val="18"/>
          <w:szCs w:val="18"/>
          <w:lang w:val="en-US"/>
        </w:rPr>
        <w:t>Veterinary Authorities</w:t>
      </w:r>
      <w:r w:rsidRPr="00A10761">
        <w:rPr>
          <w:rFonts w:ascii="Arial" w:hAnsi="Arial" w:cs="Arial"/>
          <w:sz w:val="18"/>
          <w:szCs w:val="18"/>
          <w:lang w:val="en-US"/>
        </w:rPr>
        <w:t> of </w:t>
      </w:r>
      <w:r w:rsidRPr="00A10761">
        <w:rPr>
          <w:rFonts w:ascii="Arial" w:hAnsi="Arial" w:cs="Arial"/>
          <w:i/>
          <w:iCs/>
          <w:sz w:val="18"/>
          <w:szCs w:val="18"/>
          <w:lang w:val="en-US"/>
        </w:rPr>
        <w:t>importing countries</w:t>
      </w:r>
      <w:r w:rsidRPr="00A10761">
        <w:rPr>
          <w:rFonts w:ascii="Arial" w:hAnsi="Arial" w:cs="Arial"/>
          <w:sz w:val="18"/>
          <w:szCs w:val="18"/>
          <w:lang w:val="en-US"/>
        </w:rPr>
        <w:t> should require:</w:t>
      </w:r>
    </w:p>
    <w:p w14:paraId="242EE8E9" w14:textId="77777777" w:rsidR="00A10761" w:rsidRPr="00A10761" w:rsidRDefault="00A10761" w:rsidP="00A10761">
      <w:pPr>
        <w:spacing w:after="240" w:line="240" w:lineRule="auto"/>
        <w:jc w:val="both"/>
        <w:rPr>
          <w:rFonts w:ascii="Arial" w:hAnsi="Arial" w:cs="Arial"/>
          <w:sz w:val="18"/>
          <w:szCs w:val="18"/>
          <w:u w:val="single"/>
          <w:lang w:val="en-US"/>
        </w:rPr>
      </w:pPr>
      <w:r w:rsidRPr="00A10761">
        <w:rPr>
          <w:rFonts w:ascii="Arial" w:hAnsi="Arial" w:cs="Arial"/>
          <w:sz w:val="18"/>
          <w:szCs w:val="18"/>
          <w:u w:val="single"/>
          <w:lang w:val="en-US"/>
        </w:rPr>
        <w:t>for prosimians, New World monkeys, Old World monkeys, gibbons and great apes from premises under veterinary supervision</w:t>
      </w:r>
    </w:p>
    <w:p w14:paraId="36A9FCAD" w14:textId="37E15ABC" w:rsidR="00A10761" w:rsidRPr="00A10761" w:rsidRDefault="00F2196E" w:rsidP="00F2196E">
      <w:pPr>
        <w:spacing w:after="240" w:line="240" w:lineRule="auto"/>
        <w:ind w:left="426" w:hanging="426"/>
        <w:jc w:val="both"/>
        <w:rPr>
          <w:rFonts w:ascii="Arial" w:hAnsi="Arial" w:cs="Arial"/>
          <w:sz w:val="18"/>
          <w:szCs w:val="18"/>
          <w:lang w:val="en-US"/>
        </w:rPr>
      </w:pPr>
      <w:r>
        <w:rPr>
          <w:rFonts w:ascii="Arial" w:hAnsi="Arial" w:cs="Arial"/>
          <w:sz w:val="18"/>
          <w:szCs w:val="18"/>
          <w:lang w:val="en-US"/>
        </w:rPr>
        <w:t>1)</w:t>
      </w:r>
      <w:r>
        <w:rPr>
          <w:rFonts w:ascii="Arial" w:hAnsi="Arial" w:cs="Arial"/>
          <w:sz w:val="18"/>
          <w:szCs w:val="18"/>
          <w:lang w:val="en-US"/>
        </w:rPr>
        <w:tab/>
      </w:r>
      <w:r w:rsidR="00A10761" w:rsidRPr="00A10761">
        <w:rPr>
          <w:rFonts w:ascii="Arial" w:hAnsi="Arial" w:cs="Arial"/>
          <w:sz w:val="18"/>
          <w:szCs w:val="18"/>
          <w:lang w:val="en-US"/>
        </w:rPr>
        <w:t>the presentation of an </w:t>
      </w:r>
      <w:r w:rsidR="00A10761" w:rsidRPr="00A10761">
        <w:rPr>
          <w:rFonts w:ascii="Arial" w:hAnsi="Arial" w:cs="Arial"/>
          <w:i/>
          <w:iCs/>
          <w:sz w:val="18"/>
          <w:szCs w:val="18"/>
          <w:lang w:val="en-US"/>
        </w:rPr>
        <w:t>international veterinary certificate</w:t>
      </w:r>
      <w:r w:rsidR="00A10761" w:rsidRPr="00A10761">
        <w:rPr>
          <w:rFonts w:ascii="Arial" w:hAnsi="Arial" w:cs="Arial"/>
          <w:sz w:val="18"/>
          <w:szCs w:val="18"/>
          <w:lang w:val="en-US"/>
        </w:rPr>
        <w:t> attesting that the shipment meets the requirements specified in Article 6.12.3., and that the animals:</w:t>
      </w:r>
    </w:p>
    <w:p w14:paraId="324F3E02" w14:textId="45D5AE09" w:rsidR="00A10761" w:rsidRPr="00A10761"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a)</w:t>
      </w:r>
      <w:r>
        <w:rPr>
          <w:rFonts w:ascii="Arial" w:hAnsi="Arial" w:cs="Arial"/>
          <w:sz w:val="18"/>
          <w:szCs w:val="18"/>
          <w:lang w:val="en-US"/>
        </w:rPr>
        <w:tab/>
      </w:r>
      <w:r w:rsidR="00A10761" w:rsidRPr="00A10761">
        <w:rPr>
          <w:rFonts w:ascii="Arial" w:hAnsi="Arial" w:cs="Arial"/>
          <w:sz w:val="18"/>
          <w:szCs w:val="18"/>
          <w:lang w:val="en-US"/>
        </w:rPr>
        <w:t>are either born in the premises of origin or have been kept there for at least two years;</w:t>
      </w:r>
    </w:p>
    <w:p w14:paraId="250A9F4E" w14:textId="4357C5A8" w:rsidR="00A10761" w:rsidRPr="00A10761"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b)</w:t>
      </w:r>
      <w:r>
        <w:rPr>
          <w:rFonts w:ascii="Arial" w:hAnsi="Arial" w:cs="Arial"/>
          <w:sz w:val="18"/>
          <w:szCs w:val="18"/>
          <w:lang w:val="en-US"/>
        </w:rPr>
        <w:tab/>
      </w:r>
      <w:r w:rsidR="00A10761" w:rsidRPr="00A10761">
        <w:rPr>
          <w:rFonts w:ascii="Arial" w:hAnsi="Arial" w:cs="Arial"/>
          <w:sz w:val="18"/>
          <w:szCs w:val="18"/>
          <w:lang w:val="en-US"/>
        </w:rPr>
        <w:t xml:space="preserve">come from premises which are under permanent veterinary supervision, and where a suitable health monitoring </w:t>
      </w:r>
      <w:proofErr w:type="spellStart"/>
      <w:r w:rsidR="00A10761" w:rsidRPr="00A10761">
        <w:rPr>
          <w:rFonts w:ascii="Arial" w:hAnsi="Arial" w:cs="Arial"/>
          <w:sz w:val="18"/>
          <w:szCs w:val="18"/>
          <w:lang w:val="en-US"/>
        </w:rPr>
        <w:t>programme</w:t>
      </w:r>
      <w:proofErr w:type="spellEnd"/>
      <w:r w:rsidR="00A10761" w:rsidRPr="00A10761">
        <w:rPr>
          <w:rFonts w:ascii="Arial" w:hAnsi="Arial" w:cs="Arial"/>
          <w:sz w:val="18"/>
          <w:szCs w:val="18"/>
          <w:lang w:val="en-US"/>
        </w:rPr>
        <w:t xml:space="preserve"> is followed, including microbiological and parasitological tests as well as necropsies;</w:t>
      </w:r>
    </w:p>
    <w:p w14:paraId="238E3F3E" w14:textId="6B9C6281" w:rsidR="00A10761" w:rsidRPr="00A10761"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c)</w:t>
      </w:r>
      <w:r>
        <w:rPr>
          <w:rFonts w:ascii="Arial" w:hAnsi="Arial" w:cs="Arial"/>
          <w:sz w:val="18"/>
          <w:szCs w:val="18"/>
          <w:lang w:val="en-US"/>
        </w:rPr>
        <w:tab/>
      </w:r>
      <w:r w:rsidR="00A10761" w:rsidRPr="00A10761">
        <w:rPr>
          <w:rFonts w:ascii="Arial" w:hAnsi="Arial" w:cs="Arial"/>
          <w:sz w:val="18"/>
          <w:szCs w:val="18"/>
          <w:lang w:val="en-US"/>
        </w:rPr>
        <w:t>have been kept in buildings and enclosures in which no</w:t>
      </w:r>
      <w:r w:rsidR="00447C81">
        <w:rPr>
          <w:rFonts w:ascii="Arial" w:hAnsi="Arial" w:cs="Arial"/>
          <w:sz w:val="18"/>
          <w:szCs w:val="18"/>
          <w:lang w:val="en-US"/>
        </w:rPr>
        <w:t xml:space="preserve"> </w:t>
      </w:r>
      <w:r w:rsidR="00447C81" w:rsidRPr="00447C81">
        <w:rPr>
          <w:rFonts w:ascii="Arial" w:hAnsi="Arial" w:cs="Arial"/>
          <w:i/>
          <w:iCs/>
          <w:sz w:val="18"/>
          <w:szCs w:val="18"/>
          <w:lang w:val="en-US"/>
        </w:rPr>
        <w:t>case</w:t>
      </w:r>
      <w:r w:rsidR="00A10761" w:rsidRPr="00A10761">
        <w:rPr>
          <w:rFonts w:ascii="Arial" w:hAnsi="Arial" w:cs="Arial"/>
          <w:sz w:val="18"/>
          <w:szCs w:val="18"/>
          <w:lang w:val="en-US"/>
        </w:rPr>
        <w:t> of tuberculosis has occurred during the last two years prior to shipment;</w:t>
      </w:r>
    </w:p>
    <w:p w14:paraId="231CE114" w14:textId="1F697653" w:rsidR="00A10761" w:rsidRPr="00A10761"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d)</w:t>
      </w:r>
      <w:r>
        <w:rPr>
          <w:rFonts w:ascii="Arial" w:hAnsi="Arial" w:cs="Arial"/>
          <w:sz w:val="18"/>
          <w:szCs w:val="18"/>
          <w:lang w:val="en-US"/>
        </w:rPr>
        <w:tab/>
      </w:r>
      <w:r w:rsidR="00A10761" w:rsidRPr="00A10761">
        <w:rPr>
          <w:rFonts w:ascii="Arial" w:hAnsi="Arial" w:cs="Arial"/>
          <w:sz w:val="18"/>
          <w:szCs w:val="18"/>
          <w:lang w:val="en-US"/>
        </w:rPr>
        <w:t>come from premises in which no</w:t>
      </w:r>
      <w:r w:rsidR="00447C81">
        <w:rPr>
          <w:rFonts w:ascii="Arial" w:hAnsi="Arial" w:cs="Arial"/>
          <w:sz w:val="18"/>
          <w:szCs w:val="18"/>
          <w:lang w:val="en-US"/>
        </w:rPr>
        <w:t xml:space="preserve"> </w:t>
      </w:r>
      <w:r w:rsidR="00447C81" w:rsidRPr="00447C81">
        <w:rPr>
          <w:rFonts w:ascii="Arial" w:hAnsi="Arial" w:cs="Arial"/>
          <w:i/>
          <w:iCs/>
          <w:sz w:val="18"/>
          <w:szCs w:val="18"/>
          <w:lang w:val="en-US"/>
        </w:rPr>
        <w:t>case</w:t>
      </w:r>
      <w:r w:rsidR="00A10761" w:rsidRPr="00A10761">
        <w:rPr>
          <w:rFonts w:ascii="Arial" w:hAnsi="Arial" w:cs="Arial"/>
          <w:sz w:val="18"/>
          <w:szCs w:val="18"/>
          <w:lang w:val="en-US"/>
        </w:rPr>
        <w:t> of tuberculosis or other major zoonoses including rabies has occurred during the last two years prior to shipment in the building where the animals were kept;</w:t>
      </w:r>
    </w:p>
    <w:p w14:paraId="25F36E8B" w14:textId="243D3B66" w:rsidR="00A10761" w:rsidRPr="00A10761"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e)</w:t>
      </w:r>
      <w:r>
        <w:rPr>
          <w:rFonts w:ascii="Arial" w:hAnsi="Arial" w:cs="Arial"/>
          <w:sz w:val="18"/>
          <w:szCs w:val="18"/>
          <w:lang w:val="en-US"/>
        </w:rPr>
        <w:tab/>
      </w:r>
      <w:r w:rsidR="00A10761" w:rsidRPr="00A10761">
        <w:rPr>
          <w:rFonts w:ascii="Arial" w:hAnsi="Arial" w:cs="Arial"/>
          <w:sz w:val="18"/>
          <w:szCs w:val="18"/>
          <w:lang w:val="en-US"/>
        </w:rPr>
        <w:t>were subjected to a tuberculosis test on two occasions with negative results, at an interval of at least two weeks between each test during the 30 days prior to shipment;</w:t>
      </w:r>
    </w:p>
    <w:p w14:paraId="06E49FC5" w14:textId="107DFAAE" w:rsidR="00A10761" w:rsidRPr="00A10761"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f)</w:t>
      </w:r>
      <w:r>
        <w:rPr>
          <w:rFonts w:ascii="Arial" w:hAnsi="Arial" w:cs="Arial"/>
          <w:sz w:val="18"/>
          <w:szCs w:val="18"/>
          <w:lang w:val="en-US"/>
        </w:rPr>
        <w:tab/>
      </w:r>
      <w:r w:rsidR="00A10761" w:rsidRPr="00A10761">
        <w:rPr>
          <w:rFonts w:ascii="Arial" w:hAnsi="Arial" w:cs="Arial"/>
          <w:sz w:val="18"/>
          <w:szCs w:val="18"/>
          <w:lang w:val="en-US"/>
        </w:rPr>
        <w:t>were subjected to a diagnostic test for pathogenic enteric bacteria including</w:t>
      </w:r>
      <w:r w:rsidR="00803784">
        <w:rPr>
          <w:rFonts w:ascii="Arial" w:hAnsi="Arial" w:cs="Arial"/>
          <w:sz w:val="18"/>
          <w:szCs w:val="18"/>
          <w:lang w:val="en-US"/>
        </w:rPr>
        <w:t xml:space="preserve"> </w:t>
      </w:r>
      <w:r w:rsidR="00A10761" w:rsidRPr="00A10761">
        <w:rPr>
          <w:rFonts w:ascii="Arial" w:hAnsi="Arial" w:cs="Arial"/>
          <w:i/>
          <w:iCs/>
          <w:sz w:val="18"/>
          <w:szCs w:val="18"/>
          <w:lang w:val="en-US"/>
        </w:rPr>
        <w:t>Salmonella</w:t>
      </w:r>
      <w:r w:rsidR="00A10761" w:rsidRPr="00A10761">
        <w:rPr>
          <w:rFonts w:ascii="Arial" w:hAnsi="Arial" w:cs="Arial"/>
          <w:sz w:val="18"/>
          <w:szCs w:val="18"/>
          <w:lang w:val="en-US"/>
        </w:rPr>
        <w:t>,</w:t>
      </w:r>
      <w:r w:rsidR="00803784">
        <w:rPr>
          <w:rFonts w:ascii="Arial" w:hAnsi="Arial" w:cs="Arial"/>
          <w:sz w:val="18"/>
          <w:szCs w:val="18"/>
          <w:lang w:val="en-US"/>
        </w:rPr>
        <w:t xml:space="preserve"> </w:t>
      </w:r>
      <w:r w:rsidR="00A10761" w:rsidRPr="00A10761">
        <w:rPr>
          <w:rFonts w:ascii="Arial" w:hAnsi="Arial" w:cs="Arial"/>
          <w:i/>
          <w:iCs/>
          <w:sz w:val="18"/>
          <w:szCs w:val="18"/>
          <w:lang w:val="en-US"/>
        </w:rPr>
        <w:t>Shigella</w:t>
      </w:r>
      <w:r w:rsidR="00803784">
        <w:rPr>
          <w:rFonts w:ascii="Arial" w:hAnsi="Arial" w:cs="Arial"/>
          <w:i/>
          <w:iCs/>
          <w:sz w:val="18"/>
          <w:szCs w:val="18"/>
          <w:lang w:val="en-US"/>
        </w:rPr>
        <w:t xml:space="preserve"> </w:t>
      </w:r>
      <w:r w:rsidR="00A10761" w:rsidRPr="00A10761">
        <w:rPr>
          <w:rFonts w:ascii="Arial" w:hAnsi="Arial" w:cs="Arial"/>
          <w:sz w:val="18"/>
          <w:szCs w:val="18"/>
          <w:lang w:val="en-US"/>
        </w:rPr>
        <w:t>and</w:t>
      </w:r>
      <w:r w:rsidR="00803784">
        <w:rPr>
          <w:rFonts w:ascii="Arial" w:hAnsi="Arial" w:cs="Arial"/>
          <w:sz w:val="18"/>
          <w:szCs w:val="18"/>
          <w:lang w:val="en-US"/>
        </w:rPr>
        <w:t xml:space="preserve"> </w:t>
      </w:r>
      <w:r w:rsidR="00A10761" w:rsidRPr="00A10761">
        <w:rPr>
          <w:rFonts w:ascii="Arial" w:hAnsi="Arial" w:cs="Arial"/>
          <w:i/>
          <w:iCs/>
          <w:sz w:val="18"/>
          <w:szCs w:val="18"/>
          <w:lang w:val="en-US"/>
        </w:rPr>
        <w:t>Yersinia</w:t>
      </w:r>
      <w:r w:rsidR="00A10761" w:rsidRPr="00A10761">
        <w:rPr>
          <w:rFonts w:ascii="Arial" w:hAnsi="Arial" w:cs="Arial"/>
          <w:sz w:val="18"/>
          <w:szCs w:val="18"/>
          <w:lang w:val="en-US"/>
        </w:rPr>
        <w:t>;</w:t>
      </w:r>
    </w:p>
    <w:p w14:paraId="0BD1F0CE" w14:textId="5763173D" w:rsidR="001F1E39"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g)</w:t>
      </w:r>
      <w:r>
        <w:rPr>
          <w:rFonts w:ascii="Arial" w:hAnsi="Arial" w:cs="Arial"/>
          <w:sz w:val="18"/>
          <w:szCs w:val="18"/>
          <w:lang w:val="en-US"/>
        </w:rPr>
        <w:tab/>
      </w:r>
      <w:r w:rsidR="00A10761" w:rsidRPr="00A10761">
        <w:rPr>
          <w:rFonts w:ascii="Arial" w:hAnsi="Arial" w:cs="Arial"/>
          <w:sz w:val="18"/>
          <w:szCs w:val="18"/>
          <w:lang w:val="en-US"/>
        </w:rPr>
        <w:t>were subjected to diagnostic tests for, and appropriate treatment against, endo- and ectoparasites;</w:t>
      </w:r>
      <w:r w:rsidR="001F1E39">
        <w:rPr>
          <w:rFonts w:ascii="Arial" w:hAnsi="Arial" w:cs="Arial"/>
          <w:sz w:val="18"/>
          <w:szCs w:val="18"/>
          <w:lang w:val="en-US"/>
        </w:rPr>
        <w:br w:type="page"/>
      </w:r>
    </w:p>
    <w:p w14:paraId="100FD712" w14:textId="0F2F365C" w:rsidR="00A10761" w:rsidRPr="005B6D70" w:rsidRDefault="00F2196E" w:rsidP="00F2196E">
      <w:pPr>
        <w:spacing w:after="240" w:line="240" w:lineRule="auto"/>
        <w:ind w:left="851" w:hanging="425"/>
        <w:jc w:val="both"/>
        <w:rPr>
          <w:rFonts w:ascii="Arial" w:hAnsi="Arial" w:cs="Arial"/>
          <w:strike/>
          <w:sz w:val="18"/>
          <w:szCs w:val="18"/>
          <w:lang w:val="en-US"/>
        </w:rPr>
      </w:pPr>
      <w:r w:rsidRPr="005B6D70">
        <w:rPr>
          <w:rFonts w:ascii="Arial" w:hAnsi="Arial" w:cs="Arial"/>
          <w:strike/>
          <w:sz w:val="18"/>
          <w:szCs w:val="18"/>
          <w:lang w:val="en-US"/>
        </w:rPr>
        <w:lastRenderedPageBreak/>
        <w:t>h)</w:t>
      </w:r>
      <w:r w:rsidRPr="00803784">
        <w:rPr>
          <w:rFonts w:ascii="Arial" w:hAnsi="Arial" w:cs="Arial"/>
          <w:sz w:val="18"/>
          <w:szCs w:val="18"/>
          <w:lang w:val="en-US"/>
        </w:rPr>
        <w:tab/>
      </w:r>
      <w:r w:rsidR="00A10761" w:rsidRPr="005B6D70">
        <w:rPr>
          <w:rFonts w:ascii="Arial" w:hAnsi="Arial" w:cs="Arial"/>
          <w:strike/>
          <w:sz w:val="18"/>
          <w:szCs w:val="18"/>
          <w:lang w:val="en-US"/>
        </w:rPr>
        <w:t>were subjected to a diagnostic test for hepatitis B virus and their current status documented (gibbons and great apes only);</w:t>
      </w:r>
    </w:p>
    <w:p w14:paraId="4ABA84E9" w14:textId="3353677A" w:rsidR="00A10761" w:rsidRPr="00A10761" w:rsidRDefault="00F2196E" w:rsidP="00F2196E">
      <w:pPr>
        <w:spacing w:after="240" w:line="240" w:lineRule="auto"/>
        <w:ind w:left="426" w:hanging="426"/>
        <w:jc w:val="both"/>
        <w:rPr>
          <w:rFonts w:ascii="Arial" w:hAnsi="Arial" w:cs="Arial"/>
          <w:sz w:val="18"/>
          <w:szCs w:val="18"/>
          <w:lang w:val="en-US"/>
        </w:rPr>
      </w:pPr>
      <w:r>
        <w:rPr>
          <w:rFonts w:ascii="Arial" w:hAnsi="Arial" w:cs="Arial"/>
          <w:sz w:val="18"/>
          <w:szCs w:val="18"/>
          <w:lang w:val="en-US"/>
        </w:rPr>
        <w:t>2)</w:t>
      </w:r>
      <w:r>
        <w:rPr>
          <w:rFonts w:ascii="Arial" w:hAnsi="Arial" w:cs="Arial"/>
          <w:sz w:val="18"/>
          <w:szCs w:val="18"/>
          <w:lang w:val="en-US"/>
        </w:rPr>
        <w:tab/>
      </w:r>
      <w:r w:rsidR="00A10761" w:rsidRPr="00A10761">
        <w:rPr>
          <w:rFonts w:ascii="Arial" w:hAnsi="Arial" w:cs="Arial"/>
          <w:sz w:val="18"/>
          <w:szCs w:val="18"/>
          <w:lang w:val="en-US"/>
        </w:rPr>
        <w:t>the placement of the animals in a </w:t>
      </w:r>
      <w:r w:rsidR="00A10761" w:rsidRPr="00A10761">
        <w:rPr>
          <w:rFonts w:ascii="Arial" w:hAnsi="Arial" w:cs="Arial"/>
          <w:i/>
          <w:iCs/>
          <w:sz w:val="18"/>
          <w:szCs w:val="18"/>
          <w:lang w:val="en-US"/>
        </w:rPr>
        <w:t>quarantine station</w:t>
      </w:r>
      <w:r w:rsidR="00A10761" w:rsidRPr="00A10761">
        <w:rPr>
          <w:rFonts w:ascii="Arial" w:hAnsi="Arial" w:cs="Arial"/>
          <w:sz w:val="18"/>
          <w:szCs w:val="18"/>
          <w:lang w:val="en-US"/>
        </w:rPr>
        <w:t> for at least 30 days, and during this period:</w:t>
      </w:r>
    </w:p>
    <w:p w14:paraId="7089C166" w14:textId="5684D569" w:rsidR="00A10761" w:rsidRPr="00A10761"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a)</w:t>
      </w:r>
      <w:r>
        <w:rPr>
          <w:rFonts w:ascii="Arial" w:hAnsi="Arial" w:cs="Arial"/>
          <w:sz w:val="18"/>
          <w:szCs w:val="18"/>
          <w:lang w:val="en-US"/>
        </w:rPr>
        <w:tab/>
      </w:r>
      <w:r w:rsidR="00A10761" w:rsidRPr="00A10761">
        <w:rPr>
          <w:rFonts w:ascii="Arial" w:hAnsi="Arial" w:cs="Arial"/>
          <w:sz w:val="18"/>
          <w:szCs w:val="18"/>
          <w:lang w:val="en-US"/>
        </w:rPr>
        <w:t>all animals to be monitored daily for signs of illness and, if necessary, subjected to a clinical examination;</w:t>
      </w:r>
    </w:p>
    <w:p w14:paraId="6FCD4F54" w14:textId="389DCF3B" w:rsidR="00A10761" w:rsidRPr="00A10761"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b)</w:t>
      </w:r>
      <w:r>
        <w:rPr>
          <w:rFonts w:ascii="Arial" w:hAnsi="Arial" w:cs="Arial"/>
          <w:sz w:val="18"/>
          <w:szCs w:val="18"/>
          <w:lang w:val="en-US"/>
        </w:rPr>
        <w:tab/>
      </w:r>
      <w:r w:rsidR="00A10761" w:rsidRPr="00A10761">
        <w:rPr>
          <w:rFonts w:ascii="Arial" w:hAnsi="Arial" w:cs="Arial"/>
          <w:sz w:val="18"/>
          <w:szCs w:val="18"/>
          <w:lang w:val="en-US"/>
        </w:rPr>
        <w:t>all animals dying for any reason to be subjected to complete post-mortem examination at a laboratory approved for this purpose;</w:t>
      </w:r>
    </w:p>
    <w:p w14:paraId="32692B4C" w14:textId="44EF9549" w:rsidR="00A10761" w:rsidRPr="00A10761"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c)</w:t>
      </w:r>
      <w:r>
        <w:rPr>
          <w:rFonts w:ascii="Arial" w:hAnsi="Arial" w:cs="Arial"/>
          <w:sz w:val="18"/>
          <w:szCs w:val="18"/>
          <w:lang w:val="en-US"/>
        </w:rPr>
        <w:tab/>
      </w:r>
      <w:r w:rsidR="00A10761" w:rsidRPr="00A10761">
        <w:rPr>
          <w:rFonts w:ascii="Arial" w:hAnsi="Arial" w:cs="Arial"/>
          <w:sz w:val="18"/>
          <w:szCs w:val="18"/>
          <w:lang w:val="en-US"/>
        </w:rPr>
        <w:t>any cause of illness or death to be determined before the group to which the animals belong is released from quarantine;</w:t>
      </w:r>
    </w:p>
    <w:p w14:paraId="07AEDE1A" w14:textId="3846E1AF" w:rsidR="00A10761" w:rsidRPr="00A10761" w:rsidRDefault="00F2196E" w:rsidP="00F2196E">
      <w:pPr>
        <w:spacing w:after="240" w:line="240" w:lineRule="auto"/>
        <w:ind w:left="851" w:hanging="425"/>
        <w:jc w:val="both"/>
        <w:rPr>
          <w:rFonts w:ascii="Arial" w:hAnsi="Arial" w:cs="Arial"/>
          <w:sz w:val="18"/>
          <w:szCs w:val="18"/>
          <w:lang w:val="en-US"/>
        </w:rPr>
      </w:pPr>
      <w:r>
        <w:rPr>
          <w:rFonts w:ascii="Arial" w:hAnsi="Arial" w:cs="Arial"/>
          <w:sz w:val="18"/>
          <w:szCs w:val="18"/>
          <w:lang w:val="en-US"/>
        </w:rPr>
        <w:t>d)</w:t>
      </w:r>
      <w:r>
        <w:rPr>
          <w:rFonts w:ascii="Arial" w:hAnsi="Arial" w:cs="Arial"/>
          <w:sz w:val="18"/>
          <w:szCs w:val="18"/>
          <w:lang w:val="en-US"/>
        </w:rPr>
        <w:tab/>
      </w:r>
      <w:r w:rsidR="00A10761" w:rsidRPr="00A10761">
        <w:rPr>
          <w:rFonts w:ascii="Arial" w:hAnsi="Arial" w:cs="Arial"/>
          <w:sz w:val="18"/>
          <w:szCs w:val="18"/>
          <w:lang w:val="en-US"/>
        </w:rPr>
        <w:t>animals to be subjected to the following diagnostic tests and treatments in accordance with Chapter 4.16.:</w:t>
      </w:r>
    </w:p>
    <w:tbl>
      <w:tblPr>
        <w:tblpPr w:leftFromText="45" w:rightFromText="45" w:vertAnchor="text" w:tblpXSpec="right" w:tblpYSpec="center"/>
        <w:tblW w:w="0" w:type="auto"/>
        <w:tblBorders>
          <w:top w:val="outset" w:sz="6" w:space="0" w:color="918C85"/>
          <w:left w:val="outset" w:sz="6" w:space="0" w:color="918C85"/>
          <w:bottom w:val="outset" w:sz="6" w:space="0" w:color="918C85"/>
          <w:right w:val="outset" w:sz="6" w:space="0" w:color="918C85"/>
        </w:tblBorders>
        <w:tblCellMar>
          <w:top w:w="15" w:type="dxa"/>
          <w:left w:w="15" w:type="dxa"/>
          <w:bottom w:w="15" w:type="dxa"/>
          <w:right w:w="15" w:type="dxa"/>
        </w:tblCellMar>
        <w:tblLook w:val="04A0" w:firstRow="1" w:lastRow="0" w:firstColumn="1" w:lastColumn="0" w:noHBand="0" w:noVBand="1"/>
      </w:tblPr>
      <w:tblGrid>
        <w:gridCol w:w="3945"/>
        <w:gridCol w:w="693"/>
        <w:gridCol w:w="1818"/>
        <w:gridCol w:w="2600"/>
      </w:tblGrid>
      <w:tr w:rsidR="00A10761" w:rsidRPr="00A10761" w14:paraId="3E8E62BF" w14:textId="77777777" w:rsidTr="00A10761">
        <w:trPr>
          <w:tblHeader/>
        </w:trPr>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29BAA3C3" w14:textId="77777777" w:rsidR="00A10761" w:rsidRPr="00803784" w:rsidRDefault="00A10761" w:rsidP="00F2196E">
            <w:pPr>
              <w:spacing w:after="240" w:line="240" w:lineRule="auto"/>
              <w:rPr>
                <w:rFonts w:ascii="Arial" w:hAnsi="Arial" w:cs="Arial"/>
                <w:sz w:val="16"/>
                <w:szCs w:val="16"/>
              </w:rPr>
            </w:pPr>
            <w:bookmarkStart w:id="5" w:name="table_1.6.11.3."/>
            <w:bookmarkEnd w:id="5"/>
            <w:proofErr w:type="spellStart"/>
            <w:r w:rsidRPr="00803784">
              <w:rPr>
                <w:rFonts w:ascii="Arial" w:hAnsi="Arial" w:cs="Arial"/>
                <w:b/>
                <w:bCs/>
                <w:sz w:val="16"/>
                <w:szCs w:val="16"/>
              </w:rPr>
              <w:t>Disease</w:t>
            </w:r>
            <w:proofErr w:type="spellEnd"/>
            <w:r w:rsidRPr="00803784">
              <w:rPr>
                <w:rFonts w:ascii="Arial" w:hAnsi="Arial" w:cs="Arial"/>
                <w:b/>
                <w:bCs/>
                <w:sz w:val="16"/>
                <w:szCs w:val="16"/>
              </w:rPr>
              <w:t>/agent</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7829464E"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b/>
                <w:bCs/>
                <w:sz w:val="16"/>
                <w:szCs w:val="16"/>
              </w:rPr>
              <w:t>Animal groups</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627B0FB3"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b/>
                <w:bCs/>
                <w:sz w:val="16"/>
                <w:szCs w:val="16"/>
              </w:rPr>
              <w:t>Schedule</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26163F7D"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b/>
                <w:bCs/>
                <w:sz w:val="16"/>
                <w:szCs w:val="16"/>
              </w:rPr>
              <w:t>Methods</w:t>
            </w:r>
          </w:p>
        </w:tc>
      </w:tr>
      <w:tr w:rsidR="00A10761" w:rsidRPr="00A10761" w14:paraId="14FAF9C3" w14:textId="77777777" w:rsidTr="00A10761">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776F0609" w14:textId="77777777" w:rsidR="00A10761" w:rsidRPr="00803784" w:rsidRDefault="00A10761" w:rsidP="00F2196E">
            <w:pPr>
              <w:spacing w:after="240" w:line="240" w:lineRule="auto"/>
              <w:rPr>
                <w:rFonts w:ascii="Arial" w:hAnsi="Arial" w:cs="Arial"/>
                <w:sz w:val="16"/>
                <w:szCs w:val="16"/>
              </w:rPr>
            </w:pPr>
            <w:proofErr w:type="spellStart"/>
            <w:r w:rsidRPr="00803784">
              <w:rPr>
                <w:rFonts w:ascii="Arial" w:hAnsi="Arial" w:cs="Arial"/>
                <w:b/>
                <w:bCs/>
                <w:sz w:val="16"/>
                <w:szCs w:val="16"/>
              </w:rPr>
              <w:t>Tuberculosis</w:t>
            </w:r>
            <w:proofErr w:type="spellEnd"/>
            <w:r w:rsidRPr="00803784">
              <w:rPr>
                <w:rFonts w:ascii="Arial" w:hAnsi="Arial" w:cs="Arial"/>
                <w:sz w:val="16"/>
                <w:szCs w:val="16"/>
              </w:rPr>
              <w:br/>
            </w:r>
            <w:r w:rsidRPr="00803784">
              <w:rPr>
                <w:rFonts w:ascii="Arial" w:hAnsi="Arial" w:cs="Arial"/>
                <w:i/>
                <w:iCs/>
                <w:sz w:val="16"/>
                <w:szCs w:val="16"/>
              </w:rPr>
              <w:t xml:space="preserve">(Mycobacterium </w:t>
            </w:r>
            <w:proofErr w:type="spellStart"/>
            <w:r w:rsidRPr="00803784">
              <w:rPr>
                <w:rFonts w:ascii="Arial" w:hAnsi="Arial" w:cs="Arial"/>
                <w:i/>
                <w:iCs/>
                <w:sz w:val="16"/>
                <w:szCs w:val="16"/>
              </w:rPr>
              <w:t>tuberculosis</w:t>
            </w:r>
            <w:proofErr w:type="spellEnd"/>
            <w:r w:rsidRPr="00803784">
              <w:rPr>
                <w:rFonts w:ascii="Arial" w:hAnsi="Arial" w:cs="Arial"/>
                <w:sz w:val="16"/>
                <w:szCs w:val="16"/>
              </w:rPr>
              <w:t> </w:t>
            </w:r>
            <w:proofErr w:type="spellStart"/>
            <w:r w:rsidRPr="00803784">
              <w:rPr>
                <w:rFonts w:ascii="Arial" w:hAnsi="Arial" w:cs="Arial"/>
                <w:sz w:val="16"/>
                <w:szCs w:val="16"/>
              </w:rPr>
              <w:t>complex</w:t>
            </w:r>
            <w:proofErr w:type="spellEnd"/>
            <w:r w:rsidRPr="00803784">
              <w:rPr>
                <w:rFonts w:ascii="Arial" w:hAnsi="Arial" w:cs="Arial"/>
                <w:sz w:val="16"/>
                <w:szCs w:val="16"/>
              </w:rPr>
              <w:t>)</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79478080"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sz w:val="16"/>
                <w:szCs w:val="16"/>
              </w:rPr>
              <w:t xml:space="preserve">All </w:t>
            </w:r>
            <w:proofErr w:type="spellStart"/>
            <w:r w:rsidRPr="00803784">
              <w:rPr>
                <w:rFonts w:ascii="Arial" w:hAnsi="Arial" w:cs="Arial"/>
                <w:sz w:val="16"/>
                <w:szCs w:val="16"/>
              </w:rPr>
              <w:t>species</w:t>
            </w:r>
            <w:proofErr w:type="spellEnd"/>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4719AACE"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sz w:val="16"/>
                <w:szCs w:val="16"/>
              </w:rPr>
              <w:t>One test.</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3EBA87DD" w14:textId="28B33ADF" w:rsidR="00A10761" w:rsidRPr="00803784" w:rsidRDefault="00A10761" w:rsidP="00F2196E">
            <w:pPr>
              <w:spacing w:after="240" w:line="240" w:lineRule="auto"/>
              <w:rPr>
                <w:rFonts w:ascii="Arial" w:hAnsi="Arial" w:cs="Arial"/>
                <w:sz w:val="16"/>
                <w:szCs w:val="16"/>
              </w:rPr>
            </w:pPr>
            <w:r w:rsidRPr="00803784">
              <w:rPr>
                <w:rFonts w:ascii="Arial" w:hAnsi="Arial" w:cs="Arial"/>
                <w:sz w:val="16"/>
                <w:szCs w:val="16"/>
                <w:lang w:val="en-US"/>
              </w:rPr>
              <w:t xml:space="preserve">Skin test or serology. In-vitro gamma interferon assay or polymerase chain reaction (PCR) assay. </w:t>
            </w:r>
            <w:r w:rsidRPr="00803784">
              <w:rPr>
                <w:rFonts w:ascii="Arial" w:hAnsi="Arial" w:cs="Arial"/>
                <w:sz w:val="16"/>
                <w:szCs w:val="16"/>
              </w:rPr>
              <w:t>(</w:t>
            </w:r>
            <w:proofErr w:type="spellStart"/>
            <w:r w:rsidRPr="00803784">
              <w:rPr>
                <w:rFonts w:ascii="Arial" w:hAnsi="Arial" w:cs="Arial"/>
                <w:sz w:val="16"/>
                <w:szCs w:val="16"/>
              </w:rPr>
              <w:t>See</w:t>
            </w:r>
            <w:proofErr w:type="spellEnd"/>
            <w:r w:rsidRPr="00803784">
              <w:rPr>
                <w:rFonts w:ascii="Arial" w:hAnsi="Arial" w:cs="Arial"/>
                <w:sz w:val="16"/>
                <w:szCs w:val="16"/>
              </w:rPr>
              <w:t xml:space="preserve"> </w:t>
            </w:r>
            <w:proofErr w:type="spellStart"/>
            <w:r w:rsidRPr="00803784">
              <w:rPr>
                <w:rFonts w:ascii="Arial" w:hAnsi="Arial" w:cs="Arial"/>
                <w:sz w:val="16"/>
                <w:szCs w:val="16"/>
              </w:rPr>
              <w:t>further</w:t>
            </w:r>
            <w:proofErr w:type="spellEnd"/>
            <w:r w:rsidRPr="00803784">
              <w:rPr>
                <w:rFonts w:ascii="Arial" w:hAnsi="Arial" w:cs="Arial"/>
                <w:sz w:val="16"/>
                <w:szCs w:val="16"/>
              </w:rPr>
              <w:t xml:space="preserve"> </w:t>
            </w:r>
            <w:proofErr w:type="spellStart"/>
            <w:r w:rsidRPr="00803784">
              <w:rPr>
                <w:rFonts w:ascii="Arial" w:hAnsi="Arial" w:cs="Arial"/>
                <w:sz w:val="16"/>
                <w:szCs w:val="16"/>
              </w:rPr>
              <w:t>comments</w:t>
            </w:r>
            <w:proofErr w:type="spellEnd"/>
            <w:r w:rsidRPr="00803784">
              <w:rPr>
                <w:rFonts w:ascii="Arial" w:hAnsi="Arial" w:cs="Arial"/>
                <w:sz w:val="16"/>
                <w:szCs w:val="16"/>
              </w:rPr>
              <w:t xml:space="preserve"> in the Table of Article 6.12.4.)</w:t>
            </w:r>
          </w:p>
        </w:tc>
      </w:tr>
      <w:tr w:rsidR="00A10761" w:rsidRPr="000B4E47" w14:paraId="05DAAE54" w14:textId="77777777" w:rsidTr="00A10761">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7B4C6476"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b/>
                <w:bCs/>
                <w:sz w:val="16"/>
                <w:szCs w:val="16"/>
                <w:lang w:val="en-US"/>
              </w:rPr>
              <w:t>Other bacterial pathogenic agents</w:t>
            </w:r>
            <w:r w:rsidRPr="00803784">
              <w:rPr>
                <w:rFonts w:ascii="Arial" w:hAnsi="Arial" w:cs="Arial"/>
                <w:sz w:val="16"/>
                <w:szCs w:val="16"/>
                <w:lang w:val="en-US"/>
              </w:rPr>
              <w:t> (</w:t>
            </w:r>
            <w:r w:rsidRPr="00803784">
              <w:rPr>
                <w:rFonts w:ascii="Arial" w:hAnsi="Arial" w:cs="Arial"/>
                <w:i/>
                <w:iCs/>
                <w:sz w:val="16"/>
                <w:szCs w:val="16"/>
                <w:lang w:val="en-US"/>
              </w:rPr>
              <w:t>Salmonella</w:t>
            </w:r>
            <w:r w:rsidRPr="00803784">
              <w:rPr>
                <w:rFonts w:ascii="Arial" w:hAnsi="Arial" w:cs="Arial"/>
                <w:sz w:val="16"/>
                <w:szCs w:val="16"/>
                <w:lang w:val="en-US"/>
              </w:rPr>
              <w:t>, </w:t>
            </w:r>
            <w:r w:rsidRPr="00803784">
              <w:rPr>
                <w:rFonts w:ascii="Arial" w:hAnsi="Arial" w:cs="Arial"/>
                <w:i/>
                <w:iCs/>
                <w:sz w:val="16"/>
                <w:szCs w:val="16"/>
                <w:lang w:val="en-US"/>
              </w:rPr>
              <w:t>Shigella</w:t>
            </w:r>
            <w:r w:rsidRPr="00803784">
              <w:rPr>
                <w:rFonts w:ascii="Arial" w:hAnsi="Arial" w:cs="Arial"/>
                <w:sz w:val="16"/>
                <w:szCs w:val="16"/>
                <w:lang w:val="en-US"/>
              </w:rPr>
              <w:t> and </w:t>
            </w:r>
            <w:r w:rsidRPr="00803784">
              <w:rPr>
                <w:rFonts w:ascii="Arial" w:hAnsi="Arial" w:cs="Arial"/>
                <w:i/>
                <w:iCs/>
                <w:sz w:val="16"/>
                <w:szCs w:val="16"/>
                <w:lang w:val="en-US"/>
              </w:rPr>
              <w:t>Yersinia</w:t>
            </w:r>
            <w:r w:rsidRPr="00803784">
              <w:rPr>
                <w:rFonts w:ascii="Arial" w:hAnsi="Arial" w:cs="Arial"/>
                <w:sz w:val="16"/>
                <w:szCs w:val="16"/>
                <w:lang w:val="en-US"/>
              </w:rPr>
              <w:t> and others as appropriate)</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3CB6ECAB"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sz w:val="16"/>
                <w:szCs w:val="16"/>
              </w:rPr>
              <w:t xml:space="preserve">All </w:t>
            </w:r>
            <w:proofErr w:type="spellStart"/>
            <w:r w:rsidRPr="00803784">
              <w:rPr>
                <w:rFonts w:ascii="Arial" w:hAnsi="Arial" w:cs="Arial"/>
                <w:sz w:val="16"/>
                <w:szCs w:val="16"/>
              </w:rPr>
              <w:t>species</w:t>
            </w:r>
            <w:proofErr w:type="spellEnd"/>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50A221E1"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sz w:val="16"/>
                <w:szCs w:val="16"/>
                <w:lang w:val="en-US"/>
              </w:rPr>
              <w:t>Daily test for 3 days after arrival, and another test at least one week later.</w:t>
            </w:r>
          </w:p>
        </w:tc>
        <w:tc>
          <w:tcPr>
            <w:tcW w:w="0" w:type="auto"/>
            <w:tcBorders>
              <w:top w:val="outset" w:sz="6" w:space="0" w:color="918C85"/>
              <w:left w:val="outset" w:sz="6" w:space="0" w:color="918C85"/>
              <w:bottom w:val="outset" w:sz="6" w:space="0" w:color="918C85"/>
              <w:right w:val="outset" w:sz="6" w:space="0" w:color="918C85"/>
            </w:tcBorders>
            <w:tcMar>
              <w:top w:w="30" w:type="dxa"/>
              <w:left w:w="30" w:type="dxa"/>
              <w:bottom w:w="30" w:type="dxa"/>
              <w:right w:w="30" w:type="dxa"/>
            </w:tcMar>
            <w:hideMark/>
          </w:tcPr>
          <w:p w14:paraId="76FA92B2" w14:textId="6154AC45" w:rsidR="00A10761" w:rsidRPr="00803784" w:rsidRDefault="00A10761" w:rsidP="00F2196E">
            <w:pPr>
              <w:spacing w:after="240" w:line="240" w:lineRule="auto"/>
              <w:rPr>
                <w:rFonts w:ascii="Arial" w:hAnsi="Arial" w:cs="Arial"/>
                <w:sz w:val="16"/>
                <w:szCs w:val="16"/>
                <w:lang w:val="en-US"/>
              </w:rPr>
            </w:pPr>
            <w:proofErr w:type="spellStart"/>
            <w:r w:rsidRPr="00803784">
              <w:rPr>
                <w:rFonts w:ascii="Arial" w:hAnsi="Arial" w:cs="Arial"/>
                <w:sz w:val="16"/>
                <w:szCs w:val="16"/>
                <w:lang w:val="en-US"/>
              </w:rPr>
              <w:t>Faecal</w:t>
            </w:r>
            <w:proofErr w:type="spellEnd"/>
            <w:r w:rsidRPr="00803784">
              <w:rPr>
                <w:rFonts w:ascii="Arial" w:hAnsi="Arial" w:cs="Arial"/>
                <w:sz w:val="16"/>
                <w:szCs w:val="16"/>
                <w:lang w:val="en-US"/>
              </w:rPr>
              <w:t xml:space="preserve"> culture. (See further comments in the Table of Article 6.12.4.)</w:t>
            </w:r>
          </w:p>
        </w:tc>
      </w:tr>
      <w:tr w:rsidR="00A10761" w:rsidRPr="000B4E47" w14:paraId="591D5490" w14:textId="77777777" w:rsidTr="00A10761">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315E8324"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b/>
                <w:bCs/>
                <w:sz w:val="16"/>
                <w:szCs w:val="16"/>
              </w:rPr>
              <w:t>Endo- and ectoparasites</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11D9BF84" w14:textId="77777777" w:rsidR="00A10761" w:rsidRPr="00803784" w:rsidRDefault="00A10761" w:rsidP="00F2196E">
            <w:pPr>
              <w:spacing w:after="240" w:line="240" w:lineRule="auto"/>
              <w:rPr>
                <w:rFonts w:ascii="Arial" w:hAnsi="Arial" w:cs="Arial"/>
                <w:sz w:val="16"/>
                <w:szCs w:val="16"/>
              </w:rPr>
            </w:pPr>
            <w:r w:rsidRPr="00803784">
              <w:rPr>
                <w:rFonts w:ascii="Arial" w:hAnsi="Arial" w:cs="Arial"/>
                <w:sz w:val="16"/>
                <w:szCs w:val="16"/>
              </w:rPr>
              <w:t xml:space="preserve">All </w:t>
            </w:r>
            <w:proofErr w:type="spellStart"/>
            <w:r w:rsidRPr="00803784">
              <w:rPr>
                <w:rFonts w:ascii="Arial" w:hAnsi="Arial" w:cs="Arial"/>
                <w:sz w:val="16"/>
                <w:szCs w:val="16"/>
              </w:rPr>
              <w:t>species</w:t>
            </w:r>
            <w:proofErr w:type="spellEnd"/>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6994F0B6"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sz w:val="16"/>
                <w:szCs w:val="16"/>
                <w:lang w:val="en-US"/>
              </w:rPr>
              <w:t>At least two tests, one of which should be at the start, the other towards the end of the quarantine.</w:t>
            </w:r>
          </w:p>
        </w:tc>
        <w:tc>
          <w:tcPr>
            <w:tcW w:w="0" w:type="auto"/>
            <w:tcBorders>
              <w:top w:val="outset" w:sz="6" w:space="0" w:color="918C85"/>
              <w:left w:val="outset" w:sz="6" w:space="0" w:color="918C85"/>
              <w:bottom w:val="single" w:sz="6" w:space="0" w:color="918C85"/>
              <w:right w:val="outset" w:sz="6" w:space="0" w:color="918C85"/>
            </w:tcBorders>
            <w:tcMar>
              <w:top w:w="30" w:type="dxa"/>
              <w:left w:w="30" w:type="dxa"/>
              <w:bottom w:w="30" w:type="dxa"/>
              <w:right w:w="30" w:type="dxa"/>
            </w:tcMar>
            <w:hideMark/>
          </w:tcPr>
          <w:p w14:paraId="11E35415" w14:textId="77777777" w:rsidR="00A10761" w:rsidRPr="00803784" w:rsidRDefault="00A10761" w:rsidP="00F2196E">
            <w:pPr>
              <w:spacing w:after="240" w:line="240" w:lineRule="auto"/>
              <w:rPr>
                <w:rFonts w:ascii="Arial" w:hAnsi="Arial" w:cs="Arial"/>
                <w:sz w:val="16"/>
                <w:szCs w:val="16"/>
                <w:lang w:val="en-US"/>
              </w:rPr>
            </w:pPr>
            <w:r w:rsidRPr="00803784">
              <w:rPr>
                <w:rFonts w:ascii="Arial" w:hAnsi="Arial" w:cs="Arial"/>
                <w:sz w:val="16"/>
                <w:szCs w:val="16"/>
                <w:lang w:val="en-US"/>
              </w:rPr>
              <w:t>Testing methods and antiparasitic treatment as appropriate to species of animal and parasitic agent.</w:t>
            </w:r>
          </w:p>
        </w:tc>
      </w:tr>
    </w:tbl>
    <w:p w14:paraId="0DC26E04" w14:textId="5E58186E" w:rsidR="00A10761" w:rsidRPr="00A10761" w:rsidRDefault="00A10761" w:rsidP="002D0D5E">
      <w:pPr>
        <w:spacing w:before="240" w:after="240" w:line="240" w:lineRule="auto"/>
        <w:jc w:val="both"/>
        <w:rPr>
          <w:rFonts w:ascii="Arial" w:hAnsi="Arial" w:cs="Arial"/>
          <w:sz w:val="18"/>
          <w:szCs w:val="18"/>
          <w:lang w:val="en-US"/>
        </w:rPr>
      </w:pPr>
      <w:r w:rsidRPr="00A10761">
        <w:rPr>
          <w:rFonts w:ascii="Arial" w:hAnsi="Arial" w:cs="Arial"/>
          <w:i/>
          <w:iCs/>
          <w:sz w:val="18"/>
          <w:szCs w:val="18"/>
          <w:lang w:val="en-US"/>
        </w:rPr>
        <w:t>Veterinary Authorities</w:t>
      </w:r>
      <w:r w:rsidRPr="00A10761">
        <w:rPr>
          <w:rFonts w:ascii="Arial" w:hAnsi="Arial" w:cs="Arial"/>
          <w:sz w:val="18"/>
          <w:szCs w:val="18"/>
          <w:lang w:val="en-US"/>
        </w:rPr>
        <w:t> of </w:t>
      </w:r>
      <w:r w:rsidRPr="00A10761">
        <w:rPr>
          <w:rFonts w:ascii="Arial" w:hAnsi="Arial" w:cs="Arial"/>
          <w:i/>
          <w:iCs/>
          <w:sz w:val="18"/>
          <w:szCs w:val="18"/>
          <w:lang w:val="en-US"/>
        </w:rPr>
        <w:t>importing countri</w:t>
      </w:r>
      <w:r w:rsidR="00F2196E">
        <w:rPr>
          <w:rFonts w:ascii="Arial" w:hAnsi="Arial" w:cs="Arial"/>
          <w:i/>
          <w:iCs/>
          <w:sz w:val="18"/>
          <w:szCs w:val="18"/>
          <w:lang w:val="en-US"/>
        </w:rPr>
        <w:t>e</w:t>
      </w:r>
      <w:r w:rsidRPr="00A10761">
        <w:rPr>
          <w:rFonts w:ascii="Arial" w:hAnsi="Arial" w:cs="Arial"/>
          <w:i/>
          <w:iCs/>
          <w:sz w:val="18"/>
          <w:szCs w:val="18"/>
          <w:lang w:val="en-US"/>
        </w:rPr>
        <w:t>s</w:t>
      </w:r>
      <w:r w:rsidRPr="00A10761">
        <w:rPr>
          <w:rFonts w:ascii="Arial" w:hAnsi="Arial" w:cs="Arial"/>
          <w:sz w:val="18"/>
          <w:szCs w:val="18"/>
          <w:lang w:val="en-US"/>
        </w:rPr>
        <w:t> may not normally require any tests for viral diseases. However, stringent precautions to ensure human health and safety should be followed as recommended in Article 6.12.7.</w:t>
      </w:r>
    </w:p>
    <w:p w14:paraId="53BB2FAA" w14:textId="77777777" w:rsidR="00A10761" w:rsidRPr="00A10761" w:rsidRDefault="00A10761" w:rsidP="00F2196E">
      <w:pPr>
        <w:spacing w:after="240" w:line="240" w:lineRule="auto"/>
        <w:jc w:val="center"/>
        <w:rPr>
          <w:rFonts w:ascii="Ottawa" w:hAnsi="Ottawa" w:cs="Arial"/>
          <w:sz w:val="18"/>
          <w:szCs w:val="18"/>
          <w:lang w:val="en-US"/>
        </w:rPr>
      </w:pPr>
      <w:bookmarkStart w:id="6" w:name="article_zoonoses_non_human_primate.7."/>
      <w:bookmarkEnd w:id="6"/>
      <w:r w:rsidRPr="00A10761">
        <w:rPr>
          <w:rFonts w:ascii="Ottawa" w:hAnsi="Ottawa" w:cs="Arial"/>
          <w:sz w:val="18"/>
          <w:szCs w:val="18"/>
          <w:lang w:val="en-US"/>
        </w:rPr>
        <w:t>Article 6.12.7.</w:t>
      </w:r>
    </w:p>
    <w:p w14:paraId="2C992463" w14:textId="77777777" w:rsidR="00A10761" w:rsidRPr="00A10761" w:rsidRDefault="00A10761" w:rsidP="00A10761">
      <w:pPr>
        <w:spacing w:after="240" w:line="240" w:lineRule="auto"/>
        <w:jc w:val="both"/>
        <w:rPr>
          <w:rFonts w:ascii="Ottawa" w:hAnsi="Ottawa" w:cs="Arial"/>
          <w:b/>
          <w:bCs/>
          <w:sz w:val="18"/>
          <w:szCs w:val="18"/>
          <w:lang w:val="en-US"/>
        </w:rPr>
      </w:pPr>
      <w:r w:rsidRPr="00A10761">
        <w:rPr>
          <w:rFonts w:ascii="Ottawa" w:hAnsi="Ottawa" w:cs="Arial"/>
          <w:b/>
          <w:bCs/>
          <w:sz w:val="18"/>
          <w:szCs w:val="18"/>
          <w:lang w:val="en-US"/>
        </w:rPr>
        <w:t xml:space="preserve">Precautionary measures to be followed by staff exposed to non-human primates or to their body fluids, </w:t>
      </w:r>
      <w:proofErr w:type="spellStart"/>
      <w:r w:rsidRPr="00A10761">
        <w:rPr>
          <w:rFonts w:ascii="Ottawa" w:hAnsi="Ottawa" w:cs="Arial"/>
          <w:b/>
          <w:bCs/>
          <w:sz w:val="18"/>
          <w:szCs w:val="18"/>
          <w:lang w:val="en-US"/>
        </w:rPr>
        <w:t>faeces</w:t>
      </w:r>
      <w:proofErr w:type="spellEnd"/>
      <w:r w:rsidRPr="00A10761">
        <w:rPr>
          <w:rFonts w:ascii="Ottawa" w:hAnsi="Ottawa" w:cs="Arial"/>
          <w:b/>
          <w:bCs/>
          <w:sz w:val="18"/>
          <w:szCs w:val="18"/>
          <w:lang w:val="en-US"/>
        </w:rPr>
        <w:t xml:space="preserve"> and tissues</w:t>
      </w:r>
    </w:p>
    <w:p w14:paraId="0A15C575" w14:textId="77777777" w:rsidR="00A10761" w:rsidRPr="00A10761" w:rsidRDefault="00A10761" w:rsidP="00A10761">
      <w:pPr>
        <w:spacing w:after="240" w:line="240" w:lineRule="auto"/>
        <w:jc w:val="both"/>
        <w:rPr>
          <w:rFonts w:ascii="Arial" w:hAnsi="Arial" w:cs="Arial"/>
          <w:sz w:val="18"/>
          <w:szCs w:val="18"/>
          <w:lang w:val="en-US"/>
        </w:rPr>
      </w:pPr>
      <w:r w:rsidRPr="00A10761">
        <w:rPr>
          <w:rFonts w:ascii="Arial" w:hAnsi="Arial" w:cs="Arial"/>
          <w:sz w:val="18"/>
          <w:szCs w:val="18"/>
          <w:lang w:val="en-US"/>
        </w:rPr>
        <w:t xml:space="preserve">The presence in most non-human primates of some zoonotic agents is almost unavoidable, even after release from quarantine. The relevant Authorities should, therefore, encourage the management of institutions whose staff are exposed to non-human primates or their body fluids, </w:t>
      </w:r>
      <w:proofErr w:type="spellStart"/>
      <w:r w:rsidRPr="00A10761">
        <w:rPr>
          <w:rFonts w:ascii="Arial" w:hAnsi="Arial" w:cs="Arial"/>
          <w:sz w:val="18"/>
          <w:szCs w:val="18"/>
          <w:lang w:val="en-US"/>
        </w:rPr>
        <w:t>faeces</w:t>
      </w:r>
      <w:proofErr w:type="spellEnd"/>
      <w:r w:rsidRPr="00A10761">
        <w:rPr>
          <w:rFonts w:ascii="Arial" w:hAnsi="Arial" w:cs="Arial"/>
          <w:sz w:val="18"/>
          <w:szCs w:val="18"/>
          <w:lang w:val="en-US"/>
        </w:rPr>
        <w:t xml:space="preserve"> or tissues (including when performing necropsies) to comply with the following recommendations:</w:t>
      </w:r>
    </w:p>
    <w:p w14:paraId="0044C4AB" w14:textId="65E81D62" w:rsidR="00A10761" w:rsidRPr="00A10761" w:rsidRDefault="00F2196E" w:rsidP="00F2196E">
      <w:pPr>
        <w:spacing w:after="240" w:line="240" w:lineRule="auto"/>
        <w:ind w:left="426" w:hanging="426"/>
        <w:jc w:val="both"/>
        <w:rPr>
          <w:rFonts w:ascii="Arial" w:hAnsi="Arial" w:cs="Arial"/>
          <w:sz w:val="18"/>
          <w:szCs w:val="18"/>
          <w:lang w:val="en-US"/>
        </w:rPr>
      </w:pPr>
      <w:r>
        <w:rPr>
          <w:rFonts w:ascii="Arial" w:hAnsi="Arial" w:cs="Arial"/>
          <w:sz w:val="18"/>
          <w:szCs w:val="18"/>
          <w:lang w:val="en-US"/>
        </w:rPr>
        <w:t>1)</w:t>
      </w:r>
      <w:r>
        <w:rPr>
          <w:rFonts w:ascii="Arial" w:hAnsi="Arial" w:cs="Arial"/>
          <w:sz w:val="18"/>
          <w:szCs w:val="18"/>
          <w:lang w:val="en-US"/>
        </w:rPr>
        <w:tab/>
      </w:r>
      <w:r w:rsidR="00A10761" w:rsidRPr="00A10761">
        <w:rPr>
          <w:rFonts w:ascii="Arial" w:hAnsi="Arial" w:cs="Arial"/>
          <w:sz w:val="18"/>
          <w:szCs w:val="18"/>
          <w:lang w:val="en-US"/>
        </w:rPr>
        <w:t xml:space="preserve">to provide staff with training in the proper handling of primates, their body fluids, </w:t>
      </w:r>
      <w:proofErr w:type="spellStart"/>
      <w:r w:rsidR="00A10761" w:rsidRPr="00A10761">
        <w:rPr>
          <w:rFonts w:ascii="Arial" w:hAnsi="Arial" w:cs="Arial"/>
          <w:sz w:val="18"/>
          <w:szCs w:val="18"/>
          <w:lang w:val="en-US"/>
        </w:rPr>
        <w:t>faeces</w:t>
      </w:r>
      <w:proofErr w:type="spellEnd"/>
      <w:r w:rsidR="00A10761" w:rsidRPr="00A10761">
        <w:rPr>
          <w:rFonts w:ascii="Arial" w:hAnsi="Arial" w:cs="Arial"/>
          <w:sz w:val="18"/>
          <w:szCs w:val="18"/>
          <w:lang w:val="en-US"/>
        </w:rPr>
        <w:t xml:space="preserve"> and tissues, with respect to zoonoses containment and personal safety;</w:t>
      </w:r>
    </w:p>
    <w:p w14:paraId="69397935" w14:textId="766D386B" w:rsidR="00A10761" w:rsidRPr="00A10761" w:rsidRDefault="00F2196E" w:rsidP="00F2196E">
      <w:pPr>
        <w:spacing w:after="240" w:line="240" w:lineRule="auto"/>
        <w:ind w:left="426" w:hanging="426"/>
        <w:jc w:val="both"/>
        <w:rPr>
          <w:rFonts w:ascii="Arial" w:hAnsi="Arial" w:cs="Arial"/>
          <w:sz w:val="18"/>
          <w:szCs w:val="18"/>
          <w:lang w:val="en-US"/>
        </w:rPr>
      </w:pPr>
      <w:r>
        <w:rPr>
          <w:rFonts w:ascii="Arial" w:hAnsi="Arial" w:cs="Arial"/>
          <w:sz w:val="18"/>
          <w:szCs w:val="18"/>
          <w:lang w:val="en-US"/>
        </w:rPr>
        <w:t>2)</w:t>
      </w:r>
      <w:r>
        <w:rPr>
          <w:rFonts w:ascii="Arial" w:hAnsi="Arial" w:cs="Arial"/>
          <w:sz w:val="18"/>
          <w:szCs w:val="18"/>
          <w:lang w:val="en-US"/>
        </w:rPr>
        <w:tab/>
      </w:r>
      <w:r w:rsidR="00A10761" w:rsidRPr="00A10761">
        <w:rPr>
          <w:rFonts w:ascii="Arial" w:hAnsi="Arial" w:cs="Arial"/>
          <w:sz w:val="18"/>
          <w:szCs w:val="18"/>
          <w:lang w:val="en-US"/>
        </w:rPr>
        <w:t>to inform their staff that certain species should be considered as having lifelong </w:t>
      </w:r>
      <w:r w:rsidR="00A10761" w:rsidRPr="00A10761">
        <w:rPr>
          <w:rFonts w:ascii="Arial" w:hAnsi="Arial" w:cs="Arial"/>
          <w:i/>
          <w:iCs/>
          <w:sz w:val="18"/>
          <w:szCs w:val="18"/>
          <w:lang w:val="en-US"/>
        </w:rPr>
        <w:t>infections</w:t>
      </w:r>
      <w:r w:rsidR="00A10761" w:rsidRPr="00A10761">
        <w:rPr>
          <w:rFonts w:ascii="Arial" w:hAnsi="Arial" w:cs="Arial"/>
          <w:sz w:val="18"/>
          <w:szCs w:val="18"/>
          <w:lang w:val="en-US"/>
        </w:rPr>
        <w:t> with some zoonotic agents, e.g. Asian macaques with Herpes B virus;</w:t>
      </w:r>
    </w:p>
    <w:p w14:paraId="5CEBE316" w14:textId="22D902A2" w:rsidR="00A10761" w:rsidRPr="00A10761" w:rsidRDefault="00F2196E" w:rsidP="00F2196E">
      <w:pPr>
        <w:spacing w:after="240" w:line="240" w:lineRule="auto"/>
        <w:ind w:left="426" w:hanging="426"/>
        <w:jc w:val="both"/>
        <w:rPr>
          <w:rFonts w:ascii="Arial" w:hAnsi="Arial" w:cs="Arial"/>
          <w:sz w:val="18"/>
          <w:szCs w:val="18"/>
          <w:lang w:val="en-US"/>
        </w:rPr>
      </w:pPr>
      <w:r>
        <w:rPr>
          <w:rFonts w:ascii="Arial" w:hAnsi="Arial" w:cs="Arial"/>
          <w:sz w:val="18"/>
          <w:szCs w:val="18"/>
          <w:lang w:val="en-US"/>
        </w:rPr>
        <w:t>3)</w:t>
      </w:r>
      <w:r>
        <w:rPr>
          <w:rFonts w:ascii="Arial" w:hAnsi="Arial" w:cs="Arial"/>
          <w:sz w:val="18"/>
          <w:szCs w:val="18"/>
          <w:lang w:val="en-US"/>
        </w:rPr>
        <w:tab/>
      </w:r>
      <w:r w:rsidR="00A10761" w:rsidRPr="00A10761">
        <w:rPr>
          <w:rFonts w:ascii="Arial" w:hAnsi="Arial" w:cs="Arial"/>
          <w:sz w:val="18"/>
          <w:szCs w:val="18"/>
          <w:lang w:val="en-US"/>
        </w:rPr>
        <w:t>to ensure that the staff follows personal hygiene practices, including the use of protective clothing, and the prohibition of eating, drinking and smoking in potentially infective areas;</w:t>
      </w:r>
    </w:p>
    <w:p w14:paraId="60739C61" w14:textId="3147A809" w:rsidR="001F1E39" w:rsidRDefault="00F2196E" w:rsidP="00F2196E">
      <w:pPr>
        <w:spacing w:after="240" w:line="240" w:lineRule="auto"/>
        <w:ind w:left="426" w:hanging="426"/>
        <w:jc w:val="both"/>
        <w:rPr>
          <w:rFonts w:ascii="Arial" w:hAnsi="Arial" w:cs="Arial"/>
          <w:sz w:val="18"/>
          <w:szCs w:val="18"/>
          <w:lang w:val="en-US"/>
        </w:rPr>
      </w:pPr>
      <w:r>
        <w:rPr>
          <w:rFonts w:ascii="Arial" w:hAnsi="Arial" w:cs="Arial"/>
          <w:sz w:val="18"/>
          <w:szCs w:val="18"/>
          <w:lang w:val="en-US"/>
        </w:rPr>
        <w:t>4)</w:t>
      </w:r>
      <w:r>
        <w:rPr>
          <w:rFonts w:ascii="Arial" w:hAnsi="Arial" w:cs="Arial"/>
          <w:sz w:val="18"/>
          <w:szCs w:val="18"/>
          <w:lang w:val="en-US"/>
        </w:rPr>
        <w:tab/>
      </w:r>
      <w:r w:rsidR="00A10761" w:rsidRPr="00A10761">
        <w:rPr>
          <w:rFonts w:ascii="Arial" w:hAnsi="Arial" w:cs="Arial"/>
          <w:sz w:val="18"/>
          <w:szCs w:val="18"/>
          <w:lang w:val="en-US"/>
        </w:rPr>
        <w:t xml:space="preserve">to implement a screening </w:t>
      </w:r>
      <w:proofErr w:type="spellStart"/>
      <w:r w:rsidR="00A10761" w:rsidRPr="00A10761">
        <w:rPr>
          <w:rFonts w:ascii="Arial" w:hAnsi="Arial" w:cs="Arial"/>
          <w:sz w:val="18"/>
          <w:szCs w:val="18"/>
          <w:lang w:val="en-US"/>
        </w:rPr>
        <w:t>programme</w:t>
      </w:r>
      <w:proofErr w:type="spellEnd"/>
      <w:r w:rsidR="00A10761" w:rsidRPr="00A10761">
        <w:rPr>
          <w:rFonts w:ascii="Arial" w:hAnsi="Arial" w:cs="Arial"/>
          <w:sz w:val="18"/>
          <w:szCs w:val="18"/>
          <w:lang w:val="en-US"/>
        </w:rPr>
        <w:t xml:space="preserve"> for personnel health, including monitoring for tuberculosis, pathogenic enteric bacteria and endoparasites and other agents that are deemed necessary;</w:t>
      </w:r>
      <w:r w:rsidR="001F1E39">
        <w:rPr>
          <w:rFonts w:ascii="Arial" w:hAnsi="Arial" w:cs="Arial"/>
          <w:sz w:val="18"/>
          <w:szCs w:val="18"/>
          <w:lang w:val="en-US"/>
        </w:rPr>
        <w:br w:type="page"/>
      </w:r>
    </w:p>
    <w:p w14:paraId="4E4329D3" w14:textId="30E159D2" w:rsidR="00A10761" w:rsidRPr="00A10761" w:rsidRDefault="00F2196E" w:rsidP="00F2196E">
      <w:pPr>
        <w:spacing w:after="240" w:line="240" w:lineRule="auto"/>
        <w:ind w:left="426" w:hanging="426"/>
        <w:jc w:val="both"/>
        <w:rPr>
          <w:rFonts w:ascii="Arial" w:hAnsi="Arial" w:cs="Arial"/>
          <w:sz w:val="18"/>
          <w:szCs w:val="18"/>
          <w:lang w:val="en-US"/>
        </w:rPr>
      </w:pPr>
      <w:r>
        <w:rPr>
          <w:rFonts w:ascii="Arial" w:hAnsi="Arial" w:cs="Arial"/>
          <w:sz w:val="18"/>
          <w:szCs w:val="18"/>
          <w:lang w:val="en-US"/>
        </w:rPr>
        <w:lastRenderedPageBreak/>
        <w:t>5)</w:t>
      </w:r>
      <w:r>
        <w:rPr>
          <w:rFonts w:ascii="Arial" w:hAnsi="Arial" w:cs="Arial"/>
          <w:sz w:val="18"/>
          <w:szCs w:val="18"/>
          <w:lang w:val="en-US"/>
        </w:rPr>
        <w:tab/>
      </w:r>
      <w:r w:rsidR="00A10761" w:rsidRPr="00A10761">
        <w:rPr>
          <w:rFonts w:ascii="Arial" w:hAnsi="Arial" w:cs="Arial"/>
          <w:sz w:val="18"/>
          <w:szCs w:val="18"/>
          <w:lang w:val="en-US"/>
        </w:rPr>
        <w:t xml:space="preserve">to implement an </w:t>
      </w:r>
      <w:proofErr w:type="spellStart"/>
      <w:r w:rsidR="00A10761" w:rsidRPr="00A10761">
        <w:rPr>
          <w:rFonts w:ascii="Arial" w:hAnsi="Arial" w:cs="Arial"/>
          <w:sz w:val="18"/>
          <w:szCs w:val="18"/>
          <w:lang w:val="en-US"/>
        </w:rPr>
        <w:t>immunisation</w:t>
      </w:r>
      <w:proofErr w:type="spellEnd"/>
      <w:r w:rsidR="00A10761" w:rsidRPr="00A10761">
        <w:rPr>
          <w:rFonts w:ascii="Arial" w:hAnsi="Arial" w:cs="Arial"/>
          <w:sz w:val="18"/>
          <w:szCs w:val="18"/>
          <w:lang w:val="en-US"/>
        </w:rPr>
        <w:t xml:space="preserve"> </w:t>
      </w:r>
      <w:proofErr w:type="spellStart"/>
      <w:r w:rsidR="00A10761" w:rsidRPr="00A10761">
        <w:rPr>
          <w:rFonts w:ascii="Arial" w:hAnsi="Arial" w:cs="Arial"/>
          <w:sz w:val="18"/>
          <w:szCs w:val="18"/>
          <w:lang w:val="en-US"/>
        </w:rPr>
        <w:t>programme</w:t>
      </w:r>
      <w:proofErr w:type="spellEnd"/>
      <w:r w:rsidR="00A10761" w:rsidRPr="00A10761">
        <w:rPr>
          <w:rFonts w:ascii="Arial" w:hAnsi="Arial" w:cs="Arial"/>
          <w:sz w:val="18"/>
          <w:szCs w:val="18"/>
          <w:lang w:val="en-US"/>
        </w:rPr>
        <w:t xml:space="preserve"> as appropriate, including e.g. tetanus, measles, poliomyelitis, rabies, hepatitis A</w:t>
      </w:r>
      <w:r w:rsidR="00A10761" w:rsidRPr="005B6D70">
        <w:rPr>
          <w:rFonts w:ascii="Arial" w:hAnsi="Arial" w:cs="Arial"/>
          <w:strike/>
          <w:sz w:val="18"/>
          <w:szCs w:val="18"/>
          <w:lang w:val="en-US"/>
        </w:rPr>
        <w:t xml:space="preserve"> and B</w:t>
      </w:r>
      <w:r w:rsidR="00A10761" w:rsidRPr="00A10761">
        <w:rPr>
          <w:rFonts w:ascii="Arial" w:hAnsi="Arial" w:cs="Arial"/>
          <w:sz w:val="18"/>
          <w:szCs w:val="18"/>
          <w:lang w:val="en-US"/>
        </w:rPr>
        <w:t>, and other diseases, such as yellow fever, endemic in the area of origin of the African and American non-human primates;</w:t>
      </w:r>
    </w:p>
    <w:p w14:paraId="01A875C6" w14:textId="54505158" w:rsidR="00A10761" w:rsidRPr="00A10761" w:rsidRDefault="00F2196E" w:rsidP="00F2196E">
      <w:pPr>
        <w:spacing w:after="240" w:line="240" w:lineRule="auto"/>
        <w:ind w:left="426" w:hanging="426"/>
        <w:jc w:val="both"/>
        <w:rPr>
          <w:rFonts w:ascii="Arial" w:hAnsi="Arial" w:cs="Arial"/>
          <w:sz w:val="18"/>
          <w:szCs w:val="18"/>
          <w:lang w:val="en-US"/>
        </w:rPr>
      </w:pPr>
      <w:r>
        <w:rPr>
          <w:rFonts w:ascii="Arial" w:hAnsi="Arial" w:cs="Arial"/>
          <w:sz w:val="18"/>
          <w:szCs w:val="18"/>
          <w:lang w:val="en-US"/>
        </w:rPr>
        <w:t>6)</w:t>
      </w:r>
      <w:r>
        <w:rPr>
          <w:rFonts w:ascii="Arial" w:hAnsi="Arial" w:cs="Arial"/>
          <w:sz w:val="18"/>
          <w:szCs w:val="18"/>
          <w:lang w:val="en-US"/>
        </w:rPr>
        <w:tab/>
      </w:r>
      <w:r w:rsidR="00A10761" w:rsidRPr="00A10761">
        <w:rPr>
          <w:rFonts w:ascii="Arial" w:hAnsi="Arial" w:cs="Arial"/>
          <w:sz w:val="18"/>
          <w:szCs w:val="18"/>
          <w:lang w:val="en-US"/>
        </w:rPr>
        <w:t>to develop guidelines for the prevention and treatment of zoonoses that may be transmitted by bites and scratches, e.g. rabies and herpes viruses;</w:t>
      </w:r>
    </w:p>
    <w:p w14:paraId="36BAD28B" w14:textId="687C3C2B" w:rsidR="00A10761" w:rsidRPr="00A10761" w:rsidRDefault="00F2196E" w:rsidP="00F2196E">
      <w:pPr>
        <w:spacing w:after="240" w:line="240" w:lineRule="auto"/>
        <w:ind w:left="426" w:hanging="426"/>
        <w:jc w:val="both"/>
        <w:rPr>
          <w:rFonts w:ascii="Arial" w:hAnsi="Arial" w:cs="Arial"/>
          <w:sz w:val="18"/>
          <w:szCs w:val="18"/>
          <w:lang w:val="en-US"/>
        </w:rPr>
      </w:pPr>
      <w:r>
        <w:rPr>
          <w:rFonts w:ascii="Arial" w:hAnsi="Arial" w:cs="Arial"/>
          <w:sz w:val="18"/>
          <w:szCs w:val="18"/>
          <w:lang w:val="en-US"/>
        </w:rPr>
        <w:t>7)</w:t>
      </w:r>
      <w:r>
        <w:rPr>
          <w:rFonts w:ascii="Arial" w:hAnsi="Arial" w:cs="Arial"/>
          <w:sz w:val="18"/>
          <w:szCs w:val="18"/>
          <w:lang w:val="en-US"/>
        </w:rPr>
        <w:tab/>
      </w:r>
      <w:r w:rsidR="00A10761" w:rsidRPr="00A10761">
        <w:rPr>
          <w:rFonts w:ascii="Arial" w:hAnsi="Arial" w:cs="Arial"/>
          <w:sz w:val="18"/>
          <w:szCs w:val="18"/>
          <w:lang w:val="en-US"/>
        </w:rPr>
        <w:t xml:space="preserve">to issue to their staff a card which states that they work with non-human primates or with their body fluids, </w:t>
      </w:r>
      <w:proofErr w:type="spellStart"/>
      <w:r w:rsidR="00A10761" w:rsidRPr="00A10761">
        <w:rPr>
          <w:rFonts w:ascii="Arial" w:hAnsi="Arial" w:cs="Arial"/>
          <w:sz w:val="18"/>
          <w:szCs w:val="18"/>
          <w:lang w:val="en-US"/>
        </w:rPr>
        <w:t>faeces</w:t>
      </w:r>
      <w:proofErr w:type="spellEnd"/>
      <w:r w:rsidR="00A10761" w:rsidRPr="00A10761">
        <w:rPr>
          <w:rFonts w:ascii="Arial" w:hAnsi="Arial" w:cs="Arial"/>
          <w:sz w:val="18"/>
          <w:szCs w:val="18"/>
          <w:lang w:val="en-US"/>
        </w:rPr>
        <w:t xml:space="preserve"> or tissues, and which may be presented to the medical profession in case of illness;</w:t>
      </w:r>
    </w:p>
    <w:p w14:paraId="382BFF61" w14:textId="171D389E" w:rsidR="00A10761" w:rsidRDefault="00F2196E" w:rsidP="00F2196E">
      <w:pPr>
        <w:spacing w:after="240" w:line="240" w:lineRule="auto"/>
        <w:ind w:left="426" w:hanging="426"/>
        <w:jc w:val="both"/>
        <w:rPr>
          <w:rFonts w:ascii="Arial" w:hAnsi="Arial" w:cs="Arial"/>
          <w:sz w:val="18"/>
          <w:szCs w:val="18"/>
          <w:lang w:val="en-US"/>
        </w:rPr>
      </w:pPr>
      <w:r>
        <w:rPr>
          <w:rFonts w:ascii="Arial" w:hAnsi="Arial" w:cs="Arial"/>
          <w:sz w:val="18"/>
          <w:szCs w:val="18"/>
          <w:lang w:val="en-US"/>
        </w:rPr>
        <w:t>8)</w:t>
      </w:r>
      <w:r>
        <w:rPr>
          <w:rFonts w:ascii="Arial" w:hAnsi="Arial" w:cs="Arial"/>
          <w:sz w:val="18"/>
          <w:szCs w:val="18"/>
          <w:lang w:val="en-US"/>
        </w:rPr>
        <w:tab/>
      </w:r>
      <w:r w:rsidR="00A10761" w:rsidRPr="00A10761">
        <w:rPr>
          <w:rFonts w:ascii="Arial" w:hAnsi="Arial" w:cs="Arial"/>
          <w:sz w:val="18"/>
          <w:szCs w:val="18"/>
          <w:lang w:val="en-US"/>
        </w:rPr>
        <w:t xml:space="preserve">to dispose of carcasses, body fluids, </w:t>
      </w:r>
      <w:proofErr w:type="spellStart"/>
      <w:r w:rsidR="00A10761" w:rsidRPr="00A10761">
        <w:rPr>
          <w:rFonts w:ascii="Arial" w:hAnsi="Arial" w:cs="Arial"/>
          <w:sz w:val="18"/>
          <w:szCs w:val="18"/>
          <w:lang w:val="en-US"/>
        </w:rPr>
        <w:t>faeces</w:t>
      </w:r>
      <w:proofErr w:type="spellEnd"/>
      <w:r w:rsidR="00A10761" w:rsidRPr="00A10761">
        <w:rPr>
          <w:rFonts w:ascii="Arial" w:hAnsi="Arial" w:cs="Arial"/>
          <w:sz w:val="18"/>
          <w:szCs w:val="18"/>
          <w:lang w:val="en-US"/>
        </w:rPr>
        <w:t xml:space="preserve"> and tissues in a manner which is not detrimental to public health.</w:t>
      </w:r>
    </w:p>
    <w:p w14:paraId="666E76B7" w14:textId="77777777" w:rsidR="005D328E" w:rsidRPr="00AD3E03" w:rsidRDefault="005D328E" w:rsidP="005D328E">
      <w:pPr>
        <w:spacing w:after="240"/>
        <w:ind w:right="51"/>
        <w:jc w:val="center"/>
        <w:rPr>
          <w:rFonts w:ascii="Times New Roman" w:hAnsi="Times New Roman" w:cs="Times New Roman"/>
          <w:sz w:val="18"/>
          <w:szCs w:val="18"/>
          <w:lang w:val="en-GB" w:eastAsia="fr-FR"/>
        </w:rPr>
      </w:pPr>
      <w:r w:rsidRPr="00AE127B">
        <w:rPr>
          <w:rFonts w:ascii="Times New Roman" w:eastAsia="MS Mincho" w:hAnsi="Times New Roman"/>
          <w:kern w:val="2"/>
          <w:sz w:val="20"/>
          <w:szCs w:val="20"/>
          <w:lang w:val="en-GB"/>
        </w:rPr>
        <w:t>___________________________</w:t>
      </w:r>
    </w:p>
    <w:p w14:paraId="5711D3B3" w14:textId="12913FCB" w:rsidR="002D0D5E" w:rsidRPr="00A10761" w:rsidRDefault="002D0D5E" w:rsidP="00D449D0">
      <w:pPr>
        <w:spacing w:after="240" w:line="240" w:lineRule="auto"/>
        <w:ind w:left="426" w:hanging="426"/>
        <w:jc w:val="center"/>
        <w:rPr>
          <w:rFonts w:ascii="Arial" w:hAnsi="Arial" w:cs="Arial"/>
          <w:sz w:val="18"/>
          <w:szCs w:val="18"/>
          <w:lang w:val="en-US"/>
        </w:rPr>
      </w:pPr>
    </w:p>
    <w:sectPr w:rsidR="002D0D5E" w:rsidRPr="00A10761" w:rsidSect="00304C2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D494" w14:textId="77777777" w:rsidR="00F610B0" w:rsidRDefault="00F610B0" w:rsidP="00274AB2">
      <w:pPr>
        <w:spacing w:after="0" w:line="240" w:lineRule="auto"/>
      </w:pPr>
      <w:r>
        <w:separator/>
      </w:r>
    </w:p>
  </w:endnote>
  <w:endnote w:type="continuationSeparator" w:id="0">
    <w:p w14:paraId="2955E7E1" w14:textId="77777777" w:rsidR="00F610B0" w:rsidRDefault="00F610B0" w:rsidP="0027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tawa">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C8DE" w14:textId="77578894" w:rsidR="00274AB2" w:rsidRPr="001F1E39" w:rsidRDefault="001F1E39" w:rsidP="001F1E39">
    <w:pPr>
      <w:tabs>
        <w:tab w:val="right" w:pos="9360"/>
      </w:tabs>
      <w:spacing w:after="0" w:line="240" w:lineRule="auto"/>
      <w:jc w:val="right"/>
      <w:rPr>
        <w:rFonts w:ascii="Arial" w:eastAsia="Times New Roman" w:hAnsi="Arial" w:cs="Arial"/>
        <w:sz w:val="18"/>
        <w:szCs w:val="18"/>
        <w:lang w:val="en-GB" w:eastAsia="fr-FR"/>
      </w:rPr>
    </w:pPr>
    <w:r w:rsidRPr="0085395B">
      <w:rPr>
        <w:rFonts w:ascii="Arial" w:eastAsia="Times New Roman" w:hAnsi="Arial" w:cs="Arial"/>
        <w:sz w:val="18"/>
        <w:szCs w:val="18"/>
        <w:lang w:eastAsia="fr-FR"/>
      </w:rPr>
      <w:fldChar w:fldCharType="begin"/>
    </w:r>
    <w:r w:rsidRPr="00524E72">
      <w:rPr>
        <w:rFonts w:ascii="Arial" w:eastAsia="Times New Roman" w:hAnsi="Arial" w:cs="Arial"/>
        <w:sz w:val="18"/>
        <w:szCs w:val="18"/>
        <w:lang w:val="en-GB" w:eastAsia="fr-FR"/>
      </w:rPr>
      <w:instrText>PAGE   \* MERGEFORMAT</w:instrText>
    </w:r>
    <w:r w:rsidRPr="0085395B">
      <w:rPr>
        <w:rFonts w:ascii="Arial" w:eastAsia="Times New Roman" w:hAnsi="Arial" w:cs="Arial"/>
        <w:sz w:val="18"/>
        <w:szCs w:val="18"/>
        <w:lang w:eastAsia="fr-FR"/>
      </w:rPr>
      <w:fldChar w:fldCharType="separate"/>
    </w:r>
    <w:r w:rsidRPr="001F1E39">
      <w:rPr>
        <w:rFonts w:ascii="Arial" w:eastAsia="Times New Roman" w:hAnsi="Arial" w:cs="Arial"/>
        <w:sz w:val="18"/>
        <w:szCs w:val="18"/>
        <w:lang w:val="en-GB" w:eastAsia="fr-FR"/>
      </w:rPr>
      <w:t>2</w:t>
    </w:r>
    <w:r w:rsidRPr="0085395B">
      <w:rPr>
        <w:rFonts w:ascii="Arial" w:eastAsia="Times New Roman" w:hAnsi="Arial" w:cs="Arial"/>
        <w:sz w:val="18"/>
        <w:szCs w:val="18"/>
        <w:lang w:eastAsia="fr-FR"/>
      </w:rPr>
      <w:fldChar w:fldCharType="end"/>
    </w:r>
    <w:r w:rsidRPr="001F1E39">
      <w:rPr>
        <w:rFonts w:ascii="Arial" w:eastAsia="Times New Roman" w:hAnsi="Arial" w:cs="Arial"/>
        <w:sz w:val="18"/>
        <w:szCs w:val="18"/>
        <w:lang w:val="en-GB" w:eastAsia="fr-FR"/>
      </w:rPr>
      <w:tab/>
    </w:r>
    <w:r w:rsidRPr="0085395B">
      <w:rPr>
        <w:rFonts w:ascii="Arial" w:eastAsia="Times New Roman" w:hAnsi="Arial" w:cs="Arial"/>
        <w:i/>
        <w:sz w:val="18"/>
        <w:szCs w:val="18"/>
        <w:lang w:val="en-US" w:eastAsia="zh-CN"/>
      </w:rPr>
      <w:t>OIE Terrestrial Animal Health Standards Commission/</w:t>
    </w:r>
    <w:r w:rsidR="00820BF2">
      <w:rPr>
        <w:rFonts w:ascii="Arial" w:eastAsia="Times New Roman" w:hAnsi="Arial" w:cs="Arial"/>
        <w:i/>
        <w:sz w:val="18"/>
        <w:szCs w:val="18"/>
        <w:lang w:val="en-US" w:eastAsia="zh-CN"/>
      </w:rPr>
      <w:t>February</w:t>
    </w:r>
    <w:r w:rsidRPr="0085395B">
      <w:rPr>
        <w:rFonts w:ascii="Arial" w:eastAsia="Times New Roman" w:hAnsi="Arial" w:cs="Arial"/>
        <w:i/>
        <w:sz w:val="18"/>
        <w:szCs w:val="18"/>
        <w:lang w:val="en-US" w:eastAsia="zh-CN"/>
      </w:rPr>
      <w:t xml:space="preserve"> 202</w:t>
    </w:r>
    <w:r w:rsidR="00820BF2">
      <w:rPr>
        <w:rFonts w:ascii="Arial" w:eastAsia="Times New Roman" w:hAnsi="Arial" w:cs="Arial"/>
        <w:i/>
        <w:sz w:val="18"/>
        <w:szCs w:val="18"/>
        <w:lang w:val="en-US" w:eastAsia="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CC15" w14:textId="5439B11D" w:rsidR="00274AB2" w:rsidRPr="001F1E39" w:rsidRDefault="001F1E39" w:rsidP="001F1E39">
    <w:pPr>
      <w:tabs>
        <w:tab w:val="center" w:pos="4680"/>
        <w:tab w:val="right" w:pos="9360"/>
      </w:tabs>
      <w:spacing w:after="0" w:line="240" w:lineRule="auto"/>
      <w:jc w:val="right"/>
      <w:rPr>
        <w:rFonts w:ascii="Arial" w:eastAsia="Times New Roman" w:hAnsi="Arial" w:cs="Arial"/>
        <w:sz w:val="18"/>
        <w:szCs w:val="18"/>
        <w:lang w:val="en-GB" w:eastAsia="fr-FR"/>
      </w:rPr>
    </w:pPr>
    <w:r w:rsidRPr="0085395B">
      <w:rPr>
        <w:rFonts w:ascii="Arial" w:eastAsia="Times New Roman" w:hAnsi="Arial" w:cs="Arial"/>
        <w:i/>
        <w:sz w:val="18"/>
        <w:szCs w:val="18"/>
        <w:lang w:val="en-US" w:eastAsia="zh-CN"/>
      </w:rPr>
      <w:t>OIE Terrestrial Animal Health Standards Commission/</w:t>
    </w:r>
    <w:r w:rsidR="00E86069">
      <w:rPr>
        <w:rFonts w:ascii="Arial" w:eastAsia="Times New Roman" w:hAnsi="Arial" w:cs="Arial"/>
        <w:i/>
        <w:sz w:val="18"/>
        <w:szCs w:val="18"/>
        <w:lang w:val="en-US" w:eastAsia="zh-CN"/>
      </w:rPr>
      <w:t>February</w:t>
    </w:r>
    <w:r w:rsidRPr="0085395B">
      <w:rPr>
        <w:rFonts w:ascii="Arial" w:eastAsia="Times New Roman" w:hAnsi="Arial" w:cs="Arial"/>
        <w:i/>
        <w:sz w:val="18"/>
        <w:szCs w:val="18"/>
        <w:lang w:val="en-US" w:eastAsia="zh-CN"/>
      </w:rPr>
      <w:t xml:space="preserve"> 202</w:t>
    </w:r>
    <w:r w:rsidR="00E86069">
      <w:rPr>
        <w:rFonts w:ascii="Arial" w:eastAsia="Times New Roman" w:hAnsi="Arial" w:cs="Arial"/>
        <w:i/>
        <w:sz w:val="18"/>
        <w:szCs w:val="18"/>
        <w:lang w:val="en-US" w:eastAsia="zh-CN"/>
      </w:rPr>
      <w:t>2</w:t>
    </w:r>
    <w:r>
      <w:rPr>
        <w:rFonts w:ascii="Arial" w:eastAsia="Times New Roman" w:hAnsi="Arial" w:cs="Arial"/>
        <w:i/>
        <w:sz w:val="18"/>
        <w:szCs w:val="18"/>
        <w:lang w:val="en-US" w:eastAsia="zh-CN"/>
      </w:rPr>
      <w:tab/>
    </w:r>
    <w:r w:rsidRPr="0085395B">
      <w:rPr>
        <w:rFonts w:ascii="Arial" w:eastAsia="Times New Roman" w:hAnsi="Arial" w:cs="Arial"/>
        <w:sz w:val="18"/>
        <w:szCs w:val="18"/>
        <w:lang w:eastAsia="fr-FR"/>
      </w:rPr>
      <w:fldChar w:fldCharType="begin"/>
    </w:r>
    <w:r w:rsidRPr="00524E72">
      <w:rPr>
        <w:rFonts w:ascii="Arial" w:eastAsia="Times New Roman" w:hAnsi="Arial" w:cs="Arial"/>
        <w:sz w:val="18"/>
        <w:szCs w:val="18"/>
        <w:lang w:val="en-GB" w:eastAsia="fr-FR"/>
      </w:rPr>
      <w:instrText>PAGE   \* MERGEFORMAT</w:instrText>
    </w:r>
    <w:r w:rsidRPr="0085395B">
      <w:rPr>
        <w:rFonts w:ascii="Arial" w:eastAsia="Times New Roman" w:hAnsi="Arial" w:cs="Arial"/>
        <w:sz w:val="18"/>
        <w:szCs w:val="18"/>
        <w:lang w:eastAsia="fr-FR"/>
      </w:rPr>
      <w:fldChar w:fldCharType="separate"/>
    </w:r>
    <w:r w:rsidRPr="001F1E39">
      <w:rPr>
        <w:rFonts w:ascii="Arial" w:eastAsia="Times New Roman" w:hAnsi="Arial" w:cs="Arial"/>
        <w:sz w:val="18"/>
        <w:szCs w:val="18"/>
        <w:lang w:val="en-GB" w:eastAsia="fr-FR"/>
      </w:rPr>
      <w:t>1</w:t>
    </w:r>
    <w:r w:rsidRPr="0085395B">
      <w:rPr>
        <w:rFonts w:ascii="Arial" w:eastAsia="Times New Roman" w:hAnsi="Arial" w:cs="Arial"/>
        <w:sz w:val="18"/>
        <w:szCs w:val="18"/>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40D0" w14:textId="01ADCC21" w:rsidR="00274AB2" w:rsidRPr="001F1E39" w:rsidRDefault="001F1E39" w:rsidP="001F1E39">
    <w:pPr>
      <w:tabs>
        <w:tab w:val="center" w:pos="4680"/>
        <w:tab w:val="right" w:pos="9360"/>
      </w:tabs>
      <w:spacing w:after="0" w:line="240" w:lineRule="auto"/>
      <w:jc w:val="right"/>
      <w:rPr>
        <w:rFonts w:ascii="Arial" w:eastAsia="Times New Roman" w:hAnsi="Arial" w:cs="Arial"/>
        <w:sz w:val="18"/>
        <w:szCs w:val="18"/>
        <w:lang w:val="en-GB" w:eastAsia="fr-FR"/>
      </w:rPr>
    </w:pPr>
    <w:r w:rsidRPr="0085395B">
      <w:rPr>
        <w:rFonts w:ascii="Arial" w:eastAsia="Times New Roman" w:hAnsi="Arial" w:cs="Arial"/>
        <w:i/>
        <w:sz w:val="18"/>
        <w:szCs w:val="18"/>
        <w:lang w:val="en-US" w:eastAsia="zh-CN"/>
      </w:rPr>
      <w:t>OIE Terrestrial Animal Health Standards Commission/</w:t>
    </w:r>
    <w:r w:rsidR="00820BF2">
      <w:rPr>
        <w:rFonts w:ascii="Arial" w:eastAsia="Times New Roman" w:hAnsi="Arial" w:cs="Arial"/>
        <w:i/>
        <w:sz w:val="18"/>
        <w:szCs w:val="18"/>
        <w:lang w:val="en-US" w:eastAsia="zh-CN"/>
      </w:rPr>
      <w:t>February</w:t>
    </w:r>
    <w:r w:rsidRPr="0085395B">
      <w:rPr>
        <w:rFonts w:ascii="Arial" w:eastAsia="Times New Roman" w:hAnsi="Arial" w:cs="Arial"/>
        <w:i/>
        <w:sz w:val="18"/>
        <w:szCs w:val="18"/>
        <w:lang w:val="en-US" w:eastAsia="zh-CN"/>
      </w:rPr>
      <w:t xml:space="preserve"> 202</w:t>
    </w:r>
    <w:r w:rsidR="00820BF2">
      <w:rPr>
        <w:rFonts w:ascii="Arial" w:eastAsia="Times New Roman" w:hAnsi="Arial" w:cs="Arial"/>
        <w:i/>
        <w:sz w:val="18"/>
        <w:szCs w:val="18"/>
        <w:lang w:val="en-US" w:eastAsia="zh-CN"/>
      </w:rPr>
      <w:t>2</w:t>
    </w:r>
    <w:r>
      <w:rPr>
        <w:rFonts w:ascii="Arial" w:eastAsia="Times New Roman" w:hAnsi="Arial" w:cs="Arial"/>
        <w:i/>
        <w:sz w:val="18"/>
        <w:szCs w:val="18"/>
        <w:lang w:val="en-US" w:eastAsia="zh-CN"/>
      </w:rPr>
      <w:tab/>
    </w:r>
    <w:r w:rsidRPr="0085395B">
      <w:rPr>
        <w:rFonts w:ascii="Arial" w:eastAsia="Times New Roman" w:hAnsi="Arial" w:cs="Arial"/>
        <w:sz w:val="18"/>
        <w:szCs w:val="18"/>
        <w:lang w:eastAsia="fr-FR"/>
      </w:rPr>
      <w:fldChar w:fldCharType="begin"/>
    </w:r>
    <w:r w:rsidRPr="00524E72">
      <w:rPr>
        <w:rFonts w:ascii="Arial" w:eastAsia="Times New Roman" w:hAnsi="Arial" w:cs="Arial"/>
        <w:sz w:val="18"/>
        <w:szCs w:val="18"/>
        <w:lang w:val="en-GB" w:eastAsia="fr-FR"/>
      </w:rPr>
      <w:instrText>PAGE   \* MERGEFORMAT</w:instrText>
    </w:r>
    <w:r w:rsidRPr="0085395B">
      <w:rPr>
        <w:rFonts w:ascii="Arial" w:eastAsia="Times New Roman" w:hAnsi="Arial" w:cs="Arial"/>
        <w:sz w:val="18"/>
        <w:szCs w:val="18"/>
        <w:lang w:eastAsia="fr-FR"/>
      </w:rPr>
      <w:fldChar w:fldCharType="separate"/>
    </w:r>
    <w:r w:rsidRPr="001F1E39">
      <w:rPr>
        <w:rFonts w:ascii="Arial" w:eastAsia="Times New Roman" w:hAnsi="Arial" w:cs="Arial"/>
        <w:sz w:val="18"/>
        <w:szCs w:val="18"/>
        <w:lang w:val="en-GB" w:eastAsia="fr-FR"/>
      </w:rPr>
      <w:t>1</w:t>
    </w:r>
    <w:r w:rsidRPr="0085395B">
      <w:rPr>
        <w:rFonts w:ascii="Arial" w:eastAsia="Times New Roman" w:hAnsi="Arial" w:cs="Arial"/>
        <w:sz w:val="18"/>
        <w:szCs w:val="18"/>
        <w:lang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C560" w14:textId="77777777" w:rsidR="00F610B0" w:rsidRDefault="00F610B0" w:rsidP="00274AB2">
      <w:pPr>
        <w:spacing w:after="0" w:line="240" w:lineRule="auto"/>
      </w:pPr>
      <w:r>
        <w:separator/>
      </w:r>
    </w:p>
  </w:footnote>
  <w:footnote w:type="continuationSeparator" w:id="0">
    <w:p w14:paraId="6E4F3AD4" w14:textId="77777777" w:rsidR="00F610B0" w:rsidRDefault="00F610B0" w:rsidP="00274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C49B" w14:textId="18129341" w:rsidR="009903BA" w:rsidRPr="009903BA" w:rsidRDefault="009903BA" w:rsidP="009903BA">
    <w:pPr>
      <w:pStyle w:val="Header"/>
      <w:spacing w:after="480"/>
      <w:rPr>
        <w:rFonts w:ascii="Times New Roman" w:hAnsi="Times New Roman" w:cs="Times New Roman"/>
        <w:sz w:val="20"/>
        <w:szCs w:val="20"/>
        <w:u w:val="single"/>
      </w:rPr>
    </w:pPr>
    <w:r w:rsidRPr="009903BA">
      <w:rPr>
        <w:rFonts w:ascii="Times New Roman" w:hAnsi="Times New Roman" w:cs="Times New Roman"/>
        <w:sz w:val="20"/>
        <w:szCs w:val="20"/>
        <w:u w:val="single"/>
      </w:rPr>
      <w:t>Annex</w:t>
    </w:r>
    <w:r w:rsidR="00060741">
      <w:rPr>
        <w:rFonts w:ascii="Times New Roman" w:hAnsi="Times New Roman" w:cs="Times New Roman"/>
        <w:sz w:val="20"/>
        <w:szCs w:val="20"/>
        <w:u w:val="single"/>
      </w:rPr>
      <w:t xml:space="preserve"> </w:t>
    </w:r>
    <w:r w:rsidR="000B4E47">
      <w:rPr>
        <w:rFonts w:ascii="Times New Roman" w:hAnsi="Times New Roman" w:cs="Times New Roman"/>
        <w:sz w:val="20"/>
        <w:szCs w:val="20"/>
        <w:u w:val="single"/>
      </w:rPr>
      <w:t>8</w:t>
    </w:r>
    <w:r w:rsidR="00060741" w:rsidRPr="00060741">
      <w:rPr>
        <w:rFonts w:ascii="Times New Roman" w:hAnsi="Times New Roman" w:cs="Times New Roman"/>
        <w:sz w:val="20"/>
        <w:szCs w:val="20"/>
      </w:rPr>
      <w:t xml:space="preserve">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34B9" w14:textId="12AC29ED" w:rsidR="00060741" w:rsidRPr="009903BA" w:rsidRDefault="00060741" w:rsidP="00060741">
    <w:pPr>
      <w:pStyle w:val="Header"/>
      <w:spacing w:after="480"/>
      <w:jc w:val="right"/>
      <w:rPr>
        <w:rFonts w:ascii="Times New Roman" w:hAnsi="Times New Roman" w:cs="Times New Roman"/>
        <w:sz w:val="20"/>
        <w:szCs w:val="20"/>
        <w:u w:val="single"/>
      </w:rPr>
    </w:pPr>
    <w:r w:rsidRPr="009903BA">
      <w:rPr>
        <w:rFonts w:ascii="Times New Roman" w:hAnsi="Times New Roman" w:cs="Times New Roman"/>
        <w:sz w:val="20"/>
        <w:szCs w:val="20"/>
        <w:u w:val="single"/>
      </w:rPr>
      <w:t>Annex</w:t>
    </w:r>
    <w:r>
      <w:rPr>
        <w:rFonts w:ascii="Times New Roman" w:hAnsi="Times New Roman" w:cs="Times New Roman"/>
        <w:sz w:val="20"/>
        <w:szCs w:val="20"/>
        <w:u w:val="single"/>
      </w:rPr>
      <w:t xml:space="preserve"> </w:t>
    </w:r>
    <w:r w:rsidR="000B4E47">
      <w:rPr>
        <w:rFonts w:ascii="Times New Roman" w:hAnsi="Times New Roman" w:cs="Times New Roman"/>
        <w:sz w:val="20"/>
        <w:szCs w:val="20"/>
        <w:u w:val="single"/>
      </w:rPr>
      <w:t>8</w:t>
    </w:r>
    <w:r w:rsidRPr="00060741">
      <w:rPr>
        <w:rFonts w:ascii="Times New Roman" w:hAnsi="Times New Roman" w:cs="Times New Roman"/>
        <w:sz w:val="20"/>
        <w:szCs w:val="20"/>
      </w:rPr>
      <w:t xml:space="preserve"> (contd)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DDE4" w14:textId="5DA9869F" w:rsidR="009903BA" w:rsidRPr="009903BA" w:rsidRDefault="009903BA" w:rsidP="009903BA">
    <w:pPr>
      <w:pStyle w:val="Header"/>
      <w:spacing w:after="480"/>
      <w:jc w:val="right"/>
      <w:rPr>
        <w:rFonts w:ascii="Times New Roman" w:hAnsi="Times New Roman" w:cs="Times New Roman"/>
        <w:sz w:val="20"/>
        <w:szCs w:val="20"/>
        <w:u w:val="single"/>
      </w:rPr>
    </w:pPr>
    <w:r w:rsidRPr="009903BA">
      <w:rPr>
        <w:rFonts w:ascii="Times New Roman" w:hAnsi="Times New Roman" w:cs="Times New Roman"/>
        <w:sz w:val="20"/>
        <w:szCs w:val="20"/>
        <w:u w:val="single"/>
      </w:rPr>
      <w:t>Anne</w:t>
    </w:r>
    <w:r w:rsidR="00060741">
      <w:rPr>
        <w:rFonts w:ascii="Times New Roman" w:hAnsi="Times New Roman" w:cs="Times New Roman"/>
        <w:sz w:val="20"/>
        <w:szCs w:val="20"/>
        <w:u w:val="single"/>
      </w:rPr>
      <w:t xml:space="preserve">x </w:t>
    </w:r>
    <w:r w:rsidR="000B4E47">
      <w:rPr>
        <w:rFonts w:ascii="Times New Roman" w:hAnsi="Times New Roman" w:cs="Times New Roman"/>
        <w:sz w:val="20"/>
        <w:szCs w:val="20"/>
        <w:u w:val="single"/>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C43"/>
    <w:multiLevelType w:val="multilevel"/>
    <w:tmpl w:val="CBC03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62B93"/>
    <w:multiLevelType w:val="multilevel"/>
    <w:tmpl w:val="DCD44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345F7"/>
    <w:multiLevelType w:val="multilevel"/>
    <w:tmpl w:val="C57A6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A2B66"/>
    <w:multiLevelType w:val="multilevel"/>
    <w:tmpl w:val="4B2C6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A6707"/>
    <w:multiLevelType w:val="multilevel"/>
    <w:tmpl w:val="9F308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F28E9"/>
    <w:multiLevelType w:val="multilevel"/>
    <w:tmpl w:val="6EC4D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F5FA8"/>
    <w:multiLevelType w:val="multilevel"/>
    <w:tmpl w:val="15F23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840F8"/>
    <w:multiLevelType w:val="multilevel"/>
    <w:tmpl w:val="738E9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3367FD"/>
    <w:multiLevelType w:val="multilevel"/>
    <w:tmpl w:val="4D2E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D71C69"/>
    <w:multiLevelType w:val="multilevel"/>
    <w:tmpl w:val="382EA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B3587F"/>
    <w:multiLevelType w:val="multilevel"/>
    <w:tmpl w:val="B420C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C41B0"/>
    <w:multiLevelType w:val="multilevel"/>
    <w:tmpl w:val="89AAE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B84483"/>
    <w:multiLevelType w:val="multilevel"/>
    <w:tmpl w:val="18E45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9966E0"/>
    <w:multiLevelType w:val="multilevel"/>
    <w:tmpl w:val="B6962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6A454B"/>
    <w:multiLevelType w:val="multilevel"/>
    <w:tmpl w:val="460CC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BB29BA"/>
    <w:multiLevelType w:val="multilevel"/>
    <w:tmpl w:val="F8A69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C20319"/>
    <w:multiLevelType w:val="multilevel"/>
    <w:tmpl w:val="0A9AF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9F77A6"/>
    <w:multiLevelType w:val="multilevel"/>
    <w:tmpl w:val="E8744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7D367A"/>
    <w:multiLevelType w:val="multilevel"/>
    <w:tmpl w:val="5ABA0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C01B4E"/>
    <w:multiLevelType w:val="multilevel"/>
    <w:tmpl w:val="53C06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1"/>
  </w:num>
  <w:num w:numId="4">
    <w:abstractNumId w:val="11"/>
  </w:num>
  <w:num w:numId="5">
    <w:abstractNumId w:val="18"/>
  </w:num>
  <w:num w:numId="6">
    <w:abstractNumId w:val="18"/>
  </w:num>
  <w:num w:numId="7">
    <w:abstractNumId w:val="1"/>
  </w:num>
  <w:num w:numId="8">
    <w:abstractNumId w:val="6"/>
  </w:num>
  <w:num w:numId="9">
    <w:abstractNumId w:val="16"/>
  </w:num>
  <w:num w:numId="10">
    <w:abstractNumId w:val="15"/>
  </w:num>
  <w:num w:numId="11">
    <w:abstractNumId w:val="15"/>
  </w:num>
  <w:num w:numId="12">
    <w:abstractNumId w:val="14"/>
  </w:num>
  <w:num w:numId="13">
    <w:abstractNumId w:val="14"/>
  </w:num>
  <w:num w:numId="14">
    <w:abstractNumId w:val="19"/>
  </w:num>
  <w:num w:numId="15">
    <w:abstractNumId w:val="10"/>
  </w:num>
  <w:num w:numId="16">
    <w:abstractNumId w:val="17"/>
  </w:num>
  <w:num w:numId="17">
    <w:abstractNumId w:val="7"/>
  </w:num>
  <w:num w:numId="18">
    <w:abstractNumId w:val="7"/>
  </w:num>
  <w:num w:numId="19">
    <w:abstractNumId w:val="2"/>
  </w:num>
  <w:num w:numId="20">
    <w:abstractNumId w:val="2"/>
  </w:num>
  <w:num w:numId="21">
    <w:abstractNumId w:val="8"/>
  </w:num>
  <w:num w:numId="22">
    <w:abstractNumId w:val="9"/>
  </w:num>
  <w:num w:numId="23">
    <w:abstractNumId w:val="3"/>
  </w:num>
  <w:num w:numId="24">
    <w:abstractNumId w:val="12"/>
  </w:num>
  <w:num w:numId="25">
    <w:abstractNumId w:val="12"/>
  </w:num>
  <w:num w:numId="26">
    <w:abstractNumId w:val="13"/>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61"/>
    <w:rsid w:val="00036643"/>
    <w:rsid w:val="00050139"/>
    <w:rsid w:val="00057700"/>
    <w:rsid w:val="00060741"/>
    <w:rsid w:val="00065596"/>
    <w:rsid w:val="000B4E47"/>
    <w:rsid w:val="000F1F12"/>
    <w:rsid w:val="00117662"/>
    <w:rsid w:val="001A0868"/>
    <w:rsid w:val="001F1E39"/>
    <w:rsid w:val="00274AB2"/>
    <w:rsid w:val="002D0D5E"/>
    <w:rsid w:val="00304C2A"/>
    <w:rsid w:val="003A46BB"/>
    <w:rsid w:val="003C0BE4"/>
    <w:rsid w:val="003C1AD7"/>
    <w:rsid w:val="00421A81"/>
    <w:rsid w:val="00440F8C"/>
    <w:rsid w:val="00447C81"/>
    <w:rsid w:val="00476353"/>
    <w:rsid w:val="004D2056"/>
    <w:rsid w:val="004F22B9"/>
    <w:rsid w:val="005B6D70"/>
    <w:rsid w:val="005D328E"/>
    <w:rsid w:val="006315E8"/>
    <w:rsid w:val="0078154D"/>
    <w:rsid w:val="00803784"/>
    <w:rsid w:val="00820BF2"/>
    <w:rsid w:val="008E39CC"/>
    <w:rsid w:val="00947F65"/>
    <w:rsid w:val="00961FF3"/>
    <w:rsid w:val="009903BA"/>
    <w:rsid w:val="00994F63"/>
    <w:rsid w:val="009A0953"/>
    <w:rsid w:val="009C66BB"/>
    <w:rsid w:val="009C6A36"/>
    <w:rsid w:val="00A10761"/>
    <w:rsid w:val="00A60DF9"/>
    <w:rsid w:val="00AF0F1C"/>
    <w:rsid w:val="00B55B98"/>
    <w:rsid w:val="00C00490"/>
    <w:rsid w:val="00C04B8E"/>
    <w:rsid w:val="00C31566"/>
    <w:rsid w:val="00D1634D"/>
    <w:rsid w:val="00D449D0"/>
    <w:rsid w:val="00D76400"/>
    <w:rsid w:val="00E473DB"/>
    <w:rsid w:val="00E86069"/>
    <w:rsid w:val="00F2196E"/>
    <w:rsid w:val="00F610B0"/>
    <w:rsid w:val="00FA652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33C7C3"/>
  <w15:chartTrackingRefBased/>
  <w15:docId w15:val="{B28B626A-B9C2-4ECD-A32F-4FFF012F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761"/>
    <w:rPr>
      <w:color w:val="0563C1" w:themeColor="hyperlink"/>
      <w:u w:val="single"/>
    </w:rPr>
  </w:style>
  <w:style w:type="character" w:styleId="UnresolvedMention">
    <w:name w:val="Unresolved Mention"/>
    <w:basedOn w:val="DefaultParagraphFont"/>
    <w:uiPriority w:val="99"/>
    <w:semiHidden/>
    <w:unhideWhenUsed/>
    <w:rsid w:val="00A10761"/>
    <w:rPr>
      <w:color w:val="605E5C"/>
      <w:shd w:val="clear" w:color="auto" w:fill="E1DFDD"/>
    </w:rPr>
  </w:style>
  <w:style w:type="paragraph" w:styleId="ListParagraph">
    <w:name w:val="List Paragraph"/>
    <w:basedOn w:val="Normal"/>
    <w:uiPriority w:val="34"/>
    <w:qFormat/>
    <w:rsid w:val="00A10761"/>
    <w:pPr>
      <w:ind w:left="720"/>
      <w:contextualSpacing/>
    </w:pPr>
  </w:style>
  <w:style w:type="paragraph" w:styleId="Header">
    <w:name w:val="header"/>
    <w:basedOn w:val="Normal"/>
    <w:link w:val="HeaderChar"/>
    <w:uiPriority w:val="99"/>
    <w:unhideWhenUsed/>
    <w:rsid w:val="00274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AB2"/>
  </w:style>
  <w:style w:type="paragraph" w:styleId="Footer">
    <w:name w:val="footer"/>
    <w:basedOn w:val="Normal"/>
    <w:link w:val="FooterChar"/>
    <w:uiPriority w:val="99"/>
    <w:unhideWhenUsed/>
    <w:rsid w:val="00274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AB2"/>
  </w:style>
  <w:style w:type="character" w:styleId="FollowedHyperlink">
    <w:name w:val="FollowedHyperlink"/>
    <w:basedOn w:val="DefaultParagraphFont"/>
    <w:uiPriority w:val="99"/>
    <w:semiHidden/>
    <w:unhideWhenUsed/>
    <w:rsid w:val="00447C81"/>
    <w:rPr>
      <w:color w:val="954F72" w:themeColor="followedHyperlink"/>
      <w:u w:val="single"/>
    </w:rPr>
  </w:style>
  <w:style w:type="paragraph" w:styleId="Revision">
    <w:name w:val="Revision"/>
    <w:hidden/>
    <w:uiPriority w:val="99"/>
    <w:semiHidden/>
    <w:rsid w:val="00C315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550648">
      <w:bodyDiv w:val="1"/>
      <w:marLeft w:val="0"/>
      <w:marRight w:val="0"/>
      <w:marTop w:val="0"/>
      <w:marBottom w:val="0"/>
      <w:divBdr>
        <w:top w:val="none" w:sz="0" w:space="0" w:color="auto"/>
        <w:left w:val="none" w:sz="0" w:space="0" w:color="auto"/>
        <w:bottom w:val="none" w:sz="0" w:space="0" w:color="auto"/>
        <w:right w:val="none" w:sz="0" w:space="0" w:color="auto"/>
      </w:divBdr>
    </w:div>
    <w:div w:id="885991466">
      <w:bodyDiv w:val="1"/>
      <w:marLeft w:val="0"/>
      <w:marRight w:val="0"/>
      <w:marTop w:val="0"/>
      <w:marBottom w:val="0"/>
      <w:divBdr>
        <w:top w:val="none" w:sz="0" w:space="0" w:color="auto"/>
        <w:left w:val="none" w:sz="0" w:space="0" w:color="auto"/>
        <w:bottom w:val="none" w:sz="0" w:space="0" w:color="auto"/>
        <w:right w:val="none" w:sz="0" w:space="0" w:color="auto"/>
      </w:divBdr>
    </w:div>
    <w:div w:id="1008602826">
      <w:bodyDiv w:val="1"/>
      <w:marLeft w:val="0"/>
      <w:marRight w:val="0"/>
      <w:marTop w:val="0"/>
      <w:marBottom w:val="0"/>
      <w:divBdr>
        <w:top w:val="none" w:sz="0" w:space="0" w:color="auto"/>
        <w:left w:val="none" w:sz="0" w:space="0" w:color="auto"/>
        <w:bottom w:val="none" w:sz="0" w:space="0" w:color="auto"/>
        <w:right w:val="none" w:sz="0" w:space="0" w:color="auto"/>
      </w:divBdr>
    </w:div>
    <w:div w:id="1492987365">
      <w:bodyDiv w:val="1"/>
      <w:marLeft w:val="0"/>
      <w:marRight w:val="0"/>
      <w:marTop w:val="0"/>
      <w:marBottom w:val="0"/>
      <w:divBdr>
        <w:top w:val="none" w:sz="0" w:space="0" w:color="auto"/>
        <w:left w:val="none" w:sz="0" w:space="0" w:color="auto"/>
        <w:bottom w:val="none" w:sz="0" w:space="0" w:color="auto"/>
        <w:right w:val="none" w:sz="0" w:space="0" w:color="auto"/>
      </w:divBdr>
    </w:div>
    <w:div w:id="178762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3" ma:contentTypeDescription="Create a new document." ma:contentTypeScope="" ma:versionID="99b5df8801e7322877ea4c55c8d3faa8">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936cd75ce783e618b034c44f5b8d73dd"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1A12A-5EDB-48D2-9981-105A79DF7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CFFBF-E269-4E6F-9495-2D36523CDC4A}">
  <ds:schemaRefs>
    <ds:schemaRef ds:uri="http://schemas.openxmlformats.org/officeDocument/2006/bibliography"/>
  </ds:schemaRefs>
</ds:datastoreItem>
</file>

<file path=customXml/itemProps3.xml><?xml version="1.0" encoding="utf-8"?>
<ds:datastoreItem xmlns:ds="http://schemas.openxmlformats.org/officeDocument/2006/customXml" ds:itemID="{BB0A928C-E128-49B5-90D7-5601869DD969}">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c4310aad-d41c-471a-8d4b-290545d5ba7f"/>
    <ds:schemaRef ds:uri="http://purl.org/dc/elements/1.1/"/>
    <ds:schemaRef ds:uri="http://schemas.openxmlformats.org/package/2006/metadata/core-properties"/>
    <ds:schemaRef ds:uri="http://www.w3.org/XML/1998/namespace"/>
    <ds:schemaRef ds:uri="893fd4a9-69b0-4229-815d-5c6d5205746f"/>
    <ds:schemaRef ds:uri="http://purl.org/dc/terms/"/>
  </ds:schemaRefs>
</ds:datastoreItem>
</file>

<file path=customXml/itemProps4.xml><?xml version="1.0" encoding="utf-8"?>
<ds:datastoreItem xmlns:ds="http://schemas.openxmlformats.org/officeDocument/2006/customXml" ds:itemID="{778135A9-51D2-4944-BB82-243E694DD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Zoonoses Transmissible from Non-Human Primates</dc:title>
  <dc:subject/>
  <dc:creator>Anne Guillon</dc:creator>
  <cp:keywords/>
  <dc:description/>
  <cp:lastModifiedBy>Wattenberg, Jay L - APHIS</cp:lastModifiedBy>
  <cp:revision>6</cp:revision>
  <dcterms:created xsi:type="dcterms:W3CDTF">2022-02-09T14:35:00Z</dcterms:created>
  <dcterms:modified xsi:type="dcterms:W3CDTF">2022-03-17T11:26:00Z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ComplianceAssetId">
    <vt:lpwstr/>
  </property>
</Properties>
</file>