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6ED1D" w14:textId="40952603" w:rsidR="0053190D" w:rsidRPr="00ED0E77" w:rsidRDefault="0053190D" w:rsidP="00E40D1C">
      <w:pPr>
        <w:pStyle w:val="Chatperno"/>
        <w:rPr>
          <w:b/>
          <w:bCs/>
          <w:smallCaps/>
          <w:lang w:val="en-IE"/>
        </w:rPr>
      </w:pPr>
      <w:r w:rsidRPr="00ED0E77">
        <w:rPr>
          <w:lang w:val="en-IE"/>
        </w:rPr>
        <w:t xml:space="preserve">Chapter </w:t>
      </w:r>
      <w:r w:rsidR="00047AE2" w:rsidRPr="00ED0E77">
        <w:rPr>
          <w:lang w:val="en-IE"/>
        </w:rPr>
        <w:t>3</w:t>
      </w:r>
      <w:r w:rsidRPr="00ED0E77">
        <w:rPr>
          <w:lang w:val="en-IE"/>
        </w:rPr>
        <w:t>.</w:t>
      </w:r>
      <w:r w:rsidR="00AB10B5" w:rsidRPr="00ED0E77">
        <w:rPr>
          <w:lang w:val="en-IE"/>
        </w:rPr>
        <w:t>6</w:t>
      </w:r>
      <w:r w:rsidRPr="00ED0E77">
        <w:rPr>
          <w:lang w:val="en-IE"/>
        </w:rPr>
        <w:t>.2.</w:t>
      </w:r>
    </w:p>
    <w:p w14:paraId="63B6ED1E" w14:textId="77777777" w:rsidR="0053190D" w:rsidRPr="00ED0E77" w:rsidRDefault="0053190D" w:rsidP="00E40D1C">
      <w:pPr>
        <w:pStyle w:val="Chaptertitle"/>
        <w:rPr>
          <w:lang w:val="en-IE"/>
        </w:rPr>
      </w:pPr>
      <w:r w:rsidRPr="00ED0E77">
        <w:rPr>
          <w:lang w:val="en-IE"/>
        </w:rPr>
        <w:t>contagious equine metritis</w:t>
      </w:r>
    </w:p>
    <w:p w14:paraId="63B6ED1F" w14:textId="77777777" w:rsidR="0053190D" w:rsidRPr="00ED0E77" w:rsidRDefault="0053190D" w:rsidP="00684236">
      <w:pPr>
        <w:pStyle w:val="Summarytitle"/>
        <w:spacing w:after="200"/>
        <w:rPr>
          <w:lang w:val="en-IE"/>
        </w:rPr>
      </w:pPr>
      <w:r w:rsidRPr="00ED0E77">
        <w:rPr>
          <w:lang w:val="en-IE"/>
        </w:rPr>
        <w:t>SUMMARY</w:t>
      </w:r>
    </w:p>
    <w:p w14:paraId="63B6ED20" w14:textId="6DE206DD" w:rsidR="0053190D" w:rsidRPr="00ED0E77" w:rsidRDefault="002E3AF9" w:rsidP="00684236">
      <w:pPr>
        <w:pStyle w:val="sumtexte"/>
        <w:spacing w:after="100"/>
        <w:rPr>
          <w:lang w:val="en-IE"/>
        </w:rPr>
      </w:pPr>
      <w:r w:rsidRPr="00ED0E77">
        <w:rPr>
          <w:b/>
          <w:bCs/>
          <w:lang w:val="en-IE"/>
        </w:rPr>
        <w:t>Description and importance of disease</w:t>
      </w:r>
      <w:r w:rsidR="0053190D" w:rsidRPr="00ED0E77">
        <w:rPr>
          <w:b/>
          <w:bCs/>
          <w:lang w:val="en-IE"/>
        </w:rPr>
        <w:t>:</w:t>
      </w:r>
      <w:r w:rsidR="0053190D" w:rsidRPr="00ED0E77">
        <w:rPr>
          <w:bCs/>
          <w:lang w:val="en-IE"/>
        </w:rPr>
        <w:t xml:space="preserve"> </w:t>
      </w:r>
      <w:r w:rsidR="0053190D" w:rsidRPr="00ED0E77">
        <w:rPr>
          <w:lang w:val="en-IE"/>
        </w:rPr>
        <w:t xml:space="preserve">Contagious equine metritis is an inflammatory disease of the proximal and distal reproductive tract of the mare caused by </w:t>
      </w:r>
      <w:r w:rsidR="0053190D" w:rsidRPr="00ED0E77">
        <w:rPr>
          <w:i w:val="0"/>
          <w:iCs w:val="0"/>
          <w:lang w:val="en-IE"/>
        </w:rPr>
        <w:t>Taylorella</w:t>
      </w:r>
      <w:r w:rsidR="0053190D" w:rsidRPr="00ED0E77">
        <w:rPr>
          <w:lang w:val="en-IE"/>
        </w:rPr>
        <w:t xml:space="preserve"> </w:t>
      </w:r>
      <w:r w:rsidR="0053190D" w:rsidRPr="00ED0E77">
        <w:rPr>
          <w:i w:val="0"/>
          <w:iCs w:val="0"/>
          <w:lang w:val="en-IE"/>
        </w:rPr>
        <w:t>equigenitalis</w:t>
      </w:r>
      <w:r w:rsidR="0053190D" w:rsidRPr="00ED0E77">
        <w:rPr>
          <w:lang w:val="en-IE"/>
        </w:rPr>
        <w:t>, which usually results in temporary infertility. It is a non</w:t>
      </w:r>
      <w:r w:rsidR="005A5E38" w:rsidRPr="00ED0E77">
        <w:rPr>
          <w:lang w:val="en-IE"/>
        </w:rPr>
        <w:t>-</w:t>
      </w:r>
      <w:r w:rsidR="0053190D" w:rsidRPr="00ED0E77">
        <w:rPr>
          <w:lang w:val="en-IE"/>
        </w:rPr>
        <w:t>systemic infection, the effects of which are restricted to the reproductive tract of the mare.</w:t>
      </w:r>
    </w:p>
    <w:p w14:paraId="63B6ED21" w14:textId="77777777" w:rsidR="0053190D" w:rsidRPr="00ED0E77" w:rsidRDefault="0053190D" w:rsidP="00684236">
      <w:pPr>
        <w:pStyle w:val="sumtexte"/>
        <w:spacing w:after="100"/>
        <w:rPr>
          <w:lang w:val="en-IE"/>
        </w:rPr>
      </w:pPr>
      <w:r w:rsidRPr="00ED0E77">
        <w:rPr>
          <w:lang w:val="en-IE"/>
        </w:rPr>
        <w:t xml:space="preserve">When present, clinical signs include endometritis, cervicitis and vaginitis of variable severity and a slight to copious mucopurulent vaginal discharge. Recovery is uneventful, but prolonged asymptomatic or symptomatic carriage is established in a proportion of infected mares. Direct venereal contact during natural mating presents the highest risk for the transmission of </w:t>
      </w:r>
      <w:r w:rsidRPr="00ED0E77">
        <w:rPr>
          <w:i w:val="0"/>
          <w:iCs w:val="0"/>
          <w:lang w:val="en-IE"/>
        </w:rPr>
        <w:t xml:space="preserve">T. equigenitalis </w:t>
      </w:r>
      <w:r w:rsidRPr="00ED0E77">
        <w:rPr>
          <w:lang w:val="en-IE"/>
        </w:rPr>
        <w:t xml:space="preserve">from a contaminated stallion or an infected mare. Direct venereal transmission can also take place by artificial insemination using infective raw, chilled and possibly frozen semen. Indirectly, infection may be acquired through fomite transmission, manual contamination, inadequate observance of appropriate biosecurity measures at the time of breeding and at semen-collection centres. Stallions can become asymptomatic carriers of </w:t>
      </w:r>
      <w:r w:rsidRPr="00ED0E77">
        <w:rPr>
          <w:i w:val="0"/>
          <w:iCs w:val="0"/>
          <w:lang w:val="en-IE"/>
        </w:rPr>
        <w:t>T. equigenitalis.</w:t>
      </w:r>
      <w:r w:rsidRPr="00ED0E77">
        <w:rPr>
          <w:lang w:val="en-IE"/>
        </w:rPr>
        <w:t xml:space="preserve"> The principal sites of colonisation by the bacterium are the urogenital membranes</w:t>
      </w:r>
      <w:r w:rsidRPr="00ED0E77">
        <w:rPr>
          <w:i w:val="0"/>
          <w:iCs w:val="0"/>
          <w:lang w:val="en-IE"/>
        </w:rPr>
        <w:t xml:space="preserve"> (</w:t>
      </w:r>
      <w:r w:rsidRPr="00ED0E77">
        <w:rPr>
          <w:lang w:val="en-IE"/>
        </w:rPr>
        <w:t>urethral fossa, urethral sinus, terminal urethra and penile sheath</w:t>
      </w:r>
      <w:r w:rsidRPr="00ED0E77">
        <w:rPr>
          <w:i w:val="0"/>
          <w:iCs w:val="0"/>
          <w:lang w:val="en-IE"/>
        </w:rPr>
        <w:t>)</w:t>
      </w:r>
      <w:r w:rsidRPr="00ED0E77">
        <w:rPr>
          <w:lang w:val="en-IE"/>
        </w:rPr>
        <w:t xml:space="preserve">. The sites of persistence of </w:t>
      </w:r>
      <w:r w:rsidRPr="00ED0E77">
        <w:rPr>
          <w:i w:val="0"/>
          <w:lang w:val="en-IE"/>
        </w:rPr>
        <w:t>T. equigenitalis</w:t>
      </w:r>
      <w:r w:rsidRPr="00ED0E77">
        <w:rPr>
          <w:lang w:val="en-IE"/>
        </w:rPr>
        <w:t xml:space="preserve"> in the majority of carrier mares are the clitoral sinuses and fossa and infrequently the uterus. Foals born of carrier mares may also become carriers. The organism can infect equid species other than horses, e.g. donkeys.</w:t>
      </w:r>
    </w:p>
    <w:p w14:paraId="63B6ED22" w14:textId="43D21A7F" w:rsidR="0053190D" w:rsidRPr="00ED0E77" w:rsidRDefault="006947BF" w:rsidP="00684236">
      <w:pPr>
        <w:pStyle w:val="sumtexte"/>
        <w:spacing w:after="100"/>
        <w:rPr>
          <w:lang w:val="en-IE"/>
        </w:rPr>
      </w:pPr>
      <w:r w:rsidRPr="00101C0B">
        <w:rPr>
          <w:b/>
          <w:bCs/>
          <w:u w:val="double"/>
          <w:lang w:val="en-IE"/>
        </w:rPr>
        <w:t>Detection and</w:t>
      </w:r>
      <w:r>
        <w:rPr>
          <w:b/>
          <w:bCs/>
          <w:lang w:val="en-IE"/>
        </w:rPr>
        <w:t xml:space="preserve"> </w:t>
      </w:r>
      <w:r w:rsidR="0053190D" w:rsidRPr="00ED0E77">
        <w:rPr>
          <w:b/>
          <w:bCs/>
          <w:lang w:val="en-IE"/>
        </w:rPr>
        <w:t>Identification of the agent:</w:t>
      </w:r>
      <w:r w:rsidR="0053190D" w:rsidRPr="00ED0E77">
        <w:rPr>
          <w:lang w:val="en-IE"/>
        </w:rPr>
        <w:t xml:space="preserve"> </w:t>
      </w:r>
      <w:r w:rsidR="00B1459F" w:rsidRPr="00ED0E77">
        <w:rPr>
          <w:lang w:val="en-IE"/>
        </w:rPr>
        <w:t xml:space="preserve">Swabs should be taken from designated genital sites. </w:t>
      </w:r>
      <w:r w:rsidR="00E7701D" w:rsidRPr="00ED0E77">
        <w:rPr>
          <w:u w:val="double"/>
          <w:lang w:val="en-IE"/>
        </w:rPr>
        <w:t xml:space="preserve">Culture or </w:t>
      </w:r>
      <w:r w:rsidR="00D46FF1" w:rsidRPr="00ED0E77">
        <w:rPr>
          <w:u w:val="double"/>
          <w:lang w:val="en-IE"/>
        </w:rPr>
        <w:t>real</w:t>
      </w:r>
      <w:r w:rsidR="00AB10B5" w:rsidRPr="00ED0E77">
        <w:rPr>
          <w:u w:val="double"/>
          <w:lang w:val="en-IE"/>
        </w:rPr>
        <w:t>-</w:t>
      </w:r>
      <w:r w:rsidR="00D46FF1" w:rsidRPr="00ED0E77">
        <w:rPr>
          <w:u w:val="double"/>
          <w:lang w:val="en-IE"/>
        </w:rPr>
        <w:t>time</w:t>
      </w:r>
      <w:r w:rsidR="00AB10B5" w:rsidRPr="00ED0E77">
        <w:rPr>
          <w:u w:val="double"/>
          <w:lang w:val="en-IE"/>
        </w:rPr>
        <w:t xml:space="preserve"> </w:t>
      </w:r>
      <w:r w:rsidR="00E7701D" w:rsidRPr="00ED0E77">
        <w:rPr>
          <w:u w:val="double"/>
          <w:lang w:val="en-IE"/>
        </w:rPr>
        <w:t xml:space="preserve">polymerase chain reaction </w:t>
      </w:r>
      <w:r w:rsidR="00E7701D" w:rsidRPr="00ED0E77">
        <w:rPr>
          <w:i w:val="0"/>
          <w:iCs w:val="0"/>
          <w:u w:val="double"/>
          <w:lang w:val="en-IE"/>
        </w:rPr>
        <w:t>(</w:t>
      </w:r>
      <w:r w:rsidR="00E7701D" w:rsidRPr="00ED0E77">
        <w:rPr>
          <w:u w:val="double"/>
          <w:lang w:val="en-IE"/>
        </w:rPr>
        <w:t>PCR</w:t>
      </w:r>
      <w:r w:rsidR="00E7701D" w:rsidRPr="00ED0E77">
        <w:rPr>
          <w:i w:val="0"/>
          <w:iCs w:val="0"/>
          <w:u w:val="double"/>
          <w:lang w:val="en-IE"/>
        </w:rPr>
        <w:t>)</w:t>
      </w:r>
      <w:r w:rsidR="00E7701D" w:rsidRPr="00ED0E77">
        <w:rPr>
          <w:u w:val="double"/>
          <w:lang w:val="en-IE"/>
        </w:rPr>
        <w:t xml:space="preserve"> should be used for agent identification.</w:t>
      </w:r>
      <w:r w:rsidR="00E7701D" w:rsidRPr="00ED0E77">
        <w:rPr>
          <w:lang w:val="en-IE"/>
        </w:rPr>
        <w:t xml:space="preserve"> </w:t>
      </w:r>
      <w:r w:rsidR="0053190D" w:rsidRPr="00ED0E77">
        <w:rPr>
          <w:lang w:val="en-IE"/>
        </w:rPr>
        <w:t>To avoid loss of viability</w:t>
      </w:r>
      <w:r w:rsidR="00E7701D" w:rsidRPr="00ED0E77">
        <w:rPr>
          <w:lang w:val="en-IE"/>
        </w:rPr>
        <w:t xml:space="preserve"> </w:t>
      </w:r>
      <w:r w:rsidR="00E7701D" w:rsidRPr="00ED0E77">
        <w:rPr>
          <w:u w:val="double"/>
          <w:lang w:val="en-IE"/>
        </w:rPr>
        <w:t>for culture</w:t>
      </w:r>
      <w:r w:rsidR="0053190D" w:rsidRPr="00ED0E77">
        <w:rPr>
          <w:lang w:val="en-IE"/>
        </w:rPr>
        <w:t xml:space="preserve">, individual swabs should be fully submerged in Amies charcoal medium and transported to the testing laboratory under temperature-controlled conditions for plating out within 48 hours of collection. Growth of </w:t>
      </w:r>
      <w:r w:rsidR="0053190D" w:rsidRPr="00ED0E77">
        <w:rPr>
          <w:i w:val="0"/>
          <w:iCs w:val="0"/>
          <w:lang w:val="en-IE"/>
        </w:rPr>
        <w:t>T. equigenitalis</w:t>
      </w:r>
      <w:r w:rsidR="0053190D" w:rsidRPr="00ED0E77">
        <w:rPr>
          <w:lang w:val="en-IE"/>
        </w:rPr>
        <w:t xml:space="preserve"> is likely to take 3–6 </w:t>
      </w:r>
      <w:r w:rsidR="0022732C" w:rsidRPr="00ED0E77">
        <w:rPr>
          <w:lang w:val="en-IE"/>
        </w:rPr>
        <w:t xml:space="preserve">days </w:t>
      </w:r>
      <w:r w:rsidR="0053190D" w:rsidRPr="00ED0E77">
        <w:rPr>
          <w:lang w:val="en-IE"/>
        </w:rPr>
        <w:t>at 37°C on specialised media in an atmosphere of 5–10% CO</w:t>
      </w:r>
      <w:r w:rsidR="0053190D" w:rsidRPr="00ED0E77">
        <w:rPr>
          <w:position w:val="-4"/>
          <w:sz w:val="14"/>
          <w:szCs w:val="14"/>
          <w:lang w:val="en-IE"/>
        </w:rPr>
        <w:t>2</w:t>
      </w:r>
      <w:r w:rsidR="0053190D" w:rsidRPr="00ED0E77">
        <w:rPr>
          <w:lang w:val="en-IE"/>
        </w:rPr>
        <w:t xml:space="preserve">. An incubation time of at least 7 days is advisable before certifying cultures negative for </w:t>
      </w:r>
      <w:r w:rsidR="0053190D" w:rsidRPr="00ED0E77">
        <w:rPr>
          <w:i w:val="0"/>
          <w:iCs w:val="0"/>
          <w:lang w:val="en-IE"/>
        </w:rPr>
        <w:t xml:space="preserve">T. equigenitalis. </w:t>
      </w:r>
      <w:r w:rsidR="0053190D" w:rsidRPr="00ED0E77">
        <w:rPr>
          <w:lang w:val="en-IE"/>
        </w:rPr>
        <w:t xml:space="preserve">Identification should include biochemical characterisation, antigenic testing using specific antibodies and molecular genotyping. The fastidious nature of </w:t>
      </w:r>
      <w:r w:rsidR="0053190D" w:rsidRPr="00ED0E77">
        <w:rPr>
          <w:i w:val="0"/>
          <w:iCs w:val="0"/>
          <w:lang w:val="en-IE"/>
        </w:rPr>
        <w:t>T. equigenitalis</w:t>
      </w:r>
      <w:r w:rsidR="0053190D" w:rsidRPr="00ED0E77">
        <w:rPr>
          <w:lang w:val="en-IE"/>
        </w:rPr>
        <w:t xml:space="preserve"> makes it difficult to isolate</w:t>
      </w:r>
      <w:r w:rsidR="00B1008B" w:rsidRPr="00ED0E77">
        <w:rPr>
          <w:lang w:val="en-IE"/>
        </w:rPr>
        <w:t xml:space="preserve">. </w:t>
      </w:r>
      <w:r w:rsidR="00B1008B" w:rsidRPr="00ED0E77">
        <w:rPr>
          <w:strike/>
          <w:lang w:val="en-IE"/>
        </w:rPr>
        <w:t>Therefor</w:t>
      </w:r>
      <w:r w:rsidR="00064CF0" w:rsidRPr="00ED0E77">
        <w:rPr>
          <w:strike/>
          <w:lang w:val="en-IE"/>
        </w:rPr>
        <w:t>e</w:t>
      </w:r>
      <w:r w:rsidR="00AB10B5" w:rsidRPr="00ED0E77">
        <w:rPr>
          <w:strike/>
          <w:lang w:val="en-IE"/>
        </w:rPr>
        <w:t xml:space="preserve"> </w:t>
      </w:r>
      <w:r w:rsidR="00574235" w:rsidRPr="00ED0E77">
        <w:rPr>
          <w:u w:val="double"/>
          <w:lang w:val="en-IE"/>
        </w:rPr>
        <w:t xml:space="preserve">Two </w:t>
      </w:r>
      <w:r w:rsidR="007C68BE" w:rsidRPr="00ED0E77">
        <w:rPr>
          <w:u w:val="double"/>
          <w:lang w:val="en-IE"/>
        </w:rPr>
        <w:t xml:space="preserve">real-time </w:t>
      </w:r>
      <w:r w:rsidR="00E7701D" w:rsidRPr="00ED0E77">
        <w:rPr>
          <w:u w:val="double"/>
          <w:lang w:val="en-IE"/>
        </w:rPr>
        <w:t xml:space="preserve">PCR tests are also available for agent identity testing and have some advantages over culture. </w:t>
      </w:r>
      <w:r w:rsidR="00A0229A" w:rsidRPr="00ED0E77">
        <w:rPr>
          <w:u w:val="double"/>
          <w:lang w:val="en-IE"/>
        </w:rPr>
        <w:t>S</w:t>
      </w:r>
      <w:r w:rsidR="00E7701D" w:rsidRPr="00ED0E77">
        <w:rPr>
          <w:u w:val="double"/>
          <w:lang w:val="en-IE"/>
        </w:rPr>
        <w:t xml:space="preserve">wabs </w:t>
      </w:r>
      <w:r w:rsidR="00A0229A" w:rsidRPr="00ED0E77">
        <w:rPr>
          <w:u w:val="double"/>
          <w:lang w:val="en-IE"/>
        </w:rPr>
        <w:t xml:space="preserve">for </w:t>
      </w:r>
      <w:r w:rsidR="00AB10B5" w:rsidRPr="00ED0E77">
        <w:rPr>
          <w:u w:val="double"/>
          <w:lang w:val="en-IE"/>
        </w:rPr>
        <w:t xml:space="preserve">real-time </w:t>
      </w:r>
      <w:r w:rsidR="00A0229A" w:rsidRPr="00ED0E77">
        <w:rPr>
          <w:u w:val="double"/>
          <w:lang w:val="en-IE"/>
        </w:rPr>
        <w:t xml:space="preserve">PCR </w:t>
      </w:r>
      <w:r w:rsidR="00E7701D" w:rsidRPr="00ED0E77">
        <w:rPr>
          <w:u w:val="double"/>
          <w:lang w:val="en-IE"/>
        </w:rPr>
        <w:t>do not need to be inserted into bacterial transport medium. Other PCR assays are available and</w:t>
      </w:r>
      <w:r w:rsidR="00E7701D" w:rsidRPr="00ED0E77">
        <w:rPr>
          <w:lang w:val="en-IE"/>
        </w:rPr>
        <w:t xml:space="preserve"> a</w:t>
      </w:r>
      <w:r w:rsidR="00B1008B" w:rsidRPr="00ED0E77">
        <w:rPr>
          <w:lang w:val="en-IE"/>
        </w:rPr>
        <w:t xml:space="preserve">dditional detection </w:t>
      </w:r>
      <w:r w:rsidR="00F00244" w:rsidRPr="00ED0E77">
        <w:rPr>
          <w:lang w:val="en-IE"/>
        </w:rPr>
        <w:t>assays</w:t>
      </w:r>
      <w:r w:rsidR="00B1008B" w:rsidRPr="00ED0E77">
        <w:rPr>
          <w:lang w:val="en-IE"/>
        </w:rPr>
        <w:t xml:space="preserve"> </w:t>
      </w:r>
      <w:r w:rsidR="008F2EE6" w:rsidRPr="00ED0E77">
        <w:rPr>
          <w:lang w:val="en-IE"/>
        </w:rPr>
        <w:t>such as</w:t>
      </w:r>
      <w:r w:rsidR="00B1008B" w:rsidRPr="00ED0E77">
        <w:rPr>
          <w:lang w:val="en-IE"/>
        </w:rPr>
        <w:t xml:space="preserve"> </w:t>
      </w:r>
      <w:r w:rsidR="00064CF0" w:rsidRPr="00ED0E77">
        <w:rPr>
          <w:strike/>
          <w:lang w:val="en-IE"/>
        </w:rPr>
        <w:t>polymerase chain reactio</w:t>
      </w:r>
      <w:r w:rsidR="00F00244" w:rsidRPr="00ED0E77">
        <w:rPr>
          <w:strike/>
          <w:lang w:val="en-IE"/>
        </w:rPr>
        <w:t xml:space="preserve">n </w:t>
      </w:r>
      <w:r w:rsidR="00B1008B" w:rsidRPr="00ED0E77">
        <w:rPr>
          <w:strike/>
          <w:lang w:val="en-IE"/>
        </w:rPr>
        <w:t>and</w:t>
      </w:r>
      <w:r w:rsidR="00AB10B5" w:rsidRPr="00ED0E77">
        <w:rPr>
          <w:strike/>
          <w:lang w:val="en-IE"/>
        </w:rPr>
        <w:t xml:space="preserve"> </w:t>
      </w:r>
      <w:r w:rsidR="00E7701D" w:rsidRPr="00ED0E77">
        <w:rPr>
          <w:u w:val="double"/>
          <w:lang w:val="en-IE"/>
        </w:rPr>
        <w:t>the</w:t>
      </w:r>
      <w:r w:rsidR="00E7701D" w:rsidRPr="00ED0E77">
        <w:rPr>
          <w:lang w:val="en-IE"/>
        </w:rPr>
        <w:t xml:space="preserve"> </w:t>
      </w:r>
      <w:r w:rsidR="00064CF0" w:rsidRPr="00ED0E77">
        <w:rPr>
          <w:lang w:val="en-IE"/>
        </w:rPr>
        <w:t>immunoflu</w:t>
      </w:r>
      <w:r w:rsidR="006F5B35" w:rsidRPr="00ED0E77">
        <w:rPr>
          <w:lang w:val="en-IE"/>
        </w:rPr>
        <w:t>o</w:t>
      </w:r>
      <w:r w:rsidR="00064CF0" w:rsidRPr="00ED0E77">
        <w:rPr>
          <w:lang w:val="en-IE"/>
        </w:rPr>
        <w:t xml:space="preserve">rescent </w:t>
      </w:r>
      <w:r w:rsidR="00F00244" w:rsidRPr="00ED0E77">
        <w:rPr>
          <w:lang w:val="en-IE"/>
        </w:rPr>
        <w:t>antibo</w:t>
      </w:r>
      <w:r w:rsidR="00064CF0" w:rsidRPr="00ED0E77">
        <w:rPr>
          <w:lang w:val="en-IE"/>
        </w:rPr>
        <w:t>d</w:t>
      </w:r>
      <w:r w:rsidR="00F00244" w:rsidRPr="00ED0E77">
        <w:rPr>
          <w:lang w:val="en-IE"/>
        </w:rPr>
        <w:t xml:space="preserve">y test </w:t>
      </w:r>
      <w:r w:rsidR="008F2EE6" w:rsidRPr="00ED0E77">
        <w:rPr>
          <w:lang w:val="en-IE"/>
        </w:rPr>
        <w:t>have been</w:t>
      </w:r>
      <w:r w:rsidR="00B1008B" w:rsidRPr="00ED0E77">
        <w:rPr>
          <w:lang w:val="en-IE"/>
        </w:rPr>
        <w:t xml:space="preserve"> developed</w:t>
      </w:r>
      <w:r w:rsidR="0053190D" w:rsidRPr="00ED0E77">
        <w:rPr>
          <w:lang w:val="en-IE"/>
        </w:rPr>
        <w:t xml:space="preserve"> and</w:t>
      </w:r>
      <w:r w:rsidR="008F2EE6" w:rsidRPr="00ED0E77">
        <w:rPr>
          <w:lang w:val="en-IE"/>
        </w:rPr>
        <w:t>,</w:t>
      </w:r>
      <w:r w:rsidR="00F00244" w:rsidRPr="00ED0E77">
        <w:rPr>
          <w:lang w:val="en-IE"/>
        </w:rPr>
        <w:t xml:space="preserve"> ultimately</w:t>
      </w:r>
      <w:r w:rsidR="008F2EE6" w:rsidRPr="00ED0E77">
        <w:rPr>
          <w:lang w:val="en-IE"/>
        </w:rPr>
        <w:t>,</w:t>
      </w:r>
      <w:r w:rsidR="0053190D" w:rsidRPr="00ED0E77">
        <w:rPr>
          <w:lang w:val="en-IE"/>
        </w:rPr>
        <w:t xml:space="preserve"> test-breeding of stallions for detection of the carrier state has been used as </w:t>
      </w:r>
      <w:r w:rsidR="008F2EE6" w:rsidRPr="00ED0E77">
        <w:rPr>
          <w:lang w:val="en-IE"/>
        </w:rPr>
        <w:t xml:space="preserve">an </w:t>
      </w:r>
      <w:r w:rsidR="0053190D" w:rsidRPr="00ED0E77">
        <w:rPr>
          <w:lang w:val="en-IE"/>
        </w:rPr>
        <w:t xml:space="preserve">adjunct to </w:t>
      </w:r>
      <w:r w:rsidR="0053190D" w:rsidRPr="00ED0E77">
        <w:rPr>
          <w:strike/>
          <w:lang w:val="en-IE"/>
        </w:rPr>
        <w:t>cultural examination</w:t>
      </w:r>
      <w:r w:rsidR="00AB10B5" w:rsidRPr="00ED0E77">
        <w:rPr>
          <w:strike/>
          <w:lang w:val="en-IE"/>
        </w:rPr>
        <w:t xml:space="preserve"> </w:t>
      </w:r>
      <w:r w:rsidR="00E7701D" w:rsidRPr="00ED0E77">
        <w:rPr>
          <w:u w:val="double"/>
          <w:lang w:val="en-IE"/>
        </w:rPr>
        <w:t>agent identity testing</w:t>
      </w:r>
      <w:r w:rsidR="00AB10B5" w:rsidRPr="00ED0E77">
        <w:rPr>
          <w:lang w:val="en-IE"/>
        </w:rPr>
        <w:t>.</w:t>
      </w:r>
      <w:r w:rsidR="0053190D" w:rsidRPr="00ED0E77">
        <w:rPr>
          <w:lang w:val="en-IE"/>
        </w:rPr>
        <w:t xml:space="preserve"> </w:t>
      </w:r>
    </w:p>
    <w:p w14:paraId="63B6ED24" w14:textId="6A7A5BB4" w:rsidR="0053190D" w:rsidRPr="00ED0E77" w:rsidRDefault="0053190D" w:rsidP="00684236">
      <w:pPr>
        <w:pStyle w:val="sumtexte"/>
        <w:spacing w:after="100"/>
        <w:rPr>
          <w:lang w:val="en-IE"/>
        </w:rPr>
      </w:pPr>
      <w:r w:rsidRPr="00ED0E77">
        <w:rPr>
          <w:b/>
          <w:bCs/>
          <w:lang w:val="en-IE"/>
        </w:rPr>
        <w:t>Serological tests:</w:t>
      </w:r>
      <w:r w:rsidRPr="00ED0E77">
        <w:rPr>
          <w:lang w:val="en-IE"/>
        </w:rPr>
        <w:t xml:space="preserve"> Serology </w:t>
      </w:r>
      <w:r w:rsidR="00F00244" w:rsidRPr="00ED0E77">
        <w:rPr>
          <w:lang w:val="en-IE"/>
        </w:rPr>
        <w:t>has been used</w:t>
      </w:r>
      <w:r w:rsidRPr="00ED0E77">
        <w:rPr>
          <w:lang w:val="en-IE"/>
        </w:rPr>
        <w:t xml:space="preserve"> </w:t>
      </w:r>
      <w:r w:rsidR="008F2EE6" w:rsidRPr="00ED0E77">
        <w:rPr>
          <w:lang w:val="en-IE"/>
        </w:rPr>
        <w:t>for</w:t>
      </w:r>
      <w:r w:rsidRPr="00ED0E77">
        <w:rPr>
          <w:lang w:val="en-IE"/>
        </w:rPr>
        <w:t xml:space="preserve"> detecting recent, but not chronic, infection in the mare. Serum antibody to </w:t>
      </w:r>
      <w:r w:rsidRPr="00ED0E77">
        <w:rPr>
          <w:i w:val="0"/>
          <w:iCs w:val="0"/>
          <w:lang w:val="en-IE"/>
        </w:rPr>
        <w:t>T. equigenitalis</w:t>
      </w:r>
      <w:r w:rsidRPr="00ED0E77">
        <w:rPr>
          <w:lang w:val="en-IE"/>
        </w:rPr>
        <w:t xml:space="preserve"> can be detected in mares for 3–7 weeks after infection. It may also be demonstrated in the occasional carrier mare, but never in the stallion. No individual serological test described to date has been shown reliably to detect infection. Serological tests can be used as an adjunct to culture for </w:t>
      </w:r>
      <w:r w:rsidRPr="00ED0E77">
        <w:rPr>
          <w:i w:val="0"/>
          <w:iCs w:val="0"/>
          <w:lang w:val="en-IE"/>
        </w:rPr>
        <w:t>T. equigenitalis</w:t>
      </w:r>
      <w:r w:rsidRPr="00ED0E77">
        <w:rPr>
          <w:lang w:val="en-IE"/>
        </w:rPr>
        <w:t xml:space="preserve"> in screening mares recently bred to a carrier stallion, but must not be used as a substitute for culture.</w:t>
      </w:r>
    </w:p>
    <w:p w14:paraId="63B6ED25" w14:textId="77777777" w:rsidR="0053190D" w:rsidRPr="00ED0E77" w:rsidRDefault="0053190D" w:rsidP="0059378C">
      <w:pPr>
        <w:pStyle w:val="sumtextelastpara"/>
        <w:rPr>
          <w:lang w:val="en-IE"/>
        </w:rPr>
      </w:pPr>
      <w:r w:rsidRPr="00ED0E77">
        <w:rPr>
          <w:b/>
          <w:lang w:val="en-IE"/>
        </w:rPr>
        <w:t>Requirements for vaccines:</w:t>
      </w:r>
      <w:r w:rsidRPr="00ED0E77">
        <w:rPr>
          <w:lang w:val="en-IE"/>
        </w:rPr>
        <w:t xml:space="preserve"> Effective vaccines are not yet available.</w:t>
      </w:r>
    </w:p>
    <w:p w14:paraId="63B6ED27" w14:textId="77777777" w:rsidR="0053190D" w:rsidRPr="00ED0E77" w:rsidRDefault="0053190D" w:rsidP="005C1B73">
      <w:pPr>
        <w:pStyle w:val="A0"/>
        <w:keepNext/>
        <w:rPr>
          <w:lang w:val="en-IE"/>
        </w:rPr>
      </w:pPr>
      <w:r w:rsidRPr="00ED0E77">
        <w:rPr>
          <w:lang w:val="en-IE"/>
        </w:rPr>
        <w:lastRenderedPageBreak/>
        <w:t>A.  introduction</w:t>
      </w:r>
    </w:p>
    <w:p w14:paraId="63B6ED28" w14:textId="77777777" w:rsidR="00C3537B" w:rsidRPr="00ED0E77" w:rsidRDefault="009128D8" w:rsidP="005C1B73">
      <w:pPr>
        <w:pStyle w:val="1"/>
        <w:keepNext/>
        <w:rPr>
          <w:lang w:val="en-IE"/>
        </w:rPr>
      </w:pPr>
      <w:r w:rsidRPr="00ED0E77">
        <w:rPr>
          <w:lang w:val="en-IE"/>
        </w:rPr>
        <w:t>1.</w:t>
      </w:r>
      <w:r w:rsidRPr="00ED0E77">
        <w:rPr>
          <w:lang w:val="en-IE"/>
        </w:rPr>
        <w:tab/>
      </w:r>
      <w:r w:rsidR="0022732C" w:rsidRPr="00ED0E77">
        <w:rPr>
          <w:lang w:val="en-IE"/>
        </w:rPr>
        <w:t>Description and impact of the disease</w:t>
      </w:r>
    </w:p>
    <w:p w14:paraId="63B6ED2A" w14:textId="58550781" w:rsidR="00C3537B" w:rsidRPr="00ED0E77" w:rsidRDefault="0022732C" w:rsidP="004C4A7F">
      <w:pPr>
        <w:pStyle w:val="paraA0"/>
        <w:rPr>
          <w:lang w:val="en-IE"/>
        </w:rPr>
      </w:pPr>
      <w:r w:rsidRPr="00ED0E77">
        <w:rPr>
          <w:lang w:val="en-IE"/>
        </w:rPr>
        <w:t xml:space="preserve">Contagious equine metritis was first described in the United Kingdom (UK) in 1977, after which it was diagnosed in a number of countries world-wide. It first presented as disease outbreaks characterised by a mucopurulent vaginal discharge originating from inflammation of the endometrium and cervix, resulting in temporary infertility. Mares may experience more than one episode of the disease in a short </w:t>
      </w:r>
      <w:r w:rsidR="00C0682A" w:rsidRPr="00ED0E77">
        <w:rPr>
          <w:lang w:val="en-IE"/>
        </w:rPr>
        <w:t xml:space="preserve">period. </w:t>
      </w:r>
      <w:r w:rsidRPr="00ED0E77">
        <w:rPr>
          <w:lang w:val="en-IE"/>
        </w:rPr>
        <w:t xml:space="preserve">Most mares recover uneventfully, but some may become carriers of </w:t>
      </w:r>
      <w:r w:rsidR="005B67B8" w:rsidRPr="00ED0E77">
        <w:rPr>
          <w:lang w:val="en-IE"/>
        </w:rPr>
        <w:t xml:space="preserve">the causal organism, </w:t>
      </w:r>
      <w:r w:rsidR="005B67B8" w:rsidRPr="00ED0E77">
        <w:rPr>
          <w:i/>
          <w:lang w:val="en-IE"/>
        </w:rPr>
        <w:t>Taylorella equigenitalis</w:t>
      </w:r>
      <w:r w:rsidR="005B67B8" w:rsidRPr="00ED0E77">
        <w:rPr>
          <w:lang w:val="en-IE"/>
        </w:rPr>
        <w:t xml:space="preserve">, </w:t>
      </w:r>
      <w:r w:rsidRPr="00ED0E77">
        <w:rPr>
          <w:lang w:val="en-IE"/>
        </w:rPr>
        <w:t xml:space="preserve">for many months. Infection does not always adversely affect conception and abortion due to </w:t>
      </w:r>
      <w:r w:rsidRPr="00ED0E77">
        <w:rPr>
          <w:i/>
          <w:lang w:val="en-IE"/>
        </w:rPr>
        <w:t>T.</w:t>
      </w:r>
      <w:r w:rsidR="00204C1B" w:rsidRPr="00ED0E77">
        <w:rPr>
          <w:i/>
          <w:lang w:val="en-IE"/>
        </w:rPr>
        <w:t> </w:t>
      </w:r>
      <w:r w:rsidRPr="00ED0E77">
        <w:rPr>
          <w:i/>
          <w:lang w:val="en-IE"/>
        </w:rPr>
        <w:t>equigenitalis</w:t>
      </w:r>
      <w:r w:rsidRPr="00ED0E77">
        <w:rPr>
          <w:lang w:val="en-IE"/>
        </w:rPr>
        <w:t xml:space="preserve"> is a very rare occurrence. Many primary cases are subclinical, and a frequent indicator of infection is the mare returning in oestrus prematurely after being bred to a putative carrier stallion.</w:t>
      </w:r>
      <w:r w:rsidR="00B1459F" w:rsidRPr="00ED0E77" w:rsidDel="00B1459F">
        <w:rPr>
          <w:lang w:val="en-IE"/>
        </w:rPr>
        <w:t xml:space="preserve"> </w:t>
      </w:r>
      <w:r w:rsidRPr="00ED0E77">
        <w:rPr>
          <w:lang w:val="en-IE"/>
        </w:rPr>
        <w:t>Infection in a stallion is asymptomatic.</w:t>
      </w:r>
    </w:p>
    <w:p w14:paraId="7E02E923" w14:textId="76C449A2" w:rsidR="00D86F96" w:rsidRPr="00ED0E77" w:rsidRDefault="00D86F96" w:rsidP="00D86F96">
      <w:pPr>
        <w:pStyle w:val="1Para"/>
        <w:rPr>
          <w:lang w:val="en-IE"/>
        </w:rPr>
      </w:pPr>
      <w:r w:rsidRPr="00ED0E77">
        <w:rPr>
          <w:lang w:val="en-IE"/>
        </w:rPr>
        <w:t>The carrier state plays an important role in the dissemination of the bacterium. The urogenital membranes of the stallion become contaminated at coitus</w:t>
      </w:r>
      <w:r w:rsidR="00B1459F" w:rsidRPr="00ED0E77">
        <w:rPr>
          <w:lang w:val="en-IE"/>
        </w:rPr>
        <w:t xml:space="preserve"> or by contact with fomites typically employed in semen collection. T</w:t>
      </w:r>
      <w:r w:rsidRPr="00ED0E77">
        <w:rPr>
          <w:lang w:val="en-IE"/>
        </w:rPr>
        <w:t>h</w:t>
      </w:r>
      <w:r w:rsidR="00B1459F" w:rsidRPr="00ED0E77">
        <w:rPr>
          <w:lang w:val="en-IE"/>
        </w:rPr>
        <w:t>e</w:t>
      </w:r>
      <w:r w:rsidRPr="00ED0E77">
        <w:rPr>
          <w:lang w:val="en-IE"/>
        </w:rPr>
        <w:t xml:space="preserve"> carrier state may persist for many months or years. Most carrier mares are clitoral carriers and poor hygienic measures when breeding may also spread the organism.</w:t>
      </w:r>
      <w:r w:rsidRPr="00ED0E77">
        <w:rPr>
          <w:i/>
          <w:iCs/>
          <w:lang w:val="en-IE"/>
        </w:rPr>
        <w:t xml:space="preserve"> </w:t>
      </w:r>
      <w:r w:rsidRPr="00ED0E77">
        <w:rPr>
          <w:iCs/>
          <w:lang w:val="en-IE"/>
        </w:rPr>
        <w:t xml:space="preserve">Prior infection </w:t>
      </w:r>
      <w:r w:rsidRPr="006E72D2">
        <w:rPr>
          <w:iCs/>
          <w:strike/>
          <w:highlight w:val="yellow"/>
          <w:lang w:val="en-IE"/>
        </w:rPr>
        <w:t>or vaccination</w:t>
      </w:r>
      <w:r w:rsidRPr="00D27D89">
        <w:rPr>
          <w:iCs/>
          <w:strike/>
          <w:lang w:val="en-IE"/>
        </w:rPr>
        <w:t xml:space="preserve"> </w:t>
      </w:r>
      <w:r w:rsidRPr="00ED0E77">
        <w:rPr>
          <w:iCs/>
          <w:lang w:val="en-IE"/>
        </w:rPr>
        <w:t xml:space="preserve">is not fully protective as the serum antibody only persists for a few weeks after infection so control of infection has relied solely on prevention of transmission. The organism can be eliminated by treatment with antibiotics combined with antiseptic washing </w:t>
      </w:r>
      <w:r w:rsidR="00A0229A" w:rsidRPr="00ED0E77">
        <w:rPr>
          <w:iCs/>
          <w:u w:val="double"/>
          <w:lang w:val="en-IE"/>
        </w:rPr>
        <w:t>and cleaning</w:t>
      </w:r>
      <w:r w:rsidR="00A0229A" w:rsidRPr="00ED0E77">
        <w:rPr>
          <w:iCs/>
          <w:lang w:val="en-IE"/>
        </w:rPr>
        <w:t xml:space="preserve"> </w:t>
      </w:r>
      <w:r w:rsidRPr="00ED0E77">
        <w:rPr>
          <w:iCs/>
          <w:lang w:val="en-IE"/>
        </w:rPr>
        <w:t xml:space="preserve">of the affected sites. </w:t>
      </w:r>
      <w:r w:rsidRPr="00ED0E77">
        <w:rPr>
          <w:i/>
          <w:iCs/>
          <w:lang w:val="en-IE"/>
        </w:rPr>
        <w:t xml:space="preserve">Taylorella equigenitalis </w:t>
      </w:r>
      <w:r w:rsidRPr="00ED0E77">
        <w:rPr>
          <w:lang w:val="en-IE"/>
        </w:rPr>
        <w:t xml:space="preserve">is not known to infect humans and it should be handled in the laboratory with appropriate biosafety and containment procedures as determined by biorisk analysis (see Chapter 1.1.4 </w:t>
      </w:r>
      <w:r w:rsidRPr="00ED0E77">
        <w:rPr>
          <w:i/>
          <w:lang w:val="en-IE"/>
        </w:rPr>
        <w:t>Biosafety and biosecurity: Standard for managing biological risk in the veterinary laboratory and animal facilities</w:t>
      </w:r>
      <w:r w:rsidRPr="00ED0E77">
        <w:rPr>
          <w:lang w:val="en-IE"/>
        </w:rPr>
        <w:t>).</w:t>
      </w:r>
    </w:p>
    <w:p w14:paraId="63B6ED2B" w14:textId="77777777" w:rsidR="00C3537B" w:rsidRPr="00ED0E77" w:rsidRDefault="009128D8" w:rsidP="009128D8">
      <w:pPr>
        <w:pStyle w:val="1"/>
        <w:rPr>
          <w:lang w:val="en-IE"/>
        </w:rPr>
      </w:pPr>
      <w:r w:rsidRPr="00ED0E77">
        <w:rPr>
          <w:lang w:val="en-IE"/>
        </w:rPr>
        <w:t>2.</w:t>
      </w:r>
      <w:r w:rsidRPr="00ED0E77">
        <w:rPr>
          <w:lang w:val="en-IE"/>
        </w:rPr>
        <w:tab/>
      </w:r>
      <w:r w:rsidR="00C3537B" w:rsidRPr="00ED0E77">
        <w:rPr>
          <w:lang w:val="en-IE"/>
        </w:rPr>
        <w:t xml:space="preserve">Nature and </w:t>
      </w:r>
      <w:r w:rsidR="0022732C" w:rsidRPr="00ED0E77">
        <w:rPr>
          <w:lang w:val="en-IE"/>
        </w:rPr>
        <w:t>classification of the pathogen</w:t>
      </w:r>
    </w:p>
    <w:p w14:paraId="6B22BEE4" w14:textId="24AA6C67" w:rsidR="007B24DD" w:rsidRPr="00ED0E77" w:rsidRDefault="007B24DD" w:rsidP="007B24DD">
      <w:pPr>
        <w:pStyle w:val="1Para"/>
        <w:rPr>
          <w:lang w:val="en-IE"/>
        </w:rPr>
      </w:pPr>
      <w:r w:rsidRPr="00ED0E77">
        <w:rPr>
          <w:i/>
          <w:iCs/>
          <w:lang w:val="en-IE"/>
        </w:rPr>
        <w:t>Taylorella equigenitalis</w:t>
      </w:r>
      <w:r w:rsidRPr="00ED0E77">
        <w:rPr>
          <w:lang w:val="en-IE"/>
        </w:rPr>
        <w:t xml:space="preserve"> is a Gram-negative, non</w:t>
      </w:r>
      <w:r w:rsidR="00A0229A" w:rsidRPr="00ED0E77">
        <w:rPr>
          <w:lang w:val="en-IE"/>
        </w:rPr>
        <w:t>-</w:t>
      </w:r>
      <w:r w:rsidRPr="00ED0E77">
        <w:rPr>
          <w:lang w:val="en-IE"/>
        </w:rPr>
        <w:t>motile, bacillus or cocco-bacillus that is often pleomorphic (up to 6 µm long) and may exhibit bipolar staining. It is catalase positive, phosphatase positive, and strongly oxidase positive. It is otherwise inert in tests for biochemical activity.</w:t>
      </w:r>
    </w:p>
    <w:p w14:paraId="63B6ED38" w14:textId="77777777" w:rsidR="00C3537B" w:rsidRPr="00ED0E77" w:rsidRDefault="009128D8" w:rsidP="009128D8">
      <w:pPr>
        <w:pStyle w:val="1"/>
        <w:rPr>
          <w:lang w:val="en-IE"/>
        </w:rPr>
      </w:pPr>
      <w:r w:rsidRPr="00ED0E77">
        <w:rPr>
          <w:lang w:val="en-IE"/>
        </w:rPr>
        <w:t>3.</w:t>
      </w:r>
      <w:r w:rsidRPr="00ED0E77">
        <w:rPr>
          <w:lang w:val="en-IE"/>
        </w:rPr>
        <w:tab/>
      </w:r>
      <w:r w:rsidR="00C3537B" w:rsidRPr="00ED0E77">
        <w:rPr>
          <w:lang w:val="en-IE"/>
        </w:rPr>
        <w:t>Differ</w:t>
      </w:r>
      <w:r w:rsidR="0022732C" w:rsidRPr="00ED0E77">
        <w:rPr>
          <w:lang w:val="en-IE"/>
        </w:rPr>
        <w:t>ential diagnosis</w:t>
      </w:r>
    </w:p>
    <w:p w14:paraId="63B6ED39" w14:textId="6204674E" w:rsidR="00C3537B" w:rsidRPr="00ED0E77" w:rsidRDefault="00C3537B" w:rsidP="009128D8">
      <w:pPr>
        <w:pStyle w:val="1Para"/>
        <w:rPr>
          <w:lang w:val="en-IE"/>
        </w:rPr>
      </w:pPr>
      <w:r w:rsidRPr="00ED0E77">
        <w:rPr>
          <w:lang w:val="en-IE"/>
        </w:rPr>
        <w:t xml:space="preserve">The fastidious slow growing organism can be isolated in the laboratory from swabs of </w:t>
      </w:r>
      <w:r w:rsidR="00A05292" w:rsidRPr="00ED0E77">
        <w:rPr>
          <w:lang w:val="en-IE"/>
        </w:rPr>
        <w:t xml:space="preserve">colonisation sites in </w:t>
      </w:r>
      <w:r w:rsidRPr="00ED0E77">
        <w:rPr>
          <w:lang w:val="en-IE"/>
        </w:rPr>
        <w:t xml:space="preserve">the reproductive tract of stallions and mares </w:t>
      </w:r>
      <w:r w:rsidR="00A05292" w:rsidRPr="00ED0E77">
        <w:rPr>
          <w:lang w:val="en-IE"/>
        </w:rPr>
        <w:t>(urethral fossa, urethral sinus, terminal urethra and penile sheath</w:t>
      </w:r>
      <w:r w:rsidR="00821E64" w:rsidRPr="006E72D2">
        <w:rPr>
          <w:highlight w:val="yellow"/>
          <w:u w:val="double"/>
          <w:lang w:val="en-IE"/>
        </w:rPr>
        <w:t xml:space="preserve">; </w:t>
      </w:r>
      <w:r w:rsidR="00821E64" w:rsidRPr="006E72D2">
        <w:rPr>
          <w:highlight w:val="yellow"/>
          <w:u w:val="double"/>
        </w:rPr>
        <w:t>clitoral fossa, clitoral sinuses and endometrium</w:t>
      </w:r>
      <w:r w:rsidR="00A05292" w:rsidRPr="00ED0E77">
        <w:rPr>
          <w:lang w:val="en-IE"/>
        </w:rPr>
        <w:t xml:space="preserve">) </w:t>
      </w:r>
      <w:r w:rsidRPr="00ED0E77">
        <w:rPr>
          <w:lang w:val="en-IE"/>
        </w:rPr>
        <w:t xml:space="preserve">using the correct atmospheric conditions and is currently the preferred procedure for </w:t>
      </w:r>
      <w:r w:rsidR="00FE1E7C" w:rsidRPr="00ED0E77">
        <w:rPr>
          <w:lang w:val="en-IE"/>
        </w:rPr>
        <w:t>international trade</w:t>
      </w:r>
      <w:r w:rsidR="00A05292" w:rsidRPr="00ED0E77">
        <w:rPr>
          <w:lang w:val="en-IE"/>
        </w:rPr>
        <w:t xml:space="preserve"> or movement</w:t>
      </w:r>
      <w:r w:rsidRPr="00ED0E77">
        <w:rPr>
          <w:lang w:val="en-IE"/>
        </w:rPr>
        <w:t>.</w:t>
      </w:r>
      <w:r w:rsidR="00A05292" w:rsidRPr="00ED0E77">
        <w:rPr>
          <w:lang w:val="en-IE"/>
        </w:rPr>
        <w:t xml:space="preserve"> Designated swabbing sites are usually specified for international movement, by the competent authorities.</w:t>
      </w:r>
      <w:r w:rsidRPr="00ED0E77">
        <w:rPr>
          <w:lang w:val="en-IE"/>
        </w:rPr>
        <w:t xml:space="preserve"> </w:t>
      </w:r>
    </w:p>
    <w:p w14:paraId="63B6ED3A" w14:textId="07BBD8DE" w:rsidR="00C3537B" w:rsidRPr="00ED0E77" w:rsidRDefault="00C3537B" w:rsidP="009128D8">
      <w:pPr>
        <w:pStyle w:val="1Para"/>
        <w:spacing w:after="480"/>
        <w:rPr>
          <w:lang w:val="en-IE"/>
        </w:rPr>
      </w:pPr>
      <w:r w:rsidRPr="00ED0E77">
        <w:rPr>
          <w:lang w:val="en-IE"/>
        </w:rPr>
        <w:t xml:space="preserve">Molecular testing methods such as </w:t>
      </w:r>
      <w:r w:rsidR="00204C1B" w:rsidRPr="00ED0E77">
        <w:rPr>
          <w:lang w:val="en-IE"/>
        </w:rPr>
        <w:t>polymerase chain reaction (PCR)</w:t>
      </w:r>
      <w:r w:rsidRPr="00ED0E77">
        <w:rPr>
          <w:lang w:val="en-IE"/>
        </w:rPr>
        <w:t xml:space="preserve"> and</w:t>
      </w:r>
      <w:r w:rsidR="00087D82" w:rsidRPr="00ED0E77">
        <w:rPr>
          <w:lang w:val="en-IE"/>
        </w:rPr>
        <w:t xml:space="preserve"> </w:t>
      </w:r>
      <w:r w:rsidR="00602F38" w:rsidRPr="00ED0E77">
        <w:rPr>
          <w:u w:val="double"/>
          <w:lang w:val="en-IE"/>
        </w:rPr>
        <w:t>particularly</w:t>
      </w:r>
      <w:r w:rsidR="00602F38" w:rsidRPr="00ED0E77">
        <w:rPr>
          <w:lang w:val="en-IE"/>
        </w:rPr>
        <w:t xml:space="preserve"> </w:t>
      </w:r>
      <w:r w:rsidR="00FE1E7C" w:rsidRPr="00ED0E77">
        <w:rPr>
          <w:lang w:val="en-IE"/>
        </w:rPr>
        <w:t xml:space="preserve">real-time </w:t>
      </w:r>
      <w:r w:rsidRPr="00ED0E77">
        <w:rPr>
          <w:lang w:val="en-IE"/>
        </w:rPr>
        <w:t xml:space="preserve">PCR are now commonly used to detect </w:t>
      </w:r>
      <w:r w:rsidRPr="00ED0E77">
        <w:rPr>
          <w:i/>
          <w:lang w:val="en-IE"/>
        </w:rPr>
        <w:t>Taylorella</w:t>
      </w:r>
      <w:r w:rsidRPr="00ED0E77">
        <w:rPr>
          <w:lang w:val="en-IE"/>
        </w:rPr>
        <w:t xml:space="preserve"> both from swabs an</w:t>
      </w:r>
      <w:r w:rsidR="00BD4584" w:rsidRPr="00ED0E77">
        <w:rPr>
          <w:lang w:val="en-IE"/>
        </w:rPr>
        <w:t>d culture plates. They have the</w:t>
      </w:r>
      <w:r w:rsidRPr="00ED0E77">
        <w:rPr>
          <w:lang w:val="en-IE"/>
        </w:rPr>
        <w:t xml:space="preserve"> advantage of speed of result and can </w:t>
      </w:r>
      <w:r w:rsidRPr="00ED0E77">
        <w:rPr>
          <w:strike/>
          <w:lang w:val="en-IE"/>
        </w:rPr>
        <w:t>easily</w:t>
      </w:r>
      <w:r w:rsidR="00AB10B5" w:rsidRPr="00ED0E77">
        <w:rPr>
          <w:strike/>
          <w:lang w:val="en-IE"/>
        </w:rPr>
        <w:t xml:space="preserve"> </w:t>
      </w:r>
      <w:r w:rsidR="00087D82" w:rsidRPr="00ED0E77">
        <w:rPr>
          <w:u w:val="double"/>
          <w:lang w:val="en-IE"/>
        </w:rPr>
        <w:t>usually</w:t>
      </w:r>
      <w:r w:rsidR="00087D82" w:rsidRPr="00ED0E77">
        <w:rPr>
          <w:lang w:val="en-IE"/>
        </w:rPr>
        <w:t xml:space="preserve"> </w:t>
      </w:r>
      <w:r w:rsidRPr="00ED0E77">
        <w:rPr>
          <w:lang w:val="en-IE"/>
        </w:rPr>
        <w:t xml:space="preserve">differentiate between </w:t>
      </w:r>
      <w:r w:rsidRPr="00ED0E77">
        <w:rPr>
          <w:i/>
          <w:lang w:val="en-IE"/>
        </w:rPr>
        <w:t>T</w:t>
      </w:r>
      <w:r w:rsidR="00F00244" w:rsidRPr="00ED0E77">
        <w:rPr>
          <w:i/>
          <w:lang w:val="en-IE"/>
        </w:rPr>
        <w:t>.</w:t>
      </w:r>
      <w:r w:rsidRPr="00ED0E77">
        <w:rPr>
          <w:i/>
          <w:lang w:val="en-IE"/>
        </w:rPr>
        <w:t xml:space="preserve"> equigenitalis</w:t>
      </w:r>
      <w:r w:rsidRPr="00ED0E77">
        <w:rPr>
          <w:lang w:val="en-IE"/>
        </w:rPr>
        <w:t xml:space="preserve"> and </w:t>
      </w:r>
      <w:r w:rsidR="00F00244" w:rsidRPr="00ED0E77">
        <w:rPr>
          <w:i/>
          <w:lang w:val="en-IE"/>
        </w:rPr>
        <w:t xml:space="preserve">T. </w:t>
      </w:r>
      <w:r w:rsidRPr="00ED0E77">
        <w:rPr>
          <w:i/>
          <w:lang w:val="en-IE"/>
        </w:rPr>
        <w:t>asinigenitalis</w:t>
      </w:r>
      <w:r w:rsidRPr="00ED0E77">
        <w:rPr>
          <w:lang w:val="en-IE"/>
        </w:rPr>
        <w:t>.</w:t>
      </w:r>
    </w:p>
    <w:p w14:paraId="63B6ED3C" w14:textId="77777777" w:rsidR="00F87B06" w:rsidRPr="00ED0E77" w:rsidRDefault="00F87B06" w:rsidP="00F87B06">
      <w:pPr>
        <w:pStyle w:val="A0"/>
        <w:widowControl w:val="0"/>
        <w:rPr>
          <w:lang w:val="en-IE"/>
        </w:rPr>
      </w:pPr>
      <w:r w:rsidRPr="00ED0E77">
        <w:rPr>
          <w:lang w:val="en-IE"/>
        </w:rPr>
        <w:t>b.  DIAGNOSTIC TECHNIQUES</w:t>
      </w:r>
    </w:p>
    <w:p w14:paraId="391451A3" w14:textId="77777777" w:rsidR="00F92474" w:rsidRPr="00ED0E77" w:rsidRDefault="00F92474" w:rsidP="00F92474">
      <w:pPr>
        <w:pStyle w:val="para1"/>
        <w:spacing w:after="120"/>
        <w:jc w:val="center"/>
        <w:rPr>
          <w:rFonts w:ascii="Ottawa" w:hAnsi="Ottawa"/>
          <w:i/>
          <w:iCs/>
          <w:lang w:val="en-IE"/>
        </w:rPr>
      </w:pPr>
      <w:bookmarkStart w:id="0" w:name="_Hlk76656170"/>
      <w:r w:rsidRPr="00ED0E77">
        <w:rPr>
          <w:rFonts w:ascii="Ottawa" w:hAnsi="Ottawa"/>
          <w:b/>
          <w:bCs/>
          <w:i/>
          <w:iCs/>
          <w:lang w:val="en-IE"/>
        </w:rPr>
        <w:t xml:space="preserve">Table </w:t>
      </w:r>
      <w:r w:rsidRPr="00ED0E77">
        <w:rPr>
          <w:rFonts w:ascii="Ottawa" w:hAnsi="Ottawa"/>
          <w:b/>
          <w:bCs/>
          <w:i/>
          <w:iCs/>
          <w:noProof/>
          <w:lang w:val="en-IE"/>
        </w:rPr>
        <w:t>1</w:t>
      </w:r>
      <w:r w:rsidRPr="00ED0E77">
        <w:rPr>
          <w:rFonts w:ascii="Ottawa" w:hAnsi="Ottawa"/>
          <w:b/>
          <w:bCs/>
          <w:i/>
          <w:iCs/>
          <w:lang w:val="en-IE"/>
        </w:rPr>
        <w:t>.</w:t>
      </w:r>
      <w:r w:rsidRPr="00ED0E77">
        <w:rPr>
          <w:rFonts w:ascii="Ottawa" w:hAnsi="Ottawa"/>
          <w:i/>
          <w:iCs/>
          <w:lang w:val="en-IE"/>
        </w:rPr>
        <w:t xml:space="preserve"> Test methods available for the diagnosis of contagious equine metritis and their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264"/>
        <w:gridCol w:w="1134"/>
        <w:gridCol w:w="1418"/>
        <w:gridCol w:w="1275"/>
        <w:gridCol w:w="1134"/>
        <w:gridCol w:w="1134"/>
        <w:gridCol w:w="1688"/>
      </w:tblGrid>
      <w:tr w:rsidR="002B78BC" w:rsidRPr="00ED0E77" w14:paraId="63B6ED41" w14:textId="77777777" w:rsidTr="00AB10B5">
        <w:trPr>
          <w:trHeight w:val="402"/>
          <w:tblHeader/>
          <w:jc w:val="center"/>
        </w:trPr>
        <w:tc>
          <w:tcPr>
            <w:tcW w:w="1264" w:type="dxa"/>
            <w:vMerge w:val="restart"/>
            <w:vAlign w:val="center"/>
          </w:tcPr>
          <w:bookmarkEnd w:id="0"/>
          <w:p w14:paraId="63B6ED3F" w14:textId="2242AAF8" w:rsidR="008E359B" w:rsidRPr="00ED0E77" w:rsidRDefault="008E359B" w:rsidP="0059378C">
            <w:pPr>
              <w:pStyle w:val="TableHead"/>
              <w:rPr>
                <w:rFonts w:ascii="Arial" w:hAnsi="Arial" w:cs="Arial"/>
                <w:b w:val="0"/>
                <w:bCs w:val="0"/>
                <w:sz w:val="16"/>
                <w:szCs w:val="16"/>
              </w:rPr>
            </w:pPr>
            <w:r w:rsidRPr="00ED0E77">
              <w:rPr>
                <w:rFonts w:ascii="Arial" w:hAnsi="Arial" w:cs="Arial"/>
              </w:rPr>
              <w:t>Method</w:t>
            </w:r>
          </w:p>
        </w:tc>
        <w:tc>
          <w:tcPr>
            <w:tcW w:w="7783" w:type="dxa"/>
            <w:gridSpan w:val="6"/>
            <w:vAlign w:val="center"/>
          </w:tcPr>
          <w:p w14:paraId="63B6ED40" w14:textId="77777777" w:rsidR="008E359B" w:rsidRPr="00ED0E77" w:rsidRDefault="008E359B" w:rsidP="008E359B">
            <w:pPr>
              <w:pStyle w:val="Tabletext"/>
              <w:rPr>
                <w:b/>
                <w:bCs/>
                <w:sz w:val="16"/>
                <w:szCs w:val="16"/>
              </w:rPr>
            </w:pPr>
            <w:r w:rsidRPr="00ED0E77">
              <w:rPr>
                <w:b/>
                <w:bCs/>
              </w:rPr>
              <w:t>Purpose</w:t>
            </w:r>
          </w:p>
        </w:tc>
      </w:tr>
      <w:tr w:rsidR="002B78BC" w:rsidRPr="00ED0E77" w14:paraId="63B6ED49" w14:textId="77777777" w:rsidTr="00AB10B5">
        <w:trPr>
          <w:trHeight w:val="402"/>
          <w:tblHeader/>
          <w:jc w:val="center"/>
        </w:trPr>
        <w:tc>
          <w:tcPr>
            <w:tcW w:w="1264" w:type="dxa"/>
            <w:vMerge/>
            <w:vAlign w:val="center"/>
          </w:tcPr>
          <w:p w14:paraId="63B6ED42" w14:textId="77777777" w:rsidR="008E359B" w:rsidRPr="00ED0E77" w:rsidRDefault="008E359B" w:rsidP="008E359B">
            <w:pPr>
              <w:pStyle w:val="TableHead"/>
              <w:jc w:val="both"/>
              <w:rPr>
                <w:rFonts w:ascii="Arial" w:hAnsi="Arial" w:cs="Arial"/>
                <w:sz w:val="16"/>
                <w:szCs w:val="16"/>
              </w:rPr>
            </w:pPr>
          </w:p>
        </w:tc>
        <w:tc>
          <w:tcPr>
            <w:tcW w:w="1134" w:type="dxa"/>
            <w:vAlign w:val="center"/>
          </w:tcPr>
          <w:p w14:paraId="63B6ED43" w14:textId="77777777" w:rsidR="008E359B" w:rsidRPr="00ED0E77" w:rsidRDefault="008E359B" w:rsidP="008E359B">
            <w:pPr>
              <w:pStyle w:val="Tabletext"/>
              <w:rPr>
                <w:sz w:val="16"/>
                <w:szCs w:val="16"/>
              </w:rPr>
            </w:pPr>
            <w:r w:rsidRPr="00ED0E77">
              <w:rPr>
                <w:sz w:val="16"/>
                <w:szCs w:val="16"/>
              </w:rPr>
              <w:t>Population freedom from infection</w:t>
            </w:r>
          </w:p>
        </w:tc>
        <w:tc>
          <w:tcPr>
            <w:tcW w:w="1418" w:type="dxa"/>
            <w:vAlign w:val="center"/>
          </w:tcPr>
          <w:p w14:paraId="63B6ED44" w14:textId="77777777" w:rsidR="008E359B" w:rsidRPr="00ED0E77" w:rsidRDefault="008E359B" w:rsidP="008E359B">
            <w:pPr>
              <w:pStyle w:val="Tabletext"/>
              <w:rPr>
                <w:sz w:val="16"/>
                <w:szCs w:val="16"/>
              </w:rPr>
            </w:pPr>
            <w:r w:rsidRPr="00ED0E77">
              <w:rPr>
                <w:sz w:val="16"/>
                <w:szCs w:val="16"/>
              </w:rPr>
              <w:t>Individual animal freedom from infection prior to movement</w:t>
            </w:r>
          </w:p>
        </w:tc>
        <w:tc>
          <w:tcPr>
            <w:tcW w:w="1275" w:type="dxa"/>
            <w:vAlign w:val="center"/>
          </w:tcPr>
          <w:p w14:paraId="63B6ED45" w14:textId="77777777" w:rsidR="008E359B" w:rsidRPr="00ED0E77" w:rsidRDefault="008E359B" w:rsidP="008E359B">
            <w:pPr>
              <w:pStyle w:val="Tabletext"/>
              <w:rPr>
                <w:sz w:val="16"/>
                <w:szCs w:val="16"/>
              </w:rPr>
            </w:pPr>
            <w:r w:rsidRPr="00ED0E77">
              <w:rPr>
                <w:sz w:val="16"/>
                <w:szCs w:val="16"/>
              </w:rPr>
              <w:t>Contribute to eradication policies</w:t>
            </w:r>
          </w:p>
        </w:tc>
        <w:tc>
          <w:tcPr>
            <w:tcW w:w="1134" w:type="dxa"/>
            <w:vAlign w:val="center"/>
          </w:tcPr>
          <w:p w14:paraId="63B6ED46" w14:textId="77777777" w:rsidR="008E359B" w:rsidRPr="00ED0E77" w:rsidRDefault="008E359B" w:rsidP="008E359B">
            <w:pPr>
              <w:pStyle w:val="Tabletext"/>
              <w:rPr>
                <w:sz w:val="16"/>
                <w:szCs w:val="16"/>
              </w:rPr>
            </w:pPr>
            <w:r w:rsidRPr="00ED0E77">
              <w:rPr>
                <w:sz w:val="16"/>
                <w:szCs w:val="16"/>
              </w:rPr>
              <w:t>Confirmation of clinical cases</w:t>
            </w:r>
          </w:p>
        </w:tc>
        <w:tc>
          <w:tcPr>
            <w:tcW w:w="1134" w:type="dxa"/>
            <w:vAlign w:val="center"/>
          </w:tcPr>
          <w:p w14:paraId="63B6ED47" w14:textId="77777777" w:rsidR="008E359B" w:rsidRPr="00ED0E77" w:rsidRDefault="008E359B" w:rsidP="008E359B">
            <w:pPr>
              <w:pStyle w:val="Tabletext"/>
              <w:rPr>
                <w:sz w:val="16"/>
                <w:szCs w:val="16"/>
              </w:rPr>
            </w:pPr>
            <w:r w:rsidRPr="00ED0E77">
              <w:rPr>
                <w:sz w:val="16"/>
                <w:szCs w:val="16"/>
              </w:rPr>
              <w:t>Prevalence of infection – surveillance</w:t>
            </w:r>
          </w:p>
        </w:tc>
        <w:tc>
          <w:tcPr>
            <w:tcW w:w="1688" w:type="dxa"/>
            <w:vAlign w:val="center"/>
          </w:tcPr>
          <w:p w14:paraId="63B6ED48" w14:textId="77777777" w:rsidR="008E359B" w:rsidRPr="00ED0E77" w:rsidRDefault="008E359B" w:rsidP="008E359B">
            <w:pPr>
              <w:pStyle w:val="Tabletext"/>
              <w:rPr>
                <w:sz w:val="16"/>
                <w:szCs w:val="16"/>
              </w:rPr>
            </w:pPr>
            <w:r w:rsidRPr="00ED0E77">
              <w:rPr>
                <w:sz w:val="16"/>
                <w:szCs w:val="16"/>
              </w:rPr>
              <w:t>Immune status in individual animals or populations post-vaccination</w:t>
            </w:r>
          </w:p>
        </w:tc>
      </w:tr>
      <w:tr w:rsidR="002B78BC" w:rsidRPr="00ED0E77" w14:paraId="63B6ED4B" w14:textId="77777777" w:rsidTr="00AB10B5">
        <w:trPr>
          <w:trHeight w:val="402"/>
          <w:jc w:val="center"/>
        </w:trPr>
        <w:tc>
          <w:tcPr>
            <w:tcW w:w="9047" w:type="dxa"/>
            <w:gridSpan w:val="7"/>
            <w:shd w:val="pct10" w:color="auto" w:fill="auto"/>
          </w:tcPr>
          <w:p w14:paraId="63B6ED4A" w14:textId="2B05F5DD" w:rsidR="008E359B" w:rsidRPr="00ED0E77" w:rsidRDefault="00AB10B5" w:rsidP="008E359B">
            <w:pPr>
              <w:pStyle w:val="Tabletext"/>
            </w:pPr>
            <w:r w:rsidRPr="00ED0E77">
              <w:rPr>
                <w:b/>
                <w:bCs/>
                <w:sz w:val="16"/>
                <w:szCs w:val="16"/>
              </w:rPr>
              <w:t xml:space="preserve">Detection </w:t>
            </w:r>
            <w:r w:rsidR="000206C2" w:rsidRPr="006E72D2">
              <w:rPr>
                <w:b/>
                <w:bCs/>
                <w:sz w:val="16"/>
                <w:szCs w:val="16"/>
                <w:highlight w:val="yellow"/>
                <w:u w:val="double"/>
              </w:rPr>
              <w:t>and identification</w:t>
            </w:r>
            <w:r w:rsidR="000206C2">
              <w:rPr>
                <w:b/>
                <w:bCs/>
                <w:sz w:val="16"/>
                <w:szCs w:val="16"/>
              </w:rPr>
              <w:t xml:space="preserve"> </w:t>
            </w:r>
            <w:r w:rsidRPr="00ED0E77">
              <w:rPr>
                <w:b/>
                <w:bCs/>
                <w:sz w:val="16"/>
                <w:szCs w:val="16"/>
              </w:rPr>
              <w:t>of the agent</w:t>
            </w:r>
          </w:p>
        </w:tc>
      </w:tr>
      <w:tr w:rsidR="002B78BC" w:rsidRPr="00ED0E77" w14:paraId="63B6ED53" w14:textId="77777777" w:rsidTr="00AB10B5">
        <w:trPr>
          <w:trHeight w:val="402"/>
          <w:jc w:val="center"/>
        </w:trPr>
        <w:tc>
          <w:tcPr>
            <w:tcW w:w="1264" w:type="dxa"/>
            <w:vAlign w:val="center"/>
          </w:tcPr>
          <w:p w14:paraId="63B6ED4C" w14:textId="77777777" w:rsidR="008E359B" w:rsidRPr="00ED0E77" w:rsidRDefault="00C048B2" w:rsidP="00C048B2">
            <w:pPr>
              <w:spacing w:before="60" w:after="40" w:line="240" w:lineRule="auto"/>
              <w:jc w:val="center"/>
              <w:rPr>
                <w:rFonts w:ascii="Arial" w:hAnsi="Arial" w:cs="Arial"/>
                <w:b/>
                <w:bCs/>
                <w:sz w:val="16"/>
                <w:szCs w:val="16"/>
                <w:lang w:val="en-IE"/>
              </w:rPr>
            </w:pPr>
            <w:r w:rsidRPr="00ED0E77">
              <w:rPr>
                <w:rFonts w:ascii="Arial" w:hAnsi="Arial" w:cs="Arial"/>
                <w:b/>
                <w:bCs/>
                <w:sz w:val="16"/>
                <w:szCs w:val="16"/>
                <w:lang w:val="en-IE"/>
              </w:rPr>
              <w:t>Bacterial isolation and identification</w:t>
            </w:r>
          </w:p>
        </w:tc>
        <w:tc>
          <w:tcPr>
            <w:tcW w:w="1134" w:type="dxa"/>
            <w:vAlign w:val="center"/>
          </w:tcPr>
          <w:p w14:paraId="63B6ED4D" w14:textId="77777777" w:rsidR="008E359B" w:rsidRPr="00ED0E77" w:rsidRDefault="00C048B2" w:rsidP="008E359B">
            <w:pPr>
              <w:pStyle w:val="Tabletext"/>
              <w:rPr>
                <w:sz w:val="16"/>
                <w:szCs w:val="16"/>
              </w:rPr>
            </w:pPr>
            <w:r w:rsidRPr="00ED0E77">
              <w:rPr>
                <w:sz w:val="16"/>
                <w:szCs w:val="16"/>
              </w:rPr>
              <w:t>+++</w:t>
            </w:r>
          </w:p>
        </w:tc>
        <w:tc>
          <w:tcPr>
            <w:tcW w:w="1418" w:type="dxa"/>
            <w:vAlign w:val="center"/>
          </w:tcPr>
          <w:p w14:paraId="63B6ED4E" w14:textId="77777777" w:rsidR="008E359B" w:rsidRPr="00ED0E77" w:rsidRDefault="00C048B2" w:rsidP="008E359B">
            <w:pPr>
              <w:pStyle w:val="Tabletext"/>
              <w:rPr>
                <w:sz w:val="16"/>
                <w:szCs w:val="16"/>
              </w:rPr>
            </w:pPr>
            <w:r w:rsidRPr="00ED0E77">
              <w:rPr>
                <w:sz w:val="16"/>
                <w:szCs w:val="16"/>
              </w:rPr>
              <w:t>+++</w:t>
            </w:r>
          </w:p>
        </w:tc>
        <w:tc>
          <w:tcPr>
            <w:tcW w:w="1275" w:type="dxa"/>
            <w:vAlign w:val="center"/>
          </w:tcPr>
          <w:p w14:paraId="63B6ED4F" w14:textId="77777777" w:rsidR="008E359B" w:rsidRPr="00ED0E77" w:rsidRDefault="00C048B2" w:rsidP="008E359B">
            <w:pPr>
              <w:pStyle w:val="Tabletext"/>
              <w:rPr>
                <w:sz w:val="16"/>
                <w:szCs w:val="16"/>
              </w:rPr>
            </w:pPr>
            <w:r w:rsidRPr="00ED0E77">
              <w:rPr>
                <w:sz w:val="16"/>
                <w:szCs w:val="16"/>
              </w:rPr>
              <w:t>+++</w:t>
            </w:r>
          </w:p>
        </w:tc>
        <w:tc>
          <w:tcPr>
            <w:tcW w:w="1134" w:type="dxa"/>
            <w:vAlign w:val="center"/>
          </w:tcPr>
          <w:p w14:paraId="63B6ED50" w14:textId="77777777" w:rsidR="008E359B" w:rsidRPr="00ED0E77" w:rsidRDefault="00C048B2" w:rsidP="008E359B">
            <w:pPr>
              <w:pStyle w:val="Tabletext"/>
              <w:rPr>
                <w:sz w:val="16"/>
                <w:szCs w:val="16"/>
              </w:rPr>
            </w:pPr>
            <w:r w:rsidRPr="00ED0E77">
              <w:rPr>
                <w:sz w:val="16"/>
                <w:szCs w:val="16"/>
              </w:rPr>
              <w:t>+++</w:t>
            </w:r>
          </w:p>
        </w:tc>
        <w:tc>
          <w:tcPr>
            <w:tcW w:w="1134" w:type="dxa"/>
            <w:vAlign w:val="center"/>
          </w:tcPr>
          <w:p w14:paraId="63B6ED51" w14:textId="77777777" w:rsidR="008E359B" w:rsidRPr="00ED0E77" w:rsidRDefault="00C048B2" w:rsidP="008E359B">
            <w:pPr>
              <w:pStyle w:val="Tabletext"/>
              <w:rPr>
                <w:sz w:val="16"/>
                <w:szCs w:val="16"/>
              </w:rPr>
            </w:pPr>
            <w:r w:rsidRPr="00ED0E77">
              <w:rPr>
                <w:sz w:val="16"/>
                <w:szCs w:val="16"/>
              </w:rPr>
              <w:t>+++</w:t>
            </w:r>
          </w:p>
        </w:tc>
        <w:tc>
          <w:tcPr>
            <w:tcW w:w="1688" w:type="dxa"/>
            <w:vAlign w:val="center"/>
          </w:tcPr>
          <w:p w14:paraId="63B6ED52" w14:textId="001E3923" w:rsidR="008E359B" w:rsidRPr="00ED0E77" w:rsidRDefault="00AB10B5" w:rsidP="008E359B">
            <w:pPr>
              <w:pStyle w:val="Tabletext"/>
              <w:rPr>
                <w:sz w:val="16"/>
                <w:szCs w:val="16"/>
              </w:rPr>
            </w:pPr>
            <w:r w:rsidRPr="00ED0E77">
              <w:rPr>
                <w:sz w:val="16"/>
                <w:szCs w:val="16"/>
              </w:rPr>
              <w:t>–</w:t>
            </w:r>
          </w:p>
        </w:tc>
      </w:tr>
      <w:tr w:rsidR="002B78BC" w:rsidRPr="00ED0E77" w14:paraId="63B6ED5B" w14:textId="77777777" w:rsidTr="00AB10B5">
        <w:trPr>
          <w:trHeight w:val="402"/>
          <w:jc w:val="center"/>
        </w:trPr>
        <w:tc>
          <w:tcPr>
            <w:tcW w:w="1264" w:type="dxa"/>
            <w:vAlign w:val="center"/>
          </w:tcPr>
          <w:p w14:paraId="63B6ED54" w14:textId="77777777" w:rsidR="008E359B" w:rsidRPr="00ED0E77" w:rsidRDefault="0070540C" w:rsidP="008E359B">
            <w:pPr>
              <w:spacing w:before="60" w:after="40" w:line="240" w:lineRule="auto"/>
              <w:jc w:val="center"/>
              <w:rPr>
                <w:rFonts w:ascii="Arial" w:hAnsi="Arial" w:cs="Arial"/>
                <w:b/>
                <w:bCs/>
                <w:sz w:val="16"/>
                <w:szCs w:val="16"/>
                <w:lang w:val="en-IE"/>
              </w:rPr>
            </w:pPr>
            <w:r w:rsidRPr="00ED0E77">
              <w:rPr>
                <w:rFonts w:ascii="Arial" w:hAnsi="Arial" w:cs="Arial"/>
                <w:b/>
                <w:bCs/>
                <w:sz w:val="16"/>
                <w:szCs w:val="16"/>
                <w:lang w:val="en-IE"/>
              </w:rPr>
              <w:t>IFAT</w:t>
            </w:r>
          </w:p>
        </w:tc>
        <w:tc>
          <w:tcPr>
            <w:tcW w:w="1134" w:type="dxa"/>
            <w:vAlign w:val="center"/>
          </w:tcPr>
          <w:p w14:paraId="63B6ED55" w14:textId="77777777" w:rsidR="008E359B" w:rsidRPr="00ED0E77" w:rsidRDefault="00C048B2" w:rsidP="008E359B">
            <w:pPr>
              <w:pStyle w:val="Tabletext"/>
              <w:rPr>
                <w:sz w:val="16"/>
                <w:szCs w:val="16"/>
              </w:rPr>
            </w:pPr>
            <w:r w:rsidRPr="00ED0E77">
              <w:rPr>
                <w:sz w:val="16"/>
                <w:szCs w:val="16"/>
              </w:rPr>
              <w:t>+</w:t>
            </w:r>
          </w:p>
        </w:tc>
        <w:tc>
          <w:tcPr>
            <w:tcW w:w="1418" w:type="dxa"/>
            <w:vAlign w:val="center"/>
          </w:tcPr>
          <w:p w14:paraId="63B6ED56" w14:textId="77777777" w:rsidR="008E359B" w:rsidRPr="00ED0E77" w:rsidRDefault="00C048B2" w:rsidP="008E359B">
            <w:pPr>
              <w:pStyle w:val="Tabletext"/>
              <w:rPr>
                <w:sz w:val="16"/>
                <w:szCs w:val="16"/>
              </w:rPr>
            </w:pPr>
            <w:r w:rsidRPr="00ED0E77">
              <w:rPr>
                <w:sz w:val="16"/>
                <w:szCs w:val="16"/>
              </w:rPr>
              <w:t>+</w:t>
            </w:r>
          </w:p>
        </w:tc>
        <w:tc>
          <w:tcPr>
            <w:tcW w:w="1275" w:type="dxa"/>
            <w:vAlign w:val="center"/>
          </w:tcPr>
          <w:p w14:paraId="63B6ED57" w14:textId="77777777" w:rsidR="008E359B" w:rsidRPr="00ED0E77" w:rsidRDefault="00C048B2" w:rsidP="008E359B">
            <w:pPr>
              <w:pStyle w:val="Tabletext"/>
              <w:rPr>
                <w:sz w:val="16"/>
                <w:szCs w:val="16"/>
              </w:rPr>
            </w:pPr>
            <w:r w:rsidRPr="00ED0E77">
              <w:rPr>
                <w:sz w:val="16"/>
                <w:szCs w:val="16"/>
              </w:rPr>
              <w:t>+</w:t>
            </w:r>
          </w:p>
        </w:tc>
        <w:tc>
          <w:tcPr>
            <w:tcW w:w="1134" w:type="dxa"/>
            <w:vAlign w:val="center"/>
          </w:tcPr>
          <w:p w14:paraId="63B6ED58" w14:textId="77777777" w:rsidR="008E359B" w:rsidRPr="00ED0E77" w:rsidRDefault="00C048B2" w:rsidP="008E359B">
            <w:pPr>
              <w:pStyle w:val="Tabletext"/>
              <w:rPr>
                <w:sz w:val="16"/>
                <w:szCs w:val="16"/>
              </w:rPr>
            </w:pPr>
            <w:r w:rsidRPr="00ED0E77">
              <w:rPr>
                <w:sz w:val="16"/>
                <w:szCs w:val="16"/>
              </w:rPr>
              <w:t>+</w:t>
            </w:r>
          </w:p>
        </w:tc>
        <w:tc>
          <w:tcPr>
            <w:tcW w:w="1134" w:type="dxa"/>
            <w:vAlign w:val="center"/>
          </w:tcPr>
          <w:p w14:paraId="63B6ED59" w14:textId="77777777" w:rsidR="008E359B" w:rsidRPr="00ED0E77" w:rsidRDefault="00C048B2" w:rsidP="008E359B">
            <w:pPr>
              <w:pStyle w:val="Tabletext"/>
              <w:rPr>
                <w:sz w:val="16"/>
                <w:szCs w:val="16"/>
              </w:rPr>
            </w:pPr>
            <w:r w:rsidRPr="00ED0E77">
              <w:rPr>
                <w:sz w:val="16"/>
                <w:szCs w:val="16"/>
              </w:rPr>
              <w:t>+</w:t>
            </w:r>
          </w:p>
        </w:tc>
        <w:tc>
          <w:tcPr>
            <w:tcW w:w="1688" w:type="dxa"/>
            <w:vAlign w:val="center"/>
          </w:tcPr>
          <w:p w14:paraId="63B6ED5A" w14:textId="401B7D9C" w:rsidR="008E359B" w:rsidRPr="00ED0E77" w:rsidRDefault="00AB10B5" w:rsidP="008E359B">
            <w:pPr>
              <w:pStyle w:val="Tabletext"/>
              <w:rPr>
                <w:sz w:val="16"/>
                <w:szCs w:val="16"/>
              </w:rPr>
            </w:pPr>
            <w:r w:rsidRPr="00ED0E77">
              <w:rPr>
                <w:sz w:val="16"/>
                <w:szCs w:val="16"/>
              </w:rPr>
              <w:t>–</w:t>
            </w:r>
          </w:p>
        </w:tc>
      </w:tr>
      <w:tr w:rsidR="002B78BC" w:rsidRPr="00ED0E77" w14:paraId="63B6ED63" w14:textId="77777777" w:rsidTr="00AB10B5">
        <w:trPr>
          <w:trHeight w:val="402"/>
          <w:jc w:val="center"/>
        </w:trPr>
        <w:tc>
          <w:tcPr>
            <w:tcW w:w="1264" w:type="dxa"/>
            <w:vAlign w:val="center"/>
          </w:tcPr>
          <w:p w14:paraId="63B6ED5C" w14:textId="5566893B" w:rsidR="008E359B" w:rsidRPr="00ED0E77" w:rsidRDefault="008E359B">
            <w:pPr>
              <w:spacing w:before="60" w:after="40" w:line="240" w:lineRule="auto"/>
              <w:jc w:val="center"/>
              <w:rPr>
                <w:rFonts w:ascii="Arial" w:hAnsi="Arial" w:cs="Arial"/>
                <w:b/>
                <w:bCs/>
                <w:sz w:val="16"/>
                <w:szCs w:val="16"/>
                <w:lang w:val="en-IE"/>
              </w:rPr>
            </w:pPr>
            <w:r w:rsidRPr="00ED0E77">
              <w:rPr>
                <w:rFonts w:ascii="Arial" w:hAnsi="Arial" w:cs="Arial"/>
                <w:b/>
                <w:bCs/>
                <w:sz w:val="16"/>
                <w:szCs w:val="16"/>
                <w:lang w:val="en-IE"/>
              </w:rPr>
              <w:t xml:space="preserve">Real-time </w:t>
            </w:r>
            <w:r w:rsidRPr="00ED0E77">
              <w:rPr>
                <w:rFonts w:ascii="Arial" w:hAnsi="Arial" w:cs="Arial"/>
                <w:b/>
                <w:bCs/>
                <w:sz w:val="16"/>
                <w:szCs w:val="16"/>
                <w:lang w:val="en-IE"/>
              </w:rPr>
              <w:br/>
              <w:t>PCR</w:t>
            </w:r>
          </w:p>
        </w:tc>
        <w:tc>
          <w:tcPr>
            <w:tcW w:w="1134" w:type="dxa"/>
            <w:vAlign w:val="center"/>
          </w:tcPr>
          <w:p w14:paraId="63B6ED5D" w14:textId="0EA0A387" w:rsidR="008E359B" w:rsidRPr="00ED0E77" w:rsidRDefault="00AB10B5" w:rsidP="008E359B">
            <w:pPr>
              <w:pStyle w:val="Tabletext"/>
              <w:rPr>
                <w:sz w:val="16"/>
                <w:szCs w:val="16"/>
              </w:rPr>
            </w:pPr>
            <w:r w:rsidRPr="00ED0E77">
              <w:rPr>
                <w:sz w:val="16"/>
                <w:szCs w:val="16"/>
              </w:rPr>
              <w:t>++</w:t>
            </w:r>
            <w:r w:rsidRPr="00ED0E77">
              <w:rPr>
                <w:sz w:val="16"/>
                <w:szCs w:val="16"/>
                <w:u w:val="double"/>
              </w:rPr>
              <w:t>+</w:t>
            </w:r>
          </w:p>
        </w:tc>
        <w:tc>
          <w:tcPr>
            <w:tcW w:w="1418" w:type="dxa"/>
            <w:vAlign w:val="center"/>
          </w:tcPr>
          <w:p w14:paraId="63B6ED5E" w14:textId="5D5C50D4" w:rsidR="008E359B" w:rsidRPr="00ED0E77" w:rsidRDefault="00AB10B5" w:rsidP="008E359B">
            <w:pPr>
              <w:pStyle w:val="Tabletext"/>
              <w:rPr>
                <w:sz w:val="16"/>
                <w:szCs w:val="16"/>
              </w:rPr>
            </w:pPr>
            <w:r w:rsidRPr="00ED0E77">
              <w:rPr>
                <w:sz w:val="16"/>
                <w:szCs w:val="16"/>
              </w:rPr>
              <w:t>++</w:t>
            </w:r>
            <w:r w:rsidRPr="00ED0E77">
              <w:rPr>
                <w:sz w:val="16"/>
                <w:szCs w:val="16"/>
                <w:u w:val="double"/>
              </w:rPr>
              <w:t>+</w:t>
            </w:r>
          </w:p>
        </w:tc>
        <w:tc>
          <w:tcPr>
            <w:tcW w:w="1275" w:type="dxa"/>
            <w:vAlign w:val="center"/>
          </w:tcPr>
          <w:p w14:paraId="63B6ED5F" w14:textId="3ECC3472" w:rsidR="008E359B" w:rsidRPr="00ED0E77" w:rsidRDefault="00AB10B5" w:rsidP="008E359B">
            <w:pPr>
              <w:pStyle w:val="Tabletext"/>
              <w:rPr>
                <w:sz w:val="16"/>
                <w:szCs w:val="16"/>
              </w:rPr>
            </w:pPr>
            <w:r w:rsidRPr="00ED0E77">
              <w:rPr>
                <w:sz w:val="16"/>
                <w:szCs w:val="16"/>
              </w:rPr>
              <w:t>++</w:t>
            </w:r>
            <w:r w:rsidRPr="00ED0E77">
              <w:rPr>
                <w:sz w:val="16"/>
                <w:szCs w:val="16"/>
                <w:u w:val="double"/>
              </w:rPr>
              <w:t>+</w:t>
            </w:r>
          </w:p>
        </w:tc>
        <w:tc>
          <w:tcPr>
            <w:tcW w:w="1134" w:type="dxa"/>
            <w:vAlign w:val="center"/>
          </w:tcPr>
          <w:p w14:paraId="63B6ED60" w14:textId="433D5561" w:rsidR="008E359B" w:rsidRPr="00ED0E77" w:rsidRDefault="00AB10B5" w:rsidP="008E359B">
            <w:pPr>
              <w:pStyle w:val="Tabletext"/>
              <w:rPr>
                <w:sz w:val="16"/>
                <w:szCs w:val="16"/>
              </w:rPr>
            </w:pPr>
            <w:r w:rsidRPr="00ED0E77">
              <w:rPr>
                <w:sz w:val="16"/>
                <w:szCs w:val="16"/>
              </w:rPr>
              <w:t>++</w:t>
            </w:r>
            <w:r w:rsidRPr="00ED0E77">
              <w:rPr>
                <w:sz w:val="16"/>
                <w:szCs w:val="16"/>
                <w:u w:val="double"/>
              </w:rPr>
              <w:t>+</w:t>
            </w:r>
          </w:p>
        </w:tc>
        <w:tc>
          <w:tcPr>
            <w:tcW w:w="1134" w:type="dxa"/>
            <w:vAlign w:val="center"/>
          </w:tcPr>
          <w:p w14:paraId="63B6ED61" w14:textId="03F9554B" w:rsidR="008E359B" w:rsidRPr="00ED0E77" w:rsidRDefault="00AB10B5" w:rsidP="008E359B">
            <w:pPr>
              <w:pStyle w:val="Tabletext"/>
              <w:rPr>
                <w:sz w:val="16"/>
                <w:szCs w:val="16"/>
              </w:rPr>
            </w:pPr>
            <w:r w:rsidRPr="00ED0E77">
              <w:rPr>
                <w:sz w:val="16"/>
                <w:szCs w:val="16"/>
              </w:rPr>
              <w:t>++</w:t>
            </w:r>
            <w:r w:rsidRPr="00ED0E77">
              <w:rPr>
                <w:sz w:val="16"/>
                <w:szCs w:val="16"/>
                <w:u w:val="double"/>
              </w:rPr>
              <w:t>+</w:t>
            </w:r>
          </w:p>
        </w:tc>
        <w:tc>
          <w:tcPr>
            <w:tcW w:w="1688" w:type="dxa"/>
            <w:vAlign w:val="center"/>
          </w:tcPr>
          <w:p w14:paraId="63B6ED62" w14:textId="5FB69B2C" w:rsidR="008E359B" w:rsidRPr="00ED0E77" w:rsidRDefault="00AB10B5" w:rsidP="008E359B">
            <w:pPr>
              <w:pStyle w:val="Tabletext"/>
              <w:rPr>
                <w:sz w:val="16"/>
                <w:szCs w:val="16"/>
              </w:rPr>
            </w:pPr>
            <w:r w:rsidRPr="00ED0E77">
              <w:rPr>
                <w:sz w:val="16"/>
                <w:szCs w:val="16"/>
              </w:rPr>
              <w:t>–</w:t>
            </w:r>
          </w:p>
        </w:tc>
      </w:tr>
      <w:tr w:rsidR="002B78BC" w:rsidRPr="00E01852" w14:paraId="63B6ED65" w14:textId="77777777" w:rsidTr="00AB10B5">
        <w:trPr>
          <w:trHeight w:val="402"/>
          <w:jc w:val="center"/>
        </w:trPr>
        <w:tc>
          <w:tcPr>
            <w:tcW w:w="9047" w:type="dxa"/>
            <w:gridSpan w:val="7"/>
            <w:shd w:val="pct10" w:color="auto" w:fill="auto"/>
          </w:tcPr>
          <w:p w14:paraId="63B6ED64" w14:textId="77777777" w:rsidR="008E359B" w:rsidRPr="00E01852" w:rsidRDefault="008E359B" w:rsidP="008E359B">
            <w:pPr>
              <w:pStyle w:val="Tabletext"/>
              <w:rPr>
                <w:strike/>
              </w:rPr>
            </w:pPr>
            <w:r w:rsidRPr="00E01852">
              <w:rPr>
                <w:b/>
                <w:bCs/>
                <w:strike/>
                <w:sz w:val="16"/>
                <w:szCs w:val="16"/>
              </w:rPr>
              <w:lastRenderedPageBreak/>
              <w:t>Detection of immune response</w:t>
            </w:r>
          </w:p>
        </w:tc>
      </w:tr>
      <w:tr w:rsidR="002B78BC" w:rsidRPr="00E01852" w14:paraId="63B6ED6D" w14:textId="77777777" w:rsidTr="00AB10B5">
        <w:trPr>
          <w:trHeight w:val="402"/>
          <w:jc w:val="center"/>
        </w:trPr>
        <w:tc>
          <w:tcPr>
            <w:tcW w:w="1264" w:type="dxa"/>
            <w:vAlign w:val="center"/>
          </w:tcPr>
          <w:p w14:paraId="63B6ED66" w14:textId="77777777" w:rsidR="008E359B" w:rsidRPr="00E01852" w:rsidRDefault="00DA5A7E" w:rsidP="00CA7D7A">
            <w:pPr>
              <w:spacing w:before="60" w:after="40" w:line="240" w:lineRule="auto"/>
              <w:jc w:val="center"/>
              <w:rPr>
                <w:rFonts w:ascii="Arial" w:hAnsi="Arial" w:cs="Arial"/>
                <w:b/>
                <w:bCs/>
                <w:strike/>
                <w:sz w:val="16"/>
                <w:szCs w:val="16"/>
                <w:lang w:val="en-IE"/>
              </w:rPr>
            </w:pPr>
            <w:r w:rsidRPr="00E01852">
              <w:rPr>
                <w:rFonts w:ascii="Arial" w:hAnsi="Arial" w:cs="Arial"/>
                <w:b/>
                <w:bCs/>
                <w:strike/>
                <w:sz w:val="16"/>
                <w:szCs w:val="16"/>
                <w:lang w:val="en-IE"/>
              </w:rPr>
              <w:t>CFT</w:t>
            </w:r>
          </w:p>
        </w:tc>
        <w:tc>
          <w:tcPr>
            <w:tcW w:w="1134" w:type="dxa"/>
            <w:vAlign w:val="center"/>
          </w:tcPr>
          <w:p w14:paraId="63B6ED67" w14:textId="77777777" w:rsidR="008E359B" w:rsidRPr="00E01852" w:rsidRDefault="00DA5A7E" w:rsidP="008E359B">
            <w:pPr>
              <w:pStyle w:val="Tabletext"/>
              <w:rPr>
                <w:strike/>
              </w:rPr>
            </w:pPr>
            <w:r w:rsidRPr="00E01852">
              <w:rPr>
                <w:strike/>
              </w:rPr>
              <w:t>–</w:t>
            </w:r>
          </w:p>
        </w:tc>
        <w:tc>
          <w:tcPr>
            <w:tcW w:w="1418" w:type="dxa"/>
            <w:vAlign w:val="center"/>
          </w:tcPr>
          <w:p w14:paraId="63B6ED68" w14:textId="77777777" w:rsidR="008E359B" w:rsidRPr="00E01852" w:rsidRDefault="00CA7D7A" w:rsidP="008E359B">
            <w:pPr>
              <w:pStyle w:val="Tabletext"/>
              <w:rPr>
                <w:strike/>
              </w:rPr>
            </w:pPr>
            <w:r w:rsidRPr="00E01852">
              <w:rPr>
                <w:strike/>
              </w:rPr>
              <w:t>+</w:t>
            </w:r>
          </w:p>
        </w:tc>
        <w:tc>
          <w:tcPr>
            <w:tcW w:w="1275" w:type="dxa"/>
            <w:vAlign w:val="center"/>
          </w:tcPr>
          <w:p w14:paraId="63B6ED69" w14:textId="77777777" w:rsidR="008E359B" w:rsidRPr="00E01852" w:rsidRDefault="00CA7D7A" w:rsidP="008E359B">
            <w:pPr>
              <w:pStyle w:val="Tabletext"/>
              <w:rPr>
                <w:strike/>
              </w:rPr>
            </w:pPr>
            <w:r w:rsidRPr="00E01852">
              <w:rPr>
                <w:strike/>
              </w:rPr>
              <w:t>+</w:t>
            </w:r>
          </w:p>
        </w:tc>
        <w:tc>
          <w:tcPr>
            <w:tcW w:w="1134" w:type="dxa"/>
            <w:vAlign w:val="center"/>
          </w:tcPr>
          <w:p w14:paraId="63B6ED6A" w14:textId="0B27486B" w:rsidR="008E359B" w:rsidRPr="00E01852" w:rsidRDefault="00AB10B5" w:rsidP="008E359B">
            <w:pPr>
              <w:pStyle w:val="Tabletext"/>
              <w:rPr>
                <w:strike/>
              </w:rPr>
            </w:pPr>
            <w:r w:rsidRPr="00E01852">
              <w:rPr>
                <w:strike/>
              </w:rPr>
              <w:t>–</w:t>
            </w:r>
          </w:p>
        </w:tc>
        <w:tc>
          <w:tcPr>
            <w:tcW w:w="1134" w:type="dxa"/>
            <w:vAlign w:val="center"/>
          </w:tcPr>
          <w:p w14:paraId="63B6ED6B" w14:textId="77777777" w:rsidR="008E359B" w:rsidRPr="00E01852" w:rsidRDefault="00CA7D7A" w:rsidP="008E359B">
            <w:pPr>
              <w:pStyle w:val="Tabletext"/>
              <w:rPr>
                <w:strike/>
              </w:rPr>
            </w:pPr>
            <w:r w:rsidRPr="00E01852">
              <w:rPr>
                <w:strike/>
              </w:rPr>
              <w:t>+</w:t>
            </w:r>
          </w:p>
        </w:tc>
        <w:tc>
          <w:tcPr>
            <w:tcW w:w="1688" w:type="dxa"/>
            <w:vAlign w:val="center"/>
          </w:tcPr>
          <w:p w14:paraId="63B6ED6C" w14:textId="1EF81026" w:rsidR="008E359B" w:rsidRPr="00E01852" w:rsidRDefault="00AB10B5" w:rsidP="008E359B">
            <w:pPr>
              <w:pStyle w:val="Tabletext"/>
              <w:rPr>
                <w:strike/>
              </w:rPr>
            </w:pPr>
            <w:r w:rsidRPr="00E01852">
              <w:rPr>
                <w:strike/>
              </w:rPr>
              <w:t>–</w:t>
            </w:r>
          </w:p>
        </w:tc>
      </w:tr>
    </w:tbl>
    <w:p w14:paraId="63B6ED6E" w14:textId="3080369A" w:rsidR="008E359B" w:rsidRPr="00ED0E77" w:rsidRDefault="00AB10B5" w:rsidP="008E359B">
      <w:pPr>
        <w:pStyle w:val="PlainText"/>
        <w:spacing w:before="120"/>
        <w:jc w:val="center"/>
        <w:rPr>
          <w:rFonts w:ascii="Arial" w:hAnsi="Arial" w:cs="Arial"/>
          <w:sz w:val="16"/>
          <w:szCs w:val="16"/>
          <w:lang w:val="en-IE"/>
        </w:rPr>
      </w:pPr>
      <w:r w:rsidRPr="00ED0E77">
        <w:rPr>
          <w:rFonts w:ascii="Arial" w:hAnsi="Arial" w:cs="Arial"/>
          <w:color w:val="000000"/>
          <w:sz w:val="16"/>
          <w:szCs w:val="16"/>
          <w:lang w:val="en-IE"/>
        </w:rPr>
        <w:t xml:space="preserve">Key: +++ = recommended for this purpose; ++ recommended but has limitations; </w:t>
      </w:r>
      <w:r w:rsidRPr="00ED0E77">
        <w:rPr>
          <w:rFonts w:ascii="Arial" w:hAnsi="Arial" w:cs="Arial"/>
          <w:color w:val="000000"/>
          <w:sz w:val="16"/>
          <w:szCs w:val="16"/>
          <w:lang w:val="en-IE"/>
        </w:rPr>
        <w:br/>
        <w:t>+ = suitable in very limited circumstances</w:t>
      </w:r>
      <w:r w:rsidRPr="00ED0E77">
        <w:rPr>
          <w:rFonts w:ascii="Arial" w:hAnsi="Arial" w:cs="Arial"/>
          <w:sz w:val="16"/>
          <w:szCs w:val="16"/>
          <w:lang w:val="en-IE"/>
        </w:rPr>
        <w:t xml:space="preserve">; </w:t>
      </w:r>
      <w:r w:rsidRPr="00ED0E77">
        <w:rPr>
          <w:rFonts w:ascii="Arial" w:hAnsi="Arial" w:cs="Arial"/>
          <w:color w:val="000000"/>
          <w:sz w:val="16"/>
          <w:szCs w:val="16"/>
          <w:lang w:val="en-IE"/>
        </w:rPr>
        <w:t>– = not appropriate for this purpose.</w:t>
      </w:r>
    </w:p>
    <w:p w14:paraId="63B6ED6F" w14:textId="77777777" w:rsidR="009128D8" w:rsidRPr="00ED0E77" w:rsidDel="00345602" w:rsidRDefault="00345602" w:rsidP="00DA5A7E">
      <w:pPr>
        <w:pStyle w:val="paraA0"/>
        <w:jc w:val="center"/>
        <w:rPr>
          <w:sz w:val="16"/>
          <w:szCs w:val="16"/>
          <w:lang w:val="en-IE"/>
        </w:rPr>
      </w:pPr>
      <w:r w:rsidRPr="00ED0E77">
        <w:rPr>
          <w:sz w:val="16"/>
          <w:szCs w:val="16"/>
          <w:lang w:val="en-IE"/>
        </w:rPr>
        <w:t>IFAT = indirect fluorescent antibody test;</w:t>
      </w:r>
      <w:r w:rsidRPr="00ED0E77" w:rsidDel="00345602">
        <w:rPr>
          <w:sz w:val="16"/>
          <w:szCs w:val="16"/>
          <w:lang w:val="en-IE"/>
        </w:rPr>
        <w:t xml:space="preserve"> </w:t>
      </w:r>
      <w:r w:rsidR="008E359B" w:rsidRPr="00ED0E77">
        <w:rPr>
          <w:sz w:val="16"/>
          <w:szCs w:val="16"/>
          <w:lang w:val="en-IE"/>
        </w:rPr>
        <w:t>PCR = polymerase chain reaction</w:t>
      </w:r>
      <w:r w:rsidR="008E359B" w:rsidRPr="00E01852">
        <w:rPr>
          <w:strike/>
          <w:sz w:val="16"/>
          <w:szCs w:val="16"/>
          <w:lang w:val="en-IE"/>
        </w:rPr>
        <w:t xml:space="preserve">; CFT = </w:t>
      </w:r>
      <w:r w:rsidR="008F2EE6" w:rsidRPr="00E01852">
        <w:rPr>
          <w:strike/>
          <w:sz w:val="16"/>
          <w:szCs w:val="16"/>
          <w:lang w:val="en-IE"/>
        </w:rPr>
        <w:t xml:space="preserve">complement </w:t>
      </w:r>
      <w:r w:rsidR="008E359B" w:rsidRPr="00E01852">
        <w:rPr>
          <w:strike/>
          <w:sz w:val="16"/>
          <w:szCs w:val="16"/>
          <w:lang w:val="en-IE"/>
        </w:rPr>
        <w:t>fixation test</w:t>
      </w:r>
      <w:r w:rsidR="009128D8" w:rsidRPr="00ED0E77">
        <w:rPr>
          <w:sz w:val="16"/>
          <w:szCs w:val="16"/>
          <w:lang w:val="en-IE"/>
        </w:rPr>
        <w:t>.</w:t>
      </w:r>
    </w:p>
    <w:p w14:paraId="63B6ED70" w14:textId="46829524" w:rsidR="0053190D" w:rsidRPr="00ED0E77" w:rsidRDefault="0053190D" w:rsidP="00B64A21">
      <w:pPr>
        <w:pStyle w:val="1"/>
        <w:jc w:val="left"/>
        <w:rPr>
          <w:lang w:val="en-IE"/>
        </w:rPr>
      </w:pPr>
      <w:r w:rsidRPr="00ED0E77">
        <w:rPr>
          <w:lang w:val="en-IE"/>
        </w:rPr>
        <w:t>1.</w:t>
      </w:r>
      <w:r w:rsidRPr="00ED0E77">
        <w:rPr>
          <w:lang w:val="en-IE"/>
        </w:rPr>
        <w:tab/>
      </w:r>
      <w:r w:rsidR="00D20B46" w:rsidRPr="006E72D2">
        <w:rPr>
          <w:highlight w:val="yellow"/>
          <w:u w:val="double"/>
          <w:lang w:val="en-IE"/>
        </w:rPr>
        <w:t>Detection and</w:t>
      </w:r>
      <w:r w:rsidR="00D20B46">
        <w:rPr>
          <w:lang w:val="en-IE"/>
        </w:rPr>
        <w:t xml:space="preserve"> i</w:t>
      </w:r>
      <w:r w:rsidRPr="00ED0E77">
        <w:rPr>
          <w:lang w:val="en-IE"/>
        </w:rPr>
        <w:t xml:space="preserve">dentification of the agent </w:t>
      </w:r>
    </w:p>
    <w:p w14:paraId="0817A875" w14:textId="0F3E37A1" w:rsidR="00A05292" w:rsidRPr="00ED0E77" w:rsidRDefault="00A05292" w:rsidP="004C4A7F">
      <w:pPr>
        <w:pStyle w:val="11"/>
        <w:rPr>
          <w:lang w:val="en-IE"/>
        </w:rPr>
      </w:pPr>
      <w:r w:rsidRPr="00ED0E77">
        <w:rPr>
          <w:lang w:val="en-IE"/>
        </w:rPr>
        <w:t>1.1.</w:t>
      </w:r>
      <w:r w:rsidRPr="00ED0E77">
        <w:rPr>
          <w:lang w:val="en-IE"/>
        </w:rPr>
        <w:tab/>
        <w:t>Culture techniques</w:t>
      </w:r>
    </w:p>
    <w:p w14:paraId="63B6ED71" w14:textId="5F500D9B" w:rsidR="0053190D" w:rsidRPr="00ED0E77" w:rsidRDefault="00CA7FF1" w:rsidP="004C4A7F">
      <w:pPr>
        <w:pStyle w:val="para1"/>
        <w:ind w:left="851"/>
        <w:rPr>
          <w:lang w:val="en-IE"/>
        </w:rPr>
      </w:pPr>
      <w:r w:rsidRPr="00ED0E77">
        <w:rPr>
          <w:lang w:val="en-IE"/>
        </w:rPr>
        <w:t xml:space="preserve">Sampling and transport prior to </w:t>
      </w:r>
      <w:r w:rsidRPr="00ED0E77">
        <w:rPr>
          <w:i/>
          <w:lang w:val="en-IE"/>
        </w:rPr>
        <w:t>Taylorella</w:t>
      </w:r>
      <w:r w:rsidRPr="00ED0E77">
        <w:rPr>
          <w:lang w:val="en-IE"/>
        </w:rPr>
        <w:t xml:space="preserve"> isolation and identification needs special attention. </w:t>
      </w:r>
      <w:r w:rsidR="0053190D" w:rsidRPr="00ED0E77">
        <w:rPr>
          <w:lang w:val="en-IE"/>
        </w:rPr>
        <w:t xml:space="preserve">Swabs must be placed in a transport medium with activated charcoal, such as Amies medium, to absorb inhibitory by-products of bacterial metabolism (Swerczek, 1978). The numbers of viable </w:t>
      </w:r>
      <w:r w:rsidR="0053190D" w:rsidRPr="00ED0E77">
        <w:rPr>
          <w:i/>
          <w:iCs/>
          <w:lang w:val="en-IE"/>
        </w:rPr>
        <w:t>T. equigenitalis</w:t>
      </w:r>
      <w:r w:rsidR="0053190D" w:rsidRPr="00ED0E77">
        <w:rPr>
          <w:lang w:val="en-IE"/>
        </w:rPr>
        <w:t xml:space="preserve"> decline on swabs over time, and this effect is more pronounced at higher temperatures (Sahu </w:t>
      </w:r>
      <w:r w:rsidR="0053190D" w:rsidRPr="00ED0E77">
        <w:rPr>
          <w:i/>
          <w:iCs/>
          <w:lang w:val="en-IE"/>
        </w:rPr>
        <w:t>et al.,</w:t>
      </w:r>
      <w:r w:rsidR="0053190D" w:rsidRPr="00ED0E77">
        <w:rPr>
          <w:lang w:val="en-IE"/>
        </w:rPr>
        <w:t xml:space="preserve"> 1979). Swabs must be kept cool during transportation and should arrive and be plated out at the laboratory no later than 48 hours after they were taken. </w:t>
      </w:r>
    </w:p>
    <w:p w14:paraId="0286280A" w14:textId="4A0542ED" w:rsidR="004C63D9" w:rsidRPr="00ED0E77" w:rsidRDefault="004C63D9" w:rsidP="004C4A7F">
      <w:pPr>
        <w:pStyle w:val="para1"/>
        <w:shd w:val="clear" w:color="auto" w:fill="FFFFFF"/>
        <w:ind w:left="851"/>
        <w:rPr>
          <w:lang w:val="en-IE"/>
        </w:rPr>
      </w:pPr>
      <w:r w:rsidRPr="00ED0E77">
        <w:rPr>
          <w:lang w:val="en-IE"/>
        </w:rPr>
        <w:t xml:space="preserve">Various bacteria exist on the urogenital membranes of horses as harmless commensals that may interfere with the culture of </w:t>
      </w:r>
      <w:r w:rsidRPr="00ED0E77">
        <w:rPr>
          <w:i/>
          <w:iCs/>
          <w:lang w:val="en-IE"/>
        </w:rPr>
        <w:t>T. equigenitalis</w:t>
      </w:r>
      <w:r w:rsidRPr="00ED0E77">
        <w:rPr>
          <w:lang w:val="en-IE"/>
        </w:rPr>
        <w:t xml:space="preserve"> by obscuring its presence. </w:t>
      </w:r>
      <w:r w:rsidRPr="00ED0E77">
        <w:rPr>
          <w:iCs/>
          <w:lang w:val="en-IE"/>
        </w:rPr>
        <w:t>W</w:t>
      </w:r>
      <w:r w:rsidRPr="00ED0E77">
        <w:rPr>
          <w:lang w:val="en-IE"/>
        </w:rPr>
        <w:t xml:space="preserve">ashing and antibiotic treatment may control this problem but may sublethally damage </w:t>
      </w:r>
      <w:r w:rsidRPr="00ED0E77">
        <w:rPr>
          <w:i/>
          <w:iCs/>
          <w:lang w:val="en-IE"/>
        </w:rPr>
        <w:t>T. equigenitalis,</w:t>
      </w:r>
      <w:r w:rsidRPr="00ED0E77">
        <w:rPr>
          <w:lang w:val="en-IE"/>
        </w:rPr>
        <w:t xml:space="preserve"> allowing it to persist on the urogenital membranes but rendering it impossible to grow on laboratory media. Swabbing for </w:t>
      </w:r>
      <w:r w:rsidRPr="00ED0E77">
        <w:rPr>
          <w:i/>
          <w:iCs/>
          <w:lang w:val="en-IE"/>
        </w:rPr>
        <w:t>T. equigenitalis</w:t>
      </w:r>
      <w:r w:rsidRPr="00ED0E77">
        <w:rPr>
          <w:iCs/>
          <w:lang w:val="en-IE"/>
        </w:rPr>
        <w:t>, therefore,</w:t>
      </w:r>
      <w:r w:rsidRPr="00ED0E77">
        <w:rPr>
          <w:lang w:val="en-IE"/>
        </w:rPr>
        <w:t xml:space="preserve"> should not recommence until at least 7 days (systemic treatment) or 21 days (local treatment) following treatment. </w:t>
      </w:r>
    </w:p>
    <w:p w14:paraId="6FBAB2DD" w14:textId="77777777" w:rsidR="004C63D9" w:rsidRPr="00ED0E77" w:rsidRDefault="004C63D9" w:rsidP="004C4A7F">
      <w:pPr>
        <w:pStyle w:val="para1"/>
        <w:ind w:left="851"/>
        <w:rPr>
          <w:shd w:val="clear" w:color="auto" w:fill="FFFF80"/>
          <w:lang w:val="en-IE"/>
        </w:rPr>
      </w:pPr>
      <w:r w:rsidRPr="00ED0E77">
        <w:rPr>
          <w:lang w:val="en-IE"/>
        </w:rPr>
        <w:t>The fastidious nature of T</w:t>
      </w:r>
      <w:r w:rsidRPr="00ED0E77">
        <w:rPr>
          <w:i/>
          <w:lang w:val="en-IE"/>
        </w:rPr>
        <w:t>. equigenitalis</w:t>
      </w:r>
      <w:r w:rsidRPr="00ED0E77">
        <w:rPr>
          <w:lang w:val="en-IE"/>
        </w:rPr>
        <w:t xml:space="preserve"> makes it difficult to isolate. Test breeding of stallions has been used to increase the sensitivity of detection of the carrier state and it has been a valuable adjunct to cultural examination. The numbers of </w:t>
      </w:r>
      <w:r w:rsidRPr="00ED0E77">
        <w:rPr>
          <w:i/>
          <w:lang w:val="en-IE"/>
        </w:rPr>
        <w:t>Taylorella</w:t>
      </w:r>
      <w:r w:rsidRPr="00ED0E77">
        <w:rPr>
          <w:lang w:val="en-IE"/>
        </w:rPr>
        <w:t xml:space="preserve"> present on the external genitalia of stallions can be very low and may be missed by culturing alone, but can be detected after multiplication in the mare that has been test bred. The use of test breeding as an additional diagnostic tool can be especially important in countries that are considered free from contagious equine metritis.</w:t>
      </w:r>
    </w:p>
    <w:p w14:paraId="63B6ED73" w14:textId="757C8021" w:rsidR="00497CA3" w:rsidRPr="00ED0E77" w:rsidRDefault="00497CA3" w:rsidP="00AB58E0">
      <w:pPr>
        <w:pStyle w:val="11Para"/>
        <w:rPr>
          <w:lang w:val="en-IE"/>
        </w:rPr>
      </w:pPr>
      <w:r w:rsidRPr="00ED0E77">
        <w:rPr>
          <w:color w:val="000000"/>
          <w:lang w:val="en-IE"/>
        </w:rPr>
        <w:t>Culture media is produced by</w:t>
      </w:r>
      <w:r w:rsidRPr="00ED0E77">
        <w:rPr>
          <w:color w:val="000000"/>
          <w:shd w:val="clear" w:color="auto" w:fill="FFFFFF"/>
          <w:lang w:val="en-IE"/>
        </w:rPr>
        <w:t xml:space="preserve"> </w:t>
      </w:r>
      <w:r w:rsidRPr="00ED0E77">
        <w:rPr>
          <w:lang w:val="en-IE"/>
        </w:rPr>
        <w:t>heating reconstituted</w:t>
      </w:r>
      <w:r w:rsidRPr="00ED0E77">
        <w:rPr>
          <w:color w:val="000000"/>
          <w:shd w:val="clear" w:color="auto" w:fill="FFFFFF"/>
          <w:lang w:val="en-IE"/>
        </w:rPr>
        <w:t xml:space="preserve"> </w:t>
      </w:r>
      <w:r w:rsidRPr="00ED0E77">
        <w:rPr>
          <w:lang w:val="en-IE"/>
        </w:rPr>
        <w:t>agar base</w:t>
      </w:r>
      <w:r w:rsidRPr="00ED0E77">
        <w:rPr>
          <w:color w:val="000000"/>
          <w:lang w:val="en-IE"/>
        </w:rPr>
        <w:t xml:space="preserve"> containing 5% (v/v) lysed horse</w:t>
      </w:r>
      <w:r w:rsidR="00DA5A7E" w:rsidRPr="00ED0E77">
        <w:rPr>
          <w:color w:val="000000"/>
          <w:lang w:val="en-IE"/>
        </w:rPr>
        <w:t xml:space="preserve"> blood</w:t>
      </w:r>
      <w:r w:rsidRPr="00ED0E77">
        <w:rPr>
          <w:color w:val="000000"/>
          <w:lang w:val="en-IE"/>
        </w:rPr>
        <w:t xml:space="preserve"> </w:t>
      </w:r>
      <w:r w:rsidRPr="00ED0E77">
        <w:rPr>
          <w:lang w:val="en-IE"/>
        </w:rPr>
        <w:t>to 70–80°C for 12</w:t>
      </w:r>
      <w:r w:rsidR="00DA5A7E" w:rsidRPr="00ED0E77">
        <w:rPr>
          <w:lang w:val="en-IE"/>
        </w:rPr>
        <w:t> </w:t>
      </w:r>
      <w:r w:rsidRPr="00ED0E77">
        <w:rPr>
          <w:lang w:val="en-IE"/>
        </w:rPr>
        <w:t xml:space="preserve">minutes (‘chocolate’ blood agar), </w:t>
      </w:r>
      <w:r w:rsidR="00DA5A7E" w:rsidRPr="00ED0E77">
        <w:rPr>
          <w:lang w:val="en-IE"/>
        </w:rPr>
        <w:t>which</w:t>
      </w:r>
      <w:r w:rsidRPr="00ED0E77">
        <w:rPr>
          <w:lang w:val="en-IE"/>
        </w:rPr>
        <w:t xml:space="preserve"> is cooled to 45–50°C and trimethoprim (1</w:t>
      </w:r>
      <w:r w:rsidR="00C0682A" w:rsidRPr="00ED0E77">
        <w:rPr>
          <w:lang w:val="en-IE"/>
        </w:rPr>
        <w:t> </w:t>
      </w:r>
      <w:r w:rsidRPr="00ED0E77">
        <w:rPr>
          <w:lang w:val="en-IE"/>
        </w:rPr>
        <w:t>µg/ml), clindamycin (5</w:t>
      </w:r>
      <w:r w:rsidR="008F2EE6" w:rsidRPr="00ED0E77">
        <w:rPr>
          <w:lang w:val="en-IE"/>
        </w:rPr>
        <w:t> </w:t>
      </w:r>
      <w:r w:rsidRPr="00ED0E77">
        <w:rPr>
          <w:lang w:val="en-IE"/>
        </w:rPr>
        <w:t xml:space="preserve">µg/ml), and amphotericin B (5–15 µg/ml) is added (Timoney </w:t>
      </w:r>
      <w:r w:rsidR="00561457" w:rsidRPr="00ED0E77">
        <w:rPr>
          <w:lang w:val="en-IE"/>
        </w:rPr>
        <w:t xml:space="preserve">&amp; Powell, </w:t>
      </w:r>
      <w:r w:rsidR="00C0682A" w:rsidRPr="00ED0E77">
        <w:rPr>
          <w:lang w:val="en-IE"/>
        </w:rPr>
        <w:t>1982).</w:t>
      </w:r>
      <w:r w:rsidR="00DA5A7E" w:rsidRPr="00ED0E77">
        <w:rPr>
          <w:lang w:val="en-IE"/>
        </w:rPr>
        <w:t xml:space="preserve"> </w:t>
      </w:r>
      <w:r w:rsidRPr="00ED0E77">
        <w:rPr>
          <w:lang w:val="en-IE"/>
        </w:rPr>
        <w:t>Lysed horse blood contains thymidine phosphorylase, which will inactivate thymidine, thus allowing the trimethoprim to exert its selective effect.</w:t>
      </w:r>
      <w:r w:rsidRPr="00ED0E77">
        <w:rPr>
          <w:color w:val="000000"/>
          <w:shd w:val="clear" w:color="auto" w:fill="FFFFFF"/>
          <w:lang w:val="en-IE"/>
        </w:rPr>
        <w:t xml:space="preserve"> </w:t>
      </w:r>
      <w:r w:rsidRPr="00ED0E77">
        <w:rPr>
          <w:color w:val="000000"/>
          <w:lang w:val="en-IE"/>
        </w:rPr>
        <w:t xml:space="preserve">This is the preferred medium for isolating </w:t>
      </w:r>
      <w:r w:rsidRPr="00ED0E77">
        <w:rPr>
          <w:i/>
          <w:iCs/>
          <w:color w:val="000000"/>
          <w:lang w:val="en-IE"/>
        </w:rPr>
        <w:t>T. equigenitalis</w:t>
      </w:r>
      <w:r w:rsidRPr="00ED0E77">
        <w:rPr>
          <w:color w:val="000000"/>
          <w:lang w:val="en-IE"/>
        </w:rPr>
        <w:t xml:space="preserve"> therefore each swab must be inoculated onto this medium. It will successfully isolate both streptomycin resistant and sensitive biotypes of the pathogen; suppress the growth of many com</w:t>
      </w:r>
      <w:r w:rsidRPr="00ED0E77">
        <w:rPr>
          <w:color w:val="000000"/>
          <w:shd w:val="clear" w:color="auto" w:fill="FFFFFF"/>
          <w:lang w:val="en-IE"/>
        </w:rPr>
        <w:t>m</w:t>
      </w:r>
      <w:r w:rsidRPr="00ED0E77">
        <w:rPr>
          <w:color w:val="000000"/>
          <w:lang w:val="en-IE"/>
        </w:rPr>
        <w:t xml:space="preserve">ensal bacteria and inhibit fungal growth. As inhibiters may prevent the isolation of some strains of </w:t>
      </w:r>
      <w:r w:rsidRPr="00ED0E77">
        <w:rPr>
          <w:i/>
          <w:iCs/>
          <w:color w:val="000000"/>
          <w:lang w:val="en-IE"/>
        </w:rPr>
        <w:t>T. equigenitalis</w:t>
      </w:r>
      <w:r w:rsidRPr="00ED0E77">
        <w:rPr>
          <w:color w:val="000000"/>
          <w:lang w:val="en-IE"/>
        </w:rPr>
        <w:t xml:space="preserve">, swabs should also </w:t>
      </w:r>
      <w:r w:rsidRPr="00ED0E77">
        <w:rPr>
          <w:lang w:val="en-IE"/>
        </w:rPr>
        <w:t>be inoculated on to 5% ‘chocolate’ blood agar with a rich peptone agar base containing additional cysteine (0.83 mM), sodium sulphite (1.59 mM) and a fungicide (5–15</w:t>
      </w:r>
      <w:r w:rsidR="00595123" w:rsidRPr="00ED0E77">
        <w:rPr>
          <w:lang w:val="en-IE"/>
        </w:rPr>
        <w:t> </w:t>
      </w:r>
      <w:r w:rsidRPr="00ED0E77">
        <w:rPr>
          <w:lang w:val="en-IE"/>
        </w:rPr>
        <w:t>µg/ml amphotericin B</w:t>
      </w:r>
      <w:r w:rsidRPr="00ED0E77">
        <w:rPr>
          <w:color w:val="000000"/>
          <w:lang w:val="en-IE"/>
        </w:rPr>
        <w:t>).</w:t>
      </w:r>
      <w:r w:rsidR="00595123" w:rsidRPr="00ED0E77">
        <w:rPr>
          <w:color w:val="000000"/>
          <w:lang w:val="en-IE"/>
        </w:rPr>
        <w:t xml:space="preserve"> </w:t>
      </w:r>
      <w:r w:rsidR="00595123" w:rsidRPr="00ED0E77">
        <w:rPr>
          <w:i/>
          <w:color w:val="000000"/>
          <w:lang w:val="en-IE"/>
        </w:rPr>
        <w:t>Taylorella</w:t>
      </w:r>
      <w:r w:rsidR="00595123" w:rsidRPr="00ED0E77">
        <w:rPr>
          <w:i/>
          <w:iCs/>
          <w:color w:val="000000"/>
          <w:lang w:val="en-IE"/>
        </w:rPr>
        <w:t xml:space="preserve"> </w:t>
      </w:r>
      <w:r w:rsidRPr="00ED0E77">
        <w:rPr>
          <w:i/>
          <w:iCs/>
          <w:color w:val="000000"/>
          <w:lang w:val="en-IE"/>
        </w:rPr>
        <w:t>equigenitalis</w:t>
      </w:r>
      <w:r w:rsidRPr="00ED0E77">
        <w:rPr>
          <w:color w:val="000000"/>
          <w:lang w:val="en-IE"/>
        </w:rPr>
        <w:t xml:space="preserve"> can be cultivated on blood agar</w:t>
      </w:r>
      <w:r w:rsidR="00595123" w:rsidRPr="00ED0E77">
        <w:rPr>
          <w:color w:val="000000"/>
          <w:lang w:val="en-IE"/>
        </w:rPr>
        <w:t xml:space="preserve">, </w:t>
      </w:r>
      <w:r w:rsidRPr="00ED0E77">
        <w:rPr>
          <w:color w:val="000000"/>
          <w:lang w:val="en-IE"/>
        </w:rPr>
        <w:t xml:space="preserve">but will grow better on </w:t>
      </w:r>
      <w:r w:rsidRPr="00ED0E77">
        <w:rPr>
          <w:lang w:val="en-IE"/>
        </w:rPr>
        <w:t>‘chocolate’ blood agar as described above.</w:t>
      </w:r>
      <w:r w:rsidRPr="00ED0E77">
        <w:rPr>
          <w:color w:val="000000"/>
          <w:lang w:val="en-IE"/>
        </w:rPr>
        <w:t xml:space="preserve"> Some manufacturers produce a peptone agar base that supports the growth of </w:t>
      </w:r>
      <w:r w:rsidRPr="00ED0E77">
        <w:rPr>
          <w:i/>
          <w:iCs/>
          <w:color w:val="000000"/>
          <w:lang w:val="en-IE"/>
        </w:rPr>
        <w:t>T. equigenitalis</w:t>
      </w:r>
      <w:r w:rsidRPr="00ED0E77">
        <w:rPr>
          <w:color w:val="000000"/>
          <w:lang w:val="en-IE"/>
        </w:rPr>
        <w:t xml:space="preserve">. An important feature of all good </w:t>
      </w:r>
      <w:r w:rsidRPr="00ED0E77">
        <w:rPr>
          <w:i/>
          <w:iCs/>
          <w:color w:val="000000"/>
          <w:lang w:val="en-IE"/>
        </w:rPr>
        <w:t>T. equigenitalis</w:t>
      </w:r>
      <w:r w:rsidRPr="00ED0E77">
        <w:rPr>
          <w:color w:val="000000"/>
          <w:lang w:val="en-IE"/>
        </w:rPr>
        <w:t xml:space="preserve"> media is the absence of fermentable carbohydrates.</w:t>
      </w:r>
      <w:r w:rsidR="00595123" w:rsidRPr="00ED0E77">
        <w:rPr>
          <w:color w:val="000000"/>
          <w:lang w:val="en-IE"/>
        </w:rPr>
        <w:t xml:space="preserve"> </w:t>
      </w:r>
      <w:r w:rsidRPr="00ED0E77">
        <w:rPr>
          <w:color w:val="000000"/>
          <w:lang w:val="en-IE"/>
        </w:rPr>
        <w:t xml:space="preserve">The fermentation of carbohydrates by other bacteria inhibits </w:t>
      </w:r>
      <w:r w:rsidRPr="00ED0E77">
        <w:rPr>
          <w:i/>
          <w:iCs/>
          <w:color w:val="000000"/>
          <w:lang w:val="en-IE"/>
        </w:rPr>
        <w:t>T. equigenitalis</w:t>
      </w:r>
      <w:r w:rsidRPr="00ED0E77">
        <w:rPr>
          <w:color w:val="000000"/>
          <w:lang w:val="en-IE"/>
        </w:rPr>
        <w:t xml:space="preserve"> growth (Atherton, 1983; Fernie </w:t>
      </w:r>
      <w:r w:rsidRPr="00ED0E77">
        <w:rPr>
          <w:i/>
          <w:iCs/>
          <w:color w:val="000000"/>
          <w:lang w:val="en-IE"/>
        </w:rPr>
        <w:t xml:space="preserve">et al., </w:t>
      </w:r>
      <w:r w:rsidRPr="00ED0E77">
        <w:rPr>
          <w:color w:val="000000"/>
          <w:lang w:val="en-IE"/>
        </w:rPr>
        <w:t>1980). A third medium containing streptomycin sulphate (200 µg/ml)</w:t>
      </w:r>
      <w:r w:rsidR="00595123" w:rsidRPr="00ED0E77">
        <w:rPr>
          <w:color w:val="000000"/>
          <w:lang w:val="en-IE"/>
        </w:rPr>
        <w:t xml:space="preserve"> </w:t>
      </w:r>
      <w:r w:rsidRPr="00ED0E77">
        <w:rPr>
          <w:color w:val="000000"/>
          <w:lang w:val="en-IE"/>
        </w:rPr>
        <w:t>can be used</w:t>
      </w:r>
      <w:r w:rsidR="00595123" w:rsidRPr="00ED0E77">
        <w:rPr>
          <w:color w:val="000000"/>
          <w:lang w:val="en-IE"/>
        </w:rPr>
        <w:t xml:space="preserve"> </w:t>
      </w:r>
      <w:r w:rsidRPr="00ED0E77">
        <w:rPr>
          <w:color w:val="000000"/>
          <w:lang w:val="en-IE"/>
        </w:rPr>
        <w:t xml:space="preserve">to inhibit the growth of other bacteria that might obscure </w:t>
      </w:r>
      <w:r w:rsidRPr="00ED0E77">
        <w:rPr>
          <w:i/>
          <w:iCs/>
          <w:color w:val="000000"/>
          <w:lang w:val="en-IE"/>
        </w:rPr>
        <w:t>T. equigenitalis</w:t>
      </w:r>
      <w:r w:rsidRPr="00ED0E77">
        <w:rPr>
          <w:color w:val="000000"/>
          <w:lang w:val="en-IE"/>
        </w:rPr>
        <w:t xml:space="preserve"> (Swerczek, 1978); however, the streptomycin-</w:t>
      </w:r>
      <w:r w:rsidRPr="00ED0E77">
        <w:rPr>
          <w:lang w:val="en-IE"/>
        </w:rPr>
        <w:t>sensitive biotype</w:t>
      </w:r>
      <w:r w:rsidR="00595123" w:rsidRPr="00ED0E77">
        <w:rPr>
          <w:lang w:val="en-IE"/>
        </w:rPr>
        <w:t xml:space="preserve"> </w:t>
      </w:r>
      <w:r w:rsidRPr="00ED0E77">
        <w:rPr>
          <w:lang w:val="en-IE"/>
        </w:rPr>
        <w:t>will not be detected on this medium; and it should only be used in conjunction with medium without streptomycin. All culture media should be subjected to quality control and must support growth of a small inoculum of the suspect organism before their use on suspect samples.</w:t>
      </w:r>
      <w:r w:rsidRPr="00ED0E77">
        <w:rPr>
          <w:color w:val="000000"/>
          <w:lang w:val="en-IE"/>
        </w:rPr>
        <w:t xml:space="preserve"> </w:t>
      </w:r>
      <w:r w:rsidRPr="00ED0E77">
        <w:rPr>
          <w:lang w:val="en-IE"/>
        </w:rPr>
        <w:t xml:space="preserve">The reference strain of </w:t>
      </w:r>
      <w:r w:rsidRPr="00ED0E77">
        <w:rPr>
          <w:i/>
          <w:lang w:val="en-IE"/>
        </w:rPr>
        <w:t>T. equigenitalis</w:t>
      </w:r>
      <w:r w:rsidRPr="00ED0E77">
        <w:rPr>
          <w:lang w:val="en-IE"/>
        </w:rPr>
        <w:t xml:space="preserve"> must also be cultured in parallel with the test samples to ensure that the culture conditions are optimal for isolation of this organism. </w:t>
      </w:r>
    </w:p>
    <w:p w14:paraId="63B6ED76" w14:textId="5E2F848F" w:rsidR="00497CA3" w:rsidRPr="00ED0E77" w:rsidRDefault="0053190D" w:rsidP="004C4A7F">
      <w:pPr>
        <w:pStyle w:val="para1"/>
        <w:shd w:val="clear" w:color="auto" w:fill="FFFFFF"/>
        <w:ind w:left="850"/>
        <w:rPr>
          <w:lang w:val="en-IE"/>
        </w:rPr>
      </w:pPr>
      <w:r w:rsidRPr="00ED0E77">
        <w:rPr>
          <w:lang w:val="en-IE"/>
        </w:rPr>
        <w:t>Plates must be incubated at 35–37°C in 5–10% (v/v) CO</w:t>
      </w:r>
      <w:r w:rsidRPr="00ED0E77">
        <w:rPr>
          <w:szCs w:val="14"/>
          <w:vertAlign w:val="subscript"/>
          <w:lang w:val="en-IE"/>
        </w:rPr>
        <w:t>2</w:t>
      </w:r>
      <w:r w:rsidRPr="00ED0E77">
        <w:rPr>
          <w:lang w:val="en-IE"/>
        </w:rPr>
        <w:t xml:space="preserve"> in air or by u</w:t>
      </w:r>
      <w:r w:rsidR="0059378C" w:rsidRPr="00ED0E77">
        <w:rPr>
          <w:lang w:val="en-IE"/>
        </w:rPr>
        <w:t>se of a candle jar. At least 72 </w:t>
      </w:r>
      <w:r w:rsidRPr="00ED0E77">
        <w:rPr>
          <w:lang w:val="en-IE"/>
        </w:rPr>
        <w:t xml:space="preserve">hours is normally required before colonies of </w:t>
      </w:r>
      <w:r w:rsidRPr="00ED0E77">
        <w:rPr>
          <w:i/>
          <w:iCs/>
          <w:lang w:val="en-IE"/>
        </w:rPr>
        <w:t>T. equigenitalis</w:t>
      </w:r>
      <w:r w:rsidRPr="00ED0E77">
        <w:rPr>
          <w:lang w:val="en-IE"/>
        </w:rPr>
        <w:t xml:space="preserve"> become visible, after which time daily inspection is needed. Rarely, visual detection of colonies may take up to 14 days (Ward </w:t>
      </w:r>
      <w:r w:rsidRPr="00ED0E77">
        <w:rPr>
          <w:i/>
          <w:iCs/>
          <w:lang w:val="en-IE"/>
        </w:rPr>
        <w:t xml:space="preserve">et al., </w:t>
      </w:r>
      <w:r w:rsidRPr="00ED0E77">
        <w:rPr>
          <w:lang w:val="en-IE"/>
        </w:rPr>
        <w:t xml:space="preserve">1984). A standard </w:t>
      </w:r>
      <w:r w:rsidRPr="00ED0E77">
        <w:rPr>
          <w:lang w:val="en-IE"/>
        </w:rPr>
        <w:lastRenderedPageBreak/>
        <w:t xml:space="preserve">incubation time of at least 7 days is advisable before certifying cultures negative for </w:t>
      </w:r>
      <w:r w:rsidRPr="00ED0E77">
        <w:rPr>
          <w:i/>
          <w:iCs/>
          <w:lang w:val="en-IE"/>
        </w:rPr>
        <w:t>T. equigenitalis</w:t>
      </w:r>
      <w:r w:rsidRPr="00ED0E77">
        <w:rPr>
          <w:lang w:val="en-IE"/>
        </w:rPr>
        <w:t xml:space="preserve">. Plates should be examined for contaminants after the first 24 hours’ incubation. Colonies of </w:t>
      </w:r>
      <w:r w:rsidRPr="00ED0E77">
        <w:rPr>
          <w:i/>
          <w:iCs/>
          <w:lang w:val="en-IE"/>
        </w:rPr>
        <w:t xml:space="preserve">T. equigenitalis </w:t>
      </w:r>
      <w:r w:rsidRPr="00ED0E77">
        <w:rPr>
          <w:lang w:val="en-IE"/>
        </w:rPr>
        <w:t xml:space="preserve">may be up to 2–3 mm in diameter, smooth with an entire edge, glossy and yellowish grey. Laboratories should be aware that certain countries </w:t>
      </w:r>
      <w:r w:rsidR="00104587" w:rsidRPr="00ED0E77">
        <w:rPr>
          <w:lang w:val="en-IE"/>
        </w:rPr>
        <w:t xml:space="preserve">may </w:t>
      </w:r>
      <w:r w:rsidRPr="00ED0E77">
        <w:rPr>
          <w:lang w:val="en-IE"/>
        </w:rPr>
        <w:t>require the prolonged incubation period as a standard procedure and should therefore ascertain the particular import requirements of those countries and/or indicate the incubation period on which their cultural findings are based.</w:t>
      </w:r>
      <w:r w:rsidR="00497CA3" w:rsidRPr="00ED0E77">
        <w:rPr>
          <w:lang w:val="en-IE"/>
        </w:rPr>
        <w:t xml:space="preserve"> Growth of other bacteria, for example </w:t>
      </w:r>
      <w:r w:rsidR="00497CA3" w:rsidRPr="00ED0E77">
        <w:rPr>
          <w:i/>
          <w:iCs/>
          <w:lang w:val="en-IE"/>
        </w:rPr>
        <w:t>Proteus</w:t>
      </w:r>
      <w:r w:rsidR="00497CA3" w:rsidRPr="00ED0E77">
        <w:rPr>
          <w:lang w:val="en-IE"/>
        </w:rPr>
        <w:t xml:space="preserve"> </w:t>
      </w:r>
      <w:r w:rsidR="00497CA3" w:rsidRPr="00ED0E77">
        <w:rPr>
          <w:i/>
          <w:iCs/>
          <w:lang w:val="en-IE"/>
        </w:rPr>
        <w:t>mirabilis</w:t>
      </w:r>
      <w:r w:rsidR="00497CA3" w:rsidRPr="00ED0E77">
        <w:rPr>
          <w:lang w:val="en-IE"/>
        </w:rPr>
        <w:t xml:space="preserve">, may be so extensive that the laboratory cannot issue a negative result. In this event, further swabs should be requested. </w:t>
      </w:r>
    </w:p>
    <w:p w14:paraId="63B6ED77" w14:textId="567F42C1" w:rsidR="0053190D" w:rsidRPr="00ED0E77" w:rsidRDefault="0053190D" w:rsidP="004C4A7F">
      <w:pPr>
        <w:pStyle w:val="para1"/>
        <w:ind w:left="850"/>
        <w:rPr>
          <w:lang w:val="en-IE"/>
        </w:rPr>
      </w:pPr>
      <w:r w:rsidRPr="00ED0E77">
        <w:rPr>
          <w:lang w:val="en-IE"/>
        </w:rPr>
        <w:t xml:space="preserve">If a slow-growing organism is isolated that fits the description for cellular morphology and that is strongly oxidase </w:t>
      </w:r>
      <w:r w:rsidR="00096C28" w:rsidRPr="006E72D2">
        <w:rPr>
          <w:highlight w:val="yellow"/>
          <w:u w:val="double"/>
          <w:lang w:val="en-IE"/>
        </w:rPr>
        <w:t>and catalase</w:t>
      </w:r>
      <w:r w:rsidR="00096C28">
        <w:rPr>
          <w:lang w:val="en-IE"/>
        </w:rPr>
        <w:t xml:space="preserve"> </w:t>
      </w:r>
      <w:r w:rsidRPr="00ED0E77">
        <w:rPr>
          <w:lang w:val="en-IE"/>
        </w:rPr>
        <w:t xml:space="preserve">positive, it </w:t>
      </w:r>
      <w:r w:rsidRPr="006E72D2">
        <w:rPr>
          <w:strike/>
          <w:highlight w:val="yellow"/>
          <w:lang w:val="en-IE"/>
        </w:rPr>
        <w:t xml:space="preserve">should </w:t>
      </w:r>
      <w:r w:rsidR="00D664C7" w:rsidRPr="006E72D2">
        <w:rPr>
          <w:highlight w:val="yellow"/>
          <w:u w:val="double"/>
          <w:lang w:val="en-IE"/>
        </w:rPr>
        <w:t>can</w:t>
      </w:r>
      <w:r w:rsidR="00D664C7" w:rsidRPr="00ED0E77">
        <w:rPr>
          <w:lang w:val="en-IE"/>
        </w:rPr>
        <w:t xml:space="preserve"> </w:t>
      </w:r>
      <w:r w:rsidRPr="00ED0E77">
        <w:rPr>
          <w:lang w:val="en-IE"/>
        </w:rPr>
        <w:t xml:space="preserve">be tested for reactivity with </w:t>
      </w:r>
      <w:r w:rsidRPr="00ED0E77">
        <w:rPr>
          <w:i/>
          <w:iCs/>
          <w:lang w:val="en-IE"/>
        </w:rPr>
        <w:t>T.-equigenitalis</w:t>
      </w:r>
      <w:r w:rsidRPr="00ED0E77">
        <w:rPr>
          <w:lang w:val="en-IE"/>
        </w:rPr>
        <w:t>-specific antiserum.</w:t>
      </w:r>
    </w:p>
    <w:p w14:paraId="1B7BC756" w14:textId="5FFD52CA" w:rsidR="00A05292" w:rsidRPr="00ED0E77" w:rsidRDefault="00A05292" w:rsidP="00A05292">
      <w:pPr>
        <w:pStyle w:val="11"/>
        <w:rPr>
          <w:lang w:val="en-IE"/>
        </w:rPr>
      </w:pPr>
      <w:r w:rsidRPr="00ED0E77">
        <w:rPr>
          <w:lang w:val="en-IE"/>
        </w:rPr>
        <w:t>1.2.</w:t>
      </w:r>
      <w:r w:rsidRPr="00ED0E77">
        <w:rPr>
          <w:lang w:val="en-IE"/>
        </w:rPr>
        <w:tab/>
        <w:t>Serotyping methods</w:t>
      </w:r>
    </w:p>
    <w:p w14:paraId="63B6ED78" w14:textId="5C278956" w:rsidR="00A8049F" w:rsidRPr="00ED0E77" w:rsidRDefault="0053190D" w:rsidP="004C4A7F">
      <w:pPr>
        <w:pStyle w:val="para1"/>
        <w:ind w:left="850"/>
        <w:rPr>
          <w:lang w:val="en-IE"/>
        </w:rPr>
      </w:pPr>
      <w:r w:rsidRPr="00ED0E77">
        <w:rPr>
          <w:lang w:val="en-IE"/>
        </w:rPr>
        <w:t>A variety of serotyping tests ha</w:t>
      </w:r>
      <w:r w:rsidR="008D2CD6">
        <w:rPr>
          <w:lang w:val="en-IE"/>
        </w:rPr>
        <w:t>s</w:t>
      </w:r>
      <w:r w:rsidRPr="00ED0E77">
        <w:rPr>
          <w:lang w:val="en-IE"/>
        </w:rPr>
        <w:t xml:space="preserve"> been developed </w:t>
      </w:r>
      <w:r w:rsidR="007939CA" w:rsidRPr="00ED0E77">
        <w:rPr>
          <w:lang w:val="en-IE"/>
        </w:rPr>
        <w:t xml:space="preserve">to confirm that a culture is </w:t>
      </w:r>
      <w:r w:rsidR="007939CA" w:rsidRPr="00ED0E77">
        <w:rPr>
          <w:i/>
          <w:lang w:val="en-IE"/>
        </w:rPr>
        <w:t xml:space="preserve">T. equigenitalis, </w:t>
      </w:r>
      <w:r w:rsidRPr="00ED0E77">
        <w:rPr>
          <w:lang w:val="en-IE"/>
        </w:rPr>
        <w:t>ranging in complexity from slide agglutination to direct or indirect immunofluorescence. Each method has its advantages and disadvantages. The disadvantage of the slide agglutination test is that occasionally autoagglutination of isolates occurs</w:t>
      </w:r>
      <w:r w:rsidR="00F35BF4">
        <w:rPr>
          <w:lang w:val="en-IE"/>
        </w:rPr>
        <w:t>.</w:t>
      </w:r>
      <w:r w:rsidRPr="00ED0E77">
        <w:rPr>
          <w:lang w:val="en-IE"/>
        </w:rPr>
        <w:t xml:space="preserve"> </w:t>
      </w:r>
      <w:r w:rsidR="00F35BF4">
        <w:rPr>
          <w:lang w:val="en-IE"/>
        </w:rPr>
        <w:t>C</w:t>
      </w:r>
      <w:r w:rsidRPr="00ED0E77">
        <w:rPr>
          <w:lang w:val="en-IE"/>
        </w:rPr>
        <w:t>ulturing in bottled CO</w:t>
      </w:r>
      <w:r w:rsidRPr="00ED0E77">
        <w:rPr>
          <w:szCs w:val="14"/>
          <w:vertAlign w:val="subscript"/>
          <w:lang w:val="en-IE"/>
        </w:rPr>
        <w:t>2</w:t>
      </w:r>
      <w:r w:rsidRPr="00ED0E77">
        <w:rPr>
          <w:lang w:val="en-IE"/>
        </w:rPr>
        <w:t xml:space="preserve"> in air, as opposed to in a candle jar, may reduce autoagglutination (Ter Laak &amp; Wagenaars, 1990). </w:t>
      </w:r>
      <w:r w:rsidR="00A8049F" w:rsidRPr="00ED0E77">
        <w:rPr>
          <w:lang w:val="en-IE"/>
        </w:rPr>
        <w:t xml:space="preserve">Immunofluorescence may be of value </w:t>
      </w:r>
      <w:r w:rsidR="008F2EE6" w:rsidRPr="00ED0E77">
        <w:rPr>
          <w:lang w:val="en-IE"/>
        </w:rPr>
        <w:t>in the</w:t>
      </w:r>
      <w:r w:rsidR="00A8049F" w:rsidRPr="00ED0E77">
        <w:rPr>
          <w:lang w:val="en-IE"/>
        </w:rPr>
        <w:t xml:space="preserve"> identif</w:t>
      </w:r>
      <w:r w:rsidR="008F2EE6" w:rsidRPr="00ED0E77">
        <w:rPr>
          <w:lang w:val="en-IE"/>
        </w:rPr>
        <w:t>ication of</w:t>
      </w:r>
      <w:r w:rsidR="00A8049F" w:rsidRPr="00ED0E77">
        <w:rPr>
          <w:lang w:val="en-IE"/>
        </w:rPr>
        <w:t xml:space="preserve"> auto-agglutinating isolates; a validated indirect immunofluorescence test for the detection of </w:t>
      </w:r>
      <w:r w:rsidR="00A8049F" w:rsidRPr="00ED0E77">
        <w:rPr>
          <w:i/>
          <w:lang w:val="en-IE"/>
        </w:rPr>
        <w:t>T. equigenitalis</w:t>
      </w:r>
      <w:r w:rsidR="00A8049F" w:rsidRPr="00ED0E77">
        <w:rPr>
          <w:lang w:val="en-IE"/>
        </w:rPr>
        <w:t xml:space="preserve"> in swabs from the reproductive tract of stallions and mares is commercially available.</w:t>
      </w:r>
    </w:p>
    <w:p w14:paraId="63B6ED7A" w14:textId="2E1D24BA" w:rsidR="0053190D" w:rsidRPr="00ED0E77" w:rsidRDefault="0053190D" w:rsidP="004C4A7F">
      <w:pPr>
        <w:pStyle w:val="para1"/>
        <w:ind w:left="850"/>
        <w:rPr>
          <w:lang w:val="en-IE"/>
        </w:rPr>
      </w:pPr>
      <w:r w:rsidRPr="00ED0E77">
        <w:rPr>
          <w:lang w:val="en-IE"/>
        </w:rPr>
        <w:t xml:space="preserve">Antiserum is produced by vaccinating rabbits with killed </w:t>
      </w:r>
      <w:r w:rsidRPr="00ED0E77">
        <w:rPr>
          <w:i/>
          <w:iCs/>
          <w:lang w:val="en-IE"/>
        </w:rPr>
        <w:t>T. equigenitalis</w:t>
      </w:r>
      <w:r w:rsidRPr="00ED0E77">
        <w:rPr>
          <w:lang w:val="en-IE"/>
        </w:rPr>
        <w:t>. A standard strain, such as NCTC 11184</w:t>
      </w:r>
      <w:r w:rsidRPr="00ED0E77">
        <w:rPr>
          <w:rStyle w:val="FootnoteReference"/>
          <w:szCs w:val="14"/>
          <w:lang w:val="en-IE"/>
        </w:rPr>
        <w:footnoteReference w:id="2"/>
      </w:r>
      <w:r w:rsidRPr="00ED0E77">
        <w:rPr>
          <w:lang w:val="en-IE"/>
        </w:rPr>
        <w:t xml:space="preserve">, should be used for immunisation. However, the most important consideration is the specificity of the antiserum produced. It should agglutinate </w:t>
      </w:r>
      <w:r w:rsidRPr="00ED0E77">
        <w:rPr>
          <w:i/>
          <w:iCs/>
          <w:lang w:val="en-IE"/>
        </w:rPr>
        <w:t>T. equigenitalis</w:t>
      </w:r>
      <w:r w:rsidRPr="00ED0E77">
        <w:rPr>
          <w:lang w:val="en-IE"/>
        </w:rPr>
        <w:t xml:space="preserve">, but fail to agglutinate other bacteria that might be cultured from horse urogenital membranes. In particular, it should not agglutinate any oxidase-positive and Gram-negative rods, such as </w:t>
      </w:r>
      <w:r w:rsidRPr="00ED0E77">
        <w:rPr>
          <w:i/>
          <w:iCs/>
          <w:lang w:val="en-IE"/>
        </w:rPr>
        <w:t>Mannheimia haemolytica</w:t>
      </w:r>
      <w:r w:rsidRPr="00ED0E77">
        <w:rPr>
          <w:lang w:val="en-IE"/>
        </w:rPr>
        <w:t xml:space="preserve">, </w:t>
      </w:r>
      <w:r w:rsidRPr="00ED0E77">
        <w:rPr>
          <w:i/>
          <w:iCs/>
          <w:lang w:val="en-IE"/>
        </w:rPr>
        <w:t>Actinobacillus equuli, Bordetella bronchiseptica</w:t>
      </w:r>
      <w:r w:rsidRPr="00ED0E77">
        <w:rPr>
          <w:lang w:val="en-IE"/>
        </w:rPr>
        <w:t xml:space="preserve"> (to which </w:t>
      </w:r>
      <w:r w:rsidRPr="00ED0E77">
        <w:rPr>
          <w:i/>
          <w:iCs/>
          <w:lang w:val="en-IE"/>
        </w:rPr>
        <w:t>T. equigenitalis</w:t>
      </w:r>
      <w:r w:rsidRPr="00ED0E77">
        <w:rPr>
          <w:lang w:val="en-IE"/>
        </w:rPr>
        <w:t xml:space="preserve"> is closely related, see Bleumink-Pluym </w:t>
      </w:r>
      <w:r w:rsidRPr="00ED0E77">
        <w:rPr>
          <w:i/>
          <w:iCs/>
          <w:lang w:val="en-IE"/>
        </w:rPr>
        <w:t>et al.</w:t>
      </w:r>
      <w:r w:rsidRPr="00ED0E77">
        <w:rPr>
          <w:lang w:val="en-IE"/>
        </w:rPr>
        <w:t xml:space="preserve"> (1993), </w:t>
      </w:r>
      <w:r w:rsidRPr="00ED0E77">
        <w:rPr>
          <w:i/>
          <w:iCs/>
          <w:lang w:val="en-IE"/>
        </w:rPr>
        <w:t>Oligella</w:t>
      </w:r>
      <w:r w:rsidRPr="00ED0E77">
        <w:rPr>
          <w:lang w:val="en-IE"/>
        </w:rPr>
        <w:t xml:space="preserve"> </w:t>
      </w:r>
      <w:r w:rsidRPr="00ED0E77">
        <w:rPr>
          <w:i/>
          <w:iCs/>
          <w:lang w:val="en-IE"/>
        </w:rPr>
        <w:t>urethralis</w:t>
      </w:r>
      <w:r w:rsidRPr="00ED0E77">
        <w:rPr>
          <w:lang w:val="en-IE"/>
        </w:rPr>
        <w:t xml:space="preserve"> and </w:t>
      </w:r>
      <w:r w:rsidRPr="00ED0E77">
        <w:rPr>
          <w:i/>
          <w:iCs/>
          <w:lang w:val="en-IE"/>
        </w:rPr>
        <w:t>Pseudomonas aeruginosa</w:t>
      </w:r>
      <w:r w:rsidRPr="00ED0E77">
        <w:rPr>
          <w:lang w:val="en-IE"/>
        </w:rPr>
        <w:t xml:space="preserve">. </w:t>
      </w:r>
      <w:r w:rsidRPr="00ED0E77">
        <w:rPr>
          <w:i/>
          <w:iCs/>
          <w:lang w:val="en-IE"/>
        </w:rPr>
        <w:t>Taylorella asinigenitalis</w:t>
      </w:r>
      <w:r w:rsidRPr="00ED0E77">
        <w:rPr>
          <w:lang w:val="en-IE"/>
        </w:rPr>
        <w:t xml:space="preserve"> has similar, though not identical, colonial appearance and cultural characteristics and gives identical biochemical test results to those used to confirm the identity of </w:t>
      </w:r>
      <w:r w:rsidRPr="00ED0E77">
        <w:rPr>
          <w:i/>
          <w:iCs/>
          <w:lang w:val="en-IE"/>
        </w:rPr>
        <w:t>T. equigenitalis</w:t>
      </w:r>
      <w:r w:rsidRPr="00ED0E77">
        <w:rPr>
          <w:lang w:val="en-IE"/>
        </w:rPr>
        <w:t xml:space="preserve">. There is even serological cross-reactivity between the two organisms. Differentiation of </w:t>
      </w:r>
      <w:r w:rsidRPr="00ED0E77">
        <w:rPr>
          <w:i/>
          <w:iCs/>
          <w:lang w:val="en-IE"/>
        </w:rPr>
        <w:t xml:space="preserve">T. asinigenitalis </w:t>
      </w:r>
      <w:r w:rsidRPr="00ED0E77">
        <w:rPr>
          <w:lang w:val="en-IE"/>
        </w:rPr>
        <w:t xml:space="preserve">from </w:t>
      </w:r>
      <w:r w:rsidRPr="00ED0E77">
        <w:rPr>
          <w:i/>
          <w:iCs/>
          <w:lang w:val="en-IE"/>
        </w:rPr>
        <w:t xml:space="preserve">T. equigenitalis </w:t>
      </w:r>
      <w:r w:rsidRPr="00ED0E77">
        <w:rPr>
          <w:lang w:val="en-IE"/>
        </w:rPr>
        <w:t xml:space="preserve">is possible using the PCR or 16S rDNA sequencing and biochemical reactivity (Baverud </w:t>
      </w:r>
      <w:r w:rsidRPr="00ED0E77">
        <w:rPr>
          <w:i/>
          <w:iCs/>
          <w:lang w:val="en-IE"/>
        </w:rPr>
        <w:t>et al.,</w:t>
      </w:r>
      <w:r w:rsidRPr="00ED0E77">
        <w:rPr>
          <w:lang w:val="en-IE"/>
        </w:rPr>
        <w:t xml:space="preserve"> 2006; Breuil </w:t>
      </w:r>
      <w:r w:rsidRPr="00ED0E77">
        <w:rPr>
          <w:i/>
          <w:iCs/>
          <w:lang w:val="en-IE"/>
        </w:rPr>
        <w:t xml:space="preserve">et al., </w:t>
      </w:r>
      <w:r w:rsidRPr="00ED0E77">
        <w:rPr>
          <w:lang w:val="en-IE"/>
        </w:rPr>
        <w:t xml:space="preserve">2011; Duquesne </w:t>
      </w:r>
      <w:r w:rsidRPr="00ED0E77">
        <w:rPr>
          <w:i/>
          <w:iCs/>
          <w:lang w:val="en-IE"/>
        </w:rPr>
        <w:t>et al.,</w:t>
      </w:r>
      <w:r w:rsidRPr="00ED0E77">
        <w:rPr>
          <w:lang w:val="en-IE"/>
        </w:rPr>
        <w:t xml:space="preserve"> 2007; Wakeley </w:t>
      </w:r>
      <w:r w:rsidRPr="00ED0E77">
        <w:rPr>
          <w:i/>
          <w:iCs/>
          <w:lang w:val="en-IE"/>
        </w:rPr>
        <w:t>et al.,</w:t>
      </w:r>
      <w:r w:rsidRPr="00ED0E77">
        <w:rPr>
          <w:lang w:val="en-IE"/>
        </w:rPr>
        <w:t xml:space="preserve"> 2006).</w:t>
      </w:r>
      <w:r w:rsidR="00A8049F" w:rsidRPr="00ED0E77">
        <w:rPr>
          <w:lang w:val="en-IE"/>
        </w:rPr>
        <w:t xml:space="preserve"> Monoclonal antibodies are available commercially that provide a highly specific means of identifying </w:t>
      </w:r>
      <w:r w:rsidR="00A8049F" w:rsidRPr="00ED0E77">
        <w:rPr>
          <w:i/>
          <w:lang w:val="en-IE"/>
        </w:rPr>
        <w:t>T.</w:t>
      </w:r>
      <w:r w:rsidR="00CA7FF1" w:rsidRPr="00ED0E77">
        <w:rPr>
          <w:i/>
          <w:lang w:val="en-IE"/>
        </w:rPr>
        <w:t xml:space="preserve"> </w:t>
      </w:r>
      <w:r w:rsidR="00A8049F" w:rsidRPr="00ED0E77">
        <w:rPr>
          <w:i/>
          <w:lang w:val="en-IE"/>
        </w:rPr>
        <w:t>equigenitalis</w:t>
      </w:r>
      <w:r w:rsidR="00A8049F" w:rsidRPr="00ED0E77">
        <w:rPr>
          <w:lang w:val="en-IE"/>
        </w:rPr>
        <w:t>.</w:t>
      </w:r>
    </w:p>
    <w:p w14:paraId="63B6ED7B" w14:textId="73E48009" w:rsidR="0053190D" w:rsidRPr="00ED0E77" w:rsidRDefault="0053190D" w:rsidP="004C4A7F">
      <w:pPr>
        <w:pStyle w:val="para1"/>
        <w:ind w:left="850"/>
        <w:rPr>
          <w:i/>
          <w:iCs/>
          <w:lang w:val="en-IE"/>
        </w:rPr>
      </w:pPr>
      <w:r w:rsidRPr="00ED0E77">
        <w:rPr>
          <w:lang w:val="en-IE"/>
        </w:rPr>
        <w:t xml:space="preserve">A latex agglutination kit is available commercially for the antigenic identification of </w:t>
      </w:r>
      <w:r w:rsidRPr="00ED0E77">
        <w:rPr>
          <w:i/>
          <w:iCs/>
          <w:lang w:val="en-IE"/>
        </w:rPr>
        <w:t>T. equigenitalis</w:t>
      </w:r>
      <w:r w:rsidRPr="00ED0E77">
        <w:rPr>
          <w:lang w:val="en-IE"/>
        </w:rPr>
        <w:t xml:space="preserve">. It is based on polyclonal antibodies produced using methods similar to those described above. This is widely used by routine testing laboratories for the confirmation of the identity of colonies growing on selective medium that give a biochemical reaction consistent with </w:t>
      </w:r>
      <w:r w:rsidRPr="00ED0E77">
        <w:rPr>
          <w:i/>
          <w:iCs/>
          <w:lang w:val="en-IE"/>
        </w:rPr>
        <w:t>T. equigenitalis</w:t>
      </w:r>
      <w:r w:rsidRPr="00ED0E77">
        <w:rPr>
          <w:lang w:val="en-IE"/>
        </w:rPr>
        <w:t xml:space="preserve">. As </w:t>
      </w:r>
      <w:r w:rsidRPr="00ED0E77">
        <w:rPr>
          <w:i/>
          <w:iCs/>
          <w:lang w:val="en-IE"/>
        </w:rPr>
        <w:t>T. equigenitalis</w:t>
      </w:r>
      <w:r w:rsidRPr="00ED0E77">
        <w:rPr>
          <w:lang w:val="en-IE"/>
        </w:rPr>
        <w:t xml:space="preserve"> is antigenically relatively distinct, and small amounts of cross-reactive antibody are easily absorbed during production of the reagent, the test has proved to be highly specific and sensitive. It should be emphasised that it will not necessarily distinguish strains of </w:t>
      </w:r>
      <w:r w:rsidRPr="00ED0E77">
        <w:rPr>
          <w:i/>
          <w:iCs/>
          <w:lang w:val="en-IE"/>
        </w:rPr>
        <w:t xml:space="preserve">T. equigenitalis </w:t>
      </w:r>
      <w:r w:rsidRPr="00ED0E77">
        <w:rPr>
          <w:lang w:val="en-IE"/>
        </w:rPr>
        <w:t xml:space="preserve">from </w:t>
      </w:r>
      <w:r w:rsidRPr="00ED0E77">
        <w:rPr>
          <w:i/>
          <w:iCs/>
          <w:lang w:val="en-IE"/>
        </w:rPr>
        <w:t>T. asinigenitalis.</w:t>
      </w:r>
    </w:p>
    <w:p w14:paraId="636A1F9C" w14:textId="2F16B249" w:rsidR="00D86F96" w:rsidRPr="00ED0E77" w:rsidRDefault="00D86F96" w:rsidP="00D86F96">
      <w:pPr>
        <w:pStyle w:val="11"/>
        <w:rPr>
          <w:lang w:val="en-IE"/>
        </w:rPr>
      </w:pPr>
      <w:r w:rsidRPr="00ED0E77">
        <w:rPr>
          <w:lang w:val="en-IE"/>
        </w:rPr>
        <w:t>1.</w:t>
      </w:r>
      <w:r w:rsidR="007939CA" w:rsidRPr="00ED0E77">
        <w:rPr>
          <w:lang w:val="en-IE"/>
        </w:rPr>
        <w:t>3</w:t>
      </w:r>
      <w:r w:rsidRPr="00ED0E77">
        <w:rPr>
          <w:lang w:val="en-IE"/>
        </w:rPr>
        <w:t>.</w:t>
      </w:r>
      <w:r w:rsidRPr="00ED0E77">
        <w:rPr>
          <w:lang w:val="en-IE"/>
        </w:rPr>
        <w:tab/>
      </w:r>
      <w:r w:rsidR="007939CA" w:rsidRPr="00ED0E77">
        <w:rPr>
          <w:lang w:val="en-IE"/>
        </w:rPr>
        <w:t>Immunofluoresence</w:t>
      </w:r>
      <w:r w:rsidR="005A6C00" w:rsidRPr="00ED0E77">
        <w:rPr>
          <w:lang w:val="en-IE"/>
        </w:rPr>
        <w:t xml:space="preserve"> </w:t>
      </w:r>
      <w:r w:rsidRPr="00ED0E77">
        <w:rPr>
          <w:lang w:val="en-IE"/>
        </w:rPr>
        <w:t>methods</w:t>
      </w:r>
      <w:r w:rsidR="007939CA" w:rsidRPr="00ED0E77">
        <w:rPr>
          <w:lang w:val="en-IE"/>
        </w:rPr>
        <w:t xml:space="preserve"> (IFAT)</w:t>
      </w:r>
    </w:p>
    <w:p w14:paraId="63B6ED7D" w14:textId="628B3F97" w:rsidR="007F1DAB" w:rsidRPr="00ED0E77" w:rsidRDefault="00F82082" w:rsidP="00D86F96">
      <w:pPr>
        <w:pStyle w:val="11Para"/>
        <w:rPr>
          <w:lang w:val="en-IE"/>
        </w:rPr>
      </w:pPr>
      <w:r w:rsidRPr="00ED0E77">
        <w:rPr>
          <w:lang w:val="en-IE"/>
        </w:rPr>
        <w:t>Antibody</w:t>
      </w:r>
      <w:r w:rsidR="00EE4E0F" w:rsidRPr="00ED0E77">
        <w:rPr>
          <w:lang w:val="en-IE"/>
        </w:rPr>
        <w:t>-</w:t>
      </w:r>
      <w:r w:rsidRPr="00ED0E77">
        <w:rPr>
          <w:lang w:val="en-IE"/>
        </w:rPr>
        <w:t xml:space="preserve">based </w:t>
      </w:r>
      <w:r w:rsidR="00A3418D" w:rsidRPr="00ED0E77">
        <w:rPr>
          <w:lang w:val="en-IE"/>
        </w:rPr>
        <w:t>methods</w:t>
      </w:r>
      <w:r w:rsidRPr="00ED0E77">
        <w:rPr>
          <w:lang w:val="en-IE"/>
        </w:rPr>
        <w:t xml:space="preserve"> can also be used for the direct detection of </w:t>
      </w:r>
      <w:r w:rsidR="004C63D9" w:rsidRPr="00ED0E77">
        <w:rPr>
          <w:i/>
          <w:lang w:val="en-IE"/>
        </w:rPr>
        <w:t>T. equigeni</w:t>
      </w:r>
      <w:r w:rsidRPr="00ED0E77">
        <w:rPr>
          <w:i/>
          <w:lang w:val="en-IE"/>
        </w:rPr>
        <w:t>talis</w:t>
      </w:r>
      <w:r w:rsidRPr="00ED0E77">
        <w:rPr>
          <w:lang w:val="en-IE"/>
        </w:rPr>
        <w:t xml:space="preserve"> in swabs</w:t>
      </w:r>
      <w:r w:rsidR="00A3418D" w:rsidRPr="00ED0E77">
        <w:rPr>
          <w:lang w:val="en-IE"/>
        </w:rPr>
        <w:t xml:space="preserve"> taken from sampling sites. Both in</w:t>
      </w:r>
      <w:r w:rsidR="00EE4E0F" w:rsidRPr="00ED0E77">
        <w:rPr>
          <w:lang w:val="en-IE"/>
        </w:rPr>
        <w:t>-</w:t>
      </w:r>
      <w:r w:rsidR="00A3418D" w:rsidRPr="00ED0E77">
        <w:rPr>
          <w:lang w:val="en-IE"/>
        </w:rPr>
        <w:t xml:space="preserve">house and commercially available indirect </w:t>
      </w:r>
      <w:r w:rsidR="007939CA" w:rsidRPr="00ED0E77">
        <w:rPr>
          <w:lang w:val="en-IE"/>
        </w:rPr>
        <w:t>i</w:t>
      </w:r>
      <w:r w:rsidR="00A3418D" w:rsidRPr="00ED0E77">
        <w:rPr>
          <w:lang w:val="en-IE"/>
        </w:rPr>
        <w:t>mmunofluorescence antibody test</w:t>
      </w:r>
      <w:r w:rsidR="005A2311" w:rsidRPr="00ED0E77">
        <w:rPr>
          <w:lang w:val="en-IE"/>
        </w:rPr>
        <w:t>s (IFAT) have been</w:t>
      </w:r>
      <w:r w:rsidR="00A3418D" w:rsidRPr="00ED0E77">
        <w:rPr>
          <w:lang w:val="en-IE"/>
        </w:rPr>
        <w:t xml:space="preserve"> descri</w:t>
      </w:r>
      <w:r w:rsidR="00EE4E0F" w:rsidRPr="00ED0E77">
        <w:rPr>
          <w:lang w:val="en-IE"/>
        </w:rPr>
        <w:t>b</w:t>
      </w:r>
      <w:r w:rsidR="00A3418D" w:rsidRPr="00ED0E77">
        <w:rPr>
          <w:lang w:val="en-IE"/>
        </w:rPr>
        <w:t xml:space="preserve">ed </w:t>
      </w:r>
      <w:r w:rsidR="00C847CF" w:rsidRPr="00ED0E77">
        <w:rPr>
          <w:lang w:val="en-IE"/>
        </w:rPr>
        <w:t xml:space="preserve">(Breuil </w:t>
      </w:r>
      <w:r w:rsidR="00C847CF" w:rsidRPr="00ED0E77">
        <w:rPr>
          <w:i/>
          <w:iCs/>
          <w:lang w:val="en-IE"/>
        </w:rPr>
        <w:t xml:space="preserve">et al., </w:t>
      </w:r>
      <w:r w:rsidR="00C847CF" w:rsidRPr="00ED0E77">
        <w:rPr>
          <w:lang w:val="en-IE"/>
        </w:rPr>
        <w:t>2010)</w:t>
      </w:r>
      <w:r w:rsidR="00A3418D" w:rsidRPr="00ED0E77">
        <w:rPr>
          <w:lang w:val="en-IE"/>
        </w:rPr>
        <w:t xml:space="preserve">. Reported sensitivity and specificity </w:t>
      </w:r>
      <w:r w:rsidR="00EC4FBB" w:rsidRPr="00ED0E77">
        <w:rPr>
          <w:lang w:val="en-IE"/>
        </w:rPr>
        <w:t>are 93% and 100%</w:t>
      </w:r>
      <w:r w:rsidR="005A2311" w:rsidRPr="00ED0E77">
        <w:rPr>
          <w:lang w:val="en-IE"/>
        </w:rPr>
        <w:t>,</w:t>
      </w:r>
      <w:r w:rsidR="00EC4FBB" w:rsidRPr="00ED0E77">
        <w:rPr>
          <w:lang w:val="en-IE"/>
        </w:rPr>
        <w:t xml:space="preserve"> respectively (Breuil </w:t>
      </w:r>
      <w:r w:rsidR="00EC4FBB" w:rsidRPr="00ED0E77">
        <w:rPr>
          <w:i/>
          <w:iCs/>
          <w:lang w:val="en-IE"/>
        </w:rPr>
        <w:t xml:space="preserve">et al., </w:t>
      </w:r>
      <w:r w:rsidR="00EC4FBB" w:rsidRPr="00ED0E77">
        <w:rPr>
          <w:lang w:val="en-IE"/>
        </w:rPr>
        <w:t>2010).</w:t>
      </w:r>
      <w:r w:rsidR="005A2311" w:rsidRPr="00ED0E77">
        <w:rPr>
          <w:lang w:val="en-IE"/>
        </w:rPr>
        <w:t xml:space="preserve"> </w:t>
      </w:r>
      <w:r w:rsidR="007F1DAB" w:rsidRPr="00ED0E77">
        <w:rPr>
          <w:lang w:val="en-IE"/>
        </w:rPr>
        <w:t xml:space="preserve">It is important that kits used have been fully validated in accordance with Chapter 1.1.6. </w:t>
      </w:r>
      <w:r w:rsidR="007F1DAB" w:rsidRPr="00ED0E77">
        <w:rPr>
          <w:i/>
          <w:lang w:val="en-IE" w:eastAsia="en-IE"/>
        </w:rPr>
        <w:t>Principles and methods of validation of diagnostic assays for infectious diseases</w:t>
      </w:r>
      <w:r w:rsidR="007F1DAB" w:rsidRPr="00ED0E77">
        <w:rPr>
          <w:lang w:val="en-IE" w:eastAsia="en-IE"/>
        </w:rPr>
        <w:t xml:space="preserve">. </w:t>
      </w:r>
      <w:r w:rsidR="007F1DAB" w:rsidRPr="00ED0E77">
        <w:rPr>
          <w:lang w:val="en-IE"/>
        </w:rPr>
        <w:t>Kits should preferably be selected from those listed on the OIE Register</w:t>
      </w:r>
      <w:r w:rsidR="00101C0B">
        <w:rPr>
          <w:rStyle w:val="FootnoteReference"/>
          <w:lang w:val="en-IE"/>
        </w:rPr>
        <w:footnoteReference w:id="3"/>
      </w:r>
      <w:r w:rsidR="008F2EE6" w:rsidRPr="00ED0E77">
        <w:rPr>
          <w:lang w:val="en-IE"/>
        </w:rPr>
        <w:t>.</w:t>
      </w:r>
    </w:p>
    <w:p w14:paraId="649FAEEB" w14:textId="240A50B3" w:rsidR="001F5FD3" w:rsidRPr="001F5FD3" w:rsidRDefault="001F5FD3" w:rsidP="001F5FD3">
      <w:pPr>
        <w:pStyle w:val="11"/>
        <w:rPr>
          <w:u w:val="double"/>
        </w:rPr>
      </w:pPr>
      <w:r w:rsidRPr="001F5FD3">
        <w:rPr>
          <w:highlight w:val="yellow"/>
          <w:u w:val="double"/>
        </w:rPr>
        <w:t>1.4.</w:t>
      </w:r>
      <w:r w:rsidRPr="001F5FD3">
        <w:rPr>
          <w:highlight w:val="yellow"/>
          <w:u w:val="double"/>
        </w:rPr>
        <w:tab/>
        <w:t>Matrix-assisted laser desorption ioni</w:t>
      </w:r>
      <w:r>
        <w:rPr>
          <w:highlight w:val="yellow"/>
          <w:u w:val="double"/>
        </w:rPr>
        <w:t>s</w:t>
      </w:r>
      <w:r w:rsidRPr="001F5FD3">
        <w:rPr>
          <w:highlight w:val="yellow"/>
          <w:u w:val="double"/>
        </w:rPr>
        <w:t>ation-time-of-flight mass spectrometry (MALDI-TOF MS)</w:t>
      </w:r>
    </w:p>
    <w:p w14:paraId="5D065CF0" w14:textId="4CD5B44F" w:rsidR="001F5FD3" w:rsidRPr="001F5FD3" w:rsidRDefault="001F5FD3" w:rsidP="001F5FD3">
      <w:pPr>
        <w:pStyle w:val="11Para"/>
        <w:rPr>
          <w:u w:val="double"/>
          <w:lang w:val="en-IE"/>
        </w:rPr>
      </w:pPr>
      <w:r w:rsidRPr="001F5FD3">
        <w:rPr>
          <w:bCs/>
          <w:highlight w:val="yellow"/>
          <w:u w:val="double"/>
          <w:lang w:val="en-IE"/>
        </w:rPr>
        <w:t>Matrix-assisted laser desorption ioni</w:t>
      </w:r>
      <w:r>
        <w:rPr>
          <w:bCs/>
          <w:highlight w:val="yellow"/>
          <w:u w:val="double"/>
          <w:lang w:val="en-IE"/>
        </w:rPr>
        <w:t>s</w:t>
      </w:r>
      <w:r w:rsidRPr="001F5FD3">
        <w:rPr>
          <w:bCs/>
          <w:highlight w:val="yellow"/>
          <w:u w:val="double"/>
          <w:lang w:val="en-IE"/>
        </w:rPr>
        <w:t xml:space="preserve">ation-time-of-flight mass spectrometry (MALDI-TOF MS) has also been described as a reliable method for identification of Taylorella culture colonies and for the differentiation of </w:t>
      </w:r>
      <w:r w:rsidRPr="001F5FD3">
        <w:rPr>
          <w:bCs/>
          <w:i/>
          <w:iCs/>
          <w:highlight w:val="yellow"/>
          <w:u w:val="double"/>
          <w:lang w:val="en-IE"/>
        </w:rPr>
        <w:t xml:space="preserve">T equigenitalis </w:t>
      </w:r>
      <w:r w:rsidRPr="001F5FD3">
        <w:rPr>
          <w:bCs/>
          <w:highlight w:val="yellow"/>
          <w:u w:val="double"/>
          <w:lang w:val="en-IE"/>
        </w:rPr>
        <w:t xml:space="preserve">and </w:t>
      </w:r>
      <w:r w:rsidRPr="001F5FD3">
        <w:rPr>
          <w:bCs/>
          <w:i/>
          <w:iCs/>
          <w:highlight w:val="yellow"/>
          <w:u w:val="double"/>
          <w:lang w:val="en-IE"/>
        </w:rPr>
        <w:t>T.</w:t>
      </w:r>
      <w:r>
        <w:rPr>
          <w:bCs/>
          <w:highlight w:val="yellow"/>
          <w:u w:val="double"/>
          <w:lang w:val="en-IE"/>
        </w:rPr>
        <w:t xml:space="preserve"> </w:t>
      </w:r>
      <w:r w:rsidRPr="001F5FD3">
        <w:rPr>
          <w:bCs/>
          <w:i/>
          <w:iCs/>
          <w:highlight w:val="yellow"/>
          <w:u w:val="double"/>
          <w:lang w:val="en-IE"/>
        </w:rPr>
        <w:t>asinigenitalis</w:t>
      </w:r>
      <w:r w:rsidRPr="001F5FD3">
        <w:rPr>
          <w:bCs/>
          <w:highlight w:val="yellow"/>
          <w:u w:val="double"/>
          <w:lang w:val="en-IE"/>
        </w:rPr>
        <w:t xml:space="preserve"> with appropriately expanded reference spectra, using direct spotting of 48-hour suspect colonies (Petry </w:t>
      </w:r>
      <w:r w:rsidRPr="001F5FD3">
        <w:rPr>
          <w:bCs/>
          <w:i/>
          <w:iCs/>
          <w:highlight w:val="yellow"/>
          <w:u w:val="double"/>
          <w:lang w:val="en-IE"/>
        </w:rPr>
        <w:t>et al.,</w:t>
      </w:r>
      <w:r w:rsidRPr="001F5FD3">
        <w:rPr>
          <w:bCs/>
          <w:highlight w:val="yellow"/>
          <w:u w:val="double"/>
          <w:lang w:val="en-IE"/>
        </w:rPr>
        <w:t xml:space="preserve"> 2019).</w:t>
      </w:r>
    </w:p>
    <w:p w14:paraId="50805091" w14:textId="177EF8A5" w:rsidR="007939CA" w:rsidRPr="00ED0E77" w:rsidRDefault="007939CA" w:rsidP="007939CA">
      <w:pPr>
        <w:pStyle w:val="11"/>
        <w:rPr>
          <w:lang w:val="en-IE"/>
        </w:rPr>
      </w:pPr>
      <w:r w:rsidRPr="00ED0E77">
        <w:rPr>
          <w:lang w:val="en-IE"/>
        </w:rPr>
        <w:t>1.</w:t>
      </w:r>
      <w:r w:rsidR="001F5FD3">
        <w:rPr>
          <w:lang w:val="en-IE"/>
        </w:rPr>
        <w:t>5</w:t>
      </w:r>
      <w:r w:rsidRPr="00ED0E77">
        <w:rPr>
          <w:lang w:val="en-IE"/>
        </w:rPr>
        <w:t>.</w:t>
      </w:r>
      <w:r w:rsidRPr="00ED0E77">
        <w:rPr>
          <w:lang w:val="en-IE"/>
        </w:rPr>
        <w:tab/>
        <w:t>Molecular methods</w:t>
      </w:r>
    </w:p>
    <w:p w14:paraId="000AF794" w14:textId="58D1E23E" w:rsidR="00483339" w:rsidRPr="00ED0E77" w:rsidRDefault="0053190D" w:rsidP="00726050">
      <w:pPr>
        <w:pStyle w:val="11Para"/>
        <w:rPr>
          <w:lang w:val="en-IE"/>
        </w:rPr>
      </w:pPr>
      <w:r w:rsidRPr="00ED0E77">
        <w:rPr>
          <w:lang w:val="en-IE"/>
        </w:rPr>
        <w:t xml:space="preserve">Molecular testing methods such as </w:t>
      </w:r>
      <w:r w:rsidR="007408D8" w:rsidRPr="00ED0E77">
        <w:rPr>
          <w:lang w:val="en-IE"/>
        </w:rPr>
        <w:t>P</w:t>
      </w:r>
      <w:r w:rsidRPr="00ED0E77">
        <w:rPr>
          <w:lang w:val="en-IE"/>
        </w:rPr>
        <w:t xml:space="preserve">CR and </w:t>
      </w:r>
      <w:r w:rsidR="007408D8" w:rsidRPr="00ED0E77">
        <w:rPr>
          <w:lang w:val="en-IE"/>
        </w:rPr>
        <w:t xml:space="preserve">real-time </w:t>
      </w:r>
      <w:r w:rsidR="00D46FF1" w:rsidRPr="00ED0E77">
        <w:rPr>
          <w:lang w:val="en-IE"/>
        </w:rPr>
        <w:t>PCR</w:t>
      </w:r>
      <w:r w:rsidR="00AB10B5" w:rsidRPr="00ED0E77">
        <w:rPr>
          <w:lang w:val="en-IE"/>
        </w:rPr>
        <w:t xml:space="preserve"> </w:t>
      </w:r>
      <w:r w:rsidRPr="00ED0E77">
        <w:rPr>
          <w:lang w:val="en-IE"/>
        </w:rPr>
        <w:t xml:space="preserve">have been applied to the detection of </w:t>
      </w:r>
      <w:r w:rsidRPr="00ED0E77">
        <w:rPr>
          <w:i/>
          <w:lang w:val="en-IE"/>
        </w:rPr>
        <w:t>T.</w:t>
      </w:r>
      <w:r w:rsidR="0078582C" w:rsidRPr="00ED0E77">
        <w:rPr>
          <w:i/>
          <w:lang w:val="en-IE"/>
        </w:rPr>
        <w:t> </w:t>
      </w:r>
      <w:r w:rsidRPr="00ED0E77">
        <w:rPr>
          <w:i/>
          <w:lang w:val="en-IE"/>
        </w:rPr>
        <w:t>equigenitalis</w:t>
      </w:r>
      <w:r w:rsidR="0078582C" w:rsidRPr="00ED0E77">
        <w:rPr>
          <w:lang w:val="en-IE"/>
        </w:rPr>
        <w:t xml:space="preserve"> </w:t>
      </w:r>
      <w:r w:rsidRPr="00ED0E77">
        <w:rPr>
          <w:lang w:val="en-IE"/>
        </w:rPr>
        <w:t>both directly (using swabs taken from sampling sites) and indirectly (</w:t>
      </w:r>
      <w:r w:rsidRPr="00ED0E77">
        <w:rPr>
          <w:strike/>
          <w:lang w:val="en-IE"/>
        </w:rPr>
        <w:t xml:space="preserve">from </w:t>
      </w:r>
      <w:r w:rsidR="00AB10B5" w:rsidRPr="00ED0E77">
        <w:rPr>
          <w:u w:val="double"/>
          <w:lang w:val="en-IE"/>
        </w:rPr>
        <w:t>on</w:t>
      </w:r>
      <w:r w:rsidR="00AB10B5" w:rsidRPr="00ED0E77">
        <w:rPr>
          <w:lang w:val="en-IE"/>
        </w:rPr>
        <w:t xml:space="preserve"> </w:t>
      </w:r>
      <w:r w:rsidRPr="00ED0E77">
        <w:rPr>
          <w:lang w:val="en-IE"/>
        </w:rPr>
        <w:t xml:space="preserve">cultures grown from swabs). </w:t>
      </w:r>
      <w:r w:rsidR="008F2AF0" w:rsidRPr="008F43E9">
        <w:rPr>
          <w:highlight w:val="yellow"/>
          <w:u w:val="double"/>
          <w:lang w:val="en-IE"/>
        </w:rPr>
        <w:t xml:space="preserve">A minimum of five </w:t>
      </w:r>
      <w:r w:rsidR="009F6C26" w:rsidRPr="008F43E9">
        <w:rPr>
          <w:highlight w:val="yellow"/>
          <w:u w:val="double"/>
          <w:lang w:val="en-IE"/>
        </w:rPr>
        <w:t xml:space="preserve">suspect </w:t>
      </w:r>
      <w:r w:rsidR="008F2AF0" w:rsidRPr="008F43E9">
        <w:rPr>
          <w:highlight w:val="yellow"/>
          <w:u w:val="double"/>
          <w:lang w:val="en-IE"/>
        </w:rPr>
        <w:t>colonies should be</w:t>
      </w:r>
      <w:r w:rsidR="009F6C26" w:rsidRPr="008F43E9">
        <w:rPr>
          <w:highlight w:val="yellow"/>
          <w:u w:val="double"/>
          <w:lang w:val="en-IE"/>
        </w:rPr>
        <w:t xml:space="preserve"> taken for confirmation by PCR</w:t>
      </w:r>
      <w:r w:rsidR="009F6C26" w:rsidRPr="008F43E9">
        <w:rPr>
          <w:u w:val="double"/>
          <w:lang w:val="en-IE"/>
        </w:rPr>
        <w:t>.</w:t>
      </w:r>
      <w:r w:rsidR="006E72D2">
        <w:rPr>
          <w:lang w:val="en-IE"/>
        </w:rPr>
        <w:t xml:space="preserve"> </w:t>
      </w:r>
      <w:r w:rsidRPr="00ED0E77">
        <w:rPr>
          <w:strike/>
          <w:lang w:val="en-IE"/>
        </w:rPr>
        <w:t xml:space="preserve">In studies carried out in the UK the PCR was shown to be highly specific and was able to detect very small numbers of </w:t>
      </w:r>
      <w:r w:rsidRPr="00ED0E77">
        <w:rPr>
          <w:rStyle w:val="Emphasis"/>
          <w:strike/>
          <w:lang w:val="en-IE"/>
        </w:rPr>
        <w:t>T. equigenitalis</w:t>
      </w:r>
      <w:r w:rsidRPr="00ED0E77">
        <w:rPr>
          <w:strike/>
          <w:lang w:val="en-IE"/>
        </w:rPr>
        <w:t xml:space="preserve"> in the presence of very large numbers of bacteria comprising the background flora harvested from culture plates inoculated with samples from the equine urogenital tract. </w:t>
      </w:r>
      <w:r w:rsidRPr="00ED0E77">
        <w:rPr>
          <w:lang w:val="en-IE"/>
        </w:rPr>
        <w:t xml:space="preserve">In Japan the field application of the PCR was evaluated for the eradication of contagious equine metritis. It was demonstrated that the PCR was more sensitive than culture for the detection of </w:t>
      </w:r>
      <w:r w:rsidRPr="00ED0E77">
        <w:rPr>
          <w:rStyle w:val="Emphasis"/>
          <w:lang w:val="en-IE"/>
        </w:rPr>
        <w:t>T. equigenitalis</w:t>
      </w:r>
      <w:r w:rsidRPr="00ED0E77">
        <w:rPr>
          <w:lang w:val="en-IE"/>
        </w:rPr>
        <w:t xml:space="preserve"> from genital swabs of horses (Anzai </w:t>
      </w:r>
      <w:r w:rsidRPr="00ED0E77">
        <w:rPr>
          <w:i/>
          <w:lang w:val="en-IE"/>
        </w:rPr>
        <w:t xml:space="preserve">et al., </w:t>
      </w:r>
      <w:r w:rsidR="00B25168" w:rsidRPr="008452A7">
        <w:rPr>
          <w:iCs/>
          <w:lang w:val="en-IE"/>
        </w:rPr>
        <w:t>1999</w:t>
      </w:r>
      <w:r w:rsidR="008452A7">
        <w:rPr>
          <w:iCs/>
          <w:lang w:val="en-IE"/>
        </w:rPr>
        <w:t>;</w:t>
      </w:r>
      <w:r w:rsidR="00B25168">
        <w:rPr>
          <w:i/>
          <w:lang w:val="en-IE"/>
        </w:rPr>
        <w:t xml:space="preserve"> </w:t>
      </w:r>
      <w:r w:rsidRPr="00ED0E77">
        <w:rPr>
          <w:lang w:val="en-IE"/>
        </w:rPr>
        <w:t>2002</w:t>
      </w:r>
      <w:r w:rsidRPr="00ED0E77">
        <w:rPr>
          <w:strike/>
          <w:lang w:val="en-IE"/>
        </w:rPr>
        <w:t xml:space="preserve">; Moore </w:t>
      </w:r>
      <w:r w:rsidRPr="00ED0E77">
        <w:rPr>
          <w:i/>
          <w:iCs/>
          <w:strike/>
          <w:lang w:val="en-IE"/>
        </w:rPr>
        <w:t>et al.,</w:t>
      </w:r>
      <w:r w:rsidRPr="00ED0E77">
        <w:rPr>
          <w:strike/>
          <w:lang w:val="en-IE"/>
        </w:rPr>
        <w:t xml:space="preserve"> 2001</w:t>
      </w:r>
      <w:r w:rsidR="00602F38" w:rsidRPr="00ED0E77">
        <w:rPr>
          <w:lang w:val="en-IE"/>
        </w:rPr>
        <w:t>).</w:t>
      </w:r>
      <w:r w:rsidR="00B25168">
        <w:rPr>
          <w:lang w:val="en-IE"/>
        </w:rPr>
        <w:t xml:space="preserve"> </w:t>
      </w:r>
      <w:r w:rsidR="00B25168" w:rsidRPr="008452A7">
        <w:rPr>
          <w:u w:val="double"/>
          <w:lang w:val="en-IE"/>
        </w:rPr>
        <w:t xml:space="preserve">Laboratory ring trial data also indicate improved detection of </w:t>
      </w:r>
      <w:r w:rsidR="00B25168" w:rsidRPr="008452A7">
        <w:rPr>
          <w:i/>
          <w:u w:val="double"/>
          <w:lang w:val="en-IE"/>
        </w:rPr>
        <w:t>T. equigenitalis</w:t>
      </w:r>
      <w:r w:rsidR="00B25168" w:rsidRPr="008452A7">
        <w:rPr>
          <w:u w:val="double"/>
          <w:lang w:val="en-IE"/>
        </w:rPr>
        <w:t xml:space="preserve"> by PCR compared </w:t>
      </w:r>
      <w:r w:rsidR="008452A7">
        <w:rPr>
          <w:u w:val="double"/>
          <w:lang w:val="en-IE"/>
        </w:rPr>
        <w:t>with</w:t>
      </w:r>
      <w:r w:rsidR="00B25168" w:rsidRPr="008452A7">
        <w:rPr>
          <w:u w:val="double"/>
          <w:lang w:val="en-IE"/>
        </w:rPr>
        <w:t xml:space="preserve"> culture (</w:t>
      </w:r>
      <w:r w:rsidR="008452A7" w:rsidRPr="008452A7">
        <w:rPr>
          <w:u w:val="double"/>
          <w:lang w:val="en-IE"/>
        </w:rPr>
        <w:t>Mawhinney, 2020</w:t>
      </w:r>
      <w:r w:rsidR="008452A7">
        <w:rPr>
          <w:u w:val="double"/>
          <w:lang w:val="en-IE"/>
        </w:rPr>
        <w:t xml:space="preserve">; </w:t>
      </w:r>
      <w:r w:rsidR="00B25168" w:rsidRPr="008452A7">
        <w:rPr>
          <w:u w:val="double"/>
          <w:lang w:val="en-IE"/>
        </w:rPr>
        <w:t xml:space="preserve">Petry </w:t>
      </w:r>
      <w:r w:rsidR="00B25168" w:rsidRPr="008452A7">
        <w:rPr>
          <w:i/>
          <w:u w:val="double"/>
          <w:lang w:val="en-IE"/>
        </w:rPr>
        <w:t>et al.</w:t>
      </w:r>
      <w:r w:rsidR="00B25168" w:rsidRPr="008452A7">
        <w:rPr>
          <w:u w:val="double"/>
          <w:lang w:val="en-IE"/>
        </w:rPr>
        <w:t>, 2018).</w:t>
      </w:r>
    </w:p>
    <w:p w14:paraId="140710C7" w14:textId="31CE7732" w:rsidR="00483339" w:rsidRPr="00ED0E77" w:rsidRDefault="00483339" w:rsidP="00893579">
      <w:pPr>
        <w:pStyle w:val="111"/>
        <w:rPr>
          <w:lang w:val="en-IE"/>
        </w:rPr>
      </w:pPr>
      <w:r w:rsidRPr="00ED0E77">
        <w:rPr>
          <w:lang w:val="en-IE"/>
        </w:rPr>
        <w:t>1.4.1</w:t>
      </w:r>
      <w:r w:rsidR="00893579" w:rsidRPr="00ED0E77">
        <w:rPr>
          <w:lang w:val="en-IE"/>
        </w:rPr>
        <w:t>.</w:t>
      </w:r>
      <w:r w:rsidR="00893579" w:rsidRPr="00ED0E77">
        <w:rPr>
          <w:lang w:val="en-IE"/>
        </w:rPr>
        <w:tab/>
      </w:r>
      <w:r w:rsidRPr="00ED0E77">
        <w:rPr>
          <w:lang w:val="en-IE"/>
        </w:rPr>
        <w:t>Real</w:t>
      </w:r>
      <w:r w:rsidR="00893579" w:rsidRPr="00ED0E77">
        <w:rPr>
          <w:lang w:val="en-IE"/>
        </w:rPr>
        <w:t>-t</w:t>
      </w:r>
      <w:r w:rsidRPr="00ED0E77">
        <w:rPr>
          <w:lang w:val="en-IE"/>
        </w:rPr>
        <w:t xml:space="preserve">ime PCRs </w:t>
      </w:r>
    </w:p>
    <w:p w14:paraId="377E52C5" w14:textId="03218A23" w:rsidR="00317756" w:rsidRPr="00ED0E77" w:rsidRDefault="0053190D" w:rsidP="00893579">
      <w:pPr>
        <w:pStyle w:val="111Para"/>
        <w:rPr>
          <w:lang w:val="en-IE"/>
        </w:rPr>
      </w:pPr>
      <w:r w:rsidRPr="00ED0E77">
        <w:rPr>
          <w:lang w:val="en-IE"/>
        </w:rPr>
        <w:t>A real-time</w:t>
      </w:r>
      <w:r w:rsidR="00483339" w:rsidRPr="00ED0E77">
        <w:rPr>
          <w:lang w:val="en-IE"/>
        </w:rPr>
        <w:t xml:space="preserve"> </w:t>
      </w:r>
      <w:r w:rsidRPr="00ED0E77">
        <w:rPr>
          <w:lang w:val="en-IE"/>
        </w:rPr>
        <w:t xml:space="preserve">PCR was developed </w:t>
      </w:r>
      <w:r w:rsidRPr="00101C0B">
        <w:rPr>
          <w:strike/>
          <w:lang w:val="en-IE"/>
        </w:rPr>
        <w:t xml:space="preserve">in the UK </w:t>
      </w:r>
      <w:r w:rsidRPr="00ED0E77">
        <w:rPr>
          <w:lang w:val="en-IE"/>
        </w:rPr>
        <w:t xml:space="preserve">for use directly on genital swabs and compared with culture (Wakeley </w:t>
      </w:r>
      <w:r w:rsidRPr="00ED0E77">
        <w:rPr>
          <w:i/>
          <w:lang w:val="en-IE"/>
        </w:rPr>
        <w:t xml:space="preserve">et al., </w:t>
      </w:r>
      <w:r w:rsidRPr="00ED0E77">
        <w:rPr>
          <w:lang w:val="en-IE"/>
        </w:rPr>
        <w:t>2006</w:t>
      </w:r>
      <w:r w:rsidR="00B25168" w:rsidRPr="008452A7">
        <w:rPr>
          <w:u w:val="double"/>
          <w:lang w:val="en-IE"/>
        </w:rPr>
        <w:t xml:space="preserve">, Mawhinney </w:t>
      </w:r>
      <w:r w:rsidR="00B25168" w:rsidRPr="008452A7">
        <w:rPr>
          <w:i/>
          <w:u w:val="double"/>
          <w:lang w:val="en-IE"/>
        </w:rPr>
        <w:t>et al.</w:t>
      </w:r>
      <w:r w:rsidR="00B25168" w:rsidRPr="008452A7">
        <w:rPr>
          <w:u w:val="double"/>
          <w:lang w:val="en-IE"/>
        </w:rPr>
        <w:t>, 2019</w:t>
      </w:r>
      <w:r w:rsidRPr="00ED0E77">
        <w:rPr>
          <w:lang w:val="en-IE"/>
        </w:rPr>
        <w:t>)</w:t>
      </w:r>
      <w:r w:rsidR="00BD15CC" w:rsidRPr="00ED0E77">
        <w:rPr>
          <w:lang w:val="en-IE"/>
        </w:rPr>
        <w:t>; it</w:t>
      </w:r>
      <w:r w:rsidRPr="00ED0E77">
        <w:rPr>
          <w:lang w:val="en-IE"/>
        </w:rPr>
        <w:t xml:space="preserve"> has subsequently </w:t>
      </w:r>
      <w:r w:rsidR="00BD15CC" w:rsidRPr="00ED0E77">
        <w:rPr>
          <w:lang w:val="en-IE"/>
        </w:rPr>
        <w:t xml:space="preserve">been </w:t>
      </w:r>
      <w:r w:rsidRPr="00ED0E77">
        <w:rPr>
          <w:lang w:val="en-IE"/>
        </w:rPr>
        <w:t xml:space="preserve">used for pre-breeding screening studies (Ousey </w:t>
      </w:r>
      <w:r w:rsidRPr="00ED0E77">
        <w:rPr>
          <w:i/>
          <w:lang w:val="en-IE"/>
        </w:rPr>
        <w:t xml:space="preserve">et al., </w:t>
      </w:r>
      <w:r w:rsidRPr="00ED0E77">
        <w:rPr>
          <w:lang w:val="en-IE"/>
        </w:rPr>
        <w:t>2009)</w:t>
      </w:r>
      <w:r w:rsidRPr="00ED0E77">
        <w:rPr>
          <w:strike/>
          <w:lang w:val="en-IE"/>
        </w:rPr>
        <w:t xml:space="preserve">. There was no significant difference in the performance of the direct PCR and culture, but the PCR had the added advantage of speed of result and also differentiated </w:t>
      </w:r>
      <w:r w:rsidR="00E40D1C" w:rsidRPr="00ED0E77">
        <w:rPr>
          <w:i/>
          <w:iCs/>
          <w:strike/>
          <w:lang w:val="en-IE"/>
        </w:rPr>
        <w:t>T. </w:t>
      </w:r>
      <w:r w:rsidRPr="00ED0E77">
        <w:rPr>
          <w:rStyle w:val="Emphasis"/>
          <w:i w:val="0"/>
          <w:iCs w:val="0"/>
          <w:strike/>
          <w:lang w:val="en-IE"/>
        </w:rPr>
        <w:t>equigenitalis</w:t>
      </w:r>
      <w:r w:rsidRPr="00ED0E77">
        <w:rPr>
          <w:strike/>
          <w:lang w:val="en-IE"/>
        </w:rPr>
        <w:t xml:space="preserve"> from</w:t>
      </w:r>
      <w:r w:rsidRPr="00ED0E77">
        <w:rPr>
          <w:rStyle w:val="Emphasis"/>
          <w:i w:val="0"/>
          <w:iCs w:val="0"/>
          <w:strike/>
          <w:lang w:val="en-IE"/>
        </w:rPr>
        <w:t xml:space="preserve"> </w:t>
      </w:r>
      <w:r w:rsidRPr="00ED0E77">
        <w:rPr>
          <w:rStyle w:val="Emphasis"/>
          <w:strike/>
          <w:lang w:val="en-IE"/>
        </w:rPr>
        <w:t>T. asinigenitalis</w:t>
      </w:r>
      <w:r w:rsidRPr="00ED0E77">
        <w:rPr>
          <w:rStyle w:val="Emphasis"/>
          <w:i w:val="0"/>
          <w:iCs w:val="0"/>
          <w:strike/>
          <w:lang w:val="en-IE"/>
        </w:rPr>
        <w:t>.</w:t>
      </w:r>
      <w:r w:rsidRPr="00ED0E77">
        <w:rPr>
          <w:strike/>
          <w:lang w:val="en-IE"/>
        </w:rPr>
        <w:t xml:space="preserve"> Commercial PCR kits are available for the detection of </w:t>
      </w:r>
      <w:r w:rsidRPr="00ED0E77">
        <w:rPr>
          <w:rStyle w:val="Emphasis"/>
          <w:strike/>
          <w:lang w:val="en-IE"/>
        </w:rPr>
        <w:t>T. equigenitalis</w:t>
      </w:r>
      <w:r w:rsidRPr="00ED0E77">
        <w:rPr>
          <w:strike/>
          <w:lang w:val="en-IE"/>
        </w:rPr>
        <w:t xml:space="preserve"> and these may be used to enhance the testing capabilities of authorised laboratories.</w:t>
      </w:r>
      <w:r w:rsidR="00006277" w:rsidRPr="00ED0E77">
        <w:rPr>
          <w:strike/>
          <w:lang w:val="en-IE"/>
        </w:rPr>
        <w:t xml:space="preserve"> An overview of the primers and probes</w:t>
      </w:r>
      <w:r w:rsidR="00CA7D7A" w:rsidRPr="00ED0E77">
        <w:rPr>
          <w:strike/>
          <w:lang w:val="en-IE"/>
        </w:rPr>
        <w:t xml:space="preserve"> </w:t>
      </w:r>
      <w:r w:rsidR="00006277" w:rsidRPr="00ED0E77">
        <w:rPr>
          <w:strike/>
          <w:lang w:val="en-IE"/>
        </w:rPr>
        <w:t xml:space="preserve">mentioned in publications on PCR detection of </w:t>
      </w:r>
      <w:r w:rsidR="00757770" w:rsidRPr="00ED0E77">
        <w:rPr>
          <w:i/>
          <w:strike/>
          <w:lang w:val="en-IE"/>
        </w:rPr>
        <w:t>T. </w:t>
      </w:r>
      <w:r w:rsidR="00006277" w:rsidRPr="00ED0E77">
        <w:rPr>
          <w:i/>
          <w:strike/>
          <w:lang w:val="en-IE"/>
        </w:rPr>
        <w:t>equigenitalis</w:t>
      </w:r>
      <w:r w:rsidR="00006277" w:rsidRPr="00ED0E77">
        <w:rPr>
          <w:strike/>
          <w:lang w:val="en-IE"/>
        </w:rPr>
        <w:t xml:space="preserve"> is given in </w:t>
      </w:r>
      <w:r w:rsidR="0059376B" w:rsidRPr="00ED0E77">
        <w:rPr>
          <w:strike/>
          <w:lang w:val="en-IE"/>
        </w:rPr>
        <w:t>T</w:t>
      </w:r>
      <w:r w:rsidR="00006277" w:rsidRPr="00ED0E77">
        <w:rPr>
          <w:strike/>
          <w:lang w:val="en-IE"/>
        </w:rPr>
        <w:t>able</w:t>
      </w:r>
      <w:r w:rsidR="0059376B" w:rsidRPr="00ED0E77">
        <w:rPr>
          <w:strike/>
          <w:lang w:val="en-IE"/>
        </w:rPr>
        <w:t xml:space="preserve"> 2</w:t>
      </w:r>
      <w:r w:rsidR="00006277" w:rsidRPr="00ED0E77">
        <w:rPr>
          <w:strike/>
          <w:lang w:val="en-IE"/>
        </w:rPr>
        <w:t>.</w:t>
      </w:r>
      <w:r w:rsidR="00602F38" w:rsidRPr="00ED0E77">
        <w:rPr>
          <w:u w:val="double"/>
          <w:lang w:val="en-IE"/>
        </w:rPr>
        <w:t xml:space="preserve"> and surveill</w:t>
      </w:r>
      <w:r w:rsidR="00D46FF1" w:rsidRPr="00ED0E77">
        <w:rPr>
          <w:u w:val="double"/>
          <w:lang w:val="en-IE"/>
        </w:rPr>
        <w:t xml:space="preserve">ance </w:t>
      </w:r>
      <w:r w:rsidR="00250D6E" w:rsidRPr="00ED0E77">
        <w:rPr>
          <w:u w:val="double"/>
          <w:lang w:val="en-IE"/>
        </w:rPr>
        <w:t>and eradication schemes in various countries</w:t>
      </w:r>
      <w:r w:rsidR="006D13D7" w:rsidRPr="00ED0E77">
        <w:rPr>
          <w:u w:val="double"/>
          <w:lang w:val="en-IE"/>
        </w:rPr>
        <w:t xml:space="preserve"> </w:t>
      </w:r>
      <w:r w:rsidR="00250D6E" w:rsidRPr="00ED0E77">
        <w:rPr>
          <w:u w:val="double"/>
          <w:lang w:val="en-IE"/>
        </w:rPr>
        <w:t>(</w:t>
      </w:r>
      <w:r w:rsidR="006D13D7" w:rsidRPr="00ED0E77">
        <w:rPr>
          <w:u w:val="double"/>
          <w:lang w:val="en-IE"/>
        </w:rPr>
        <w:t xml:space="preserve">Belloy </w:t>
      </w:r>
      <w:r w:rsidR="006D13D7" w:rsidRPr="00ED0E77">
        <w:rPr>
          <w:i/>
          <w:iCs/>
          <w:u w:val="double"/>
          <w:lang w:val="en-IE"/>
        </w:rPr>
        <w:t>et al</w:t>
      </w:r>
      <w:r w:rsidR="00893579" w:rsidRPr="00ED0E77">
        <w:rPr>
          <w:i/>
          <w:iCs/>
          <w:u w:val="double"/>
          <w:lang w:val="en-IE"/>
        </w:rPr>
        <w:t>.,</w:t>
      </w:r>
      <w:r w:rsidR="006D13D7" w:rsidRPr="00ED0E77">
        <w:rPr>
          <w:u w:val="double"/>
          <w:lang w:val="en-IE"/>
        </w:rPr>
        <w:t xml:space="preserve"> 2012</w:t>
      </w:r>
      <w:r w:rsidR="00893579" w:rsidRPr="00ED0E77">
        <w:rPr>
          <w:u w:val="double"/>
          <w:lang w:val="en-IE"/>
        </w:rPr>
        <w:t>;</w:t>
      </w:r>
      <w:r w:rsidR="006D13D7" w:rsidRPr="00ED0E77">
        <w:rPr>
          <w:u w:val="double"/>
          <w:lang w:val="en-IE"/>
        </w:rPr>
        <w:t xml:space="preserve"> Jeoung </w:t>
      </w:r>
      <w:r w:rsidR="006D13D7" w:rsidRPr="00ED0E77">
        <w:rPr>
          <w:i/>
          <w:iCs/>
          <w:u w:val="double"/>
          <w:lang w:val="en-IE"/>
        </w:rPr>
        <w:t>et al</w:t>
      </w:r>
      <w:r w:rsidR="00893579" w:rsidRPr="00ED0E77">
        <w:rPr>
          <w:i/>
          <w:iCs/>
          <w:u w:val="double"/>
          <w:lang w:val="en-IE"/>
        </w:rPr>
        <w:t>.,</w:t>
      </w:r>
      <w:r w:rsidR="00893579" w:rsidRPr="00ED0E77">
        <w:rPr>
          <w:u w:val="double"/>
          <w:lang w:val="en-IE"/>
        </w:rPr>
        <w:t xml:space="preserve"> </w:t>
      </w:r>
      <w:r w:rsidR="006D13D7" w:rsidRPr="00ED0E77">
        <w:rPr>
          <w:u w:val="double"/>
          <w:lang w:val="en-IE"/>
        </w:rPr>
        <w:t>2018</w:t>
      </w:r>
      <w:r w:rsidR="00893579" w:rsidRPr="00ED0E77">
        <w:rPr>
          <w:u w:val="double"/>
          <w:lang w:val="en-IE"/>
        </w:rPr>
        <w:t xml:space="preserve">; May </w:t>
      </w:r>
      <w:r w:rsidR="00893579" w:rsidRPr="00ED0E77">
        <w:rPr>
          <w:i/>
          <w:iCs/>
          <w:u w:val="double"/>
          <w:lang w:val="en-IE"/>
        </w:rPr>
        <w:t xml:space="preserve">et al., </w:t>
      </w:r>
      <w:r w:rsidR="00893579" w:rsidRPr="00ED0E77">
        <w:rPr>
          <w:u w:val="double"/>
          <w:lang w:val="en-IE"/>
        </w:rPr>
        <w:t>2016</w:t>
      </w:r>
      <w:r w:rsidR="00250D6E" w:rsidRPr="00ED0E77">
        <w:rPr>
          <w:u w:val="double"/>
          <w:lang w:val="en-IE"/>
        </w:rPr>
        <w:t>). A</w:t>
      </w:r>
      <w:r w:rsidR="007408D8" w:rsidRPr="00ED0E77">
        <w:rPr>
          <w:u w:val="double"/>
          <w:lang w:val="en-IE"/>
        </w:rPr>
        <w:t xml:space="preserve"> second </w:t>
      </w:r>
      <w:r w:rsidR="00893579" w:rsidRPr="00ED0E77">
        <w:rPr>
          <w:u w:val="double"/>
          <w:lang w:val="en-IE"/>
        </w:rPr>
        <w:t xml:space="preserve">real-time </w:t>
      </w:r>
      <w:r w:rsidR="00250D6E" w:rsidRPr="00ED0E77">
        <w:rPr>
          <w:u w:val="double"/>
          <w:lang w:val="en-IE"/>
        </w:rPr>
        <w:t xml:space="preserve">PCR </w:t>
      </w:r>
      <w:r w:rsidR="00BD15CC" w:rsidRPr="00ED0E77">
        <w:rPr>
          <w:u w:val="double"/>
          <w:lang w:val="en-IE"/>
        </w:rPr>
        <w:t>was</w:t>
      </w:r>
      <w:r w:rsidR="00250D6E" w:rsidRPr="00ED0E77">
        <w:rPr>
          <w:u w:val="double"/>
          <w:lang w:val="en-IE"/>
        </w:rPr>
        <w:t xml:space="preserve"> developed and used successfully for the</w:t>
      </w:r>
      <w:r w:rsidR="008E2C3F" w:rsidRPr="00ED0E77">
        <w:rPr>
          <w:u w:val="double"/>
          <w:lang w:val="en-IE"/>
        </w:rPr>
        <w:t xml:space="preserve"> </w:t>
      </w:r>
      <w:r w:rsidR="00250D6E" w:rsidRPr="00ED0E77">
        <w:rPr>
          <w:u w:val="double"/>
          <w:lang w:val="en-IE"/>
        </w:rPr>
        <w:t xml:space="preserve">diagnosis of CEM </w:t>
      </w:r>
      <w:r w:rsidR="008E2C3F" w:rsidRPr="00ED0E77">
        <w:rPr>
          <w:u w:val="double"/>
          <w:lang w:val="en-IE"/>
        </w:rPr>
        <w:t>(</w:t>
      </w:r>
      <w:r w:rsidR="006D13D7" w:rsidRPr="00ED0E77">
        <w:rPr>
          <w:u w:val="double"/>
          <w:lang w:val="en-IE"/>
        </w:rPr>
        <w:t xml:space="preserve">Nadin-Davies </w:t>
      </w:r>
      <w:r w:rsidR="006D13D7" w:rsidRPr="00ED0E77">
        <w:rPr>
          <w:i/>
          <w:iCs/>
          <w:u w:val="double"/>
          <w:lang w:val="en-IE"/>
        </w:rPr>
        <w:t>et al</w:t>
      </w:r>
      <w:r w:rsidR="00893579" w:rsidRPr="00ED0E77">
        <w:rPr>
          <w:i/>
          <w:iCs/>
          <w:u w:val="double"/>
          <w:lang w:val="en-IE"/>
        </w:rPr>
        <w:t>.,</w:t>
      </w:r>
      <w:r w:rsidR="006D13D7" w:rsidRPr="00ED0E77">
        <w:rPr>
          <w:u w:val="double"/>
          <w:lang w:val="en-IE"/>
        </w:rPr>
        <w:t xml:space="preserve"> 2015</w:t>
      </w:r>
      <w:r w:rsidR="00250D6E" w:rsidRPr="00ED0E77">
        <w:rPr>
          <w:u w:val="double"/>
          <w:lang w:val="en-IE"/>
        </w:rPr>
        <w:t>)</w:t>
      </w:r>
      <w:r w:rsidR="006D13D7" w:rsidRPr="00ED0E77">
        <w:rPr>
          <w:u w:val="double"/>
          <w:lang w:val="en-IE"/>
        </w:rPr>
        <w:t>.</w:t>
      </w:r>
      <w:r w:rsidR="00250D6E" w:rsidRPr="00ED0E77">
        <w:rPr>
          <w:u w:val="double"/>
          <w:lang w:val="en-IE"/>
        </w:rPr>
        <w:t xml:space="preserve"> These </w:t>
      </w:r>
      <w:r w:rsidR="00602F38" w:rsidRPr="00ED0E77">
        <w:rPr>
          <w:u w:val="double"/>
          <w:lang w:val="en-IE"/>
        </w:rPr>
        <w:t>two</w:t>
      </w:r>
      <w:r w:rsidR="00250D6E" w:rsidRPr="00ED0E77">
        <w:rPr>
          <w:u w:val="double"/>
          <w:lang w:val="en-IE"/>
        </w:rPr>
        <w:t xml:space="preserve"> </w:t>
      </w:r>
      <w:r w:rsidR="00893579" w:rsidRPr="00ED0E77">
        <w:rPr>
          <w:u w:val="double"/>
          <w:lang w:val="en-IE"/>
        </w:rPr>
        <w:t xml:space="preserve">real-time </w:t>
      </w:r>
      <w:r w:rsidR="00250D6E" w:rsidRPr="00ED0E77">
        <w:rPr>
          <w:u w:val="double"/>
          <w:lang w:val="en-IE"/>
        </w:rPr>
        <w:t>PC</w:t>
      </w:r>
      <w:r w:rsidR="00FD0955" w:rsidRPr="00ED0E77">
        <w:rPr>
          <w:u w:val="double"/>
          <w:lang w:val="en-IE"/>
        </w:rPr>
        <w:t>R</w:t>
      </w:r>
      <w:r w:rsidR="00250D6E" w:rsidRPr="00ED0E77">
        <w:rPr>
          <w:u w:val="double"/>
          <w:lang w:val="en-IE"/>
        </w:rPr>
        <w:t xml:space="preserve">s </w:t>
      </w:r>
      <w:r w:rsidR="00D46FF1" w:rsidRPr="00ED0E77">
        <w:rPr>
          <w:u w:val="double"/>
          <w:lang w:val="en-IE"/>
        </w:rPr>
        <w:t xml:space="preserve">have been shown to be highly specific </w:t>
      </w:r>
      <w:r w:rsidR="00713E59" w:rsidRPr="00ED0E77">
        <w:rPr>
          <w:u w:val="double"/>
          <w:lang w:val="en-IE"/>
        </w:rPr>
        <w:t>and reproduc</w:t>
      </w:r>
      <w:r w:rsidR="00687557" w:rsidRPr="00ED0E77">
        <w:rPr>
          <w:u w:val="double"/>
          <w:lang w:val="en-IE"/>
        </w:rPr>
        <w:t>i</w:t>
      </w:r>
      <w:r w:rsidR="00713E59" w:rsidRPr="00ED0E77">
        <w:rPr>
          <w:u w:val="double"/>
          <w:lang w:val="en-IE"/>
        </w:rPr>
        <w:t xml:space="preserve">ble in different laboratories </w:t>
      </w:r>
      <w:r w:rsidR="006D13D7" w:rsidRPr="00ED0E77">
        <w:rPr>
          <w:u w:val="double"/>
          <w:lang w:val="en-IE"/>
        </w:rPr>
        <w:t>with</w:t>
      </w:r>
      <w:r w:rsidR="00CE4F0F" w:rsidRPr="00ED0E77">
        <w:rPr>
          <w:u w:val="double"/>
          <w:lang w:val="en-IE"/>
        </w:rPr>
        <w:t xml:space="preserve"> slightly higher sensitivity than culture</w:t>
      </w:r>
      <w:r w:rsidR="00BD15CC" w:rsidRPr="00ED0E77">
        <w:rPr>
          <w:u w:val="double"/>
          <w:lang w:val="en-IE"/>
        </w:rPr>
        <w:t>; they</w:t>
      </w:r>
      <w:r w:rsidR="006D13D7" w:rsidRPr="00ED0E77">
        <w:rPr>
          <w:u w:val="double"/>
          <w:lang w:val="en-IE"/>
        </w:rPr>
        <w:t xml:space="preserve"> are the recommended PCR</w:t>
      </w:r>
      <w:r w:rsidR="00713E59" w:rsidRPr="00ED0E77">
        <w:rPr>
          <w:u w:val="double"/>
          <w:lang w:val="en-IE"/>
        </w:rPr>
        <w:t xml:space="preserve"> assays</w:t>
      </w:r>
      <w:r w:rsidR="00CE4F0F" w:rsidRPr="00ED0E77">
        <w:rPr>
          <w:u w:val="double"/>
          <w:lang w:val="en-IE"/>
        </w:rPr>
        <w:t>.</w:t>
      </w:r>
      <w:r w:rsidR="00250D6E" w:rsidRPr="00ED0E77">
        <w:rPr>
          <w:lang w:val="en-IE"/>
        </w:rPr>
        <w:t xml:space="preserve"> </w:t>
      </w:r>
    </w:p>
    <w:p w14:paraId="6F10827E" w14:textId="2609FD53" w:rsidR="0072523C" w:rsidRPr="00ED0E77" w:rsidRDefault="0072523C" w:rsidP="0072523C">
      <w:pPr>
        <w:pStyle w:val="i"/>
        <w:rPr>
          <w:u w:val="double"/>
          <w:lang w:val="en-IE"/>
        </w:rPr>
      </w:pPr>
      <w:r w:rsidRPr="00ED0E77">
        <w:rPr>
          <w:u w:val="double"/>
          <w:lang w:val="en-IE"/>
        </w:rPr>
        <w:t>i)</w:t>
      </w:r>
      <w:r w:rsidRPr="00ED0E77">
        <w:rPr>
          <w:u w:val="double"/>
          <w:lang w:val="en-IE"/>
        </w:rPr>
        <w:tab/>
      </w:r>
      <w:r w:rsidR="00B940C2" w:rsidRPr="00ED0E77">
        <w:rPr>
          <w:u w:val="double"/>
          <w:lang w:val="en-IE"/>
        </w:rPr>
        <w:t>R</w:t>
      </w:r>
      <w:r w:rsidRPr="00ED0E77">
        <w:rPr>
          <w:u w:val="double"/>
          <w:lang w:val="en-IE"/>
        </w:rPr>
        <w:t xml:space="preserve">eal-time </w:t>
      </w:r>
      <w:r w:rsidR="00F65283" w:rsidRPr="00ED0E77">
        <w:rPr>
          <w:u w:val="double"/>
          <w:lang w:val="en-IE"/>
        </w:rPr>
        <w:t>PCR</w:t>
      </w:r>
      <w:r w:rsidR="00B940C2" w:rsidRPr="00ED0E77">
        <w:rPr>
          <w:u w:val="double"/>
          <w:lang w:val="en-IE"/>
        </w:rPr>
        <w:t xml:space="preserve"> 1</w:t>
      </w:r>
      <w:r w:rsidR="00F65283" w:rsidRPr="00ED0E77">
        <w:rPr>
          <w:u w:val="double"/>
          <w:lang w:val="en-IE"/>
        </w:rPr>
        <w:t xml:space="preserve"> (Wakeley </w:t>
      </w:r>
      <w:r w:rsidR="00F65283" w:rsidRPr="00ED0E77">
        <w:rPr>
          <w:i/>
          <w:iCs/>
          <w:u w:val="double"/>
          <w:lang w:val="en-IE"/>
        </w:rPr>
        <w:t>et al</w:t>
      </w:r>
      <w:r w:rsidRPr="00ED0E77">
        <w:rPr>
          <w:i/>
          <w:iCs/>
          <w:u w:val="double"/>
          <w:lang w:val="en-IE"/>
        </w:rPr>
        <w:t>.,</w:t>
      </w:r>
      <w:r w:rsidR="00602F38" w:rsidRPr="00ED0E77">
        <w:rPr>
          <w:u w:val="double"/>
          <w:lang w:val="en-IE"/>
        </w:rPr>
        <w:t xml:space="preserve"> 2006</w:t>
      </w:r>
      <w:r w:rsidR="00F65283" w:rsidRPr="00ED0E77">
        <w:rPr>
          <w:u w:val="double"/>
          <w:lang w:val="en-IE"/>
        </w:rPr>
        <w:t xml:space="preserve">) </w:t>
      </w:r>
    </w:p>
    <w:p w14:paraId="3008E390" w14:textId="400C6935" w:rsidR="00317756" w:rsidRPr="00ED0E77" w:rsidRDefault="0072523C" w:rsidP="0072523C">
      <w:pPr>
        <w:pStyle w:val="afourthpara"/>
        <w:rPr>
          <w:u w:val="double"/>
          <w:lang w:val="en-IE"/>
        </w:rPr>
      </w:pPr>
      <w:r w:rsidRPr="00ED0E77">
        <w:rPr>
          <w:u w:val="double"/>
          <w:lang w:val="en-IE"/>
        </w:rPr>
        <w:t xml:space="preserve">This PCR </w:t>
      </w:r>
      <w:r w:rsidR="00F65283" w:rsidRPr="00ED0E77">
        <w:rPr>
          <w:u w:val="double"/>
          <w:lang w:val="en-IE"/>
        </w:rPr>
        <w:t>has been used widely for detection of CEM. It has been shown to be robust to minor modifications of methodology and different DNA extraction techniques</w:t>
      </w:r>
      <w:r w:rsidR="002A5A32" w:rsidRPr="00ED0E77">
        <w:rPr>
          <w:u w:val="double"/>
          <w:lang w:val="en-IE"/>
        </w:rPr>
        <w:t xml:space="preserve"> when validated in-house</w:t>
      </w:r>
      <w:r w:rsidR="002118D2">
        <w:rPr>
          <w:u w:val="double"/>
          <w:lang w:val="en-IE"/>
        </w:rPr>
        <w:t xml:space="preserve"> (</w:t>
      </w:r>
      <w:r w:rsidR="002118D2" w:rsidRPr="002118D2">
        <w:rPr>
          <w:highlight w:val="yellow"/>
          <w:u w:val="double"/>
          <w:lang w:val="en-IE"/>
        </w:rPr>
        <w:t xml:space="preserve">May </w:t>
      </w:r>
      <w:r w:rsidR="002118D2" w:rsidRPr="002118D2">
        <w:rPr>
          <w:i/>
          <w:iCs/>
          <w:highlight w:val="yellow"/>
          <w:u w:val="double"/>
          <w:lang w:val="en-IE"/>
        </w:rPr>
        <w:t>et al.,</w:t>
      </w:r>
      <w:r w:rsidR="002118D2" w:rsidRPr="002118D2">
        <w:rPr>
          <w:highlight w:val="yellow"/>
          <w:u w:val="double"/>
          <w:lang w:val="en-IE"/>
        </w:rPr>
        <w:t xml:space="preserve"> 2016; Petry </w:t>
      </w:r>
      <w:r w:rsidR="002118D2" w:rsidRPr="002118D2">
        <w:rPr>
          <w:i/>
          <w:iCs/>
          <w:highlight w:val="yellow"/>
          <w:u w:val="double"/>
          <w:lang w:val="en-IE"/>
        </w:rPr>
        <w:t>et al.,</w:t>
      </w:r>
      <w:r w:rsidR="002118D2" w:rsidRPr="002118D2">
        <w:rPr>
          <w:highlight w:val="yellow"/>
          <w:u w:val="double"/>
          <w:lang w:val="en-IE"/>
        </w:rPr>
        <w:t xml:space="preserve"> 2018</w:t>
      </w:r>
      <w:r w:rsidR="002118D2">
        <w:rPr>
          <w:u w:val="double"/>
          <w:lang w:val="en-IE"/>
        </w:rPr>
        <w:t>)</w:t>
      </w:r>
      <w:r w:rsidR="00F65283" w:rsidRPr="00ED0E77">
        <w:rPr>
          <w:u w:val="double"/>
          <w:lang w:val="en-IE"/>
        </w:rPr>
        <w:t>.</w:t>
      </w:r>
      <w:r w:rsidR="00602F38" w:rsidRPr="00ED0E77">
        <w:rPr>
          <w:u w:val="double"/>
          <w:lang w:val="en-IE"/>
        </w:rPr>
        <w:t xml:space="preserve"> </w:t>
      </w:r>
      <w:r w:rsidR="00317756" w:rsidRPr="00ED0E77">
        <w:rPr>
          <w:u w:val="double"/>
          <w:lang w:val="en-IE"/>
        </w:rPr>
        <w:t xml:space="preserve">This real-time PCR uses two separate PCRs, one </w:t>
      </w:r>
      <w:r w:rsidR="00BD15CC" w:rsidRPr="00ED0E77">
        <w:rPr>
          <w:u w:val="double"/>
          <w:lang w:val="en-IE"/>
        </w:rPr>
        <w:t>that</w:t>
      </w:r>
      <w:r w:rsidR="00317756" w:rsidRPr="00ED0E77">
        <w:rPr>
          <w:u w:val="double"/>
          <w:lang w:val="en-IE"/>
        </w:rPr>
        <w:t xml:space="preserve"> specifically amplifies a portion of the 16S rDNA of </w:t>
      </w:r>
      <w:r w:rsidR="00317756" w:rsidRPr="00ED0E77">
        <w:rPr>
          <w:i/>
          <w:u w:val="double"/>
          <w:lang w:val="en-IE"/>
        </w:rPr>
        <w:t>T.</w:t>
      </w:r>
      <w:r w:rsidR="00BD15CC" w:rsidRPr="00ED0E77">
        <w:rPr>
          <w:i/>
          <w:u w:val="double"/>
          <w:lang w:val="en-IE"/>
        </w:rPr>
        <w:t> </w:t>
      </w:r>
      <w:r w:rsidR="00317756" w:rsidRPr="00ED0E77">
        <w:rPr>
          <w:i/>
          <w:u w:val="double"/>
          <w:lang w:val="en-IE"/>
        </w:rPr>
        <w:t>equigenitalis</w:t>
      </w:r>
      <w:r w:rsidR="00317756" w:rsidRPr="00ED0E77">
        <w:rPr>
          <w:u w:val="double"/>
          <w:lang w:val="en-IE"/>
        </w:rPr>
        <w:t xml:space="preserve"> and </w:t>
      </w:r>
      <w:r w:rsidR="00317756" w:rsidRPr="00ED0E77">
        <w:rPr>
          <w:i/>
          <w:u w:val="double"/>
          <w:lang w:val="en-IE"/>
        </w:rPr>
        <w:t>T.</w:t>
      </w:r>
      <w:r w:rsidR="00BD15CC" w:rsidRPr="00ED0E77">
        <w:rPr>
          <w:i/>
          <w:u w:val="double"/>
          <w:lang w:val="en-IE"/>
        </w:rPr>
        <w:t> </w:t>
      </w:r>
      <w:r w:rsidR="00317756" w:rsidRPr="00ED0E77">
        <w:rPr>
          <w:i/>
          <w:u w:val="double"/>
          <w:lang w:val="en-IE"/>
        </w:rPr>
        <w:t>asinigenitalis</w:t>
      </w:r>
      <w:r w:rsidR="00905692" w:rsidRPr="00ED0E77">
        <w:rPr>
          <w:i/>
          <w:u w:val="double"/>
          <w:lang w:val="en-IE"/>
        </w:rPr>
        <w:t>,</w:t>
      </w:r>
      <w:r w:rsidR="00317756" w:rsidRPr="00ED0E77">
        <w:rPr>
          <w:u w:val="double"/>
          <w:lang w:val="en-IE"/>
        </w:rPr>
        <w:t xml:space="preserve"> and a second control PCR that amplifies a region of the 16S rDNA of many commensal bacteria found in the genital tract of horses</w:t>
      </w:r>
      <w:r w:rsidR="00602F38" w:rsidRPr="00ED0E77">
        <w:rPr>
          <w:u w:val="double"/>
          <w:lang w:val="en-IE"/>
        </w:rPr>
        <w:t xml:space="preserve"> and </w:t>
      </w:r>
      <w:r w:rsidR="00905692" w:rsidRPr="00ED0E77">
        <w:rPr>
          <w:u w:val="double"/>
          <w:lang w:val="en-IE"/>
        </w:rPr>
        <w:t>that</w:t>
      </w:r>
      <w:r w:rsidR="00317756" w:rsidRPr="00ED0E77">
        <w:rPr>
          <w:u w:val="double"/>
          <w:lang w:val="en-IE"/>
        </w:rPr>
        <w:t xml:space="preserve"> acts to confirm inoculation of the swab and DNA extraction. Two probes</w:t>
      </w:r>
      <w:r w:rsidR="00BD15CC" w:rsidRPr="00ED0E77">
        <w:rPr>
          <w:u w:val="double"/>
          <w:lang w:val="en-IE"/>
        </w:rPr>
        <w:t xml:space="preserve">, </w:t>
      </w:r>
      <w:r w:rsidR="00317756" w:rsidRPr="00ED0E77">
        <w:rPr>
          <w:u w:val="double"/>
          <w:lang w:val="en-IE"/>
        </w:rPr>
        <w:t>TEquiFAM and TAsiniHEX</w:t>
      </w:r>
      <w:r w:rsidR="00BD15CC" w:rsidRPr="00ED0E77">
        <w:rPr>
          <w:u w:val="double"/>
          <w:lang w:val="en-IE"/>
        </w:rPr>
        <w:t>,</w:t>
      </w:r>
      <w:r w:rsidR="00317756" w:rsidRPr="00ED0E77">
        <w:rPr>
          <w:u w:val="double"/>
          <w:lang w:val="en-IE"/>
        </w:rPr>
        <w:t xml:space="preserve"> </w:t>
      </w:r>
      <w:r w:rsidR="00905692" w:rsidRPr="00ED0E77">
        <w:rPr>
          <w:u w:val="double"/>
          <w:lang w:val="en-IE"/>
        </w:rPr>
        <w:t xml:space="preserve">corresponding to the two species of </w:t>
      </w:r>
      <w:r w:rsidR="00905692" w:rsidRPr="00ED0E77">
        <w:rPr>
          <w:i/>
          <w:iCs/>
          <w:u w:val="double"/>
          <w:lang w:val="en-IE"/>
        </w:rPr>
        <w:t>Taylorella</w:t>
      </w:r>
      <w:r w:rsidR="00905692" w:rsidRPr="00ED0E77">
        <w:rPr>
          <w:u w:val="double"/>
          <w:lang w:val="en-IE"/>
        </w:rPr>
        <w:t xml:space="preserve">, are </w:t>
      </w:r>
      <w:r w:rsidR="00317756" w:rsidRPr="00ED0E77">
        <w:rPr>
          <w:u w:val="double"/>
          <w:lang w:val="en-IE"/>
        </w:rPr>
        <w:t>labelled with different fluorophores to discriminate the amplicons</w:t>
      </w:r>
      <w:r w:rsidR="00905692" w:rsidRPr="00ED0E77">
        <w:rPr>
          <w:u w:val="double"/>
          <w:lang w:val="en-IE"/>
        </w:rPr>
        <w:t xml:space="preserve"> and</w:t>
      </w:r>
      <w:r w:rsidR="00317756" w:rsidRPr="00ED0E77">
        <w:rPr>
          <w:u w:val="double"/>
          <w:lang w:val="en-IE"/>
        </w:rPr>
        <w:t xml:space="preserve"> used in the </w:t>
      </w:r>
      <w:r w:rsidR="00317756" w:rsidRPr="00ED0E77">
        <w:rPr>
          <w:i/>
          <w:iCs/>
          <w:u w:val="double"/>
          <w:lang w:val="en-IE"/>
        </w:rPr>
        <w:t>Taylorella</w:t>
      </w:r>
      <w:r w:rsidRPr="00ED0E77">
        <w:rPr>
          <w:u w:val="double"/>
          <w:lang w:val="en-IE"/>
        </w:rPr>
        <w:t>-</w:t>
      </w:r>
      <w:r w:rsidR="00317756" w:rsidRPr="00ED0E77">
        <w:rPr>
          <w:u w:val="double"/>
          <w:lang w:val="en-IE"/>
        </w:rPr>
        <w:t>specific PCR (Table 2a). In the control PCR</w:t>
      </w:r>
      <w:r w:rsidR="00905692" w:rsidRPr="00ED0E77">
        <w:rPr>
          <w:u w:val="double"/>
          <w:lang w:val="en-IE"/>
        </w:rPr>
        <w:t>,</w:t>
      </w:r>
      <w:r w:rsidR="00317756" w:rsidRPr="00ED0E77">
        <w:rPr>
          <w:u w:val="double"/>
          <w:lang w:val="en-IE"/>
        </w:rPr>
        <w:t xml:space="preserve"> another probe labelled with a different fluor</w:t>
      </w:r>
      <w:r w:rsidR="00602F38" w:rsidRPr="00ED0E77">
        <w:rPr>
          <w:u w:val="double"/>
          <w:lang w:val="en-IE"/>
        </w:rPr>
        <w:t>o</w:t>
      </w:r>
      <w:r w:rsidR="00317756" w:rsidRPr="00ED0E77">
        <w:rPr>
          <w:u w:val="double"/>
          <w:lang w:val="en-IE"/>
        </w:rPr>
        <w:t>phore is used for each sample.</w:t>
      </w:r>
    </w:p>
    <w:p w14:paraId="098A762D" w14:textId="77777777" w:rsidR="00905692" w:rsidRPr="00ED0E77" w:rsidRDefault="00317756" w:rsidP="0072523C">
      <w:pPr>
        <w:pStyle w:val="afourthpara"/>
        <w:rPr>
          <w:u w:val="double"/>
          <w:lang w:val="en-IE"/>
        </w:rPr>
      </w:pPr>
      <w:r w:rsidRPr="00ED0E77">
        <w:rPr>
          <w:u w:val="double"/>
          <w:lang w:val="en-IE"/>
        </w:rPr>
        <w:t>The preparation of DNA samples from isolated bacteria as well as g</w:t>
      </w:r>
      <w:r w:rsidR="00602F38" w:rsidRPr="00ED0E77">
        <w:rPr>
          <w:u w:val="double"/>
          <w:lang w:val="en-IE"/>
        </w:rPr>
        <w:t>enital swabs has been described</w:t>
      </w:r>
      <w:r w:rsidR="001721FA" w:rsidRPr="00ED0E77">
        <w:rPr>
          <w:u w:val="double"/>
          <w:lang w:val="en-IE"/>
        </w:rPr>
        <w:t xml:space="preserve"> by </w:t>
      </w:r>
      <w:r w:rsidRPr="00ED0E77">
        <w:rPr>
          <w:u w:val="double"/>
          <w:lang w:val="en-IE"/>
        </w:rPr>
        <w:t xml:space="preserve">Wakeley </w:t>
      </w:r>
      <w:r w:rsidRPr="00ED0E77">
        <w:rPr>
          <w:i/>
          <w:iCs/>
          <w:u w:val="double"/>
          <w:lang w:val="en-IE"/>
        </w:rPr>
        <w:t>et al.</w:t>
      </w:r>
      <w:r w:rsidRPr="00ED0E77">
        <w:rPr>
          <w:u w:val="double"/>
          <w:lang w:val="en-IE"/>
        </w:rPr>
        <w:t xml:space="preserve"> </w:t>
      </w:r>
      <w:r w:rsidR="001721FA" w:rsidRPr="00ED0E77">
        <w:rPr>
          <w:u w:val="double"/>
          <w:lang w:val="en-IE"/>
        </w:rPr>
        <w:t>(</w:t>
      </w:r>
      <w:r w:rsidRPr="00ED0E77">
        <w:rPr>
          <w:u w:val="double"/>
          <w:lang w:val="en-IE"/>
        </w:rPr>
        <w:t>2006). Isolated bacteria are suspended in 1.5 ml PBS (pH 7.4), transferred to Eppendorf tubes and heated at 95–100</w:t>
      </w:r>
      <w:r w:rsidR="0072523C" w:rsidRPr="00ED0E77">
        <w:rPr>
          <w:u w:val="double"/>
          <w:lang w:val="en-IE"/>
        </w:rPr>
        <w:t>°</w:t>
      </w:r>
      <w:r w:rsidRPr="00ED0E77">
        <w:rPr>
          <w:u w:val="double"/>
          <w:lang w:val="en-IE"/>
        </w:rPr>
        <w:t>C for 20 min</w:t>
      </w:r>
      <w:r w:rsidR="0072523C" w:rsidRPr="00ED0E77">
        <w:rPr>
          <w:u w:val="double"/>
          <w:lang w:val="en-IE"/>
        </w:rPr>
        <w:t>utes</w:t>
      </w:r>
      <w:r w:rsidRPr="00ED0E77">
        <w:rPr>
          <w:u w:val="double"/>
          <w:lang w:val="en-IE"/>
        </w:rPr>
        <w:t xml:space="preserve"> in a heating block, after which the tubes are centrifuged at 18,000 </w:t>
      </w:r>
      <w:r w:rsidRPr="00ED0E77">
        <w:rPr>
          <w:b/>
          <w:bCs/>
          <w:i/>
          <w:iCs/>
          <w:u w:val="double"/>
          <w:lang w:val="en-IE"/>
        </w:rPr>
        <w:t>g</w:t>
      </w:r>
      <w:r w:rsidRPr="00ED0E77">
        <w:rPr>
          <w:u w:val="double"/>
          <w:lang w:val="en-IE"/>
        </w:rPr>
        <w:t xml:space="preserve"> for 1 min</w:t>
      </w:r>
      <w:r w:rsidR="0072523C" w:rsidRPr="00ED0E77">
        <w:rPr>
          <w:u w:val="double"/>
          <w:lang w:val="en-IE"/>
        </w:rPr>
        <w:t>ute</w:t>
      </w:r>
      <w:r w:rsidRPr="00ED0E77">
        <w:rPr>
          <w:u w:val="double"/>
          <w:lang w:val="en-IE"/>
        </w:rPr>
        <w:t xml:space="preserve"> in a microcentrifuge. Each swab is immersed and manually agitated in 0.2 ml of 0.1 M PBS (pH 7.4) in a 1.5 ml Eppendorf tube for 5 s</w:t>
      </w:r>
      <w:r w:rsidR="006D55FF" w:rsidRPr="00ED0E77">
        <w:rPr>
          <w:u w:val="double"/>
          <w:lang w:val="en-IE"/>
        </w:rPr>
        <w:t>econds</w:t>
      </w:r>
      <w:r w:rsidRPr="00ED0E77">
        <w:rPr>
          <w:u w:val="double"/>
          <w:lang w:val="en-IE"/>
        </w:rPr>
        <w:t>, a negative extraction control is also prepared using 0.2</w:t>
      </w:r>
      <w:r w:rsidR="006D55FF" w:rsidRPr="00ED0E77">
        <w:rPr>
          <w:u w:val="double"/>
          <w:lang w:val="en-IE"/>
        </w:rPr>
        <w:t> </w:t>
      </w:r>
      <w:r w:rsidRPr="00ED0E77">
        <w:rPr>
          <w:u w:val="double"/>
          <w:lang w:val="en-IE"/>
        </w:rPr>
        <w:t xml:space="preserve">ml of nuclease free water. The Eppendorf tube is then centrifuged at 18,000 </w:t>
      </w:r>
      <w:r w:rsidRPr="00ED0E77">
        <w:rPr>
          <w:b/>
          <w:bCs/>
          <w:i/>
          <w:iCs/>
          <w:u w:val="double"/>
          <w:lang w:val="en-IE"/>
        </w:rPr>
        <w:t>g</w:t>
      </w:r>
      <w:r w:rsidRPr="00ED0E77">
        <w:rPr>
          <w:u w:val="double"/>
          <w:lang w:val="en-IE"/>
        </w:rPr>
        <w:t xml:space="preserve"> in a microcentrifuge for 30 s</w:t>
      </w:r>
      <w:r w:rsidR="006D55FF" w:rsidRPr="00ED0E77">
        <w:rPr>
          <w:u w:val="double"/>
          <w:lang w:val="en-IE"/>
        </w:rPr>
        <w:t>econds</w:t>
      </w:r>
      <w:r w:rsidRPr="00ED0E77">
        <w:rPr>
          <w:u w:val="double"/>
          <w:lang w:val="en-IE"/>
        </w:rPr>
        <w:t xml:space="preserve"> to pellet the bacteria. The supernatant is aspirated and disposed of and the pellet is re-suspended in 100 µl nuclease free water. The re-suspended pellet is heated at 95–100</w:t>
      </w:r>
      <w:r w:rsidR="006D55FF" w:rsidRPr="00ED0E77">
        <w:rPr>
          <w:u w:val="double"/>
          <w:lang w:val="en-IE"/>
        </w:rPr>
        <w:t>°</w:t>
      </w:r>
      <w:r w:rsidRPr="00ED0E77">
        <w:rPr>
          <w:u w:val="double"/>
          <w:lang w:val="en-IE"/>
        </w:rPr>
        <w:t>C for 15 min</w:t>
      </w:r>
      <w:r w:rsidR="006D55FF" w:rsidRPr="00ED0E77">
        <w:rPr>
          <w:u w:val="double"/>
          <w:lang w:val="en-IE"/>
        </w:rPr>
        <w:t>utes</w:t>
      </w:r>
      <w:r w:rsidRPr="00ED0E77">
        <w:rPr>
          <w:u w:val="double"/>
          <w:lang w:val="en-IE"/>
        </w:rPr>
        <w:t xml:space="preserve"> in a heat block prior to centrifugation at 18,000 </w:t>
      </w:r>
      <w:r w:rsidRPr="00ED0E77">
        <w:rPr>
          <w:b/>
          <w:bCs/>
          <w:i/>
          <w:iCs/>
          <w:u w:val="double"/>
          <w:lang w:val="en-IE"/>
        </w:rPr>
        <w:t>g</w:t>
      </w:r>
      <w:r w:rsidRPr="00ED0E77">
        <w:rPr>
          <w:u w:val="double"/>
          <w:lang w:val="en-IE"/>
        </w:rPr>
        <w:t xml:space="preserve"> for 1</w:t>
      </w:r>
      <w:r w:rsidR="006D55FF" w:rsidRPr="00ED0E77">
        <w:rPr>
          <w:u w:val="double"/>
          <w:lang w:val="en-IE"/>
        </w:rPr>
        <w:t> </w:t>
      </w:r>
      <w:r w:rsidRPr="00ED0E77">
        <w:rPr>
          <w:u w:val="double"/>
          <w:lang w:val="en-IE"/>
        </w:rPr>
        <w:t>min</w:t>
      </w:r>
      <w:r w:rsidR="006D55FF" w:rsidRPr="00ED0E77">
        <w:rPr>
          <w:u w:val="double"/>
          <w:lang w:val="en-IE"/>
        </w:rPr>
        <w:t>ute</w:t>
      </w:r>
      <w:r w:rsidRPr="00ED0E77">
        <w:rPr>
          <w:u w:val="double"/>
          <w:lang w:val="en-IE"/>
        </w:rPr>
        <w:t xml:space="preserve"> in a microcentrifuge. This supernatant is the DNA extract or lysate. The lysate can be used immediately or stored at </w:t>
      </w:r>
      <w:r w:rsidR="006D55FF" w:rsidRPr="00ED0E77">
        <w:rPr>
          <w:u w:val="double"/>
          <w:lang w:val="en-IE"/>
        </w:rPr>
        <w:t>–</w:t>
      </w:r>
      <w:r w:rsidRPr="00ED0E77">
        <w:rPr>
          <w:u w:val="double"/>
          <w:lang w:val="en-IE"/>
        </w:rPr>
        <w:t>20°C. Each reaction uses 2</w:t>
      </w:r>
      <w:r w:rsidR="006D55FF" w:rsidRPr="00ED0E77">
        <w:rPr>
          <w:u w:val="double"/>
          <w:lang w:val="en-IE"/>
        </w:rPr>
        <w:t>–</w:t>
      </w:r>
      <w:r w:rsidRPr="00ED0E77">
        <w:rPr>
          <w:u w:val="double"/>
          <w:lang w:val="en-IE"/>
        </w:rPr>
        <w:t xml:space="preserve">5 µl of the lysate. </w:t>
      </w:r>
    </w:p>
    <w:p w14:paraId="325AEA4E" w14:textId="3017B7DB" w:rsidR="00317756" w:rsidRPr="00ED0E77" w:rsidRDefault="00317756" w:rsidP="0072523C">
      <w:pPr>
        <w:pStyle w:val="afourthpara"/>
        <w:rPr>
          <w:u w:val="double"/>
          <w:lang w:val="en-IE"/>
        </w:rPr>
      </w:pPr>
      <w:r w:rsidRPr="00ED0E77">
        <w:rPr>
          <w:u w:val="double"/>
          <w:lang w:val="en-IE"/>
        </w:rPr>
        <w:t xml:space="preserve">Alongside </w:t>
      </w:r>
      <w:r w:rsidR="00905692" w:rsidRPr="00ED0E77">
        <w:rPr>
          <w:u w:val="double"/>
          <w:lang w:val="en-IE"/>
        </w:rPr>
        <w:t xml:space="preserve">the </w:t>
      </w:r>
      <w:r w:rsidRPr="00ED0E77">
        <w:rPr>
          <w:u w:val="double"/>
          <w:lang w:val="en-IE"/>
        </w:rPr>
        <w:t>samples</w:t>
      </w:r>
      <w:r w:rsidR="00905692" w:rsidRPr="00ED0E77">
        <w:rPr>
          <w:u w:val="double"/>
          <w:lang w:val="en-IE"/>
        </w:rPr>
        <w:t>,</w:t>
      </w:r>
      <w:r w:rsidRPr="00ED0E77">
        <w:rPr>
          <w:u w:val="double"/>
          <w:lang w:val="en-IE"/>
        </w:rPr>
        <w:t xml:space="preserve"> a </w:t>
      </w:r>
      <w:r w:rsidRPr="00ED0E77">
        <w:rPr>
          <w:i/>
          <w:u w:val="double"/>
          <w:lang w:val="en-IE"/>
        </w:rPr>
        <w:t>T.</w:t>
      </w:r>
      <w:r w:rsidR="006D55FF" w:rsidRPr="00ED0E77">
        <w:rPr>
          <w:i/>
          <w:u w:val="double"/>
          <w:lang w:val="en-IE"/>
        </w:rPr>
        <w:t> </w:t>
      </w:r>
      <w:r w:rsidRPr="00ED0E77">
        <w:rPr>
          <w:i/>
          <w:u w:val="double"/>
          <w:lang w:val="en-IE"/>
        </w:rPr>
        <w:t>equigenitalis</w:t>
      </w:r>
      <w:r w:rsidRPr="00ED0E77">
        <w:rPr>
          <w:u w:val="double"/>
          <w:lang w:val="en-IE"/>
        </w:rPr>
        <w:t xml:space="preserve">, </w:t>
      </w:r>
      <w:r w:rsidRPr="00ED0E77">
        <w:rPr>
          <w:i/>
          <w:u w:val="double"/>
          <w:lang w:val="en-IE"/>
        </w:rPr>
        <w:t>T.</w:t>
      </w:r>
      <w:r w:rsidR="006D55FF" w:rsidRPr="00ED0E77">
        <w:rPr>
          <w:i/>
          <w:u w:val="double"/>
          <w:lang w:val="en-IE"/>
        </w:rPr>
        <w:t> </w:t>
      </w:r>
      <w:r w:rsidRPr="00ED0E77">
        <w:rPr>
          <w:i/>
          <w:u w:val="double"/>
          <w:lang w:val="en-IE"/>
        </w:rPr>
        <w:t>asinigenitalis</w:t>
      </w:r>
      <w:r w:rsidRPr="00ED0E77">
        <w:rPr>
          <w:u w:val="double"/>
          <w:lang w:val="en-IE"/>
        </w:rPr>
        <w:t xml:space="preserve"> and a no template control are tested on each plate. Cycling involves initial denaturation for 2 min</w:t>
      </w:r>
      <w:r w:rsidR="006D55FF" w:rsidRPr="00ED0E77">
        <w:rPr>
          <w:u w:val="double"/>
          <w:lang w:val="en-IE"/>
        </w:rPr>
        <w:t>utes</w:t>
      </w:r>
      <w:r w:rsidRPr="00ED0E77">
        <w:rPr>
          <w:u w:val="double"/>
          <w:lang w:val="en-IE"/>
        </w:rPr>
        <w:t xml:space="preserve"> at 94°C followed by 40</w:t>
      </w:r>
      <w:r w:rsidR="00905692" w:rsidRPr="00ED0E77">
        <w:rPr>
          <w:u w:val="double"/>
          <w:lang w:val="en-IE"/>
        </w:rPr>
        <w:t> </w:t>
      </w:r>
      <w:r w:rsidRPr="00ED0E77">
        <w:rPr>
          <w:u w:val="double"/>
          <w:lang w:val="en-IE"/>
        </w:rPr>
        <w:t>amplification cycles of denaturation for 5 s</w:t>
      </w:r>
      <w:r w:rsidR="006D55FF" w:rsidRPr="00ED0E77">
        <w:rPr>
          <w:u w:val="double"/>
          <w:lang w:val="en-IE"/>
        </w:rPr>
        <w:t>econds</w:t>
      </w:r>
      <w:r w:rsidRPr="00ED0E77">
        <w:rPr>
          <w:u w:val="double"/>
          <w:lang w:val="en-IE"/>
        </w:rPr>
        <w:t xml:space="preserve"> at 94°C, primer annealing for 10</w:t>
      </w:r>
      <w:r w:rsidR="00905692" w:rsidRPr="00ED0E77">
        <w:rPr>
          <w:u w:val="double"/>
          <w:lang w:val="en-IE"/>
        </w:rPr>
        <w:t> </w:t>
      </w:r>
      <w:r w:rsidR="006D55FF" w:rsidRPr="00ED0E77">
        <w:rPr>
          <w:u w:val="double"/>
          <w:lang w:val="en-IE"/>
        </w:rPr>
        <w:t>seconds</w:t>
      </w:r>
      <w:r w:rsidRPr="00ED0E77">
        <w:rPr>
          <w:u w:val="double"/>
          <w:lang w:val="en-IE"/>
        </w:rPr>
        <w:t xml:space="preserve"> at 60°C and extension and data collection for 15 </w:t>
      </w:r>
      <w:r w:rsidR="006D55FF" w:rsidRPr="00ED0E77">
        <w:rPr>
          <w:u w:val="double"/>
          <w:lang w:val="en-IE"/>
        </w:rPr>
        <w:t>seconds</w:t>
      </w:r>
      <w:r w:rsidRPr="00ED0E77">
        <w:rPr>
          <w:u w:val="double"/>
          <w:lang w:val="en-IE"/>
        </w:rPr>
        <w:t xml:space="preserve"> at 72°C. A control real-time PCR for bacterial 16S rDNA (</w:t>
      </w:r>
      <w:r w:rsidRPr="00ED0E77">
        <w:rPr>
          <w:u w:val="double"/>
          <w:lang w:val="en-IE" w:eastAsia="en-GB"/>
        </w:rPr>
        <w:t>BactUniF, ACTA CGT</w:t>
      </w:r>
      <w:r w:rsidR="006D55FF" w:rsidRPr="00ED0E77">
        <w:rPr>
          <w:u w:val="double"/>
          <w:lang w:val="en-IE" w:eastAsia="en-GB"/>
        </w:rPr>
        <w:t>-</w:t>
      </w:r>
      <w:r w:rsidRPr="00ED0E77">
        <w:rPr>
          <w:u w:val="double"/>
          <w:lang w:val="en-IE" w:eastAsia="en-GB"/>
        </w:rPr>
        <w:t>GCC</w:t>
      </w:r>
      <w:r w:rsidR="006D55FF" w:rsidRPr="00ED0E77">
        <w:rPr>
          <w:u w:val="double"/>
          <w:lang w:val="en-IE" w:eastAsia="en-GB"/>
        </w:rPr>
        <w:t>-</w:t>
      </w:r>
      <w:r w:rsidRPr="00ED0E77">
        <w:rPr>
          <w:u w:val="double"/>
          <w:lang w:val="en-IE" w:eastAsia="en-GB"/>
        </w:rPr>
        <w:t>AGC</w:t>
      </w:r>
      <w:r w:rsidR="006D55FF" w:rsidRPr="00ED0E77">
        <w:rPr>
          <w:u w:val="double"/>
          <w:lang w:val="en-IE" w:eastAsia="en-GB"/>
        </w:rPr>
        <w:t>-</w:t>
      </w:r>
      <w:r w:rsidRPr="00ED0E77">
        <w:rPr>
          <w:u w:val="double"/>
          <w:lang w:val="en-IE" w:eastAsia="en-GB"/>
        </w:rPr>
        <w:t>AGC</w:t>
      </w:r>
      <w:r w:rsidR="006D55FF" w:rsidRPr="00ED0E77">
        <w:rPr>
          <w:u w:val="double"/>
          <w:lang w:val="en-IE" w:eastAsia="en-GB"/>
        </w:rPr>
        <w:t>-</w:t>
      </w:r>
      <w:r w:rsidRPr="00ED0E77">
        <w:rPr>
          <w:u w:val="double"/>
          <w:lang w:val="en-IE" w:eastAsia="en-GB"/>
        </w:rPr>
        <w:t>C; BactUniR, GGA</w:t>
      </w:r>
      <w:r w:rsidR="006D55FF" w:rsidRPr="00ED0E77">
        <w:rPr>
          <w:u w:val="double"/>
          <w:lang w:val="en-IE" w:eastAsia="en-GB"/>
        </w:rPr>
        <w:t>-</w:t>
      </w:r>
      <w:r w:rsidRPr="00ED0E77">
        <w:rPr>
          <w:u w:val="double"/>
          <w:lang w:val="en-IE" w:eastAsia="en-GB"/>
        </w:rPr>
        <w:t>CTA</w:t>
      </w:r>
      <w:r w:rsidR="006D55FF" w:rsidRPr="00ED0E77">
        <w:rPr>
          <w:u w:val="double"/>
          <w:lang w:val="en-IE" w:eastAsia="en-GB"/>
        </w:rPr>
        <w:t>-</w:t>
      </w:r>
      <w:r w:rsidRPr="00ED0E77">
        <w:rPr>
          <w:u w:val="double"/>
          <w:lang w:val="en-IE" w:eastAsia="en-GB"/>
        </w:rPr>
        <w:t>CCA</w:t>
      </w:r>
      <w:r w:rsidR="006D55FF" w:rsidRPr="00ED0E77">
        <w:rPr>
          <w:u w:val="double"/>
          <w:lang w:val="en-IE" w:eastAsia="en-GB"/>
        </w:rPr>
        <w:t>-</w:t>
      </w:r>
      <w:r w:rsidRPr="00ED0E77">
        <w:rPr>
          <w:u w:val="double"/>
          <w:lang w:val="en-IE" w:eastAsia="en-GB"/>
        </w:rPr>
        <w:t>GGG</w:t>
      </w:r>
      <w:r w:rsidR="006D55FF" w:rsidRPr="00ED0E77">
        <w:rPr>
          <w:u w:val="double"/>
          <w:lang w:val="en-IE" w:eastAsia="en-GB"/>
        </w:rPr>
        <w:t>-</w:t>
      </w:r>
      <w:r w:rsidRPr="00ED0E77">
        <w:rPr>
          <w:u w:val="double"/>
          <w:lang w:val="en-IE" w:eastAsia="en-GB"/>
        </w:rPr>
        <w:t>TAT</w:t>
      </w:r>
      <w:r w:rsidR="006D55FF" w:rsidRPr="00ED0E77">
        <w:rPr>
          <w:u w:val="double"/>
          <w:lang w:val="en-IE" w:eastAsia="en-GB"/>
        </w:rPr>
        <w:t>-</w:t>
      </w:r>
      <w:r w:rsidRPr="00ED0E77">
        <w:rPr>
          <w:u w:val="double"/>
          <w:lang w:val="en-IE" w:eastAsia="en-GB"/>
        </w:rPr>
        <w:t>CTA</w:t>
      </w:r>
      <w:r w:rsidR="006D55FF" w:rsidRPr="00ED0E77">
        <w:rPr>
          <w:u w:val="double"/>
          <w:lang w:val="en-IE" w:eastAsia="en-GB"/>
        </w:rPr>
        <w:t>-</w:t>
      </w:r>
      <w:r w:rsidRPr="00ED0E77">
        <w:rPr>
          <w:u w:val="double"/>
          <w:lang w:val="en-IE" w:eastAsia="en-GB"/>
        </w:rPr>
        <w:t>ATC</w:t>
      </w:r>
      <w:r w:rsidR="006D55FF" w:rsidRPr="00ED0E77">
        <w:rPr>
          <w:u w:val="double"/>
          <w:lang w:val="en-IE" w:eastAsia="en-GB"/>
        </w:rPr>
        <w:t>-</w:t>
      </w:r>
      <w:r w:rsidRPr="00ED0E77">
        <w:rPr>
          <w:u w:val="double"/>
          <w:lang w:val="en-IE" w:eastAsia="en-GB"/>
        </w:rPr>
        <w:t xml:space="preserve">C) </w:t>
      </w:r>
      <w:r w:rsidRPr="00ED0E77">
        <w:rPr>
          <w:u w:val="double"/>
          <w:lang w:val="en-IE"/>
        </w:rPr>
        <w:t>using the 16SrDNA ROX, TGT</w:t>
      </w:r>
      <w:r w:rsidR="006D55FF" w:rsidRPr="00ED0E77">
        <w:rPr>
          <w:u w:val="double"/>
          <w:lang w:val="en-IE"/>
        </w:rPr>
        <w:t>-</w:t>
      </w:r>
      <w:r w:rsidRPr="00ED0E77">
        <w:rPr>
          <w:u w:val="double"/>
          <w:lang w:val="en-IE"/>
        </w:rPr>
        <w:t>TTG</w:t>
      </w:r>
      <w:r w:rsidR="006D55FF" w:rsidRPr="00ED0E77">
        <w:rPr>
          <w:u w:val="double"/>
          <w:lang w:val="en-IE"/>
        </w:rPr>
        <w:t>-</w:t>
      </w:r>
      <w:r w:rsidRPr="00ED0E77">
        <w:rPr>
          <w:u w:val="double"/>
          <w:lang w:val="en-IE"/>
        </w:rPr>
        <w:t>CTC</w:t>
      </w:r>
      <w:r w:rsidR="006D55FF" w:rsidRPr="00ED0E77">
        <w:rPr>
          <w:u w:val="double"/>
          <w:lang w:val="en-IE"/>
        </w:rPr>
        <w:t>-</w:t>
      </w:r>
      <w:r w:rsidRPr="00ED0E77">
        <w:rPr>
          <w:u w:val="double"/>
          <w:lang w:val="en-IE"/>
        </w:rPr>
        <w:t>CCC</w:t>
      </w:r>
      <w:r w:rsidR="006D55FF" w:rsidRPr="00ED0E77">
        <w:rPr>
          <w:u w:val="double"/>
          <w:lang w:val="en-IE"/>
        </w:rPr>
        <w:t>-</w:t>
      </w:r>
      <w:r w:rsidRPr="00ED0E77">
        <w:rPr>
          <w:u w:val="double"/>
          <w:lang w:val="en-IE"/>
        </w:rPr>
        <w:t>ACG</w:t>
      </w:r>
      <w:r w:rsidR="006D55FF" w:rsidRPr="00ED0E77">
        <w:rPr>
          <w:u w:val="double"/>
          <w:lang w:val="en-IE"/>
        </w:rPr>
        <w:t>-</w:t>
      </w:r>
      <w:r w:rsidRPr="00ED0E77">
        <w:rPr>
          <w:u w:val="double"/>
          <w:lang w:val="en-IE"/>
        </w:rPr>
        <w:t>CTT</w:t>
      </w:r>
      <w:r w:rsidR="006D55FF" w:rsidRPr="00ED0E77">
        <w:rPr>
          <w:u w:val="double"/>
          <w:lang w:val="en-IE"/>
        </w:rPr>
        <w:t>-</w:t>
      </w:r>
      <w:r w:rsidRPr="00ED0E77">
        <w:rPr>
          <w:u w:val="double"/>
          <w:lang w:val="en-IE"/>
        </w:rPr>
        <w:t>TCG</w:t>
      </w:r>
      <w:r w:rsidR="006D55FF" w:rsidRPr="00ED0E77">
        <w:rPr>
          <w:u w:val="double"/>
          <w:lang w:val="en-IE"/>
        </w:rPr>
        <w:t>-</w:t>
      </w:r>
      <w:r w:rsidRPr="00ED0E77">
        <w:rPr>
          <w:u w:val="double"/>
          <w:lang w:val="en-IE"/>
        </w:rPr>
        <w:t>CAC</w:t>
      </w:r>
      <w:r w:rsidR="00905692" w:rsidRPr="00ED0E77">
        <w:rPr>
          <w:u w:val="double"/>
          <w:lang w:val="en-IE"/>
        </w:rPr>
        <w:t>-</w:t>
      </w:r>
      <w:r w:rsidRPr="00ED0E77">
        <w:rPr>
          <w:u w:val="double"/>
          <w:lang w:val="en-IE"/>
        </w:rPr>
        <w:t>BHQ2 probe, is run in parallel in a separate well to ensure the extraction and test process has worked. Minor variations from the published method</w:t>
      </w:r>
      <w:r w:rsidR="00905692" w:rsidRPr="00ED0E77">
        <w:rPr>
          <w:u w:val="double"/>
          <w:lang w:val="en-IE"/>
        </w:rPr>
        <w:t>,</w:t>
      </w:r>
      <w:r w:rsidRPr="00ED0E77">
        <w:rPr>
          <w:u w:val="double"/>
          <w:lang w:val="en-IE"/>
        </w:rPr>
        <w:t xml:space="preserve"> such as DNA extraction methods using </w:t>
      </w:r>
      <w:r w:rsidR="00713E59" w:rsidRPr="00ED0E77">
        <w:rPr>
          <w:u w:val="double"/>
          <w:lang w:val="en-IE"/>
        </w:rPr>
        <w:t>proprietary</w:t>
      </w:r>
      <w:r w:rsidRPr="00ED0E77">
        <w:rPr>
          <w:u w:val="double"/>
          <w:lang w:val="en-IE"/>
        </w:rPr>
        <w:t xml:space="preserve"> kits, master mix compositions or internal controls</w:t>
      </w:r>
      <w:r w:rsidR="00905692" w:rsidRPr="00ED0E77">
        <w:rPr>
          <w:u w:val="double"/>
          <w:lang w:val="en-IE"/>
        </w:rPr>
        <w:t>,</w:t>
      </w:r>
      <w:r w:rsidRPr="00ED0E77">
        <w:rPr>
          <w:u w:val="double"/>
          <w:lang w:val="en-IE"/>
        </w:rPr>
        <w:t xml:space="preserve"> should be laboratory validated (in-house). The PCR is performed on a suitable real</w:t>
      </w:r>
      <w:r w:rsidR="00905692" w:rsidRPr="00ED0E77">
        <w:rPr>
          <w:u w:val="double"/>
          <w:lang w:val="en-IE"/>
        </w:rPr>
        <w:t>-</w:t>
      </w:r>
      <w:r w:rsidRPr="00ED0E77">
        <w:rPr>
          <w:u w:val="double"/>
          <w:lang w:val="en-IE"/>
        </w:rPr>
        <w:t xml:space="preserve">time PCR machine. A positive test has a CT value </w:t>
      </w:r>
      <w:r w:rsidR="006D55FF" w:rsidRPr="00ED0E77">
        <w:rPr>
          <w:u w:val="double"/>
          <w:lang w:val="en-IE"/>
        </w:rPr>
        <w:t>≤</w:t>
      </w:r>
      <w:r w:rsidRPr="00ED0E77">
        <w:rPr>
          <w:u w:val="double"/>
          <w:lang w:val="en-IE"/>
        </w:rPr>
        <w:t xml:space="preserve"> 40 for the specific probe. A valid </w:t>
      </w:r>
      <w:r w:rsidRPr="00ED0E77">
        <w:rPr>
          <w:i/>
          <w:iCs/>
          <w:u w:val="double"/>
          <w:lang w:val="en-IE"/>
        </w:rPr>
        <w:t>Taylorella</w:t>
      </w:r>
      <w:r w:rsidRPr="00ED0E77">
        <w:rPr>
          <w:u w:val="double"/>
          <w:lang w:val="en-IE"/>
        </w:rPr>
        <w:t xml:space="preserve"> PCR test requires the control 16S rDNA PCR to be positive for the sample in question. </w:t>
      </w:r>
    </w:p>
    <w:p w14:paraId="06E52C11" w14:textId="410287D7" w:rsidR="00B940C2" w:rsidRPr="00ED0E77" w:rsidRDefault="00B940C2" w:rsidP="00B940C2">
      <w:pPr>
        <w:pStyle w:val="i"/>
        <w:rPr>
          <w:u w:val="double"/>
          <w:lang w:val="en-IE"/>
        </w:rPr>
      </w:pPr>
      <w:r w:rsidRPr="00ED0E77">
        <w:rPr>
          <w:u w:val="double"/>
          <w:lang w:val="en-IE"/>
        </w:rPr>
        <w:t>ii)</w:t>
      </w:r>
      <w:r w:rsidRPr="00ED0E77">
        <w:rPr>
          <w:u w:val="double"/>
          <w:lang w:val="en-IE"/>
        </w:rPr>
        <w:tab/>
        <w:t>Real-time PCR 2</w:t>
      </w:r>
      <w:r w:rsidR="001721FA" w:rsidRPr="00ED0E77">
        <w:rPr>
          <w:u w:val="double"/>
          <w:lang w:val="en-IE"/>
        </w:rPr>
        <w:t xml:space="preserve"> (Nadin-Davies </w:t>
      </w:r>
      <w:r w:rsidR="001721FA" w:rsidRPr="00ED0E77">
        <w:rPr>
          <w:i/>
          <w:iCs/>
          <w:u w:val="double"/>
          <w:lang w:val="en-IE"/>
        </w:rPr>
        <w:t>et al</w:t>
      </w:r>
      <w:r w:rsidRPr="00ED0E77">
        <w:rPr>
          <w:i/>
          <w:iCs/>
          <w:u w:val="double"/>
          <w:lang w:val="en-IE"/>
        </w:rPr>
        <w:t>.</w:t>
      </w:r>
      <w:r w:rsidR="001721FA" w:rsidRPr="00ED0E77">
        <w:rPr>
          <w:u w:val="double"/>
          <w:lang w:val="en-IE"/>
        </w:rPr>
        <w:t>, 2015)</w:t>
      </w:r>
    </w:p>
    <w:p w14:paraId="77338911" w14:textId="58530830" w:rsidR="001721FA" w:rsidRPr="00ED0E77" w:rsidRDefault="00B940C2" w:rsidP="00B940C2">
      <w:pPr>
        <w:pStyle w:val="afourthpara"/>
        <w:rPr>
          <w:u w:val="double"/>
          <w:lang w:val="en-IE"/>
        </w:rPr>
      </w:pPr>
      <w:r w:rsidRPr="00ED0E77">
        <w:rPr>
          <w:u w:val="double"/>
          <w:lang w:val="en-IE"/>
        </w:rPr>
        <w:t xml:space="preserve">This real-time PCR </w:t>
      </w:r>
      <w:r w:rsidR="001721FA" w:rsidRPr="00ED0E77">
        <w:rPr>
          <w:u w:val="double"/>
          <w:lang w:val="en-IE"/>
        </w:rPr>
        <w:t>has not been as widely used</w:t>
      </w:r>
      <w:r w:rsidR="00905692" w:rsidRPr="00ED0E77">
        <w:rPr>
          <w:u w:val="double"/>
          <w:lang w:val="en-IE"/>
        </w:rPr>
        <w:t>,</w:t>
      </w:r>
      <w:r w:rsidR="001721FA" w:rsidRPr="00ED0E77">
        <w:rPr>
          <w:u w:val="double"/>
          <w:lang w:val="en-IE"/>
        </w:rPr>
        <w:t xml:space="preserve"> but is also highly reproducible when used as described. The assay is composed of a single primer set with two probes specific for </w:t>
      </w:r>
      <w:r w:rsidR="001721FA" w:rsidRPr="00ED0E77">
        <w:rPr>
          <w:i/>
          <w:iCs/>
          <w:u w:val="double"/>
          <w:lang w:val="en-IE"/>
        </w:rPr>
        <w:t>T.</w:t>
      </w:r>
      <w:r w:rsidR="005615CC">
        <w:rPr>
          <w:i/>
          <w:iCs/>
          <w:u w:val="double"/>
          <w:lang w:val="en-IE"/>
        </w:rPr>
        <w:t> </w:t>
      </w:r>
      <w:r w:rsidR="001721FA" w:rsidRPr="00ED0E77">
        <w:rPr>
          <w:i/>
          <w:iCs/>
          <w:u w:val="double"/>
          <w:lang w:val="en-IE"/>
        </w:rPr>
        <w:t>equigenitalis</w:t>
      </w:r>
      <w:r w:rsidR="001721FA" w:rsidRPr="00ED0E77">
        <w:rPr>
          <w:u w:val="double"/>
          <w:lang w:val="en-IE"/>
        </w:rPr>
        <w:t xml:space="preserve"> (EQUI-</w:t>
      </w:r>
      <w:r w:rsidR="00226441">
        <w:rPr>
          <w:u w:val="double"/>
          <w:lang w:val="en-IE"/>
        </w:rPr>
        <w:t>VIC; if available HEX can also be used</w:t>
      </w:r>
      <w:r w:rsidR="001721FA" w:rsidRPr="00ED0E77">
        <w:rPr>
          <w:u w:val="double"/>
          <w:lang w:val="en-IE"/>
        </w:rPr>
        <w:t xml:space="preserve">) and </w:t>
      </w:r>
      <w:r w:rsidR="001721FA" w:rsidRPr="00ED0E77">
        <w:rPr>
          <w:i/>
          <w:iCs/>
          <w:u w:val="double"/>
          <w:lang w:val="en-IE"/>
        </w:rPr>
        <w:t>T. asinigenitalis</w:t>
      </w:r>
      <w:r w:rsidR="001721FA" w:rsidRPr="00ED0E77">
        <w:rPr>
          <w:u w:val="double"/>
          <w:lang w:val="en-IE"/>
        </w:rPr>
        <w:t xml:space="preserve"> (ASINI-FAM) (Table 2a). </w:t>
      </w:r>
      <w:r w:rsidR="00A17BD7" w:rsidRPr="00ED0E77">
        <w:rPr>
          <w:u w:val="double"/>
          <w:lang w:val="en-IE"/>
        </w:rPr>
        <w:t>A third probe, HA5-CY5, TCT</w:t>
      </w:r>
      <w:r w:rsidRPr="00ED0E77">
        <w:rPr>
          <w:u w:val="double"/>
          <w:lang w:val="en-IE"/>
        </w:rPr>
        <w:t>-</w:t>
      </w:r>
      <w:r w:rsidR="00A17BD7" w:rsidRPr="00ED0E77">
        <w:rPr>
          <w:u w:val="double"/>
          <w:lang w:val="en-IE"/>
        </w:rPr>
        <w:t>ACG</w:t>
      </w:r>
      <w:r w:rsidRPr="00ED0E77">
        <w:rPr>
          <w:u w:val="double"/>
          <w:lang w:val="en-IE"/>
        </w:rPr>
        <w:t>-</w:t>
      </w:r>
      <w:r w:rsidR="00A17BD7" w:rsidRPr="00ED0E77">
        <w:rPr>
          <w:u w:val="double"/>
          <w:lang w:val="en-IE"/>
        </w:rPr>
        <w:t>AGA</w:t>
      </w:r>
      <w:r w:rsidRPr="00ED0E77">
        <w:rPr>
          <w:u w:val="double"/>
          <w:lang w:val="en-IE"/>
        </w:rPr>
        <w:t>-</w:t>
      </w:r>
      <w:r w:rsidR="00A17BD7" w:rsidRPr="00ED0E77">
        <w:rPr>
          <w:u w:val="double"/>
          <w:lang w:val="en-IE"/>
        </w:rPr>
        <w:t>GAA</w:t>
      </w:r>
      <w:r w:rsidRPr="00ED0E77">
        <w:rPr>
          <w:u w:val="double"/>
          <w:lang w:val="en-IE"/>
        </w:rPr>
        <w:t>-</w:t>
      </w:r>
      <w:r w:rsidR="00A17BD7" w:rsidRPr="00ED0E77">
        <w:rPr>
          <w:u w:val="double"/>
          <w:lang w:val="en-IE"/>
        </w:rPr>
        <w:t>CCT</w:t>
      </w:r>
      <w:r w:rsidRPr="00ED0E77">
        <w:rPr>
          <w:u w:val="double"/>
          <w:lang w:val="en-IE"/>
        </w:rPr>
        <w:t>-</w:t>
      </w:r>
      <w:r w:rsidR="00A17BD7" w:rsidRPr="00ED0E77">
        <w:rPr>
          <w:u w:val="double"/>
          <w:lang w:val="en-IE"/>
        </w:rPr>
        <w:t>CTC</w:t>
      </w:r>
      <w:r w:rsidRPr="00ED0E77">
        <w:rPr>
          <w:u w:val="double"/>
          <w:lang w:val="en-IE"/>
        </w:rPr>
        <w:t>-</w:t>
      </w:r>
      <w:r w:rsidR="00A17BD7" w:rsidRPr="00ED0E77">
        <w:rPr>
          <w:u w:val="double"/>
          <w:lang w:val="en-IE"/>
        </w:rPr>
        <w:t>CGA</w:t>
      </w:r>
      <w:r w:rsidRPr="00ED0E77">
        <w:rPr>
          <w:u w:val="double"/>
          <w:lang w:val="en-IE"/>
        </w:rPr>
        <w:t>-</w:t>
      </w:r>
      <w:r w:rsidR="00A17BD7" w:rsidRPr="00ED0E77">
        <w:rPr>
          <w:u w:val="double"/>
          <w:lang w:val="en-IE"/>
        </w:rPr>
        <w:t>GCT</w:t>
      </w:r>
      <w:r w:rsidRPr="00ED0E77">
        <w:rPr>
          <w:u w:val="double"/>
          <w:lang w:val="en-IE"/>
        </w:rPr>
        <w:t>-</w:t>
      </w:r>
      <w:r w:rsidR="00A17BD7" w:rsidRPr="00ED0E77">
        <w:rPr>
          <w:u w:val="double"/>
          <w:lang w:val="en-IE"/>
        </w:rPr>
        <w:t>CAG</w:t>
      </w:r>
      <w:r w:rsidRPr="00ED0E77">
        <w:rPr>
          <w:u w:val="double"/>
          <w:lang w:val="en-IE"/>
        </w:rPr>
        <w:t>-</w:t>
      </w:r>
      <w:r w:rsidR="00A17BD7" w:rsidRPr="00ED0E77">
        <w:rPr>
          <w:u w:val="double"/>
          <w:lang w:val="en-IE"/>
        </w:rPr>
        <w:t>CT-BHQ2</w:t>
      </w:r>
      <w:r w:rsidR="00905692" w:rsidRPr="00ED0E77">
        <w:rPr>
          <w:u w:val="double"/>
          <w:lang w:val="en-IE"/>
        </w:rPr>
        <w:t xml:space="preserve">, </w:t>
      </w:r>
      <w:r w:rsidR="00A17BD7" w:rsidRPr="00ED0E77">
        <w:rPr>
          <w:u w:val="double"/>
          <w:lang w:val="en-IE"/>
        </w:rPr>
        <w:t>is specific to a cloned sequence in a spiked</w:t>
      </w:r>
      <w:r w:rsidR="003A7992" w:rsidRPr="00ED0E77">
        <w:rPr>
          <w:u w:val="double"/>
          <w:lang w:val="en-IE"/>
        </w:rPr>
        <w:t>-</w:t>
      </w:r>
      <w:r w:rsidR="00A17BD7" w:rsidRPr="00ED0E77">
        <w:rPr>
          <w:u w:val="double"/>
          <w:lang w:val="en-IE"/>
        </w:rPr>
        <w:t xml:space="preserve">in plasmid and is used as an internal </w:t>
      </w:r>
      <w:r w:rsidR="003A7992" w:rsidRPr="00ED0E77">
        <w:rPr>
          <w:u w:val="double"/>
          <w:lang w:val="en-IE"/>
        </w:rPr>
        <w:t xml:space="preserve">positive </w:t>
      </w:r>
      <w:r w:rsidR="00A17BD7" w:rsidRPr="00ED0E77">
        <w:rPr>
          <w:u w:val="double"/>
          <w:lang w:val="en-IE"/>
        </w:rPr>
        <w:t>control</w:t>
      </w:r>
      <w:r w:rsidR="003A7992" w:rsidRPr="00ED0E77">
        <w:rPr>
          <w:u w:val="double"/>
          <w:lang w:val="en-IE"/>
        </w:rPr>
        <w:t xml:space="preserve"> (IPC)</w:t>
      </w:r>
      <w:r w:rsidR="00A17BD7" w:rsidRPr="00ED0E77">
        <w:rPr>
          <w:u w:val="double"/>
          <w:lang w:val="en-IE"/>
        </w:rPr>
        <w:t xml:space="preserve">. The spiked-in plasmid contains the TAYQ primer sequences flanking a 148 bp sequence from human adenovirus 5 corresponding to bases 28297 through 28407 of GenBank Accession number M73260. </w:t>
      </w:r>
    </w:p>
    <w:p w14:paraId="01031997" w14:textId="131FD119" w:rsidR="00905692" w:rsidRPr="00ED0E77" w:rsidRDefault="00226441" w:rsidP="00B940C2">
      <w:pPr>
        <w:pStyle w:val="afourthpara"/>
        <w:rPr>
          <w:u w:val="double"/>
          <w:lang w:val="en-IE"/>
        </w:rPr>
      </w:pPr>
      <w:r>
        <w:rPr>
          <w:u w:val="double"/>
          <w:lang w:val="en-IE"/>
        </w:rPr>
        <w:t xml:space="preserve">To prepare the test sample, </w:t>
      </w:r>
      <w:r w:rsidRPr="00ED0E77">
        <w:rPr>
          <w:u w:val="double"/>
          <w:lang w:val="en-IE"/>
        </w:rPr>
        <w:t xml:space="preserve">each </w:t>
      </w:r>
      <w:r w:rsidR="001721FA" w:rsidRPr="00ED0E77">
        <w:rPr>
          <w:u w:val="double"/>
          <w:lang w:val="en-IE"/>
        </w:rPr>
        <w:t xml:space="preserve">swab is extracted </w:t>
      </w:r>
      <w:r>
        <w:rPr>
          <w:u w:val="double"/>
          <w:lang w:val="en-IE"/>
        </w:rPr>
        <w:t>and placed</w:t>
      </w:r>
      <w:r w:rsidR="001721FA" w:rsidRPr="00ED0E77">
        <w:rPr>
          <w:u w:val="double"/>
          <w:lang w:val="en-IE"/>
        </w:rPr>
        <w:t xml:space="preserve"> into 1.0 ml sterile nuclease free water in a microcentrifuge tube, vortex</w:t>
      </w:r>
      <w:r>
        <w:rPr>
          <w:u w:val="double"/>
          <w:lang w:val="en-IE"/>
        </w:rPr>
        <w:t>ed</w:t>
      </w:r>
      <w:r w:rsidR="001721FA" w:rsidRPr="00ED0E77">
        <w:rPr>
          <w:u w:val="double"/>
          <w:lang w:val="en-IE"/>
        </w:rPr>
        <w:t xml:space="preserve"> for 5 seconds, and allow</w:t>
      </w:r>
      <w:r>
        <w:rPr>
          <w:u w:val="double"/>
          <w:lang w:val="en-IE"/>
        </w:rPr>
        <w:t>ed</w:t>
      </w:r>
      <w:r w:rsidR="001721FA" w:rsidRPr="00ED0E77">
        <w:rPr>
          <w:u w:val="double"/>
          <w:lang w:val="en-IE"/>
        </w:rPr>
        <w:t xml:space="preserve"> to stand for 5</w:t>
      </w:r>
      <w:r>
        <w:rPr>
          <w:u w:val="double"/>
          <w:lang w:val="en-IE"/>
        </w:rPr>
        <w:t> </w:t>
      </w:r>
      <w:r w:rsidR="001721FA" w:rsidRPr="00ED0E77">
        <w:rPr>
          <w:u w:val="double"/>
          <w:lang w:val="en-IE"/>
        </w:rPr>
        <w:t>minutes</w:t>
      </w:r>
      <w:r>
        <w:rPr>
          <w:u w:val="double"/>
          <w:lang w:val="en-IE"/>
        </w:rPr>
        <w:t>. At the same time,</w:t>
      </w:r>
      <w:r w:rsidR="001721FA" w:rsidRPr="00ED0E77">
        <w:rPr>
          <w:u w:val="double"/>
          <w:lang w:val="en-IE"/>
        </w:rPr>
        <w:t xml:space="preserve"> a negative extraction control is also prepared using 1.0</w:t>
      </w:r>
      <w:r w:rsidR="00B940C2" w:rsidRPr="00ED0E77">
        <w:rPr>
          <w:u w:val="double"/>
          <w:lang w:val="en-IE"/>
        </w:rPr>
        <w:t> </w:t>
      </w:r>
      <w:r w:rsidR="001721FA" w:rsidRPr="00ED0E77">
        <w:rPr>
          <w:u w:val="double"/>
          <w:lang w:val="en-IE"/>
        </w:rPr>
        <w:t xml:space="preserve">ml of nuclease free water. </w:t>
      </w:r>
      <w:r>
        <w:rPr>
          <w:u w:val="double"/>
          <w:lang w:val="en-IE"/>
        </w:rPr>
        <w:t xml:space="preserve">After standing in the microcentrifuge tube, the swab is returned to its original vial. </w:t>
      </w:r>
      <w:r w:rsidR="001721FA" w:rsidRPr="00ED0E77">
        <w:rPr>
          <w:u w:val="double"/>
          <w:lang w:val="en-IE"/>
        </w:rPr>
        <w:t>The sample is then centrifuged for 5 min</w:t>
      </w:r>
      <w:r w:rsidR="00B940C2" w:rsidRPr="00ED0E77">
        <w:rPr>
          <w:u w:val="double"/>
          <w:lang w:val="en-IE"/>
        </w:rPr>
        <w:t>ute</w:t>
      </w:r>
      <w:r w:rsidR="001721FA" w:rsidRPr="00ED0E77">
        <w:rPr>
          <w:u w:val="double"/>
          <w:lang w:val="en-IE"/>
        </w:rPr>
        <w:t>s at 17,949</w:t>
      </w:r>
      <w:r w:rsidR="00B940C2" w:rsidRPr="00ED0E77">
        <w:rPr>
          <w:u w:val="double"/>
          <w:lang w:val="en-IE"/>
        </w:rPr>
        <w:t xml:space="preserve"> </w:t>
      </w:r>
      <w:r w:rsidR="001721FA" w:rsidRPr="00ED0E77">
        <w:rPr>
          <w:b/>
          <w:bCs/>
          <w:i/>
          <w:iCs/>
          <w:u w:val="double"/>
          <w:lang w:val="en-IE"/>
        </w:rPr>
        <w:t>g</w:t>
      </w:r>
      <w:r w:rsidR="001721FA" w:rsidRPr="00ED0E77">
        <w:rPr>
          <w:u w:val="double"/>
          <w:lang w:val="en-IE"/>
        </w:rPr>
        <w:t xml:space="preserve">, </w:t>
      </w:r>
      <w:r>
        <w:rPr>
          <w:u w:val="double"/>
          <w:lang w:val="en-IE"/>
        </w:rPr>
        <w:t>the</w:t>
      </w:r>
      <w:r w:rsidR="001721FA" w:rsidRPr="00ED0E77">
        <w:rPr>
          <w:u w:val="double"/>
          <w:lang w:val="en-IE"/>
        </w:rPr>
        <w:t xml:space="preserve"> supernatant aseptically removed and discarded, and the pellet re-suspended in 20 </w:t>
      </w:r>
      <w:r w:rsidR="00B940C2" w:rsidRPr="00ED0E77">
        <w:rPr>
          <w:u w:val="double"/>
          <w:lang w:val="en-IE"/>
        </w:rPr>
        <w:t>µl</w:t>
      </w:r>
      <w:r w:rsidR="001721FA" w:rsidRPr="00ED0E77">
        <w:rPr>
          <w:u w:val="double"/>
          <w:lang w:val="en-IE"/>
        </w:rPr>
        <w:t xml:space="preserve"> of 10</w:t>
      </w:r>
      <w:r w:rsidR="00B940C2" w:rsidRPr="00ED0E77">
        <w:rPr>
          <w:u w:val="double"/>
          <w:lang w:val="en-IE"/>
        </w:rPr>
        <w:t xml:space="preserve"> </w:t>
      </w:r>
      <w:r w:rsidR="001721FA" w:rsidRPr="00ED0E77">
        <w:rPr>
          <w:u w:val="double"/>
          <w:lang w:val="en-IE"/>
        </w:rPr>
        <w:t>mM TE buffer pH</w:t>
      </w:r>
      <w:r w:rsidR="00B940C2" w:rsidRPr="00ED0E77">
        <w:rPr>
          <w:u w:val="double"/>
          <w:lang w:val="en-IE"/>
        </w:rPr>
        <w:t xml:space="preserve"> </w:t>
      </w:r>
      <w:r w:rsidR="001721FA" w:rsidRPr="00ED0E77">
        <w:rPr>
          <w:u w:val="double"/>
          <w:lang w:val="en-IE"/>
        </w:rPr>
        <w:t>8.0. Suspensions are heated for 15 minutes at 10</w:t>
      </w:r>
      <w:r w:rsidR="00B940C2" w:rsidRPr="00ED0E77">
        <w:rPr>
          <w:u w:val="double"/>
          <w:lang w:val="en-IE"/>
        </w:rPr>
        <w:t>0°</w:t>
      </w:r>
      <w:r w:rsidR="001721FA" w:rsidRPr="00ED0E77">
        <w:rPr>
          <w:u w:val="double"/>
          <w:lang w:val="en-IE"/>
        </w:rPr>
        <w:t>C then cooled. Prior to testing</w:t>
      </w:r>
      <w:r w:rsidR="00905692" w:rsidRPr="00ED0E77">
        <w:rPr>
          <w:u w:val="double"/>
          <w:lang w:val="en-IE"/>
        </w:rPr>
        <w:t>,</w:t>
      </w:r>
      <w:r w:rsidR="001721FA" w:rsidRPr="00ED0E77">
        <w:rPr>
          <w:u w:val="double"/>
          <w:lang w:val="en-IE"/>
        </w:rPr>
        <w:t xml:space="preserve"> samples are centrifuged for 5</w:t>
      </w:r>
      <w:r w:rsidR="00B940C2" w:rsidRPr="00ED0E77">
        <w:rPr>
          <w:u w:val="double"/>
          <w:lang w:val="en-IE"/>
        </w:rPr>
        <w:t>–</w:t>
      </w:r>
      <w:r w:rsidR="001721FA" w:rsidRPr="00ED0E77">
        <w:rPr>
          <w:u w:val="double"/>
          <w:lang w:val="en-IE"/>
        </w:rPr>
        <w:t xml:space="preserve">10 seconds to remove any liquid from the lid and tested immediately or stored at </w:t>
      </w:r>
      <w:r w:rsidR="00B940C2" w:rsidRPr="00ED0E77">
        <w:rPr>
          <w:u w:val="double"/>
          <w:lang w:val="en-IE"/>
        </w:rPr>
        <w:t>–</w:t>
      </w:r>
      <w:r w:rsidR="001721FA" w:rsidRPr="00ED0E77">
        <w:rPr>
          <w:u w:val="double"/>
          <w:lang w:val="en-IE"/>
        </w:rPr>
        <w:t>2</w:t>
      </w:r>
      <w:r w:rsidR="00B940C2" w:rsidRPr="00ED0E77">
        <w:rPr>
          <w:u w:val="double"/>
          <w:lang w:val="en-IE"/>
        </w:rPr>
        <w:t>0°</w:t>
      </w:r>
      <w:r w:rsidR="001721FA" w:rsidRPr="00ED0E77">
        <w:rPr>
          <w:u w:val="double"/>
          <w:lang w:val="en-IE"/>
        </w:rPr>
        <w:t>C until tested. S</w:t>
      </w:r>
      <w:r>
        <w:rPr>
          <w:u w:val="double"/>
          <w:lang w:val="en-IE"/>
        </w:rPr>
        <w:t>tored s</w:t>
      </w:r>
      <w:r w:rsidR="001721FA" w:rsidRPr="00ED0E77">
        <w:rPr>
          <w:u w:val="double"/>
          <w:lang w:val="en-IE"/>
        </w:rPr>
        <w:t xml:space="preserve">amples are centrifuged for 30 seconds prior to testing to pellet debris. The supernatant is the DNA extract or lysate. </w:t>
      </w:r>
    </w:p>
    <w:p w14:paraId="5F018352" w14:textId="10E0DC30" w:rsidR="00905692" w:rsidRPr="00ED0E77" w:rsidRDefault="001721FA" w:rsidP="00B940C2">
      <w:pPr>
        <w:pStyle w:val="afourthpara"/>
        <w:rPr>
          <w:u w:val="double"/>
          <w:lang w:val="en-IE"/>
        </w:rPr>
      </w:pPr>
      <w:r w:rsidRPr="00ED0E77">
        <w:rPr>
          <w:u w:val="double"/>
          <w:lang w:val="en-IE"/>
        </w:rPr>
        <w:t xml:space="preserve">Each reaction is composed of 2 </w:t>
      </w:r>
      <w:r w:rsidR="00B940C2" w:rsidRPr="00ED0E77">
        <w:rPr>
          <w:u w:val="double"/>
          <w:lang w:val="en-IE"/>
        </w:rPr>
        <w:t>µ</w:t>
      </w:r>
      <w:r w:rsidRPr="00ED0E77">
        <w:rPr>
          <w:u w:val="double"/>
          <w:lang w:val="en-IE"/>
        </w:rPr>
        <w:t xml:space="preserve">l of supernatant added to 18 </w:t>
      </w:r>
      <w:r w:rsidR="00B940C2" w:rsidRPr="00ED0E77">
        <w:rPr>
          <w:u w:val="double"/>
          <w:lang w:val="en-IE"/>
        </w:rPr>
        <w:t>µl</w:t>
      </w:r>
      <w:r w:rsidRPr="00ED0E77">
        <w:rPr>
          <w:u w:val="double"/>
          <w:lang w:val="en-IE"/>
        </w:rPr>
        <w:t xml:space="preserve"> of mastermix containing </w:t>
      </w:r>
      <w:r w:rsidR="00226441">
        <w:rPr>
          <w:u w:val="double"/>
          <w:lang w:val="en-IE"/>
        </w:rPr>
        <w:t>5</w:t>
      </w:r>
      <w:r w:rsidRPr="00ED0E77">
        <w:rPr>
          <w:u w:val="double"/>
          <w:lang w:val="en-IE"/>
        </w:rPr>
        <w:t>00 nM each of TayQF and TayQR, 2</w:t>
      </w:r>
      <w:r w:rsidR="00226441">
        <w:rPr>
          <w:u w:val="double"/>
          <w:lang w:val="en-IE"/>
        </w:rPr>
        <w:t>5</w:t>
      </w:r>
      <w:r w:rsidRPr="00ED0E77">
        <w:rPr>
          <w:u w:val="double"/>
          <w:lang w:val="en-IE"/>
        </w:rPr>
        <w:t>0 nM of EQUI-</w:t>
      </w:r>
      <w:r w:rsidR="00226441">
        <w:rPr>
          <w:u w:val="double"/>
          <w:lang w:val="en-IE"/>
        </w:rPr>
        <w:t>VIC</w:t>
      </w:r>
      <w:r w:rsidRPr="00ED0E77">
        <w:rPr>
          <w:u w:val="double"/>
          <w:lang w:val="en-IE"/>
        </w:rPr>
        <w:t>, and 1</w:t>
      </w:r>
      <w:r w:rsidR="00226441">
        <w:rPr>
          <w:u w:val="double"/>
          <w:lang w:val="en-IE"/>
        </w:rPr>
        <w:t>25</w:t>
      </w:r>
      <w:r w:rsidRPr="00ED0E77">
        <w:rPr>
          <w:u w:val="double"/>
          <w:lang w:val="en-IE"/>
        </w:rPr>
        <w:t xml:space="preserve"> nM of ASINI-FAM. Minor variations in the mastermix or concentrations must be laboratory validated (in-house). The described assay includes an IPC consisting of a manufactured sequence </w:t>
      </w:r>
      <w:r w:rsidR="00905692" w:rsidRPr="00ED0E77">
        <w:rPr>
          <w:u w:val="double"/>
          <w:lang w:val="en-IE"/>
        </w:rPr>
        <w:t>that</w:t>
      </w:r>
      <w:r w:rsidRPr="00ED0E77">
        <w:rPr>
          <w:u w:val="double"/>
          <w:lang w:val="en-IE"/>
        </w:rPr>
        <w:t xml:space="preserve"> is added to each well together with the sample DNA and negative extraction control and specific probe. The IPC is detected by a corresponding probe included in the master mix. Failure to amplify this control indicates inhibition of the PCR. Each run includes a standard curve (five dilution series) of DNA template controls for </w:t>
      </w:r>
      <w:r w:rsidRPr="00ED0E77">
        <w:rPr>
          <w:i/>
          <w:u w:val="double"/>
          <w:lang w:val="en-IE"/>
        </w:rPr>
        <w:t>T. equigenitalis</w:t>
      </w:r>
      <w:r w:rsidRPr="00ED0E77">
        <w:rPr>
          <w:u w:val="double"/>
          <w:lang w:val="en-IE"/>
        </w:rPr>
        <w:t xml:space="preserve"> together with IPC to demonstrate PCR efficiency. Individual wells each containing </w:t>
      </w:r>
      <w:r w:rsidRPr="00ED0E77">
        <w:rPr>
          <w:i/>
          <w:u w:val="double"/>
          <w:lang w:val="en-IE"/>
        </w:rPr>
        <w:t>T. asinigenitalis</w:t>
      </w:r>
      <w:r w:rsidRPr="00ED0E77">
        <w:rPr>
          <w:u w:val="double"/>
          <w:lang w:val="en-IE"/>
        </w:rPr>
        <w:t xml:space="preserve"> PCR control and IPC, </w:t>
      </w:r>
      <w:r w:rsidRPr="00ED0E77">
        <w:rPr>
          <w:i/>
          <w:u w:val="double"/>
          <w:lang w:val="en-IE"/>
        </w:rPr>
        <w:t>Oligella urethralis</w:t>
      </w:r>
      <w:r w:rsidRPr="00ED0E77">
        <w:rPr>
          <w:u w:val="double"/>
          <w:lang w:val="en-IE"/>
        </w:rPr>
        <w:t xml:space="preserve"> and IPC, IPC alone, and a no template control are also included on every plate, to demonstrate PCR specificity and fitness for purpose. </w:t>
      </w:r>
      <w:r w:rsidR="00713E59" w:rsidRPr="00ED0E77">
        <w:rPr>
          <w:u w:val="double"/>
          <w:lang w:val="en-IE"/>
        </w:rPr>
        <w:t xml:space="preserve">Samples are tested in duplicate. </w:t>
      </w:r>
      <w:r w:rsidRPr="00ED0E77">
        <w:rPr>
          <w:u w:val="double"/>
          <w:lang w:val="en-IE"/>
        </w:rPr>
        <w:t>PCR cycle conditions are as follows: 95</w:t>
      </w:r>
      <w:r w:rsidR="00B940C2" w:rsidRPr="00ED0E77">
        <w:rPr>
          <w:u w:val="double"/>
          <w:lang w:val="en-IE"/>
        </w:rPr>
        <w:t>°</w:t>
      </w:r>
      <w:r w:rsidRPr="00ED0E77">
        <w:rPr>
          <w:u w:val="double"/>
          <w:lang w:val="en-IE"/>
        </w:rPr>
        <w:t>C for 10 minutes followed by 45 cycles of 95</w:t>
      </w:r>
      <w:r w:rsidR="00B940C2" w:rsidRPr="00ED0E77">
        <w:rPr>
          <w:u w:val="double"/>
          <w:lang w:val="en-IE"/>
        </w:rPr>
        <w:t>°</w:t>
      </w:r>
      <w:r w:rsidRPr="00ED0E77">
        <w:rPr>
          <w:u w:val="double"/>
          <w:lang w:val="en-IE"/>
        </w:rPr>
        <w:t>C for 15 seconds and 55</w:t>
      </w:r>
      <w:r w:rsidR="00B940C2" w:rsidRPr="00ED0E77">
        <w:rPr>
          <w:u w:val="double"/>
          <w:lang w:val="en-IE"/>
        </w:rPr>
        <w:t>°</w:t>
      </w:r>
      <w:r w:rsidRPr="00ED0E77">
        <w:rPr>
          <w:u w:val="double"/>
          <w:lang w:val="en-IE"/>
        </w:rPr>
        <w:t xml:space="preserve">C for 1 minute. A CT value </w:t>
      </w:r>
      <w:r w:rsidR="00B940C2" w:rsidRPr="00ED0E77">
        <w:rPr>
          <w:u w:val="double"/>
          <w:lang w:val="en-IE"/>
        </w:rPr>
        <w:t>≤</w:t>
      </w:r>
      <w:r w:rsidRPr="00ED0E77">
        <w:rPr>
          <w:u w:val="double"/>
          <w:lang w:val="en-IE"/>
        </w:rPr>
        <w:t xml:space="preserve"> 40 for the specific probe is considered positive. </w:t>
      </w:r>
    </w:p>
    <w:p w14:paraId="13D04FBE" w14:textId="6366C844" w:rsidR="001721FA" w:rsidRPr="00ED0E77" w:rsidRDefault="001721FA" w:rsidP="00B940C2">
      <w:pPr>
        <w:pStyle w:val="afourthpara"/>
        <w:rPr>
          <w:u w:val="double"/>
          <w:lang w:val="en-IE"/>
        </w:rPr>
      </w:pPr>
      <w:r w:rsidRPr="00ED0E77">
        <w:rPr>
          <w:u w:val="double"/>
          <w:lang w:val="en-IE"/>
        </w:rPr>
        <w:t xml:space="preserve">Alternative laboratory validated variations of controls have been used, however every PCR plate should include a no template negative extraction control, </w:t>
      </w:r>
      <w:r w:rsidRPr="00ED0E77">
        <w:rPr>
          <w:i/>
          <w:u w:val="double"/>
          <w:lang w:val="en-IE"/>
        </w:rPr>
        <w:t>T.</w:t>
      </w:r>
      <w:r w:rsidR="00B940C2" w:rsidRPr="00ED0E77">
        <w:rPr>
          <w:i/>
          <w:u w:val="double"/>
          <w:lang w:val="en-IE"/>
        </w:rPr>
        <w:t> </w:t>
      </w:r>
      <w:r w:rsidRPr="00ED0E77">
        <w:rPr>
          <w:i/>
          <w:u w:val="double"/>
          <w:lang w:val="en-IE"/>
        </w:rPr>
        <w:t>equigenitalis</w:t>
      </w:r>
      <w:r w:rsidRPr="00ED0E77">
        <w:rPr>
          <w:u w:val="double"/>
          <w:lang w:val="en-IE"/>
        </w:rPr>
        <w:t xml:space="preserve"> and </w:t>
      </w:r>
      <w:r w:rsidRPr="00ED0E77">
        <w:rPr>
          <w:i/>
          <w:u w:val="double"/>
          <w:lang w:val="en-IE"/>
        </w:rPr>
        <w:t>T.</w:t>
      </w:r>
      <w:r w:rsidR="00A23740" w:rsidRPr="00ED0E77">
        <w:rPr>
          <w:i/>
          <w:u w:val="double"/>
          <w:lang w:val="en-IE"/>
        </w:rPr>
        <w:t> </w:t>
      </w:r>
      <w:r w:rsidRPr="00ED0E77">
        <w:rPr>
          <w:i/>
          <w:u w:val="double"/>
          <w:lang w:val="en-IE"/>
        </w:rPr>
        <w:t>asinigenitalis</w:t>
      </w:r>
      <w:r w:rsidRPr="00ED0E77">
        <w:rPr>
          <w:u w:val="double"/>
          <w:lang w:val="en-IE"/>
        </w:rPr>
        <w:t xml:space="preserve"> positive controls and an IPC control, as a minimum. A control test to show the presence of bacteria or bacterial DNA to confirm that the swabs have been inoculated is also advisable.</w:t>
      </w:r>
    </w:p>
    <w:p w14:paraId="55D33ACF" w14:textId="77777777" w:rsidR="00BE459C" w:rsidRPr="00ED0E77" w:rsidRDefault="00BE459C" w:rsidP="00F92474">
      <w:pPr>
        <w:pStyle w:val="Tabletitle"/>
        <w:rPr>
          <w:lang w:val="en-IE"/>
        </w:rPr>
      </w:pPr>
      <w:r w:rsidRPr="00ED0E77">
        <w:rPr>
          <w:lang w:val="en-IE"/>
        </w:rPr>
        <w:t xml:space="preserve">Table 2. </w:t>
      </w:r>
      <w:r w:rsidRPr="00ED0E77">
        <w:rPr>
          <w:b w:val="0"/>
          <w:bCs w:val="0"/>
          <w:lang w:val="en-IE"/>
        </w:rPr>
        <w:t>Primer sequences for use in PCR tests</w:t>
      </w:r>
    </w:p>
    <w:tbl>
      <w:tblPr>
        <w:tblStyle w:val="TableGrid"/>
        <w:tblW w:w="9180" w:type="dxa"/>
        <w:tblLayout w:type="fixed"/>
        <w:tblLook w:val="04A0" w:firstRow="1" w:lastRow="0" w:firstColumn="1" w:lastColumn="0" w:noHBand="0" w:noVBand="1"/>
      </w:tblPr>
      <w:tblGrid>
        <w:gridCol w:w="695"/>
        <w:gridCol w:w="1965"/>
        <w:gridCol w:w="715"/>
        <w:gridCol w:w="1836"/>
        <w:gridCol w:w="754"/>
        <w:gridCol w:w="2081"/>
        <w:gridCol w:w="1134"/>
      </w:tblGrid>
      <w:tr w:rsidR="00BE459C" w:rsidRPr="00ED0E77" w14:paraId="399890C4" w14:textId="77777777" w:rsidTr="00D9647C">
        <w:trPr>
          <w:tblHeader/>
        </w:trPr>
        <w:tc>
          <w:tcPr>
            <w:tcW w:w="2660" w:type="dxa"/>
            <w:gridSpan w:val="2"/>
          </w:tcPr>
          <w:p w14:paraId="2384068B" w14:textId="77777777" w:rsidR="00BE459C" w:rsidRPr="00ED0E77" w:rsidRDefault="00BE459C" w:rsidP="00D9647C">
            <w:pPr>
              <w:spacing w:before="120" w:after="120" w:line="240" w:lineRule="auto"/>
              <w:jc w:val="center"/>
              <w:rPr>
                <w:rFonts w:ascii="Arial" w:hAnsi="Arial" w:cs="Arial"/>
                <w:b/>
                <w:strike/>
                <w:sz w:val="18"/>
                <w:szCs w:val="18"/>
                <w:lang w:val="en-IE"/>
              </w:rPr>
            </w:pPr>
            <w:r w:rsidRPr="00ED0E77">
              <w:rPr>
                <w:rFonts w:ascii="Arial" w:hAnsi="Arial" w:cs="Arial"/>
                <w:b/>
                <w:strike/>
                <w:sz w:val="18"/>
                <w:szCs w:val="18"/>
                <w:lang w:val="en-IE"/>
              </w:rPr>
              <w:t>Primer 1 (forward)</w:t>
            </w:r>
          </w:p>
        </w:tc>
        <w:tc>
          <w:tcPr>
            <w:tcW w:w="2551" w:type="dxa"/>
            <w:gridSpan w:val="2"/>
          </w:tcPr>
          <w:p w14:paraId="1AFBD931" w14:textId="77777777" w:rsidR="00BE459C" w:rsidRPr="00ED0E77" w:rsidRDefault="00BE459C" w:rsidP="00D9647C">
            <w:pPr>
              <w:spacing w:before="120" w:after="120" w:line="240" w:lineRule="auto"/>
              <w:jc w:val="center"/>
              <w:rPr>
                <w:rFonts w:ascii="Arial" w:hAnsi="Arial" w:cs="Arial"/>
                <w:b/>
                <w:strike/>
                <w:sz w:val="18"/>
                <w:szCs w:val="18"/>
                <w:lang w:val="en-IE"/>
              </w:rPr>
            </w:pPr>
            <w:r w:rsidRPr="00ED0E77">
              <w:rPr>
                <w:rFonts w:ascii="Arial" w:hAnsi="Arial" w:cs="Arial"/>
                <w:b/>
                <w:strike/>
                <w:sz w:val="18"/>
                <w:szCs w:val="18"/>
                <w:lang w:val="en-IE"/>
              </w:rPr>
              <w:t>Primer 2 (reverse, sequence from 5’ to 3’)</w:t>
            </w:r>
          </w:p>
        </w:tc>
        <w:tc>
          <w:tcPr>
            <w:tcW w:w="2835" w:type="dxa"/>
            <w:gridSpan w:val="2"/>
          </w:tcPr>
          <w:p w14:paraId="4AC7E658" w14:textId="77777777" w:rsidR="00BE459C" w:rsidRPr="00ED0E77" w:rsidRDefault="00BE459C" w:rsidP="00D9647C">
            <w:pPr>
              <w:spacing w:before="120" w:after="120" w:line="240" w:lineRule="auto"/>
              <w:jc w:val="center"/>
              <w:rPr>
                <w:rFonts w:ascii="Arial" w:hAnsi="Arial" w:cs="Arial"/>
                <w:b/>
                <w:strike/>
                <w:sz w:val="18"/>
                <w:szCs w:val="18"/>
                <w:lang w:val="en-IE"/>
              </w:rPr>
            </w:pPr>
            <w:r w:rsidRPr="00ED0E77">
              <w:rPr>
                <w:rFonts w:ascii="Arial" w:hAnsi="Arial" w:cs="Arial"/>
                <w:b/>
                <w:strike/>
                <w:sz w:val="18"/>
                <w:szCs w:val="18"/>
                <w:lang w:val="en-IE"/>
              </w:rPr>
              <w:t xml:space="preserve">Probe (only for </w:t>
            </w:r>
            <w:r w:rsidRPr="00ED0E77">
              <w:rPr>
                <w:rFonts w:ascii="Arial" w:hAnsi="Arial" w:cs="Arial"/>
                <w:b/>
                <w:strike/>
                <w:sz w:val="18"/>
                <w:szCs w:val="18"/>
                <w:lang w:val="en-IE"/>
              </w:rPr>
              <w:br/>
              <w:t>real-time PCRs)</w:t>
            </w:r>
          </w:p>
        </w:tc>
        <w:tc>
          <w:tcPr>
            <w:tcW w:w="1134" w:type="dxa"/>
          </w:tcPr>
          <w:p w14:paraId="71DCAAFD" w14:textId="77777777" w:rsidR="00BE459C" w:rsidRPr="00ED0E77" w:rsidRDefault="00BE459C" w:rsidP="00D9647C">
            <w:pPr>
              <w:spacing w:before="120" w:after="120" w:line="240" w:lineRule="auto"/>
              <w:jc w:val="left"/>
              <w:rPr>
                <w:rFonts w:ascii="Arial" w:hAnsi="Arial" w:cs="Arial"/>
                <w:b/>
                <w:strike/>
                <w:sz w:val="18"/>
                <w:szCs w:val="18"/>
                <w:lang w:val="en-IE"/>
              </w:rPr>
            </w:pPr>
            <w:r w:rsidRPr="00ED0E77">
              <w:rPr>
                <w:rFonts w:ascii="Arial" w:hAnsi="Arial" w:cs="Arial"/>
                <w:b/>
                <w:strike/>
                <w:sz w:val="18"/>
                <w:szCs w:val="18"/>
                <w:lang w:val="en-IE"/>
              </w:rPr>
              <w:t>Reference</w:t>
            </w:r>
          </w:p>
        </w:tc>
      </w:tr>
      <w:tr w:rsidR="00BE459C" w:rsidRPr="00ED0E77" w14:paraId="19517A24" w14:textId="77777777" w:rsidTr="00D9647C">
        <w:trPr>
          <w:tblHeader/>
        </w:trPr>
        <w:tc>
          <w:tcPr>
            <w:tcW w:w="695" w:type="dxa"/>
          </w:tcPr>
          <w:p w14:paraId="2CF67590"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 xml:space="preserve">Name </w:t>
            </w:r>
          </w:p>
        </w:tc>
        <w:tc>
          <w:tcPr>
            <w:tcW w:w="1965" w:type="dxa"/>
          </w:tcPr>
          <w:p w14:paraId="0608DE4C"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Sequence from 5’ to 3’</w:t>
            </w:r>
          </w:p>
        </w:tc>
        <w:tc>
          <w:tcPr>
            <w:tcW w:w="715" w:type="dxa"/>
          </w:tcPr>
          <w:p w14:paraId="1D44B9F1"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Name</w:t>
            </w:r>
          </w:p>
        </w:tc>
        <w:tc>
          <w:tcPr>
            <w:tcW w:w="1836" w:type="dxa"/>
          </w:tcPr>
          <w:p w14:paraId="709E0C18"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Sequence from 5’ to 3’</w:t>
            </w:r>
          </w:p>
        </w:tc>
        <w:tc>
          <w:tcPr>
            <w:tcW w:w="754" w:type="dxa"/>
          </w:tcPr>
          <w:p w14:paraId="7A42E1BC"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Name</w:t>
            </w:r>
          </w:p>
        </w:tc>
        <w:tc>
          <w:tcPr>
            <w:tcW w:w="2081" w:type="dxa"/>
          </w:tcPr>
          <w:p w14:paraId="72DAF496"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Sequence from 5’ to 3’</w:t>
            </w:r>
          </w:p>
        </w:tc>
        <w:tc>
          <w:tcPr>
            <w:tcW w:w="1134" w:type="dxa"/>
          </w:tcPr>
          <w:p w14:paraId="54E6121B" w14:textId="77777777" w:rsidR="00BE459C" w:rsidRPr="00ED0E77" w:rsidRDefault="00BE459C" w:rsidP="00D9647C">
            <w:pPr>
              <w:spacing w:before="120" w:after="120" w:line="240" w:lineRule="auto"/>
              <w:jc w:val="left"/>
              <w:rPr>
                <w:rFonts w:ascii="Arial" w:hAnsi="Arial" w:cs="Arial"/>
                <w:strike/>
                <w:sz w:val="16"/>
                <w:szCs w:val="16"/>
                <w:lang w:val="en-IE"/>
              </w:rPr>
            </w:pPr>
          </w:p>
        </w:tc>
      </w:tr>
      <w:tr w:rsidR="00BE459C" w:rsidRPr="00ED0E77" w14:paraId="4DF9B785" w14:textId="77777777" w:rsidTr="00D9647C">
        <w:trPr>
          <w:trHeight w:val="20"/>
        </w:trPr>
        <w:tc>
          <w:tcPr>
            <w:tcW w:w="695" w:type="dxa"/>
          </w:tcPr>
          <w:p w14:paraId="65C772DE"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Tay377for</w:t>
            </w:r>
          </w:p>
        </w:tc>
        <w:tc>
          <w:tcPr>
            <w:tcW w:w="1965" w:type="dxa"/>
          </w:tcPr>
          <w:p w14:paraId="2F8EACE7"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CCG-CGT-GTG-CGA-TTG-A</w:t>
            </w:r>
          </w:p>
        </w:tc>
        <w:tc>
          <w:tcPr>
            <w:tcW w:w="715" w:type="dxa"/>
          </w:tcPr>
          <w:p w14:paraId="0F8BF63C"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Tay488rev</w:t>
            </w:r>
          </w:p>
        </w:tc>
        <w:tc>
          <w:tcPr>
            <w:tcW w:w="1836" w:type="dxa"/>
          </w:tcPr>
          <w:p w14:paraId="077206E2"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TTT-GCC-GGT-GCT-TAT-TCT-TCA</w:t>
            </w:r>
          </w:p>
        </w:tc>
        <w:tc>
          <w:tcPr>
            <w:tcW w:w="754" w:type="dxa"/>
          </w:tcPr>
          <w:p w14:paraId="3C7ED096"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Tequi</w:t>
            </w:r>
            <w:r w:rsidRPr="00ED0E77">
              <w:rPr>
                <w:rFonts w:ascii="Arial" w:hAnsi="Arial" w:cs="Arial"/>
                <w:strike/>
                <w:sz w:val="16"/>
                <w:szCs w:val="16"/>
                <w:lang w:val="en-IE"/>
              </w:rPr>
              <w:br/>
              <w:t>FAM-probe</w:t>
            </w:r>
          </w:p>
        </w:tc>
        <w:tc>
          <w:tcPr>
            <w:tcW w:w="2081" w:type="dxa"/>
          </w:tcPr>
          <w:p w14:paraId="6814E514"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6FAM-AAA-GGT-TTG-TGT-TAA-TAC-CAT-GGA-CTG-CTG-ACG-G-BHQ1</w:t>
            </w:r>
          </w:p>
        </w:tc>
        <w:tc>
          <w:tcPr>
            <w:tcW w:w="1134" w:type="dxa"/>
          </w:tcPr>
          <w:p w14:paraId="04A52143" w14:textId="77777777" w:rsidR="00BE459C" w:rsidRPr="00ED0E77" w:rsidRDefault="00BE459C" w:rsidP="00D9647C">
            <w:pPr>
              <w:spacing w:before="120" w:after="120" w:line="240" w:lineRule="auto"/>
              <w:jc w:val="left"/>
              <w:rPr>
                <w:rFonts w:ascii="Arial" w:hAnsi="Arial" w:cs="Arial"/>
                <w:strike/>
                <w:sz w:val="16"/>
                <w:szCs w:val="16"/>
                <w:lang w:val="en-IE"/>
              </w:rPr>
            </w:pPr>
            <w:r w:rsidRPr="00ED0E77">
              <w:rPr>
                <w:rFonts w:ascii="Arial" w:hAnsi="Arial" w:cs="Arial"/>
                <w:strike/>
                <w:sz w:val="16"/>
                <w:szCs w:val="16"/>
                <w:lang w:val="en-IE"/>
              </w:rPr>
              <w:t xml:space="preserve">Wakeley </w:t>
            </w:r>
            <w:r w:rsidRPr="00ED0E77">
              <w:rPr>
                <w:rFonts w:ascii="Arial" w:hAnsi="Arial" w:cs="Arial"/>
                <w:strike/>
                <w:sz w:val="16"/>
                <w:szCs w:val="16"/>
                <w:lang w:val="en-IE"/>
              </w:rPr>
              <w:br/>
            </w:r>
            <w:r w:rsidRPr="00ED0E77">
              <w:rPr>
                <w:rFonts w:ascii="Arial" w:hAnsi="Arial" w:cs="Arial"/>
                <w:i/>
                <w:strike/>
                <w:sz w:val="16"/>
                <w:szCs w:val="16"/>
                <w:lang w:val="en-IE"/>
              </w:rPr>
              <w:t>et al.</w:t>
            </w:r>
            <w:r w:rsidRPr="00ED0E77">
              <w:rPr>
                <w:rFonts w:ascii="Arial" w:hAnsi="Arial" w:cs="Arial"/>
                <w:strike/>
                <w:sz w:val="16"/>
                <w:szCs w:val="16"/>
                <w:lang w:val="en-IE"/>
              </w:rPr>
              <w:t>, 2006</w:t>
            </w:r>
          </w:p>
        </w:tc>
      </w:tr>
      <w:tr w:rsidR="00BE459C" w:rsidRPr="00ED0E77" w14:paraId="10479566" w14:textId="77777777" w:rsidTr="00D9647C">
        <w:trPr>
          <w:trHeight w:val="20"/>
        </w:trPr>
        <w:tc>
          <w:tcPr>
            <w:tcW w:w="695" w:type="dxa"/>
            <w:vMerge w:val="restart"/>
          </w:tcPr>
          <w:p w14:paraId="00023B4B"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CEM1mod</w:t>
            </w:r>
          </w:p>
        </w:tc>
        <w:tc>
          <w:tcPr>
            <w:tcW w:w="1965" w:type="dxa"/>
            <w:vMerge w:val="restart"/>
          </w:tcPr>
          <w:p w14:paraId="70A954C8"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GCA-GCA-TAA-GGA-GAG-CTT-GCT</w:t>
            </w:r>
          </w:p>
        </w:tc>
        <w:tc>
          <w:tcPr>
            <w:tcW w:w="715" w:type="dxa"/>
            <w:vMerge w:val="restart"/>
          </w:tcPr>
          <w:p w14:paraId="2B2660C3"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CEM2mod</w:t>
            </w:r>
          </w:p>
        </w:tc>
        <w:tc>
          <w:tcPr>
            <w:tcW w:w="1836" w:type="dxa"/>
            <w:vMerge w:val="restart"/>
          </w:tcPr>
          <w:p w14:paraId="7A5AF406"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GCT-CGA-CAG-TTA-GAA-ATG</w:t>
            </w:r>
          </w:p>
        </w:tc>
        <w:tc>
          <w:tcPr>
            <w:tcW w:w="754" w:type="dxa"/>
          </w:tcPr>
          <w:p w14:paraId="0E508C8F"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CEM–FLU</w:t>
            </w:r>
          </w:p>
        </w:tc>
        <w:tc>
          <w:tcPr>
            <w:tcW w:w="2081" w:type="dxa"/>
          </w:tcPr>
          <w:p w14:paraId="432CFF86"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GTA-AAA-GGT-CAT-CTC-TGA-TCC</w:t>
            </w:r>
          </w:p>
        </w:tc>
        <w:tc>
          <w:tcPr>
            <w:tcW w:w="1134" w:type="dxa"/>
            <w:vMerge w:val="restart"/>
          </w:tcPr>
          <w:p w14:paraId="30538CA6" w14:textId="77777777" w:rsidR="00BE459C" w:rsidRPr="00ED0E77" w:rsidRDefault="00BE459C" w:rsidP="00D9647C">
            <w:pPr>
              <w:spacing w:before="120" w:after="120" w:line="240" w:lineRule="auto"/>
              <w:jc w:val="left"/>
              <w:rPr>
                <w:rFonts w:ascii="Arial" w:hAnsi="Arial" w:cs="Arial"/>
                <w:strike/>
                <w:sz w:val="16"/>
                <w:szCs w:val="16"/>
                <w:lang w:val="en-IE"/>
              </w:rPr>
            </w:pPr>
            <w:r w:rsidRPr="00ED0E77">
              <w:rPr>
                <w:rFonts w:ascii="Arial" w:hAnsi="Arial" w:cs="Arial"/>
                <w:strike/>
                <w:sz w:val="16"/>
                <w:szCs w:val="16"/>
                <w:lang w:val="en-IE"/>
              </w:rPr>
              <w:t xml:space="preserve">Premanandh </w:t>
            </w:r>
            <w:r w:rsidRPr="00ED0E77">
              <w:rPr>
                <w:rFonts w:ascii="Arial" w:hAnsi="Arial" w:cs="Arial"/>
                <w:i/>
                <w:strike/>
                <w:sz w:val="16"/>
                <w:szCs w:val="16"/>
                <w:lang w:val="en-IE"/>
              </w:rPr>
              <w:t>et al.,</w:t>
            </w:r>
            <w:r w:rsidRPr="00ED0E77">
              <w:rPr>
                <w:rFonts w:ascii="Arial" w:hAnsi="Arial" w:cs="Arial"/>
                <w:strike/>
                <w:sz w:val="16"/>
                <w:szCs w:val="16"/>
                <w:lang w:val="en-IE"/>
              </w:rPr>
              <w:t xml:space="preserve"> 2003</w:t>
            </w:r>
          </w:p>
        </w:tc>
      </w:tr>
      <w:tr w:rsidR="00BE459C" w:rsidRPr="00ED0E77" w14:paraId="4F47BFEB" w14:textId="77777777" w:rsidTr="00D9647C">
        <w:trPr>
          <w:trHeight w:val="20"/>
        </w:trPr>
        <w:tc>
          <w:tcPr>
            <w:tcW w:w="695" w:type="dxa"/>
            <w:vMerge/>
          </w:tcPr>
          <w:p w14:paraId="253B1C69" w14:textId="77777777" w:rsidR="00BE459C" w:rsidRPr="00ED0E77" w:rsidRDefault="00BE459C" w:rsidP="00D9647C">
            <w:pPr>
              <w:spacing w:before="120" w:after="120" w:line="240" w:lineRule="auto"/>
              <w:rPr>
                <w:rFonts w:ascii="Arial" w:hAnsi="Arial" w:cs="Arial"/>
                <w:strike/>
                <w:sz w:val="16"/>
                <w:szCs w:val="16"/>
                <w:lang w:val="en-IE"/>
              </w:rPr>
            </w:pPr>
          </w:p>
        </w:tc>
        <w:tc>
          <w:tcPr>
            <w:tcW w:w="1965" w:type="dxa"/>
            <w:vMerge/>
          </w:tcPr>
          <w:p w14:paraId="67BD9E04" w14:textId="77777777" w:rsidR="00BE459C" w:rsidRPr="00ED0E77" w:rsidRDefault="00BE459C" w:rsidP="00D9647C">
            <w:pPr>
              <w:spacing w:before="120" w:after="120" w:line="240" w:lineRule="auto"/>
              <w:rPr>
                <w:rFonts w:ascii="Arial" w:hAnsi="Arial" w:cs="Arial"/>
                <w:strike/>
                <w:sz w:val="16"/>
                <w:szCs w:val="16"/>
                <w:lang w:val="en-IE"/>
              </w:rPr>
            </w:pPr>
          </w:p>
        </w:tc>
        <w:tc>
          <w:tcPr>
            <w:tcW w:w="715" w:type="dxa"/>
            <w:vMerge/>
          </w:tcPr>
          <w:p w14:paraId="7063F04B" w14:textId="77777777" w:rsidR="00BE459C" w:rsidRPr="00ED0E77" w:rsidRDefault="00BE459C" w:rsidP="00D9647C">
            <w:pPr>
              <w:spacing w:before="120" w:after="120" w:line="240" w:lineRule="auto"/>
              <w:rPr>
                <w:rFonts w:ascii="Arial" w:hAnsi="Arial" w:cs="Arial"/>
                <w:strike/>
                <w:sz w:val="16"/>
                <w:szCs w:val="16"/>
                <w:lang w:val="en-IE"/>
              </w:rPr>
            </w:pPr>
          </w:p>
        </w:tc>
        <w:tc>
          <w:tcPr>
            <w:tcW w:w="1836" w:type="dxa"/>
            <w:vMerge/>
          </w:tcPr>
          <w:p w14:paraId="45065C37" w14:textId="77777777" w:rsidR="00BE459C" w:rsidRPr="00ED0E77" w:rsidRDefault="00BE459C" w:rsidP="00D9647C">
            <w:pPr>
              <w:spacing w:before="120" w:after="120" w:line="240" w:lineRule="auto"/>
              <w:rPr>
                <w:rFonts w:ascii="Arial" w:hAnsi="Arial" w:cs="Arial"/>
                <w:strike/>
                <w:sz w:val="16"/>
                <w:szCs w:val="16"/>
                <w:lang w:val="en-IE"/>
              </w:rPr>
            </w:pPr>
          </w:p>
        </w:tc>
        <w:tc>
          <w:tcPr>
            <w:tcW w:w="754" w:type="dxa"/>
          </w:tcPr>
          <w:p w14:paraId="200C8445"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CEM-LCR</w:t>
            </w:r>
            <w:r w:rsidRPr="00ED0E77">
              <w:rPr>
                <w:rFonts w:ascii="Arial" w:hAnsi="Arial" w:cs="Arial"/>
                <w:strike/>
                <w:sz w:val="16"/>
                <w:szCs w:val="16"/>
                <w:lang w:val="en-IE"/>
              </w:rPr>
              <w:br/>
              <w:t>640</w:t>
            </w:r>
          </w:p>
        </w:tc>
        <w:tc>
          <w:tcPr>
            <w:tcW w:w="2081" w:type="dxa"/>
          </w:tcPr>
          <w:p w14:paraId="1B3B2030"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CCT-CAG-GGC-GTA-TGC-GGT-ATT-AGC</w:t>
            </w:r>
          </w:p>
        </w:tc>
        <w:tc>
          <w:tcPr>
            <w:tcW w:w="1134" w:type="dxa"/>
            <w:vMerge/>
          </w:tcPr>
          <w:p w14:paraId="464E921A" w14:textId="77777777" w:rsidR="00BE459C" w:rsidRPr="00ED0E77" w:rsidRDefault="00BE459C" w:rsidP="00D9647C">
            <w:pPr>
              <w:spacing w:before="120" w:after="120" w:line="240" w:lineRule="auto"/>
              <w:jc w:val="left"/>
              <w:rPr>
                <w:rFonts w:ascii="Arial" w:hAnsi="Arial" w:cs="Arial"/>
                <w:strike/>
                <w:sz w:val="16"/>
                <w:szCs w:val="16"/>
                <w:lang w:val="en-IE"/>
              </w:rPr>
            </w:pPr>
          </w:p>
        </w:tc>
      </w:tr>
      <w:tr w:rsidR="00BE459C" w:rsidRPr="00ED0E77" w14:paraId="480ABE9B" w14:textId="77777777" w:rsidTr="00D9647C">
        <w:trPr>
          <w:trHeight w:val="20"/>
        </w:trPr>
        <w:tc>
          <w:tcPr>
            <w:tcW w:w="695" w:type="dxa"/>
          </w:tcPr>
          <w:p w14:paraId="0E9A775C"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Primer 1</w:t>
            </w:r>
          </w:p>
        </w:tc>
        <w:tc>
          <w:tcPr>
            <w:tcW w:w="1965" w:type="dxa"/>
          </w:tcPr>
          <w:p w14:paraId="56E1C7DB"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CAG-CAT-AAG-GAG-AGC-TTG-CTT-TTC-T</w:t>
            </w:r>
          </w:p>
        </w:tc>
        <w:tc>
          <w:tcPr>
            <w:tcW w:w="715" w:type="dxa"/>
          </w:tcPr>
          <w:p w14:paraId="2EBD08AE"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Primer 2</w:t>
            </w:r>
          </w:p>
        </w:tc>
        <w:tc>
          <w:tcPr>
            <w:tcW w:w="1836" w:type="dxa"/>
          </w:tcPr>
          <w:p w14:paraId="2502D92C"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CTC-GAC-AGT-TAG-AAA-TGC-AGT</w:t>
            </w:r>
          </w:p>
        </w:tc>
        <w:tc>
          <w:tcPr>
            <w:tcW w:w="754" w:type="dxa"/>
          </w:tcPr>
          <w:p w14:paraId="79523E47"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Probe</w:t>
            </w:r>
          </w:p>
        </w:tc>
        <w:tc>
          <w:tcPr>
            <w:tcW w:w="2081" w:type="dxa"/>
          </w:tcPr>
          <w:p w14:paraId="632C2D11" w14:textId="77777777" w:rsidR="00BE459C" w:rsidRPr="005F0551" w:rsidRDefault="00BE459C" w:rsidP="00D9647C">
            <w:pPr>
              <w:spacing w:before="120" w:after="120" w:line="240" w:lineRule="auto"/>
              <w:rPr>
                <w:rFonts w:ascii="Arial" w:hAnsi="Arial" w:cs="Arial"/>
                <w:strike/>
                <w:sz w:val="16"/>
                <w:szCs w:val="16"/>
                <w:lang w:val="fr-FR"/>
              </w:rPr>
            </w:pPr>
            <w:r w:rsidRPr="005F0551">
              <w:rPr>
                <w:rFonts w:ascii="Arial" w:hAnsi="Arial" w:cs="Arial"/>
                <w:strike/>
                <w:sz w:val="16"/>
                <w:szCs w:val="16"/>
                <w:lang w:val="fr-FR"/>
              </w:rPr>
              <w:t>TCA-GAG-ATG-ACC-TTT-TAC-TA</w:t>
            </w:r>
          </w:p>
        </w:tc>
        <w:tc>
          <w:tcPr>
            <w:tcW w:w="1134" w:type="dxa"/>
          </w:tcPr>
          <w:p w14:paraId="30C9C802" w14:textId="77777777" w:rsidR="00BE459C" w:rsidRPr="00ED0E77" w:rsidRDefault="00BE459C" w:rsidP="00D9647C">
            <w:pPr>
              <w:spacing w:before="120" w:after="120" w:line="240" w:lineRule="auto"/>
              <w:jc w:val="left"/>
              <w:rPr>
                <w:rFonts w:ascii="Arial" w:hAnsi="Arial" w:cs="Arial"/>
                <w:strike/>
                <w:sz w:val="16"/>
                <w:szCs w:val="16"/>
                <w:lang w:val="en-IE"/>
              </w:rPr>
            </w:pPr>
            <w:r w:rsidRPr="00ED0E77">
              <w:rPr>
                <w:rFonts w:ascii="Arial" w:hAnsi="Arial" w:cs="Arial"/>
                <w:strike/>
                <w:sz w:val="16"/>
                <w:szCs w:val="16"/>
                <w:lang w:val="en-IE"/>
              </w:rPr>
              <w:t xml:space="preserve">Bleumink-Pluym </w:t>
            </w:r>
            <w:r w:rsidRPr="00ED0E77">
              <w:rPr>
                <w:rFonts w:ascii="Arial" w:hAnsi="Arial" w:cs="Arial"/>
                <w:i/>
                <w:strike/>
                <w:sz w:val="16"/>
                <w:szCs w:val="16"/>
                <w:lang w:val="en-IE"/>
              </w:rPr>
              <w:t>et al.,</w:t>
            </w:r>
            <w:r w:rsidRPr="00ED0E77">
              <w:rPr>
                <w:rFonts w:ascii="Arial" w:hAnsi="Arial" w:cs="Arial"/>
                <w:strike/>
                <w:sz w:val="16"/>
                <w:szCs w:val="16"/>
                <w:lang w:val="en-IE"/>
              </w:rPr>
              <w:t xml:space="preserve"> 1994</w:t>
            </w:r>
          </w:p>
        </w:tc>
      </w:tr>
      <w:tr w:rsidR="00BE459C" w:rsidRPr="00ED0E77" w14:paraId="6A20BCEB" w14:textId="77777777" w:rsidTr="00D9647C">
        <w:trPr>
          <w:trHeight w:val="20"/>
        </w:trPr>
        <w:tc>
          <w:tcPr>
            <w:tcW w:w="695" w:type="dxa"/>
          </w:tcPr>
          <w:p w14:paraId="5F3F1DE4"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FORW</w:t>
            </w:r>
          </w:p>
        </w:tc>
        <w:tc>
          <w:tcPr>
            <w:tcW w:w="1965" w:type="dxa"/>
          </w:tcPr>
          <w:p w14:paraId="136AAF03"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AGG-TTT-GTG-TTA-ATA-CCA-TGG-ACT-G</w:t>
            </w:r>
          </w:p>
        </w:tc>
        <w:tc>
          <w:tcPr>
            <w:tcW w:w="715" w:type="dxa"/>
          </w:tcPr>
          <w:p w14:paraId="7EC8D13D"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REV</w:t>
            </w:r>
          </w:p>
        </w:tc>
        <w:tc>
          <w:tcPr>
            <w:tcW w:w="1836" w:type="dxa"/>
          </w:tcPr>
          <w:p w14:paraId="7910187A"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CAG-TCT-CAT-TAG-AGT-GCC-CAT-CTT-ACT-TG</w:t>
            </w:r>
          </w:p>
        </w:tc>
        <w:tc>
          <w:tcPr>
            <w:tcW w:w="754" w:type="dxa"/>
          </w:tcPr>
          <w:p w14:paraId="79880251" w14:textId="77777777" w:rsidR="00BE459C" w:rsidRPr="00ED0E77" w:rsidRDefault="00BE459C" w:rsidP="00D9647C">
            <w:pPr>
              <w:spacing w:before="120" w:after="120" w:line="240" w:lineRule="auto"/>
              <w:rPr>
                <w:rFonts w:ascii="Arial" w:hAnsi="Arial" w:cs="Arial"/>
                <w:strike/>
                <w:sz w:val="16"/>
                <w:szCs w:val="16"/>
                <w:lang w:val="en-IE"/>
              </w:rPr>
            </w:pPr>
          </w:p>
        </w:tc>
        <w:tc>
          <w:tcPr>
            <w:tcW w:w="2081" w:type="dxa"/>
          </w:tcPr>
          <w:p w14:paraId="71CDE352" w14:textId="77777777" w:rsidR="00BE459C" w:rsidRPr="00ED0E77" w:rsidRDefault="00BE459C" w:rsidP="00D9647C">
            <w:pPr>
              <w:spacing w:before="120" w:after="120" w:line="240" w:lineRule="auto"/>
              <w:rPr>
                <w:rFonts w:ascii="Arial" w:hAnsi="Arial" w:cs="Arial"/>
                <w:strike/>
                <w:sz w:val="16"/>
                <w:szCs w:val="16"/>
                <w:lang w:val="en-IE"/>
              </w:rPr>
            </w:pPr>
          </w:p>
        </w:tc>
        <w:tc>
          <w:tcPr>
            <w:tcW w:w="1134" w:type="dxa"/>
          </w:tcPr>
          <w:p w14:paraId="0296B169" w14:textId="77777777" w:rsidR="00BE459C" w:rsidRPr="00ED0E77" w:rsidRDefault="00BE459C" w:rsidP="00D9647C">
            <w:pPr>
              <w:spacing w:before="120" w:after="120" w:line="240" w:lineRule="auto"/>
              <w:jc w:val="left"/>
              <w:rPr>
                <w:rFonts w:ascii="Arial" w:hAnsi="Arial" w:cs="Arial"/>
                <w:strike/>
                <w:sz w:val="16"/>
                <w:szCs w:val="16"/>
                <w:lang w:val="en-IE"/>
              </w:rPr>
            </w:pPr>
            <w:r w:rsidRPr="00ED0E77">
              <w:rPr>
                <w:rFonts w:ascii="Arial" w:hAnsi="Arial" w:cs="Arial"/>
                <w:strike/>
                <w:sz w:val="16"/>
                <w:szCs w:val="16"/>
                <w:lang w:val="en-IE"/>
              </w:rPr>
              <w:t xml:space="preserve">Buckley </w:t>
            </w:r>
            <w:r w:rsidRPr="00ED0E77">
              <w:rPr>
                <w:rFonts w:ascii="Arial" w:hAnsi="Arial" w:cs="Arial"/>
                <w:i/>
                <w:strike/>
                <w:sz w:val="16"/>
                <w:szCs w:val="16"/>
                <w:lang w:val="en-IE"/>
              </w:rPr>
              <w:t>et al.</w:t>
            </w:r>
            <w:r w:rsidRPr="00ED0E77">
              <w:rPr>
                <w:rFonts w:ascii="Arial" w:hAnsi="Arial" w:cs="Arial"/>
                <w:strike/>
                <w:sz w:val="16"/>
                <w:szCs w:val="16"/>
                <w:lang w:val="en-IE"/>
              </w:rPr>
              <w:t>, 2005</w:t>
            </w:r>
          </w:p>
        </w:tc>
      </w:tr>
      <w:tr w:rsidR="00BE459C" w:rsidRPr="00ED0E77" w14:paraId="21FD3370" w14:textId="77777777" w:rsidTr="00D9647C">
        <w:trPr>
          <w:trHeight w:val="20"/>
        </w:trPr>
        <w:tc>
          <w:tcPr>
            <w:tcW w:w="695" w:type="dxa"/>
          </w:tcPr>
          <w:p w14:paraId="04FC70EC"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Te1</w:t>
            </w:r>
          </w:p>
        </w:tc>
        <w:tc>
          <w:tcPr>
            <w:tcW w:w="1965" w:type="dxa"/>
          </w:tcPr>
          <w:p w14:paraId="6384C747"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CAG-CAT-AAG-GAG-AGC-TTG-CTT-TTC-T</w:t>
            </w:r>
          </w:p>
        </w:tc>
        <w:tc>
          <w:tcPr>
            <w:tcW w:w="715" w:type="dxa"/>
          </w:tcPr>
          <w:p w14:paraId="77DDDBD0"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Te2</w:t>
            </w:r>
          </w:p>
        </w:tc>
        <w:tc>
          <w:tcPr>
            <w:tcW w:w="1836" w:type="dxa"/>
          </w:tcPr>
          <w:p w14:paraId="15469F6B"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GTC-CAT-GGT-ATT-AAC-ACA-AAC</w:t>
            </w:r>
          </w:p>
        </w:tc>
        <w:tc>
          <w:tcPr>
            <w:tcW w:w="754" w:type="dxa"/>
          </w:tcPr>
          <w:p w14:paraId="515E923A" w14:textId="77777777" w:rsidR="00BE459C" w:rsidRPr="00ED0E77" w:rsidRDefault="00BE459C" w:rsidP="00D9647C">
            <w:pPr>
              <w:spacing w:before="120" w:after="120" w:line="240" w:lineRule="auto"/>
              <w:rPr>
                <w:rFonts w:ascii="Arial" w:hAnsi="Arial" w:cs="Arial"/>
                <w:strike/>
                <w:sz w:val="16"/>
                <w:szCs w:val="16"/>
                <w:lang w:val="en-IE"/>
              </w:rPr>
            </w:pPr>
          </w:p>
        </w:tc>
        <w:tc>
          <w:tcPr>
            <w:tcW w:w="2081" w:type="dxa"/>
          </w:tcPr>
          <w:p w14:paraId="341CAA6A" w14:textId="77777777" w:rsidR="00BE459C" w:rsidRPr="00ED0E77" w:rsidRDefault="00BE459C" w:rsidP="00D9647C">
            <w:pPr>
              <w:spacing w:before="120" w:after="120" w:line="240" w:lineRule="auto"/>
              <w:rPr>
                <w:rFonts w:ascii="Arial" w:hAnsi="Arial" w:cs="Arial"/>
                <w:strike/>
                <w:sz w:val="16"/>
                <w:szCs w:val="16"/>
                <w:lang w:val="en-IE"/>
              </w:rPr>
            </w:pPr>
          </w:p>
        </w:tc>
        <w:tc>
          <w:tcPr>
            <w:tcW w:w="1134" w:type="dxa"/>
          </w:tcPr>
          <w:p w14:paraId="4AC27B33" w14:textId="77777777" w:rsidR="00BE459C" w:rsidRPr="00ED0E77" w:rsidRDefault="00BE459C" w:rsidP="00D9647C">
            <w:pPr>
              <w:spacing w:before="120" w:after="120" w:line="240" w:lineRule="auto"/>
              <w:jc w:val="left"/>
              <w:rPr>
                <w:rFonts w:ascii="Arial" w:hAnsi="Arial" w:cs="Arial"/>
                <w:strike/>
                <w:sz w:val="16"/>
                <w:szCs w:val="16"/>
                <w:lang w:val="en-IE"/>
              </w:rPr>
            </w:pPr>
            <w:r w:rsidRPr="00ED0E77">
              <w:rPr>
                <w:rFonts w:ascii="Arial" w:hAnsi="Arial" w:cs="Arial"/>
                <w:strike/>
                <w:sz w:val="16"/>
                <w:szCs w:val="16"/>
                <w:lang w:val="en-IE"/>
              </w:rPr>
              <w:t xml:space="preserve">Duquesne </w:t>
            </w:r>
            <w:r w:rsidRPr="00ED0E77">
              <w:rPr>
                <w:rFonts w:ascii="Arial" w:hAnsi="Arial" w:cs="Arial"/>
                <w:strike/>
                <w:sz w:val="16"/>
                <w:szCs w:val="16"/>
                <w:lang w:val="en-IE"/>
              </w:rPr>
              <w:br/>
            </w:r>
            <w:r w:rsidRPr="00ED0E77">
              <w:rPr>
                <w:rFonts w:ascii="Arial" w:hAnsi="Arial" w:cs="Arial"/>
                <w:i/>
                <w:strike/>
                <w:sz w:val="16"/>
                <w:szCs w:val="16"/>
                <w:lang w:val="en-IE"/>
              </w:rPr>
              <w:t>et al</w:t>
            </w:r>
            <w:r w:rsidRPr="00ED0E77">
              <w:rPr>
                <w:rFonts w:ascii="Arial" w:hAnsi="Arial" w:cs="Arial"/>
                <w:strike/>
                <w:sz w:val="16"/>
                <w:szCs w:val="16"/>
                <w:lang w:val="en-IE"/>
              </w:rPr>
              <w:t>., 2007</w:t>
            </w:r>
          </w:p>
        </w:tc>
      </w:tr>
      <w:tr w:rsidR="00BE459C" w:rsidRPr="00ED0E77" w14:paraId="4B561E61" w14:textId="77777777" w:rsidTr="00D9647C">
        <w:trPr>
          <w:trHeight w:val="20"/>
        </w:trPr>
        <w:tc>
          <w:tcPr>
            <w:tcW w:w="695" w:type="dxa"/>
          </w:tcPr>
          <w:p w14:paraId="09AB1659"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TEQF</w:t>
            </w:r>
          </w:p>
        </w:tc>
        <w:tc>
          <w:tcPr>
            <w:tcW w:w="1965" w:type="dxa"/>
          </w:tcPr>
          <w:p w14:paraId="038512D4"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GGT-TTG-TGT-TAA-TAC-CAT-GGA-C</w:t>
            </w:r>
          </w:p>
        </w:tc>
        <w:tc>
          <w:tcPr>
            <w:tcW w:w="715" w:type="dxa"/>
          </w:tcPr>
          <w:p w14:paraId="232FEEDD" w14:textId="77777777" w:rsidR="00BE459C" w:rsidRPr="00ED0E77" w:rsidRDefault="00BE459C" w:rsidP="00D9647C">
            <w:pPr>
              <w:spacing w:before="120" w:after="120" w:line="240" w:lineRule="auto"/>
              <w:rPr>
                <w:rFonts w:ascii="Arial" w:hAnsi="Arial" w:cs="Arial"/>
                <w:strike/>
                <w:sz w:val="16"/>
                <w:szCs w:val="16"/>
                <w:lang w:val="en-IE"/>
              </w:rPr>
            </w:pPr>
            <w:r w:rsidRPr="00ED0E77">
              <w:rPr>
                <w:rFonts w:ascii="Arial" w:hAnsi="Arial" w:cs="Arial"/>
                <w:strike/>
                <w:sz w:val="16"/>
                <w:szCs w:val="16"/>
                <w:lang w:val="en-IE"/>
              </w:rPr>
              <w:t>TEQR</w:t>
            </w:r>
          </w:p>
        </w:tc>
        <w:tc>
          <w:tcPr>
            <w:tcW w:w="1836" w:type="dxa"/>
          </w:tcPr>
          <w:p w14:paraId="00EB4F55" w14:textId="77777777" w:rsidR="00BE459C" w:rsidRPr="00101C0B" w:rsidRDefault="00BE459C" w:rsidP="00D9647C">
            <w:pPr>
              <w:spacing w:before="120" w:after="120" w:line="240" w:lineRule="auto"/>
              <w:rPr>
                <w:rFonts w:ascii="Arial" w:hAnsi="Arial" w:cs="Arial"/>
                <w:strike/>
                <w:sz w:val="16"/>
                <w:szCs w:val="16"/>
                <w:lang w:val="it-IT"/>
              </w:rPr>
            </w:pPr>
            <w:r w:rsidRPr="00101C0B">
              <w:rPr>
                <w:rFonts w:ascii="Arial" w:hAnsi="Arial" w:cs="Arial"/>
                <w:strike/>
                <w:sz w:val="16"/>
                <w:szCs w:val="16"/>
                <w:lang w:val="it-IT"/>
              </w:rPr>
              <w:t>TCG-CTA-CCA-AGA-CCC-G</w:t>
            </w:r>
          </w:p>
        </w:tc>
        <w:tc>
          <w:tcPr>
            <w:tcW w:w="754" w:type="dxa"/>
          </w:tcPr>
          <w:p w14:paraId="5E4F2873" w14:textId="77777777" w:rsidR="00BE459C" w:rsidRPr="00101C0B" w:rsidRDefault="00BE459C" w:rsidP="00D9647C">
            <w:pPr>
              <w:spacing w:before="120" w:after="120" w:line="240" w:lineRule="auto"/>
              <w:rPr>
                <w:rFonts w:ascii="Arial" w:hAnsi="Arial" w:cs="Arial"/>
                <w:strike/>
                <w:sz w:val="16"/>
                <w:szCs w:val="16"/>
                <w:lang w:val="it-IT"/>
              </w:rPr>
            </w:pPr>
          </w:p>
        </w:tc>
        <w:tc>
          <w:tcPr>
            <w:tcW w:w="2081" w:type="dxa"/>
          </w:tcPr>
          <w:p w14:paraId="1DCFA2F1" w14:textId="77777777" w:rsidR="00BE459C" w:rsidRPr="00101C0B" w:rsidRDefault="00BE459C" w:rsidP="00D9647C">
            <w:pPr>
              <w:spacing w:before="120" w:after="120" w:line="240" w:lineRule="auto"/>
              <w:rPr>
                <w:rFonts w:ascii="Arial" w:hAnsi="Arial" w:cs="Arial"/>
                <w:strike/>
                <w:sz w:val="16"/>
                <w:szCs w:val="16"/>
                <w:lang w:val="it-IT"/>
              </w:rPr>
            </w:pPr>
          </w:p>
        </w:tc>
        <w:tc>
          <w:tcPr>
            <w:tcW w:w="1134" w:type="dxa"/>
          </w:tcPr>
          <w:p w14:paraId="41AAAA5A" w14:textId="77777777" w:rsidR="00BE459C" w:rsidRPr="00ED0E77" w:rsidRDefault="00BE459C" w:rsidP="00D9647C">
            <w:pPr>
              <w:spacing w:before="120" w:after="120" w:line="240" w:lineRule="auto"/>
              <w:jc w:val="left"/>
              <w:rPr>
                <w:rFonts w:ascii="Arial" w:hAnsi="Arial" w:cs="Arial"/>
                <w:strike/>
                <w:sz w:val="16"/>
                <w:szCs w:val="16"/>
                <w:lang w:val="en-IE"/>
              </w:rPr>
            </w:pPr>
            <w:r w:rsidRPr="00ED0E77">
              <w:rPr>
                <w:rFonts w:ascii="Arial" w:hAnsi="Arial" w:cs="Arial"/>
                <w:strike/>
                <w:sz w:val="16"/>
                <w:szCs w:val="16"/>
                <w:lang w:val="en-IE"/>
              </w:rPr>
              <w:t xml:space="preserve">Arata </w:t>
            </w:r>
            <w:r w:rsidRPr="00ED0E77">
              <w:rPr>
                <w:rFonts w:ascii="Arial" w:hAnsi="Arial" w:cs="Arial"/>
                <w:i/>
                <w:strike/>
                <w:sz w:val="16"/>
                <w:szCs w:val="16"/>
                <w:lang w:val="en-IE"/>
              </w:rPr>
              <w:t>et al.,</w:t>
            </w:r>
            <w:r w:rsidRPr="00ED0E77">
              <w:rPr>
                <w:rFonts w:ascii="Arial" w:hAnsi="Arial" w:cs="Arial"/>
                <w:strike/>
                <w:sz w:val="16"/>
                <w:szCs w:val="16"/>
                <w:lang w:val="en-IE"/>
              </w:rPr>
              <w:t xml:space="preserve"> 2001</w:t>
            </w:r>
          </w:p>
        </w:tc>
      </w:tr>
    </w:tbl>
    <w:p w14:paraId="12F48DFD" w14:textId="4B5A68C4" w:rsidR="00BE459C" w:rsidRPr="00ED0E77" w:rsidRDefault="00BE459C" w:rsidP="00A23740">
      <w:pPr>
        <w:spacing w:after="120"/>
        <w:jc w:val="center"/>
        <w:rPr>
          <w:rFonts w:ascii="Ottawa" w:hAnsi="Ottawa"/>
          <w:i/>
          <w:iCs/>
          <w:sz w:val="18"/>
          <w:szCs w:val="18"/>
          <w:lang w:val="en-IE"/>
        </w:rPr>
      </w:pPr>
      <w:r w:rsidRPr="00ED0E77">
        <w:rPr>
          <w:rFonts w:ascii="Ottawa" w:hAnsi="Ottawa"/>
          <w:b/>
          <w:bCs/>
          <w:i/>
          <w:iCs/>
          <w:sz w:val="18"/>
          <w:szCs w:val="18"/>
          <w:u w:val="double"/>
          <w:lang w:val="en-IE"/>
        </w:rPr>
        <w:t>Table 2</w:t>
      </w:r>
      <w:r w:rsidRPr="00ED0E77">
        <w:rPr>
          <w:rFonts w:ascii="Ottawa" w:hAnsi="Ottawa"/>
          <w:i/>
          <w:iCs/>
          <w:sz w:val="18"/>
          <w:szCs w:val="18"/>
          <w:u w:val="double"/>
          <w:lang w:val="en-IE"/>
        </w:rPr>
        <w:t>. Primer sequences for use in recommended real-time PCR tests</w:t>
      </w:r>
    </w:p>
    <w:tbl>
      <w:tblPr>
        <w:tblStyle w:val="TableGrid"/>
        <w:tblW w:w="9180" w:type="dxa"/>
        <w:tblLayout w:type="fixed"/>
        <w:tblLook w:val="04A0" w:firstRow="1" w:lastRow="0" w:firstColumn="1" w:lastColumn="0" w:noHBand="0" w:noVBand="1"/>
      </w:tblPr>
      <w:tblGrid>
        <w:gridCol w:w="846"/>
        <w:gridCol w:w="1814"/>
        <w:gridCol w:w="737"/>
        <w:gridCol w:w="1814"/>
        <w:gridCol w:w="754"/>
        <w:gridCol w:w="2110"/>
        <w:gridCol w:w="1105"/>
      </w:tblGrid>
      <w:tr w:rsidR="00BE459C" w:rsidRPr="00ED0E77" w14:paraId="11D827BE" w14:textId="77777777" w:rsidTr="00D9647C">
        <w:trPr>
          <w:tblHeader/>
        </w:trPr>
        <w:tc>
          <w:tcPr>
            <w:tcW w:w="2660" w:type="dxa"/>
            <w:gridSpan w:val="2"/>
          </w:tcPr>
          <w:p w14:paraId="13A7A0B9" w14:textId="77777777" w:rsidR="00BE459C" w:rsidRPr="00ED0E77" w:rsidRDefault="00BE459C" w:rsidP="00BE459C">
            <w:pPr>
              <w:spacing w:before="120" w:after="120" w:line="240" w:lineRule="auto"/>
              <w:jc w:val="center"/>
              <w:rPr>
                <w:rFonts w:ascii="Arial" w:hAnsi="Arial" w:cs="Arial"/>
                <w:b/>
                <w:sz w:val="18"/>
                <w:szCs w:val="18"/>
                <w:u w:val="double"/>
                <w:lang w:val="en-IE"/>
              </w:rPr>
            </w:pPr>
            <w:r w:rsidRPr="00ED0E77">
              <w:rPr>
                <w:rFonts w:ascii="Arial" w:hAnsi="Arial" w:cs="Arial"/>
                <w:b/>
                <w:sz w:val="18"/>
                <w:szCs w:val="18"/>
                <w:u w:val="double"/>
                <w:lang w:val="en-IE"/>
              </w:rPr>
              <w:t>Primer 1 (forward)</w:t>
            </w:r>
          </w:p>
        </w:tc>
        <w:tc>
          <w:tcPr>
            <w:tcW w:w="2551" w:type="dxa"/>
            <w:gridSpan w:val="2"/>
          </w:tcPr>
          <w:p w14:paraId="20CDA02B" w14:textId="77777777" w:rsidR="00BE459C" w:rsidRPr="00ED0E77" w:rsidRDefault="00BE459C" w:rsidP="00BE459C">
            <w:pPr>
              <w:spacing w:before="120" w:after="120" w:line="240" w:lineRule="auto"/>
              <w:jc w:val="center"/>
              <w:rPr>
                <w:rFonts w:ascii="Arial" w:hAnsi="Arial" w:cs="Arial"/>
                <w:b/>
                <w:sz w:val="18"/>
                <w:szCs w:val="18"/>
                <w:u w:val="double"/>
                <w:lang w:val="en-IE"/>
              </w:rPr>
            </w:pPr>
            <w:r w:rsidRPr="00ED0E77">
              <w:rPr>
                <w:rFonts w:ascii="Arial" w:hAnsi="Arial" w:cs="Arial"/>
                <w:b/>
                <w:sz w:val="18"/>
                <w:szCs w:val="18"/>
                <w:u w:val="double"/>
                <w:lang w:val="en-IE"/>
              </w:rPr>
              <w:t>Primer 2 (reverse, sequence from 5’ to 3’)</w:t>
            </w:r>
          </w:p>
        </w:tc>
        <w:tc>
          <w:tcPr>
            <w:tcW w:w="2864" w:type="dxa"/>
            <w:gridSpan w:val="2"/>
          </w:tcPr>
          <w:p w14:paraId="0B8645A0" w14:textId="77777777" w:rsidR="00BE459C" w:rsidRPr="00ED0E77" w:rsidRDefault="00BE459C" w:rsidP="00BE459C">
            <w:pPr>
              <w:spacing w:before="120" w:after="120" w:line="240" w:lineRule="auto"/>
              <w:jc w:val="center"/>
              <w:rPr>
                <w:rFonts w:ascii="Arial" w:hAnsi="Arial" w:cs="Arial"/>
                <w:b/>
                <w:sz w:val="18"/>
                <w:szCs w:val="18"/>
                <w:u w:val="double"/>
                <w:lang w:val="en-IE"/>
              </w:rPr>
            </w:pPr>
            <w:r w:rsidRPr="00ED0E77">
              <w:rPr>
                <w:rFonts w:ascii="Arial" w:hAnsi="Arial" w:cs="Arial"/>
                <w:b/>
                <w:sz w:val="18"/>
                <w:szCs w:val="18"/>
                <w:u w:val="double"/>
                <w:lang w:val="en-IE"/>
              </w:rPr>
              <w:t xml:space="preserve">Probe (only for </w:t>
            </w:r>
            <w:r w:rsidRPr="00ED0E77">
              <w:rPr>
                <w:rFonts w:ascii="Arial" w:hAnsi="Arial" w:cs="Arial"/>
                <w:b/>
                <w:sz w:val="18"/>
                <w:szCs w:val="18"/>
                <w:u w:val="double"/>
                <w:lang w:val="en-IE"/>
              </w:rPr>
              <w:br/>
              <w:t>real-time PCRs)</w:t>
            </w:r>
          </w:p>
        </w:tc>
        <w:tc>
          <w:tcPr>
            <w:tcW w:w="1105" w:type="dxa"/>
          </w:tcPr>
          <w:p w14:paraId="3929C0D9" w14:textId="77777777" w:rsidR="00BE459C" w:rsidRPr="00ED0E77" w:rsidRDefault="00BE459C" w:rsidP="00BE459C">
            <w:pPr>
              <w:spacing w:before="120" w:after="120" w:line="240" w:lineRule="auto"/>
              <w:jc w:val="left"/>
              <w:rPr>
                <w:rFonts w:ascii="Arial" w:hAnsi="Arial" w:cs="Arial"/>
                <w:b/>
                <w:sz w:val="18"/>
                <w:szCs w:val="18"/>
                <w:u w:val="double"/>
                <w:lang w:val="en-IE"/>
              </w:rPr>
            </w:pPr>
            <w:r w:rsidRPr="00ED0E77">
              <w:rPr>
                <w:rFonts w:ascii="Arial" w:hAnsi="Arial" w:cs="Arial"/>
                <w:b/>
                <w:sz w:val="18"/>
                <w:szCs w:val="18"/>
                <w:u w:val="double"/>
                <w:lang w:val="en-IE"/>
              </w:rPr>
              <w:t>Reference</w:t>
            </w:r>
          </w:p>
        </w:tc>
      </w:tr>
      <w:tr w:rsidR="00BE459C" w:rsidRPr="00ED0E77" w14:paraId="028BCC23" w14:textId="77777777" w:rsidTr="00BE459C">
        <w:trPr>
          <w:tblHeader/>
        </w:trPr>
        <w:tc>
          <w:tcPr>
            <w:tcW w:w="846" w:type="dxa"/>
          </w:tcPr>
          <w:p w14:paraId="2C794E82" w14:textId="77777777" w:rsidR="00BE459C" w:rsidRPr="00ED0E77" w:rsidRDefault="00BE459C" w:rsidP="00D9647C">
            <w:pPr>
              <w:spacing w:before="120" w:after="120" w:line="240" w:lineRule="auto"/>
              <w:rPr>
                <w:rFonts w:ascii="Arial" w:hAnsi="Arial" w:cs="Arial"/>
                <w:sz w:val="16"/>
                <w:szCs w:val="16"/>
                <w:u w:val="double"/>
                <w:lang w:val="en-IE"/>
              </w:rPr>
            </w:pPr>
            <w:r w:rsidRPr="00ED0E77">
              <w:rPr>
                <w:rFonts w:ascii="Arial" w:hAnsi="Arial" w:cs="Arial"/>
                <w:sz w:val="16"/>
                <w:szCs w:val="16"/>
                <w:u w:val="double"/>
                <w:lang w:val="en-IE"/>
              </w:rPr>
              <w:t xml:space="preserve">Name </w:t>
            </w:r>
          </w:p>
        </w:tc>
        <w:tc>
          <w:tcPr>
            <w:tcW w:w="1814" w:type="dxa"/>
          </w:tcPr>
          <w:p w14:paraId="44C5AAB1" w14:textId="77777777" w:rsidR="00BE459C" w:rsidRPr="00ED0E77" w:rsidRDefault="00BE459C" w:rsidP="00BE459C">
            <w:pPr>
              <w:spacing w:before="120" w:after="120" w:line="240" w:lineRule="auto"/>
              <w:rPr>
                <w:rFonts w:ascii="Arial" w:hAnsi="Arial" w:cs="Arial"/>
                <w:sz w:val="16"/>
                <w:szCs w:val="16"/>
                <w:u w:val="double"/>
                <w:lang w:val="en-IE"/>
              </w:rPr>
            </w:pPr>
            <w:r w:rsidRPr="00ED0E77">
              <w:rPr>
                <w:rFonts w:ascii="Arial" w:hAnsi="Arial" w:cs="Arial"/>
                <w:sz w:val="16"/>
                <w:szCs w:val="16"/>
                <w:u w:val="double"/>
                <w:lang w:val="en-IE"/>
              </w:rPr>
              <w:t>Sequence from 5’ to 3’</w:t>
            </w:r>
          </w:p>
        </w:tc>
        <w:tc>
          <w:tcPr>
            <w:tcW w:w="737" w:type="dxa"/>
          </w:tcPr>
          <w:p w14:paraId="6E321D7E" w14:textId="77777777" w:rsidR="00BE459C" w:rsidRPr="00ED0E77" w:rsidRDefault="00BE459C" w:rsidP="00BE459C">
            <w:pPr>
              <w:spacing w:before="120" w:after="120" w:line="240" w:lineRule="auto"/>
              <w:rPr>
                <w:rFonts w:ascii="Arial" w:hAnsi="Arial" w:cs="Arial"/>
                <w:sz w:val="16"/>
                <w:szCs w:val="16"/>
                <w:u w:val="double"/>
                <w:lang w:val="en-IE"/>
              </w:rPr>
            </w:pPr>
            <w:r w:rsidRPr="00ED0E77">
              <w:rPr>
                <w:rFonts w:ascii="Arial" w:hAnsi="Arial" w:cs="Arial"/>
                <w:sz w:val="16"/>
                <w:szCs w:val="16"/>
                <w:u w:val="double"/>
                <w:lang w:val="en-IE"/>
              </w:rPr>
              <w:t>Name</w:t>
            </w:r>
          </w:p>
        </w:tc>
        <w:tc>
          <w:tcPr>
            <w:tcW w:w="1814" w:type="dxa"/>
          </w:tcPr>
          <w:p w14:paraId="13A258C5" w14:textId="77777777" w:rsidR="00BE459C" w:rsidRPr="00ED0E77" w:rsidRDefault="00BE459C" w:rsidP="00BE459C">
            <w:pPr>
              <w:spacing w:before="120" w:after="120" w:line="240" w:lineRule="auto"/>
              <w:rPr>
                <w:rFonts w:ascii="Arial" w:hAnsi="Arial" w:cs="Arial"/>
                <w:sz w:val="16"/>
                <w:szCs w:val="16"/>
                <w:u w:val="double"/>
                <w:lang w:val="en-IE"/>
              </w:rPr>
            </w:pPr>
            <w:r w:rsidRPr="00ED0E77">
              <w:rPr>
                <w:rFonts w:ascii="Arial" w:hAnsi="Arial" w:cs="Arial"/>
                <w:sz w:val="16"/>
                <w:szCs w:val="16"/>
                <w:u w:val="double"/>
                <w:lang w:val="en-IE"/>
              </w:rPr>
              <w:t>Sequence from 5’ to 3’</w:t>
            </w:r>
          </w:p>
        </w:tc>
        <w:tc>
          <w:tcPr>
            <w:tcW w:w="754" w:type="dxa"/>
          </w:tcPr>
          <w:p w14:paraId="563449EB" w14:textId="77777777" w:rsidR="00BE459C" w:rsidRPr="00ED0E77" w:rsidRDefault="00BE459C" w:rsidP="00BE459C">
            <w:pPr>
              <w:spacing w:before="120" w:after="120" w:line="240" w:lineRule="auto"/>
              <w:rPr>
                <w:rFonts w:ascii="Arial" w:hAnsi="Arial" w:cs="Arial"/>
                <w:sz w:val="16"/>
                <w:szCs w:val="16"/>
                <w:u w:val="double"/>
                <w:lang w:val="en-IE"/>
              </w:rPr>
            </w:pPr>
            <w:r w:rsidRPr="00ED0E77">
              <w:rPr>
                <w:rFonts w:ascii="Arial" w:hAnsi="Arial" w:cs="Arial"/>
                <w:sz w:val="16"/>
                <w:szCs w:val="16"/>
                <w:u w:val="double"/>
                <w:lang w:val="en-IE"/>
              </w:rPr>
              <w:t>Name</w:t>
            </w:r>
          </w:p>
        </w:tc>
        <w:tc>
          <w:tcPr>
            <w:tcW w:w="2110" w:type="dxa"/>
          </w:tcPr>
          <w:p w14:paraId="2F0499BC" w14:textId="77777777" w:rsidR="00BE459C" w:rsidRPr="00ED0E77" w:rsidRDefault="00BE459C" w:rsidP="00BE459C">
            <w:pPr>
              <w:spacing w:before="120" w:after="120" w:line="240" w:lineRule="auto"/>
              <w:rPr>
                <w:rFonts w:ascii="Arial" w:hAnsi="Arial" w:cs="Arial"/>
                <w:sz w:val="16"/>
                <w:szCs w:val="16"/>
                <w:u w:val="double"/>
                <w:lang w:val="en-IE"/>
              </w:rPr>
            </w:pPr>
            <w:r w:rsidRPr="00ED0E77">
              <w:rPr>
                <w:rFonts w:ascii="Arial" w:hAnsi="Arial" w:cs="Arial"/>
                <w:sz w:val="16"/>
                <w:szCs w:val="16"/>
                <w:u w:val="double"/>
                <w:lang w:val="en-IE"/>
              </w:rPr>
              <w:t>Sequence from 5’ to 3’</w:t>
            </w:r>
          </w:p>
        </w:tc>
        <w:tc>
          <w:tcPr>
            <w:tcW w:w="1105" w:type="dxa"/>
          </w:tcPr>
          <w:p w14:paraId="5E8A8136" w14:textId="77777777" w:rsidR="00BE459C" w:rsidRPr="00ED0E77" w:rsidRDefault="00BE459C" w:rsidP="00BE459C">
            <w:pPr>
              <w:spacing w:before="120" w:after="120" w:line="240" w:lineRule="auto"/>
              <w:jc w:val="left"/>
              <w:rPr>
                <w:rFonts w:ascii="Arial" w:hAnsi="Arial" w:cs="Arial"/>
                <w:sz w:val="16"/>
                <w:szCs w:val="16"/>
                <w:u w:val="double"/>
                <w:lang w:val="en-IE"/>
              </w:rPr>
            </w:pPr>
          </w:p>
        </w:tc>
      </w:tr>
      <w:tr w:rsidR="00BE459C" w:rsidRPr="00ED0E77" w14:paraId="1A00A008" w14:textId="77777777" w:rsidTr="00BE459C">
        <w:trPr>
          <w:trHeight w:val="20"/>
        </w:trPr>
        <w:tc>
          <w:tcPr>
            <w:tcW w:w="846" w:type="dxa"/>
          </w:tcPr>
          <w:p w14:paraId="4823142F" w14:textId="77777777" w:rsidR="00BE459C" w:rsidRPr="00ED0E77" w:rsidRDefault="00BE459C" w:rsidP="00D9647C">
            <w:pPr>
              <w:spacing w:before="120" w:after="120" w:line="240" w:lineRule="auto"/>
              <w:rPr>
                <w:rFonts w:ascii="Arial" w:hAnsi="Arial" w:cs="Arial"/>
                <w:sz w:val="16"/>
                <w:szCs w:val="16"/>
                <w:u w:val="double"/>
                <w:lang w:val="en-IE"/>
              </w:rPr>
            </w:pPr>
            <w:r w:rsidRPr="00ED0E77">
              <w:rPr>
                <w:rFonts w:ascii="Arial" w:hAnsi="Arial" w:cs="Arial"/>
                <w:sz w:val="16"/>
                <w:szCs w:val="16"/>
                <w:u w:val="double"/>
                <w:lang w:val="en-IE"/>
              </w:rPr>
              <w:t>Tay377 for</w:t>
            </w:r>
          </w:p>
        </w:tc>
        <w:tc>
          <w:tcPr>
            <w:tcW w:w="1814" w:type="dxa"/>
          </w:tcPr>
          <w:p w14:paraId="04CA3522" w14:textId="77777777" w:rsidR="00BE459C" w:rsidRPr="00ED0E77" w:rsidRDefault="00BE459C" w:rsidP="00BE459C">
            <w:pPr>
              <w:spacing w:before="120" w:after="120" w:line="240" w:lineRule="auto"/>
              <w:rPr>
                <w:rFonts w:ascii="Arial" w:hAnsi="Arial" w:cs="Arial"/>
                <w:sz w:val="16"/>
                <w:szCs w:val="16"/>
                <w:u w:val="double"/>
                <w:lang w:val="en-IE"/>
              </w:rPr>
            </w:pPr>
            <w:r w:rsidRPr="00ED0E77">
              <w:rPr>
                <w:rFonts w:ascii="Arial" w:hAnsi="Arial" w:cs="Arial"/>
                <w:sz w:val="16"/>
                <w:szCs w:val="16"/>
                <w:u w:val="double"/>
                <w:lang w:val="en-IE"/>
              </w:rPr>
              <w:t>CCG-CGT-GTG-CGA-TTG-A</w:t>
            </w:r>
          </w:p>
        </w:tc>
        <w:tc>
          <w:tcPr>
            <w:tcW w:w="737" w:type="dxa"/>
          </w:tcPr>
          <w:p w14:paraId="5C650C9A" w14:textId="77777777" w:rsidR="00BE459C" w:rsidRPr="00ED0E77" w:rsidRDefault="00BE459C" w:rsidP="00BE459C">
            <w:pPr>
              <w:spacing w:before="120" w:after="120" w:line="240" w:lineRule="auto"/>
              <w:rPr>
                <w:rFonts w:ascii="Arial" w:hAnsi="Arial" w:cs="Arial"/>
                <w:sz w:val="16"/>
                <w:szCs w:val="16"/>
                <w:u w:val="double"/>
                <w:lang w:val="en-IE"/>
              </w:rPr>
            </w:pPr>
            <w:r w:rsidRPr="00ED0E77">
              <w:rPr>
                <w:rFonts w:ascii="Arial" w:hAnsi="Arial" w:cs="Arial"/>
                <w:sz w:val="16"/>
                <w:szCs w:val="16"/>
                <w:u w:val="double"/>
                <w:lang w:val="en-IE"/>
              </w:rPr>
              <w:t>Tay488 rev</w:t>
            </w:r>
          </w:p>
        </w:tc>
        <w:tc>
          <w:tcPr>
            <w:tcW w:w="1814" w:type="dxa"/>
          </w:tcPr>
          <w:p w14:paraId="2BA15314" w14:textId="77777777" w:rsidR="00BE459C" w:rsidRPr="00ED0E77" w:rsidRDefault="00BE459C" w:rsidP="00BE459C">
            <w:pPr>
              <w:spacing w:before="120" w:after="120" w:line="240" w:lineRule="auto"/>
              <w:rPr>
                <w:rFonts w:ascii="Arial" w:hAnsi="Arial" w:cs="Arial"/>
                <w:sz w:val="16"/>
                <w:szCs w:val="16"/>
                <w:u w:val="double"/>
                <w:lang w:val="en-IE"/>
              </w:rPr>
            </w:pPr>
            <w:r w:rsidRPr="00ED0E77">
              <w:rPr>
                <w:rFonts w:ascii="Arial" w:hAnsi="Arial" w:cs="Arial"/>
                <w:sz w:val="16"/>
                <w:szCs w:val="16"/>
                <w:u w:val="double"/>
                <w:lang w:val="en-IE"/>
              </w:rPr>
              <w:t>TTT-GCC-GGT-GCT-TAT-TCT-TCA</w:t>
            </w:r>
          </w:p>
        </w:tc>
        <w:tc>
          <w:tcPr>
            <w:tcW w:w="754" w:type="dxa"/>
          </w:tcPr>
          <w:p w14:paraId="0F032B23" w14:textId="56342C22" w:rsidR="00BE459C" w:rsidRPr="00101C0B" w:rsidRDefault="00BE459C" w:rsidP="00BE459C">
            <w:pPr>
              <w:spacing w:before="120" w:after="120" w:line="240" w:lineRule="auto"/>
              <w:rPr>
                <w:rFonts w:ascii="Arial" w:hAnsi="Arial" w:cs="Arial"/>
                <w:sz w:val="16"/>
                <w:szCs w:val="16"/>
                <w:u w:val="double"/>
                <w:lang w:val="it-IT"/>
              </w:rPr>
            </w:pPr>
            <w:r w:rsidRPr="00101C0B">
              <w:rPr>
                <w:rFonts w:ascii="Arial" w:hAnsi="Arial" w:cs="Arial"/>
                <w:sz w:val="16"/>
                <w:szCs w:val="16"/>
                <w:u w:val="double"/>
                <w:lang w:val="it-IT"/>
              </w:rPr>
              <w:t>Tequi</w:t>
            </w:r>
            <w:r w:rsidRPr="00101C0B">
              <w:rPr>
                <w:rFonts w:ascii="Arial" w:hAnsi="Arial" w:cs="Arial"/>
                <w:sz w:val="16"/>
                <w:szCs w:val="16"/>
                <w:u w:val="double"/>
                <w:lang w:val="it-IT"/>
              </w:rPr>
              <w:br/>
              <w:t>FAM-probe</w:t>
            </w:r>
            <w:r w:rsidRPr="00101C0B">
              <w:rPr>
                <w:rFonts w:ascii="Arial" w:hAnsi="Arial" w:cs="Arial"/>
                <w:sz w:val="16"/>
                <w:szCs w:val="16"/>
                <w:u w:val="double"/>
                <w:lang w:val="it-IT"/>
              </w:rPr>
              <w:br/>
              <w:t>TasiniHEX-probe</w:t>
            </w:r>
          </w:p>
        </w:tc>
        <w:tc>
          <w:tcPr>
            <w:tcW w:w="2110" w:type="dxa"/>
          </w:tcPr>
          <w:p w14:paraId="079A8DAC" w14:textId="77777777" w:rsidR="00BE459C" w:rsidRPr="00101C0B" w:rsidRDefault="00BE459C" w:rsidP="00BE459C">
            <w:pPr>
              <w:spacing w:before="120" w:after="120" w:line="240" w:lineRule="auto"/>
              <w:rPr>
                <w:rFonts w:ascii="Arial" w:hAnsi="Arial" w:cs="Arial"/>
                <w:sz w:val="16"/>
                <w:szCs w:val="16"/>
                <w:u w:val="double"/>
                <w:lang w:val="it-IT"/>
              </w:rPr>
            </w:pPr>
            <w:r w:rsidRPr="00101C0B">
              <w:rPr>
                <w:rFonts w:ascii="Arial" w:hAnsi="Arial" w:cs="Arial"/>
                <w:sz w:val="16"/>
                <w:szCs w:val="16"/>
                <w:u w:val="double"/>
                <w:lang w:val="it-IT"/>
              </w:rPr>
              <w:t>6FAM-AAA-GGT-TTG-TGT-TAA-TAC-CAT-GGA-CTG-CTG-ACG-G-BHQ1</w:t>
            </w:r>
          </w:p>
          <w:p w14:paraId="4F39BC8D" w14:textId="77777777" w:rsidR="00BE459C" w:rsidRPr="00101C0B" w:rsidRDefault="00BE459C" w:rsidP="00BE459C">
            <w:pPr>
              <w:spacing w:before="120" w:after="120" w:line="240" w:lineRule="auto"/>
              <w:rPr>
                <w:rFonts w:ascii="Arial" w:hAnsi="Arial" w:cs="Arial"/>
                <w:sz w:val="16"/>
                <w:szCs w:val="16"/>
                <w:u w:val="double"/>
                <w:lang w:val="it-IT"/>
              </w:rPr>
            </w:pPr>
            <w:r w:rsidRPr="00101C0B">
              <w:rPr>
                <w:rFonts w:ascii="Arial" w:hAnsi="Arial" w:cs="Arial"/>
                <w:sz w:val="16"/>
                <w:szCs w:val="16"/>
                <w:u w:val="double"/>
                <w:lang w:val="it-IT"/>
              </w:rPr>
              <w:t>HEX-AAA-GTT-TTA-GGA-TAA-TAC-CCT-AGG-ATG-CTG-ACG-G-BHQ1</w:t>
            </w:r>
          </w:p>
        </w:tc>
        <w:tc>
          <w:tcPr>
            <w:tcW w:w="1105" w:type="dxa"/>
          </w:tcPr>
          <w:p w14:paraId="7503487B" w14:textId="77777777" w:rsidR="00BE459C" w:rsidRPr="00ED0E77" w:rsidRDefault="00BE459C" w:rsidP="00BE459C">
            <w:pPr>
              <w:spacing w:before="120" w:after="120" w:line="240" w:lineRule="auto"/>
              <w:jc w:val="left"/>
              <w:rPr>
                <w:rFonts w:ascii="Arial" w:hAnsi="Arial" w:cs="Arial"/>
                <w:sz w:val="16"/>
                <w:szCs w:val="16"/>
                <w:u w:val="double"/>
                <w:lang w:val="en-IE"/>
              </w:rPr>
            </w:pPr>
            <w:r w:rsidRPr="00ED0E77">
              <w:rPr>
                <w:rFonts w:ascii="Arial" w:hAnsi="Arial" w:cs="Arial"/>
                <w:sz w:val="16"/>
                <w:szCs w:val="16"/>
                <w:u w:val="double"/>
                <w:lang w:val="en-IE"/>
              </w:rPr>
              <w:t xml:space="preserve">Wakeley </w:t>
            </w:r>
            <w:r w:rsidRPr="00ED0E77">
              <w:rPr>
                <w:rFonts w:ascii="Arial" w:hAnsi="Arial" w:cs="Arial"/>
                <w:sz w:val="16"/>
                <w:szCs w:val="16"/>
                <w:u w:val="double"/>
                <w:lang w:val="en-IE"/>
              </w:rPr>
              <w:br/>
            </w:r>
            <w:r w:rsidRPr="00ED0E77">
              <w:rPr>
                <w:rFonts w:ascii="Arial" w:hAnsi="Arial" w:cs="Arial"/>
                <w:i/>
                <w:sz w:val="16"/>
                <w:szCs w:val="16"/>
                <w:u w:val="double"/>
                <w:lang w:val="en-IE"/>
              </w:rPr>
              <w:t>et al.</w:t>
            </w:r>
            <w:r w:rsidRPr="00ED0E77">
              <w:rPr>
                <w:rFonts w:ascii="Arial" w:hAnsi="Arial" w:cs="Arial"/>
                <w:sz w:val="16"/>
                <w:szCs w:val="16"/>
                <w:u w:val="double"/>
                <w:lang w:val="en-IE"/>
              </w:rPr>
              <w:t>, 2006</w:t>
            </w:r>
          </w:p>
        </w:tc>
      </w:tr>
      <w:tr w:rsidR="00BE459C" w:rsidRPr="00ED0E77" w14:paraId="20F96172" w14:textId="77777777" w:rsidTr="000C2546">
        <w:trPr>
          <w:trHeight w:val="794"/>
        </w:trPr>
        <w:tc>
          <w:tcPr>
            <w:tcW w:w="846" w:type="dxa"/>
            <w:vMerge w:val="restart"/>
          </w:tcPr>
          <w:p w14:paraId="25080470" w14:textId="77777777" w:rsidR="00BE459C" w:rsidRPr="00ED0E77" w:rsidRDefault="00BE459C" w:rsidP="00D9647C">
            <w:pPr>
              <w:spacing w:before="120" w:after="120" w:line="240" w:lineRule="auto"/>
              <w:rPr>
                <w:rFonts w:ascii="Arial" w:hAnsi="Arial" w:cs="Arial"/>
                <w:sz w:val="16"/>
                <w:szCs w:val="16"/>
                <w:u w:val="double"/>
                <w:lang w:val="en-IE"/>
              </w:rPr>
            </w:pPr>
            <w:r w:rsidRPr="00ED0E77">
              <w:rPr>
                <w:rFonts w:ascii="Arial" w:hAnsi="Arial" w:cs="Arial"/>
                <w:sz w:val="16"/>
                <w:szCs w:val="16"/>
                <w:u w:val="double"/>
                <w:lang w:val="en-IE"/>
              </w:rPr>
              <w:t>TAYQF</w:t>
            </w:r>
          </w:p>
        </w:tc>
        <w:tc>
          <w:tcPr>
            <w:tcW w:w="1814" w:type="dxa"/>
            <w:vMerge w:val="restart"/>
          </w:tcPr>
          <w:p w14:paraId="3F9EF2A3" w14:textId="29AFCC30" w:rsidR="00BE459C" w:rsidRPr="00ED0E77" w:rsidRDefault="00BE459C" w:rsidP="00BE459C">
            <w:pPr>
              <w:spacing w:before="120" w:after="120" w:line="240" w:lineRule="auto"/>
              <w:rPr>
                <w:rFonts w:ascii="Arial" w:hAnsi="Arial" w:cs="Arial"/>
                <w:sz w:val="16"/>
                <w:szCs w:val="16"/>
                <w:u w:val="double"/>
                <w:lang w:val="en-IE"/>
              </w:rPr>
            </w:pPr>
            <w:r w:rsidRPr="00ED0E77">
              <w:rPr>
                <w:rFonts w:ascii="Arial" w:hAnsi="Arial" w:cs="Arial"/>
                <w:sz w:val="16"/>
                <w:szCs w:val="16"/>
                <w:u w:val="double"/>
                <w:lang w:val="en-IE"/>
              </w:rPr>
              <w:t>CGC</w:t>
            </w:r>
            <w:r w:rsidR="000C2546" w:rsidRPr="00ED0E77">
              <w:rPr>
                <w:rFonts w:ascii="Arial" w:hAnsi="Arial" w:cs="Arial"/>
                <w:sz w:val="16"/>
                <w:szCs w:val="16"/>
                <w:u w:val="double"/>
                <w:lang w:val="en-IE"/>
              </w:rPr>
              <w:t>-</w:t>
            </w:r>
            <w:r w:rsidRPr="00ED0E77">
              <w:rPr>
                <w:rFonts w:ascii="Arial" w:hAnsi="Arial" w:cs="Arial"/>
                <w:sz w:val="16"/>
                <w:szCs w:val="16"/>
                <w:u w:val="double"/>
                <w:lang w:val="en-IE"/>
              </w:rPr>
              <w:t>GTG</w:t>
            </w:r>
            <w:r w:rsidR="000C2546" w:rsidRPr="00ED0E77">
              <w:rPr>
                <w:rFonts w:ascii="Arial" w:hAnsi="Arial" w:cs="Arial"/>
                <w:sz w:val="16"/>
                <w:szCs w:val="16"/>
                <w:u w:val="double"/>
                <w:lang w:val="en-IE"/>
              </w:rPr>
              <w:t>-</w:t>
            </w:r>
            <w:r w:rsidRPr="00ED0E77">
              <w:rPr>
                <w:rFonts w:ascii="Arial" w:hAnsi="Arial" w:cs="Arial"/>
                <w:sz w:val="16"/>
                <w:szCs w:val="16"/>
                <w:u w:val="double"/>
                <w:lang w:val="en-IE"/>
              </w:rPr>
              <w:t>TGC</w:t>
            </w:r>
            <w:r w:rsidR="000C2546" w:rsidRPr="00ED0E77">
              <w:rPr>
                <w:rFonts w:ascii="Arial" w:hAnsi="Arial" w:cs="Arial"/>
                <w:sz w:val="16"/>
                <w:szCs w:val="16"/>
                <w:u w:val="double"/>
                <w:lang w:val="en-IE"/>
              </w:rPr>
              <w:t>-</w:t>
            </w:r>
            <w:r w:rsidRPr="00ED0E77">
              <w:rPr>
                <w:rFonts w:ascii="Arial" w:hAnsi="Arial" w:cs="Arial"/>
                <w:sz w:val="16"/>
                <w:szCs w:val="16"/>
                <w:u w:val="double"/>
                <w:lang w:val="en-IE"/>
              </w:rPr>
              <w:t>GAT</w:t>
            </w:r>
            <w:r w:rsidR="000C2546" w:rsidRPr="00ED0E77">
              <w:rPr>
                <w:rFonts w:ascii="Arial" w:hAnsi="Arial" w:cs="Arial"/>
                <w:sz w:val="16"/>
                <w:szCs w:val="16"/>
                <w:u w:val="double"/>
                <w:lang w:val="en-IE"/>
              </w:rPr>
              <w:t>-</w:t>
            </w:r>
            <w:r w:rsidRPr="00ED0E77">
              <w:rPr>
                <w:rFonts w:ascii="Arial" w:hAnsi="Arial" w:cs="Arial"/>
                <w:sz w:val="16"/>
                <w:szCs w:val="16"/>
                <w:u w:val="double"/>
                <w:lang w:val="en-IE"/>
              </w:rPr>
              <w:t>TGA</w:t>
            </w:r>
            <w:r w:rsidR="000C2546" w:rsidRPr="00ED0E77">
              <w:rPr>
                <w:rFonts w:ascii="Arial" w:hAnsi="Arial" w:cs="Arial"/>
                <w:sz w:val="16"/>
                <w:szCs w:val="16"/>
                <w:u w:val="double"/>
                <w:lang w:val="en-IE"/>
              </w:rPr>
              <w:t>-</w:t>
            </w:r>
            <w:r w:rsidRPr="00ED0E77">
              <w:rPr>
                <w:rFonts w:ascii="Arial" w:hAnsi="Arial" w:cs="Arial"/>
                <w:sz w:val="16"/>
                <w:szCs w:val="16"/>
                <w:u w:val="double"/>
                <w:lang w:val="en-IE"/>
              </w:rPr>
              <w:t>A</w:t>
            </w:r>
          </w:p>
        </w:tc>
        <w:tc>
          <w:tcPr>
            <w:tcW w:w="737" w:type="dxa"/>
            <w:vMerge w:val="restart"/>
          </w:tcPr>
          <w:p w14:paraId="4FCF28A9" w14:textId="77777777" w:rsidR="00BE459C" w:rsidRPr="00ED0E77" w:rsidRDefault="00BE459C" w:rsidP="00BE459C">
            <w:pPr>
              <w:spacing w:before="120" w:after="120" w:line="240" w:lineRule="auto"/>
              <w:rPr>
                <w:rFonts w:ascii="Arial" w:hAnsi="Arial" w:cs="Arial"/>
                <w:sz w:val="16"/>
                <w:szCs w:val="16"/>
                <w:u w:val="double"/>
                <w:lang w:val="en-IE"/>
              </w:rPr>
            </w:pPr>
            <w:r w:rsidRPr="00ED0E77">
              <w:rPr>
                <w:rFonts w:ascii="Arial" w:hAnsi="Arial" w:cs="Arial"/>
                <w:sz w:val="16"/>
                <w:szCs w:val="16"/>
                <w:u w:val="double"/>
                <w:lang w:val="en-IE"/>
              </w:rPr>
              <w:t>TAYQR</w:t>
            </w:r>
          </w:p>
        </w:tc>
        <w:tc>
          <w:tcPr>
            <w:tcW w:w="1814" w:type="dxa"/>
            <w:vMerge w:val="restart"/>
          </w:tcPr>
          <w:p w14:paraId="5957C63E" w14:textId="6AEE136D" w:rsidR="00BE459C" w:rsidRPr="00ED0E77" w:rsidRDefault="00BE459C" w:rsidP="00BE459C">
            <w:pPr>
              <w:spacing w:before="120" w:after="120" w:line="240" w:lineRule="auto"/>
              <w:rPr>
                <w:rFonts w:ascii="Arial" w:hAnsi="Arial" w:cs="Arial"/>
                <w:sz w:val="16"/>
                <w:szCs w:val="16"/>
                <w:u w:val="double"/>
                <w:lang w:val="en-IE"/>
              </w:rPr>
            </w:pPr>
            <w:r w:rsidRPr="00ED0E77">
              <w:rPr>
                <w:rFonts w:ascii="Arial" w:hAnsi="Arial" w:cs="Arial"/>
                <w:sz w:val="16"/>
                <w:szCs w:val="16"/>
                <w:u w:val="double"/>
                <w:lang w:val="en-IE"/>
              </w:rPr>
              <w:t>GCC</w:t>
            </w:r>
            <w:r w:rsidR="000C2546" w:rsidRPr="00ED0E77">
              <w:rPr>
                <w:rFonts w:ascii="Arial" w:hAnsi="Arial" w:cs="Arial"/>
                <w:sz w:val="16"/>
                <w:szCs w:val="16"/>
                <w:u w:val="double"/>
                <w:lang w:val="en-IE"/>
              </w:rPr>
              <w:t>-</w:t>
            </w:r>
            <w:r w:rsidRPr="00ED0E77">
              <w:rPr>
                <w:rFonts w:ascii="Arial" w:hAnsi="Arial" w:cs="Arial"/>
                <w:sz w:val="16"/>
                <w:szCs w:val="16"/>
                <w:u w:val="double"/>
                <w:lang w:val="en-IE"/>
              </w:rPr>
              <w:t>GGT</w:t>
            </w:r>
            <w:r w:rsidR="000C2546" w:rsidRPr="00ED0E77">
              <w:rPr>
                <w:rFonts w:ascii="Arial" w:hAnsi="Arial" w:cs="Arial"/>
                <w:sz w:val="16"/>
                <w:szCs w:val="16"/>
                <w:u w:val="double"/>
                <w:lang w:val="en-IE"/>
              </w:rPr>
              <w:t>-</w:t>
            </w:r>
            <w:r w:rsidRPr="00ED0E77">
              <w:rPr>
                <w:rFonts w:ascii="Arial" w:hAnsi="Arial" w:cs="Arial"/>
                <w:sz w:val="16"/>
                <w:szCs w:val="16"/>
                <w:u w:val="double"/>
                <w:lang w:val="en-IE"/>
              </w:rPr>
              <w:t>GCT</w:t>
            </w:r>
            <w:r w:rsidR="000C2546" w:rsidRPr="00ED0E77">
              <w:rPr>
                <w:rFonts w:ascii="Arial" w:hAnsi="Arial" w:cs="Arial"/>
                <w:sz w:val="16"/>
                <w:szCs w:val="16"/>
                <w:u w:val="double"/>
                <w:lang w:val="en-IE"/>
              </w:rPr>
              <w:t>-</w:t>
            </w:r>
            <w:r w:rsidRPr="00ED0E77">
              <w:rPr>
                <w:rFonts w:ascii="Arial" w:hAnsi="Arial" w:cs="Arial"/>
                <w:sz w:val="16"/>
                <w:szCs w:val="16"/>
                <w:u w:val="double"/>
                <w:lang w:val="en-IE"/>
              </w:rPr>
              <w:t>TAT</w:t>
            </w:r>
            <w:r w:rsidR="000C2546" w:rsidRPr="00ED0E77">
              <w:rPr>
                <w:rFonts w:ascii="Arial" w:hAnsi="Arial" w:cs="Arial"/>
                <w:sz w:val="16"/>
                <w:szCs w:val="16"/>
                <w:u w:val="double"/>
                <w:lang w:val="en-IE"/>
              </w:rPr>
              <w:t>-</w:t>
            </w:r>
            <w:r w:rsidRPr="00ED0E77">
              <w:rPr>
                <w:rFonts w:ascii="Arial" w:hAnsi="Arial" w:cs="Arial"/>
                <w:sz w:val="16"/>
                <w:szCs w:val="16"/>
                <w:u w:val="double"/>
                <w:lang w:val="en-IE"/>
              </w:rPr>
              <w:t>TCT</w:t>
            </w:r>
            <w:r w:rsidR="000C2546" w:rsidRPr="00ED0E77">
              <w:rPr>
                <w:rFonts w:ascii="Arial" w:hAnsi="Arial" w:cs="Arial"/>
                <w:sz w:val="16"/>
                <w:szCs w:val="16"/>
                <w:u w:val="double"/>
                <w:lang w:val="en-IE"/>
              </w:rPr>
              <w:t>-</w:t>
            </w:r>
            <w:r w:rsidRPr="00ED0E77">
              <w:rPr>
                <w:rFonts w:ascii="Arial" w:hAnsi="Arial" w:cs="Arial"/>
                <w:sz w:val="16"/>
                <w:szCs w:val="16"/>
                <w:u w:val="double"/>
                <w:lang w:val="en-IE"/>
              </w:rPr>
              <w:t>TCA</w:t>
            </w:r>
          </w:p>
        </w:tc>
        <w:tc>
          <w:tcPr>
            <w:tcW w:w="754" w:type="dxa"/>
          </w:tcPr>
          <w:p w14:paraId="175D131D" w14:textId="4671F6D5" w:rsidR="00BE459C" w:rsidRPr="00ED0E77" w:rsidRDefault="00BE459C" w:rsidP="00BE459C">
            <w:pPr>
              <w:spacing w:before="120" w:after="120" w:line="240" w:lineRule="auto"/>
              <w:rPr>
                <w:rFonts w:ascii="Arial" w:hAnsi="Arial" w:cs="Arial"/>
                <w:sz w:val="16"/>
                <w:szCs w:val="16"/>
                <w:u w:val="double"/>
                <w:lang w:val="en-IE"/>
              </w:rPr>
            </w:pPr>
            <w:r w:rsidRPr="00ED0E77">
              <w:rPr>
                <w:rFonts w:ascii="Arial" w:hAnsi="Arial" w:cs="Arial"/>
                <w:sz w:val="16"/>
                <w:szCs w:val="16"/>
                <w:u w:val="double"/>
                <w:lang w:val="en-IE"/>
              </w:rPr>
              <w:t>EQUI-</w:t>
            </w:r>
            <w:r w:rsidR="00226441">
              <w:rPr>
                <w:rFonts w:ascii="Arial" w:hAnsi="Arial" w:cs="Arial"/>
                <w:sz w:val="16"/>
                <w:szCs w:val="16"/>
                <w:u w:val="double"/>
                <w:lang w:val="en-IE"/>
              </w:rPr>
              <w:t xml:space="preserve">VIC (or </w:t>
            </w:r>
            <w:r w:rsidRPr="00ED0E77">
              <w:rPr>
                <w:rFonts w:ascii="Arial" w:hAnsi="Arial" w:cs="Arial"/>
                <w:sz w:val="16"/>
                <w:szCs w:val="16"/>
                <w:u w:val="double"/>
                <w:lang w:val="en-IE"/>
              </w:rPr>
              <w:t>HEX</w:t>
            </w:r>
            <w:r w:rsidR="00226441">
              <w:rPr>
                <w:rFonts w:ascii="Arial" w:hAnsi="Arial" w:cs="Arial"/>
                <w:sz w:val="16"/>
                <w:szCs w:val="16"/>
                <w:u w:val="double"/>
                <w:lang w:val="en-IE"/>
              </w:rPr>
              <w:t>)</w:t>
            </w:r>
          </w:p>
        </w:tc>
        <w:tc>
          <w:tcPr>
            <w:tcW w:w="2110" w:type="dxa"/>
          </w:tcPr>
          <w:p w14:paraId="68B30A29" w14:textId="0F1FB5CF" w:rsidR="00BE459C" w:rsidRPr="00ED0E77" w:rsidRDefault="00226441" w:rsidP="00BE459C">
            <w:pPr>
              <w:tabs>
                <w:tab w:val="clear" w:pos="-720"/>
              </w:tabs>
              <w:autoSpaceDE w:val="0"/>
              <w:autoSpaceDN w:val="0"/>
              <w:adjustRightInd w:val="0"/>
              <w:spacing w:before="120" w:after="120" w:line="240" w:lineRule="auto"/>
              <w:jc w:val="left"/>
              <w:rPr>
                <w:rFonts w:ascii="Arial" w:hAnsi="Arial" w:cs="Arial"/>
                <w:sz w:val="16"/>
                <w:szCs w:val="16"/>
                <w:u w:val="double"/>
                <w:lang w:val="en-IE"/>
              </w:rPr>
            </w:pPr>
            <w:r>
              <w:rPr>
                <w:rFonts w:ascii="Arial" w:hAnsi="Arial" w:cs="Arial"/>
                <w:sz w:val="16"/>
                <w:szCs w:val="16"/>
                <w:u w:val="double"/>
                <w:lang w:val="en-IE"/>
              </w:rPr>
              <w:t>(HEX) VIC</w:t>
            </w:r>
            <w:r w:rsidR="00BE459C" w:rsidRPr="00ED0E77">
              <w:rPr>
                <w:rFonts w:ascii="Arial" w:hAnsi="Arial" w:cs="Arial"/>
                <w:sz w:val="16"/>
                <w:szCs w:val="16"/>
                <w:u w:val="double"/>
                <w:lang w:val="en-IE"/>
              </w:rPr>
              <w:t>-AGG</w:t>
            </w:r>
            <w:r w:rsidR="000C2546" w:rsidRPr="00ED0E77">
              <w:rPr>
                <w:rFonts w:ascii="Arial" w:hAnsi="Arial" w:cs="Arial"/>
                <w:sz w:val="16"/>
                <w:szCs w:val="16"/>
                <w:u w:val="double"/>
                <w:lang w:val="en-IE"/>
              </w:rPr>
              <w:t>-</w:t>
            </w:r>
            <w:r w:rsidR="00BE459C" w:rsidRPr="00ED0E77">
              <w:rPr>
                <w:rFonts w:ascii="Arial" w:hAnsi="Arial" w:cs="Arial"/>
                <w:sz w:val="16"/>
                <w:szCs w:val="16"/>
                <w:u w:val="double"/>
                <w:lang w:val="en-IE"/>
              </w:rPr>
              <w:t>TTT</w:t>
            </w:r>
            <w:r w:rsidR="000C2546" w:rsidRPr="00ED0E77">
              <w:rPr>
                <w:rFonts w:ascii="Arial" w:hAnsi="Arial" w:cs="Arial"/>
                <w:sz w:val="16"/>
                <w:szCs w:val="16"/>
                <w:u w:val="double"/>
                <w:lang w:val="en-IE"/>
              </w:rPr>
              <w:t>-</w:t>
            </w:r>
            <w:r w:rsidR="00BE459C" w:rsidRPr="00ED0E77">
              <w:rPr>
                <w:rFonts w:ascii="Arial" w:hAnsi="Arial" w:cs="Arial"/>
                <w:sz w:val="16"/>
                <w:szCs w:val="16"/>
                <w:u w:val="double"/>
                <w:lang w:val="en-IE"/>
              </w:rPr>
              <w:t>GTG</w:t>
            </w:r>
            <w:r w:rsidR="000C2546" w:rsidRPr="00ED0E77">
              <w:rPr>
                <w:rFonts w:ascii="Arial" w:hAnsi="Arial" w:cs="Arial"/>
                <w:sz w:val="16"/>
                <w:szCs w:val="16"/>
                <w:u w:val="double"/>
                <w:lang w:val="en-IE"/>
              </w:rPr>
              <w:t>-</w:t>
            </w:r>
            <w:r w:rsidR="00BE459C" w:rsidRPr="00ED0E77">
              <w:rPr>
                <w:rFonts w:ascii="Arial" w:hAnsi="Arial" w:cs="Arial"/>
                <w:sz w:val="16"/>
                <w:szCs w:val="16"/>
                <w:u w:val="double"/>
                <w:lang w:val="en-IE"/>
              </w:rPr>
              <w:t>TTA</w:t>
            </w:r>
            <w:r w:rsidR="000C2546" w:rsidRPr="00ED0E77">
              <w:rPr>
                <w:rFonts w:ascii="Arial" w:hAnsi="Arial" w:cs="Arial"/>
                <w:sz w:val="16"/>
                <w:szCs w:val="16"/>
                <w:u w:val="double"/>
                <w:lang w:val="en-IE"/>
              </w:rPr>
              <w:t>-</w:t>
            </w:r>
            <w:r w:rsidR="00BE459C" w:rsidRPr="00ED0E77">
              <w:rPr>
                <w:rFonts w:ascii="Arial" w:hAnsi="Arial" w:cs="Arial"/>
                <w:sz w:val="16"/>
                <w:szCs w:val="16"/>
                <w:u w:val="double"/>
                <w:lang w:val="en-IE"/>
              </w:rPr>
              <w:t>ATA</w:t>
            </w:r>
            <w:r w:rsidR="000C2546" w:rsidRPr="00ED0E77">
              <w:rPr>
                <w:rFonts w:ascii="Arial" w:hAnsi="Arial" w:cs="Arial"/>
                <w:sz w:val="16"/>
                <w:szCs w:val="16"/>
                <w:u w:val="double"/>
                <w:lang w:val="en-IE"/>
              </w:rPr>
              <w:t>-</w:t>
            </w:r>
            <w:r w:rsidR="00BE459C" w:rsidRPr="00ED0E77">
              <w:rPr>
                <w:rFonts w:ascii="Arial" w:hAnsi="Arial" w:cs="Arial"/>
                <w:sz w:val="16"/>
                <w:szCs w:val="16"/>
                <w:u w:val="double"/>
                <w:lang w:val="en-IE"/>
              </w:rPr>
              <w:t>CCA</w:t>
            </w:r>
            <w:r w:rsidR="000C2546" w:rsidRPr="00ED0E77">
              <w:rPr>
                <w:rFonts w:ascii="Arial" w:hAnsi="Arial" w:cs="Arial"/>
                <w:sz w:val="16"/>
                <w:szCs w:val="16"/>
                <w:u w:val="double"/>
                <w:lang w:val="en-IE"/>
              </w:rPr>
              <w:t>-</w:t>
            </w:r>
            <w:r w:rsidR="00BE459C" w:rsidRPr="00ED0E77">
              <w:rPr>
                <w:rFonts w:ascii="Arial" w:hAnsi="Arial" w:cs="Arial"/>
                <w:sz w:val="16"/>
                <w:szCs w:val="16"/>
                <w:u w:val="double"/>
                <w:lang w:val="en-IE"/>
              </w:rPr>
              <w:t>TGG</w:t>
            </w:r>
            <w:r w:rsidR="000C2546" w:rsidRPr="00ED0E77">
              <w:rPr>
                <w:rFonts w:ascii="Arial" w:hAnsi="Arial" w:cs="Arial"/>
                <w:sz w:val="16"/>
                <w:szCs w:val="16"/>
                <w:u w:val="double"/>
                <w:lang w:val="en-IE"/>
              </w:rPr>
              <w:t>-</w:t>
            </w:r>
            <w:r w:rsidR="00BE459C" w:rsidRPr="00ED0E77">
              <w:rPr>
                <w:rFonts w:ascii="Arial" w:hAnsi="Arial" w:cs="Arial"/>
                <w:sz w:val="16"/>
                <w:szCs w:val="16"/>
                <w:u w:val="double"/>
                <w:lang w:val="en-IE"/>
              </w:rPr>
              <w:t>ACT</w:t>
            </w:r>
            <w:r w:rsidR="000C2546" w:rsidRPr="00ED0E77">
              <w:rPr>
                <w:rFonts w:ascii="Arial" w:hAnsi="Arial" w:cs="Arial"/>
                <w:sz w:val="16"/>
                <w:szCs w:val="16"/>
                <w:u w:val="double"/>
                <w:lang w:val="en-IE"/>
              </w:rPr>
              <w:t>-</w:t>
            </w:r>
            <w:r w:rsidR="00BE459C" w:rsidRPr="00ED0E77">
              <w:rPr>
                <w:rFonts w:ascii="Arial" w:hAnsi="Arial" w:cs="Arial"/>
                <w:sz w:val="16"/>
                <w:szCs w:val="16"/>
                <w:u w:val="double"/>
                <w:lang w:val="en-IE"/>
              </w:rPr>
              <w:t>GCT</w:t>
            </w:r>
            <w:r w:rsidR="000C2546" w:rsidRPr="00ED0E77">
              <w:rPr>
                <w:rFonts w:ascii="Arial" w:hAnsi="Arial" w:cs="Arial"/>
                <w:sz w:val="16"/>
                <w:szCs w:val="16"/>
                <w:u w:val="double"/>
                <w:lang w:val="en-IE"/>
              </w:rPr>
              <w:t>-</w:t>
            </w:r>
            <w:r w:rsidR="00BE459C" w:rsidRPr="00ED0E77">
              <w:rPr>
                <w:rFonts w:ascii="Arial" w:hAnsi="Arial" w:cs="Arial"/>
                <w:sz w:val="16"/>
                <w:szCs w:val="16"/>
                <w:u w:val="double"/>
                <w:lang w:val="en-IE"/>
              </w:rPr>
              <w:t>GAC-</w:t>
            </w:r>
            <w:r>
              <w:rPr>
                <w:rFonts w:ascii="Arial" w:hAnsi="Arial" w:cs="Arial"/>
                <w:sz w:val="16"/>
                <w:szCs w:val="16"/>
                <w:u w:val="double"/>
                <w:lang w:val="en-IE"/>
              </w:rPr>
              <w:t>QSY7 (</w:t>
            </w:r>
            <w:r w:rsidR="00BE459C" w:rsidRPr="00ED0E77">
              <w:rPr>
                <w:rFonts w:ascii="Arial" w:hAnsi="Arial" w:cs="Arial"/>
                <w:sz w:val="16"/>
                <w:szCs w:val="16"/>
                <w:u w:val="double"/>
                <w:lang w:val="en-IE"/>
              </w:rPr>
              <w:t>BHQ1</w:t>
            </w:r>
            <w:r>
              <w:rPr>
                <w:rFonts w:ascii="Arial" w:hAnsi="Arial" w:cs="Arial"/>
                <w:sz w:val="16"/>
                <w:szCs w:val="16"/>
                <w:u w:val="double"/>
                <w:lang w:val="en-IE"/>
              </w:rPr>
              <w:t xml:space="preserve"> if using HEX)</w:t>
            </w:r>
          </w:p>
        </w:tc>
        <w:tc>
          <w:tcPr>
            <w:tcW w:w="1105" w:type="dxa"/>
            <w:vMerge w:val="restart"/>
          </w:tcPr>
          <w:p w14:paraId="3799C3CD" w14:textId="77777777" w:rsidR="00BE459C" w:rsidRPr="00ED0E77" w:rsidRDefault="00BE459C" w:rsidP="00BE459C">
            <w:pPr>
              <w:spacing w:before="120" w:after="120" w:line="240" w:lineRule="auto"/>
              <w:jc w:val="left"/>
              <w:rPr>
                <w:rFonts w:ascii="Arial" w:hAnsi="Arial" w:cs="Arial"/>
                <w:sz w:val="16"/>
                <w:szCs w:val="16"/>
                <w:u w:val="double"/>
                <w:lang w:val="en-IE"/>
              </w:rPr>
            </w:pPr>
            <w:r w:rsidRPr="00ED0E77">
              <w:rPr>
                <w:rFonts w:ascii="Arial" w:hAnsi="Arial" w:cs="Arial"/>
                <w:sz w:val="16"/>
                <w:szCs w:val="16"/>
                <w:u w:val="double"/>
                <w:lang w:val="en-IE"/>
              </w:rPr>
              <w:t xml:space="preserve">Nadin-Davies </w:t>
            </w:r>
            <w:r w:rsidRPr="00ED0E77">
              <w:rPr>
                <w:rFonts w:ascii="Arial" w:hAnsi="Arial" w:cs="Arial"/>
                <w:i/>
                <w:sz w:val="16"/>
                <w:szCs w:val="16"/>
                <w:u w:val="double"/>
                <w:lang w:val="en-IE"/>
              </w:rPr>
              <w:t>et al</w:t>
            </w:r>
            <w:r w:rsidRPr="00ED0E77">
              <w:rPr>
                <w:rFonts w:ascii="Arial" w:hAnsi="Arial" w:cs="Arial"/>
                <w:sz w:val="16"/>
                <w:szCs w:val="16"/>
                <w:u w:val="double"/>
                <w:lang w:val="en-IE"/>
              </w:rPr>
              <w:t>, 2015</w:t>
            </w:r>
          </w:p>
        </w:tc>
      </w:tr>
      <w:tr w:rsidR="00BE459C" w:rsidRPr="00ED0E77" w14:paraId="58BDA8DB" w14:textId="77777777" w:rsidTr="000C2546">
        <w:trPr>
          <w:trHeight w:val="794"/>
        </w:trPr>
        <w:tc>
          <w:tcPr>
            <w:tcW w:w="846" w:type="dxa"/>
            <w:vMerge/>
          </w:tcPr>
          <w:p w14:paraId="1A1C2151" w14:textId="77777777" w:rsidR="00BE459C" w:rsidRPr="00ED0E77" w:rsidRDefault="00BE459C" w:rsidP="00D9647C">
            <w:pPr>
              <w:spacing w:before="120" w:after="120" w:line="240" w:lineRule="auto"/>
              <w:rPr>
                <w:rFonts w:ascii="Arial" w:hAnsi="Arial" w:cs="Arial"/>
                <w:sz w:val="16"/>
                <w:szCs w:val="16"/>
                <w:u w:val="double"/>
                <w:lang w:val="en-IE"/>
              </w:rPr>
            </w:pPr>
          </w:p>
        </w:tc>
        <w:tc>
          <w:tcPr>
            <w:tcW w:w="1814" w:type="dxa"/>
            <w:vMerge/>
          </w:tcPr>
          <w:p w14:paraId="4436DE2B" w14:textId="77777777" w:rsidR="00BE459C" w:rsidRPr="00ED0E77" w:rsidRDefault="00BE459C" w:rsidP="00D9647C">
            <w:pPr>
              <w:spacing w:before="120" w:after="120" w:line="240" w:lineRule="auto"/>
              <w:rPr>
                <w:rFonts w:ascii="Palatino-Roman" w:hAnsi="Palatino-Roman" w:cs="Palatino-Roman"/>
                <w:sz w:val="18"/>
                <w:szCs w:val="18"/>
                <w:u w:val="double"/>
                <w:lang w:val="en-IE" w:eastAsia="en-GB"/>
              </w:rPr>
            </w:pPr>
          </w:p>
        </w:tc>
        <w:tc>
          <w:tcPr>
            <w:tcW w:w="737" w:type="dxa"/>
            <w:vMerge/>
          </w:tcPr>
          <w:p w14:paraId="07F5E4E0" w14:textId="77777777" w:rsidR="00BE459C" w:rsidRPr="00ED0E77" w:rsidRDefault="00BE459C" w:rsidP="00D9647C">
            <w:pPr>
              <w:spacing w:before="120" w:after="120" w:line="240" w:lineRule="auto"/>
              <w:rPr>
                <w:rFonts w:ascii="Arial" w:hAnsi="Arial" w:cs="Arial"/>
                <w:sz w:val="16"/>
                <w:szCs w:val="16"/>
                <w:u w:val="double"/>
                <w:lang w:val="en-IE"/>
              </w:rPr>
            </w:pPr>
          </w:p>
        </w:tc>
        <w:tc>
          <w:tcPr>
            <w:tcW w:w="1814" w:type="dxa"/>
            <w:vMerge/>
          </w:tcPr>
          <w:p w14:paraId="7F5A2343" w14:textId="77777777" w:rsidR="00BE459C" w:rsidRPr="00ED0E77" w:rsidRDefault="00BE459C" w:rsidP="00D9647C">
            <w:pPr>
              <w:spacing w:before="120" w:after="120" w:line="240" w:lineRule="auto"/>
              <w:rPr>
                <w:rFonts w:ascii="Palatino-Roman" w:hAnsi="Palatino-Roman" w:cs="Palatino-Roman"/>
                <w:sz w:val="18"/>
                <w:szCs w:val="18"/>
                <w:u w:val="double"/>
                <w:lang w:val="en-IE" w:eastAsia="en-GB"/>
              </w:rPr>
            </w:pPr>
          </w:p>
        </w:tc>
        <w:tc>
          <w:tcPr>
            <w:tcW w:w="754" w:type="dxa"/>
          </w:tcPr>
          <w:p w14:paraId="4007C2E4" w14:textId="77777777" w:rsidR="00BE459C" w:rsidRPr="00ED0E77" w:rsidRDefault="00BE459C" w:rsidP="00BE459C">
            <w:pPr>
              <w:spacing w:before="120" w:after="120" w:line="240" w:lineRule="auto"/>
              <w:rPr>
                <w:rFonts w:ascii="Arial" w:hAnsi="Arial" w:cs="Arial"/>
                <w:sz w:val="16"/>
                <w:szCs w:val="16"/>
                <w:u w:val="double"/>
                <w:lang w:val="en-IE"/>
              </w:rPr>
            </w:pPr>
            <w:r w:rsidRPr="00ED0E77">
              <w:rPr>
                <w:rFonts w:ascii="Arial" w:hAnsi="Arial" w:cs="Arial"/>
                <w:sz w:val="16"/>
                <w:szCs w:val="16"/>
                <w:u w:val="double"/>
                <w:lang w:val="en-IE"/>
              </w:rPr>
              <w:t>ASINI-FAM</w:t>
            </w:r>
          </w:p>
        </w:tc>
        <w:tc>
          <w:tcPr>
            <w:tcW w:w="2110" w:type="dxa"/>
          </w:tcPr>
          <w:p w14:paraId="04CC80EB" w14:textId="3BF2B780" w:rsidR="00BE459C" w:rsidRPr="00ED0E77" w:rsidRDefault="00BE459C" w:rsidP="00BE459C">
            <w:pPr>
              <w:tabs>
                <w:tab w:val="clear" w:pos="-720"/>
              </w:tabs>
              <w:autoSpaceDE w:val="0"/>
              <w:autoSpaceDN w:val="0"/>
              <w:adjustRightInd w:val="0"/>
              <w:spacing w:before="120" w:after="120" w:line="240" w:lineRule="auto"/>
              <w:jc w:val="left"/>
              <w:rPr>
                <w:rFonts w:ascii="Arial" w:hAnsi="Arial" w:cs="Arial"/>
                <w:sz w:val="16"/>
                <w:szCs w:val="16"/>
                <w:u w:val="double"/>
                <w:lang w:val="en-IE"/>
              </w:rPr>
            </w:pPr>
            <w:r w:rsidRPr="00ED0E77">
              <w:rPr>
                <w:rFonts w:ascii="Arial" w:hAnsi="Arial" w:cs="Arial"/>
                <w:sz w:val="16"/>
                <w:szCs w:val="16"/>
                <w:u w:val="double"/>
                <w:lang w:val="en-IE"/>
              </w:rPr>
              <w:t>FAM-AGT</w:t>
            </w:r>
            <w:r w:rsidR="000C2546" w:rsidRPr="00ED0E77">
              <w:rPr>
                <w:rFonts w:ascii="Arial" w:hAnsi="Arial" w:cs="Arial"/>
                <w:sz w:val="16"/>
                <w:szCs w:val="16"/>
                <w:u w:val="double"/>
                <w:lang w:val="en-IE"/>
              </w:rPr>
              <w:t>-</w:t>
            </w:r>
            <w:r w:rsidRPr="00ED0E77">
              <w:rPr>
                <w:rFonts w:ascii="Arial" w:hAnsi="Arial" w:cs="Arial"/>
                <w:sz w:val="16"/>
                <w:szCs w:val="16"/>
                <w:u w:val="double"/>
                <w:lang w:val="en-IE"/>
              </w:rPr>
              <w:t>TTT</w:t>
            </w:r>
            <w:r w:rsidR="000C2546" w:rsidRPr="00ED0E77">
              <w:rPr>
                <w:rFonts w:ascii="Arial" w:hAnsi="Arial" w:cs="Arial"/>
                <w:sz w:val="16"/>
                <w:szCs w:val="16"/>
                <w:u w:val="double"/>
                <w:lang w:val="en-IE"/>
              </w:rPr>
              <w:t>-</w:t>
            </w:r>
            <w:r w:rsidRPr="00ED0E77">
              <w:rPr>
                <w:rFonts w:ascii="Arial" w:hAnsi="Arial" w:cs="Arial"/>
                <w:sz w:val="16"/>
                <w:szCs w:val="16"/>
                <w:u w:val="double"/>
                <w:lang w:val="en-IE"/>
              </w:rPr>
              <w:t>AGG</w:t>
            </w:r>
            <w:r w:rsidR="000C2546" w:rsidRPr="00ED0E77">
              <w:rPr>
                <w:rFonts w:ascii="Arial" w:hAnsi="Arial" w:cs="Arial"/>
                <w:sz w:val="16"/>
                <w:szCs w:val="16"/>
                <w:u w:val="double"/>
                <w:lang w:val="en-IE"/>
              </w:rPr>
              <w:t>-</w:t>
            </w:r>
            <w:r w:rsidRPr="00ED0E77">
              <w:rPr>
                <w:rFonts w:ascii="Arial" w:hAnsi="Arial" w:cs="Arial"/>
                <w:sz w:val="16"/>
                <w:szCs w:val="16"/>
                <w:u w:val="double"/>
                <w:lang w:val="en-IE"/>
              </w:rPr>
              <w:t>ATA</w:t>
            </w:r>
            <w:r w:rsidR="000C2546" w:rsidRPr="00ED0E77">
              <w:rPr>
                <w:rFonts w:ascii="Arial" w:hAnsi="Arial" w:cs="Arial"/>
                <w:sz w:val="16"/>
                <w:szCs w:val="16"/>
                <w:u w:val="double"/>
                <w:lang w:val="en-IE"/>
              </w:rPr>
              <w:t>-</w:t>
            </w:r>
            <w:r w:rsidRPr="00ED0E77">
              <w:rPr>
                <w:rFonts w:ascii="Arial" w:hAnsi="Arial" w:cs="Arial"/>
                <w:sz w:val="16"/>
                <w:szCs w:val="16"/>
                <w:u w:val="double"/>
                <w:lang w:val="en-IE"/>
              </w:rPr>
              <w:t>ATA</w:t>
            </w:r>
            <w:r w:rsidR="000C2546" w:rsidRPr="00ED0E77">
              <w:rPr>
                <w:rFonts w:ascii="Arial" w:hAnsi="Arial" w:cs="Arial"/>
                <w:sz w:val="16"/>
                <w:szCs w:val="16"/>
                <w:u w:val="double"/>
                <w:lang w:val="en-IE"/>
              </w:rPr>
              <w:t>-</w:t>
            </w:r>
            <w:r w:rsidRPr="00ED0E77">
              <w:rPr>
                <w:rFonts w:ascii="Arial" w:hAnsi="Arial" w:cs="Arial"/>
                <w:sz w:val="16"/>
                <w:szCs w:val="16"/>
                <w:u w:val="double"/>
                <w:lang w:val="en-IE"/>
              </w:rPr>
              <w:t>CCC</w:t>
            </w:r>
            <w:r w:rsidR="000C2546" w:rsidRPr="00ED0E77">
              <w:rPr>
                <w:rFonts w:ascii="Arial" w:hAnsi="Arial" w:cs="Arial"/>
                <w:sz w:val="16"/>
                <w:szCs w:val="16"/>
                <w:u w:val="double"/>
                <w:lang w:val="en-IE"/>
              </w:rPr>
              <w:t>-</w:t>
            </w:r>
            <w:r w:rsidRPr="00ED0E77">
              <w:rPr>
                <w:rFonts w:ascii="Arial" w:hAnsi="Arial" w:cs="Arial"/>
                <w:sz w:val="16"/>
                <w:szCs w:val="16"/>
                <w:u w:val="double"/>
                <w:lang w:val="en-IE"/>
              </w:rPr>
              <w:t>TAG</w:t>
            </w:r>
            <w:r w:rsidR="000C2546" w:rsidRPr="00ED0E77">
              <w:rPr>
                <w:rFonts w:ascii="Arial" w:hAnsi="Arial" w:cs="Arial"/>
                <w:sz w:val="16"/>
                <w:szCs w:val="16"/>
                <w:u w:val="double"/>
                <w:lang w:val="en-IE"/>
              </w:rPr>
              <w:t>-</w:t>
            </w:r>
            <w:r w:rsidRPr="00ED0E77">
              <w:rPr>
                <w:rFonts w:ascii="Arial" w:hAnsi="Arial" w:cs="Arial"/>
                <w:sz w:val="16"/>
                <w:szCs w:val="16"/>
                <w:u w:val="double"/>
                <w:lang w:val="en-IE"/>
              </w:rPr>
              <w:t>GAT</w:t>
            </w:r>
            <w:r w:rsidR="000C2546" w:rsidRPr="00ED0E77">
              <w:rPr>
                <w:rFonts w:ascii="Arial" w:hAnsi="Arial" w:cs="Arial"/>
                <w:sz w:val="16"/>
                <w:szCs w:val="16"/>
                <w:u w:val="double"/>
                <w:lang w:val="en-IE"/>
              </w:rPr>
              <w:t>-</w:t>
            </w:r>
            <w:r w:rsidRPr="00ED0E77">
              <w:rPr>
                <w:rFonts w:ascii="Arial" w:hAnsi="Arial" w:cs="Arial"/>
                <w:sz w:val="16"/>
                <w:szCs w:val="16"/>
                <w:u w:val="double"/>
                <w:lang w:val="en-IE"/>
              </w:rPr>
              <w:t>GCT</w:t>
            </w:r>
            <w:r w:rsidR="000C2546" w:rsidRPr="00ED0E77">
              <w:rPr>
                <w:rFonts w:ascii="Arial" w:hAnsi="Arial" w:cs="Arial"/>
                <w:sz w:val="16"/>
                <w:szCs w:val="16"/>
                <w:u w:val="double"/>
                <w:lang w:val="en-IE"/>
              </w:rPr>
              <w:t>-</w:t>
            </w:r>
            <w:r w:rsidRPr="00ED0E77">
              <w:rPr>
                <w:rFonts w:ascii="Arial" w:hAnsi="Arial" w:cs="Arial"/>
                <w:sz w:val="16"/>
                <w:szCs w:val="16"/>
                <w:u w:val="double"/>
                <w:lang w:val="en-IE"/>
              </w:rPr>
              <w:t>GAC</w:t>
            </w:r>
            <w:r w:rsidR="000C2546" w:rsidRPr="00ED0E77">
              <w:rPr>
                <w:rFonts w:ascii="Arial" w:hAnsi="Arial" w:cs="Arial"/>
                <w:sz w:val="16"/>
                <w:szCs w:val="16"/>
                <w:u w:val="double"/>
                <w:lang w:val="en-IE"/>
              </w:rPr>
              <w:t>-</w:t>
            </w:r>
            <w:r w:rsidRPr="00ED0E77">
              <w:rPr>
                <w:rFonts w:ascii="Arial" w:hAnsi="Arial" w:cs="Arial"/>
                <w:sz w:val="16"/>
                <w:szCs w:val="16"/>
                <w:u w:val="double"/>
                <w:lang w:val="en-IE"/>
              </w:rPr>
              <w:t>GGT-BHQ1</w:t>
            </w:r>
          </w:p>
        </w:tc>
        <w:tc>
          <w:tcPr>
            <w:tcW w:w="1105" w:type="dxa"/>
            <w:vMerge/>
          </w:tcPr>
          <w:p w14:paraId="347A73EA" w14:textId="77777777" w:rsidR="00BE459C" w:rsidRPr="00ED0E77" w:rsidRDefault="00BE459C" w:rsidP="00D9647C">
            <w:pPr>
              <w:spacing w:before="120" w:after="120" w:line="240" w:lineRule="auto"/>
              <w:jc w:val="left"/>
              <w:rPr>
                <w:rFonts w:ascii="Arial" w:hAnsi="Arial" w:cs="Arial"/>
                <w:sz w:val="16"/>
                <w:szCs w:val="16"/>
                <w:u w:val="double"/>
                <w:lang w:val="en-IE"/>
              </w:rPr>
            </w:pPr>
          </w:p>
        </w:tc>
      </w:tr>
    </w:tbl>
    <w:p w14:paraId="4BF7C25F" w14:textId="508C7973" w:rsidR="00BE459C" w:rsidRPr="00ED0E77" w:rsidRDefault="00BE459C" w:rsidP="00A82502">
      <w:pPr>
        <w:pStyle w:val="11Para"/>
        <w:spacing w:before="240"/>
        <w:rPr>
          <w:u w:val="double"/>
          <w:lang w:val="en-IE"/>
        </w:rPr>
      </w:pPr>
      <w:r w:rsidRPr="00ED0E77">
        <w:rPr>
          <w:u w:val="double"/>
          <w:lang w:val="en-IE"/>
        </w:rPr>
        <w:t>I</w:t>
      </w:r>
      <w:r w:rsidR="00226441">
        <w:rPr>
          <w:u w:val="double"/>
          <w:lang w:val="en-IE"/>
        </w:rPr>
        <w:t>f using HEX in</w:t>
      </w:r>
      <w:r w:rsidRPr="00ED0E77">
        <w:rPr>
          <w:u w:val="double"/>
          <w:lang w:val="en-IE"/>
        </w:rPr>
        <w:t xml:space="preserve"> these </w:t>
      </w:r>
      <w:r w:rsidR="009A66AA" w:rsidRPr="00ED0E77">
        <w:rPr>
          <w:u w:val="double"/>
          <w:lang w:val="en-IE"/>
        </w:rPr>
        <w:t xml:space="preserve">two real-time </w:t>
      </w:r>
      <w:r w:rsidRPr="00ED0E77">
        <w:rPr>
          <w:u w:val="double"/>
          <w:lang w:val="en-IE"/>
        </w:rPr>
        <w:t>PCRs</w:t>
      </w:r>
      <w:r w:rsidR="00A23740" w:rsidRPr="00ED0E77">
        <w:rPr>
          <w:u w:val="double"/>
          <w:lang w:val="en-IE"/>
        </w:rPr>
        <w:t>,</w:t>
      </w:r>
      <w:r w:rsidRPr="00ED0E77">
        <w:rPr>
          <w:u w:val="double"/>
          <w:lang w:val="en-IE"/>
        </w:rPr>
        <w:t xml:space="preserve"> the </w:t>
      </w:r>
      <w:r w:rsidRPr="00ED0E77">
        <w:rPr>
          <w:i/>
          <w:iCs/>
          <w:u w:val="double"/>
          <w:lang w:val="en-IE"/>
        </w:rPr>
        <w:t>Taylorella</w:t>
      </w:r>
      <w:r w:rsidRPr="00ED0E77">
        <w:rPr>
          <w:u w:val="double"/>
          <w:lang w:val="en-IE"/>
        </w:rPr>
        <w:t xml:space="preserve"> species that use the HEX and FAM labels are opposite (Table 2). </w:t>
      </w:r>
    </w:p>
    <w:p w14:paraId="7F425E3E" w14:textId="5DEBEF83" w:rsidR="00F65283" w:rsidRPr="00ED0E77" w:rsidRDefault="00F65283" w:rsidP="00A82502">
      <w:pPr>
        <w:pStyle w:val="11Para"/>
        <w:rPr>
          <w:u w:val="double"/>
          <w:lang w:val="en-IE"/>
        </w:rPr>
      </w:pPr>
      <w:r w:rsidRPr="00ED0E77">
        <w:rPr>
          <w:u w:val="double"/>
          <w:lang w:val="en-IE"/>
        </w:rPr>
        <w:t xml:space="preserve">Maintaining the viability of the organism is not necessary for the recommended </w:t>
      </w:r>
      <w:r w:rsidR="00A23740" w:rsidRPr="00ED0E77">
        <w:rPr>
          <w:u w:val="double"/>
          <w:lang w:val="en-IE"/>
        </w:rPr>
        <w:t xml:space="preserve">real-time </w:t>
      </w:r>
      <w:r w:rsidRPr="00ED0E77">
        <w:rPr>
          <w:u w:val="double"/>
          <w:lang w:val="en-IE"/>
        </w:rPr>
        <w:t>PCRs, so swabs may be transported at ambient temperature. For PCR testing it is not necessary to use transport medium to convey swabs to the laboratory. Swabs in plain sleeves without transport medium can be used. It is recommended that swabs for PCR should be tested no more than 7 days after sampling.</w:t>
      </w:r>
    </w:p>
    <w:p w14:paraId="79FB793F" w14:textId="5559211C" w:rsidR="00F65283" w:rsidRPr="00ED0E77" w:rsidRDefault="00F65283" w:rsidP="00893579">
      <w:pPr>
        <w:pStyle w:val="11Para"/>
        <w:spacing w:before="240"/>
        <w:rPr>
          <w:lang w:val="en-IE"/>
        </w:rPr>
      </w:pPr>
      <w:r w:rsidRPr="00ED0E77">
        <w:rPr>
          <w:lang w:val="en-IE"/>
        </w:rPr>
        <w:t xml:space="preserve">The direct detection of </w:t>
      </w:r>
      <w:r w:rsidRPr="00ED0E77">
        <w:rPr>
          <w:i/>
          <w:lang w:val="en-IE"/>
        </w:rPr>
        <w:t>T. equigenitalis</w:t>
      </w:r>
      <w:r w:rsidRPr="00ED0E77">
        <w:rPr>
          <w:lang w:val="en-IE"/>
        </w:rPr>
        <w:t xml:space="preserve"> by </w:t>
      </w:r>
      <w:r w:rsidR="00A84F2A" w:rsidRPr="00ED0E77">
        <w:rPr>
          <w:u w:val="double"/>
          <w:lang w:val="en-IE"/>
        </w:rPr>
        <w:t>real-time</w:t>
      </w:r>
      <w:r w:rsidR="00A84F2A" w:rsidRPr="00ED0E77">
        <w:rPr>
          <w:lang w:val="en-IE"/>
        </w:rPr>
        <w:t xml:space="preserve"> </w:t>
      </w:r>
      <w:r w:rsidRPr="00ED0E77">
        <w:rPr>
          <w:lang w:val="en-IE"/>
        </w:rPr>
        <w:t xml:space="preserve">PCR has several advantages over isolation of the bacteria by culture. First, PCR is less vulnerable to contaminating flora, which reduces the number of false-negative results. Secondly, the turnaround time of the PCR is much shorter than the minimum 7-day culture time with isolation. Thirdly, as only DNA is detected rather than viable organisms, the need for rapid transport of specimens to the laboratory is reduced. </w:t>
      </w:r>
      <w:r w:rsidRPr="00ED0E77">
        <w:rPr>
          <w:u w:val="double"/>
          <w:lang w:val="en-IE"/>
        </w:rPr>
        <w:t xml:space="preserve">Fourthly these PCRs also differentiate </w:t>
      </w:r>
      <w:r w:rsidRPr="00ED0E77">
        <w:rPr>
          <w:i/>
          <w:iCs/>
          <w:u w:val="double"/>
          <w:lang w:val="en-IE"/>
        </w:rPr>
        <w:t>T. </w:t>
      </w:r>
      <w:r w:rsidRPr="008452A7">
        <w:rPr>
          <w:rStyle w:val="Emphasis"/>
          <w:iCs w:val="0"/>
          <w:u w:val="double"/>
          <w:lang w:val="en-IE"/>
        </w:rPr>
        <w:t>equigenitalis</w:t>
      </w:r>
      <w:r w:rsidRPr="00ED0E77">
        <w:rPr>
          <w:u w:val="double"/>
          <w:lang w:val="en-IE"/>
        </w:rPr>
        <w:t xml:space="preserve"> from</w:t>
      </w:r>
      <w:r w:rsidRPr="00ED0E77">
        <w:rPr>
          <w:rStyle w:val="Emphasis"/>
          <w:i w:val="0"/>
          <w:iCs w:val="0"/>
          <w:u w:val="double"/>
          <w:lang w:val="en-IE"/>
        </w:rPr>
        <w:t xml:space="preserve"> </w:t>
      </w:r>
      <w:r w:rsidRPr="00ED0E77">
        <w:rPr>
          <w:rStyle w:val="Emphasis"/>
          <w:u w:val="double"/>
          <w:lang w:val="en-IE"/>
        </w:rPr>
        <w:t>T. asinigenitalis</w:t>
      </w:r>
      <w:r w:rsidRPr="00ED0E77">
        <w:rPr>
          <w:rStyle w:val="Emphasis"/>
          <w:i w:val="0"/>
          <w:iCs w:val="0"/>
          <w:u w:val="double"/>
          <w:lang w:val="en-IE"/>
        </w:rPr>
        <w:t>.</w:t>
      </w:r>
      <w:r w:rsidRPr="00ED0E77">
        <w:rPr>
          <w:rStyle w:val="Emphasis"/>
          <w:i w:val="0"/>
          <w:iCs w:val="0"/>
          <w:lang w:val="en-IE"/>
        </w:rPr>
        <w:t xml:space="preserve"> </w:t>
      </w:r>
      <w:r w:rsidRPr="00ED0E77">
        <w:rPr>
          <w:lang w:val="en-IE"/>
        </w:rPr>
        <w:t>A strict PCR regime to avoid DNA cross contamination should be deployed in diagnostic laboratories.</w:t>
      </w:r>
    </w:p>
    <w:p w14:paraId="216C49DD" w14:textId="134C45AB" w:rsidR="00483339" w:rsidRPr="00ED0E77" w:rsidRDefault="00483339" w:rsidP="00A82502">
      <w:pPr>
        <w:pStyle w:val="111"/>
        <w:rPr>
          <w:u w:val="double"/>
          <w:lang w:val="en-IE"/>
        </w:rPr>
      </w:pPr>
      <w:r w:rsidRPr="00ED0E77">
        <w:rPr>
          <w:u w:val="double"/>
          <w:lang w:val="en-IE"/>
        </w:rPr>
        <w:t>1.4.2</w:t>
      </w:r>
      <w:r w:rsidR="00A82502" w:rsidRPr="00ED0E77">
        <w:rPr>
          <w:u w:val="double"/>
          <w:lang w:val="en-IE"/>
        </w:rPr>
        <w:t>.</w:t>
      </w:r>
      <w:r w:rsidR="00A82502" w:rsidRPr="00ED0E77">
        <w:rPr>
          <w:u w:val="double"/>
          <w:lang w:val="en-IE"/>
        </w:rPr>
        <w:tab/>
      </w:r>
      <w:r w:rsidRPr="00ED0E77">
        <w:rPr>
          <w:u w:val="double"/>
          <w:lang w:val="en-IE"/>
        </w:rPr>
        <w:t>Other PCRs</w:t>
      </w:r>
    </w:p>
    <w:p w14:paraId="63B6ED7E" w14:textId="6BBB89CF" w:rsidR="0053190D" w:rsidRPr="00324A8D" w:rsidRDefault="008E2C3F" w:rsidP="00A82502">
      <w:pPr>
        <w:pStyle w:val="111Para"/>
        <w:rPr>
          <w:strike/>
          <w:lang w:val="en-IE"/>
        </w:rPr>
      </w:pPr>
      <w:r w:rsidRPr="00324A8D">
        <w:rPr>
          <w:strike/>
          <w:highlight w:val="yellow"/>
          <w:lang w:val="en-IE"/>
        </w:rPr>
        <w:t xml:space="preserve">Other </w:t>
      </w:r>
      <w:r w:rsidR="00F65283" w:rsidRPr="00324A8D">
        <w:rPr>
          <w:strike/>
          <w:highlight w:val="yellow"/>
          <w:lang w:val="en-IE"/>
        </w:rPr>
        <w:t>conventional and real</w:t>
      </w:r>
      <w:r w:rsidR="00A23740" w:rsidRPr="00324A8D">
        <w:rPr>
          <w:strike/>
          <w:highlight w:val="yellow"/>
          <w:lang w:val="en-IE"/>
        </w:rPr>
        <w:t>-</w:t>
      </w:r>
      <w:r w:rsidR="00F65283" w:rsidRPr="00324A8D">
        <w:rPr>
          <w:strike/>
          <w:highlight w:val="yellow"/>
          <w:lang w:val="en-IE"/>
        </w:rPr>
        <w:t xml:space="preserve">time </w:t>
      </w:r>
      <w:r w:rsidRPr="00324A8D">
        <w:rPr>
          <w:strike/>
          <w:highlight w:val="yellow"/>
          <w:lang w:val="en-IE"/>
        </w:rPr>
        <w:t>PCRs have been developed and c</w:t>
      </w:r>
      <w:r w:rsidR="0053190D" w:rsidRPr="00324A8D">
        <w:rPr>
          <w:strike/>
          <w:highlight w:val="yellow"/>
          <w:lang w:val="en-IE"/>
        </w:rPr>
        <w:t xml:space="preserve">ommercial PCR kits are available for the detection of </w:t>
      </w:r>
      <w:r w:rsidR="0053190D" w:rsidRPr="00324A8D">
        <w:rPr>
          <w:rStyle w:val="Emphasis"/>
          <w:strike/>
          <w:highlight w:val="yellow"/>
          <w:lang w:val="en-IE"/>
        </w:rPr>
        <w:t>T. equigenitalis</w:t>
      </w:r>
      <w:r w:rsidR="00247CAE" w:rsidRPr="00324A8D">
        <w:rPr>
          <w:rStyle w:val="Emphasis"/>
          <w:strike/>
          <w:highlight w:val="yellow"/>
          <w:lang w:val="en-IE"/>
        </w:rPr>
        <w:t>.</w:t>
      </w:r>
      <w:r w:rsidR="0053190D" w:rsidRPr="00324A8D">
        <w:rPr>
          <w:strike/>
          <w:highlight w:val="yellow"/>
          <w:lang w:val="en-IE"/>
        </w:rPr>
        <w:t xml:space="preserve"> </w:t>
      </w:r>
      <w:r w:rsidR="000A6F51" w:rsidRPr="00324A8D">
        <w:rPr>
          <w:strike/>
          <w:highlight w:val="yellow"/>
          <w:lang w:val="en-IE"/>
        </w:rPr>
        <w:t>T</w:t>
      </w:r>
      <w:r w:rsidR="0053190D" w:rsidRPr="00324A8D">
        <w:rPr>
          <w:strike/>
          <w:highlight w:val="yellow"/>
          <w:lang w:val="en-IE"/>
        </w:rPr>
        <w:t>hese may be used to enhance the testing capabilities of laboratories</w:t>
      </w:r>
      <w:r w:rsidR="00D46FF1" w:rsidRPr="00324A8D">
        <w:rPr>
          <w:strike/>
          <w:highlight w:val="yellow"/>
          <w:lang w:val="en-IE"/>
        </w:rPr>
        <w:t xml:space="preserve"> already using </w:t>
      </w:r>
      <w:r w:rsidR="00D46FF1" w:rsidRPr="00324A8D">
        <w:rPr>
          <w:strike/>
          <w:highlight w:val="yellow"/>
        </w:rPr>
        <w:t>culture</w:t>
      </w:r>
      <w:r w:rsidR="007A6F71" w:rsidRPr="00324A8D">
        <w:rPr>
          <w:strike/>
          <w:highlight w:val="yellow"/>
        </w:rPr>
        <w:t xml:space="preserve"> if their performance has been previously validated as equivalent to that of the real-time PCR 1 (Wakeley </w:t>
      </w:r>
      <w:r w:rsidR="007A6F71" w:rsidRPr="00324A8D">
        <w:rPr>
          <w:i/>
          <w:iCs/>
          <w:strike/>
          <w:highlight w:val="yellow"/>
        </w:rPr>
        <w:t>et al.,</w:t>
      </w:r>
      <w:r w:rsidR="007A6F71" w:rsidRPr="00324A8D">
        <w:rPr>
          <w:strike/>
          <w:highlight w:val="yellow"/>
        </w:rPr>
        <w:t xml:space="preserve"> 2006) or the real-time PCR 2 (Nadin-Davies </w:t>
      </w:r>
      <w:r w:rsidR="007A6F71" w:rsidRPr="00324A8D">
        <w:rPr>
          <w:i/>
          <w:iCs/>
          <w:strike/>
          <w:highlight w:val="yellow"/>
        </w:rPr>
        <w:t>et al.,</w:t>
      </w:r>
      <w:r w:rsidR="007A6F71" w:rsidRPr="00324A8D">
        <w:rPr>
          <w:strike/>
          <w:highlight w:val="yellow"/>
        </w:rPr>
        <w:t xml:space="preserve"> 2015)</w:t>
      </w:r>
      <w:r w:rsidR="006D13D7" w:rsidRPr="00324A8D">
        <w:rPr>
          <w:strike/>
          <w:highlight w:val="yellow"/>
        </w:rPr>
        <w:t>,</w:t>
      </w:r>
      <w:r w:rsidR="006D13D7" w:rsidRPr="00324A8D">
        <w:rPr>
          <w:strike/>
          <w:highlight w:val="yellow"/>
          <w:lang w:val="en-IE"/>
        </w:rPr>
        <w:t xml:space="preserve"> but at prese</w:t>
      </w:r>
      <w:r w:rsidR="00DC23EB" w:rsidRPr="00324A8D">
        <w:rPr>
          <w:strike/>
          <w:highlight w:val="yellow"/>
          <w:lang w:val="en-IE"/>
        </w:rPr>
        <w:t>nt their validation is uncertain</w:t>
      </w:r>
      <w:r w:rsidR="00D3343F" w:rsidRPr="00324A8D">
        <w:rPr>
          <w:strike/>
          <w:highlight w:val="yellow"/>
          <w:lang w:val="en-IE"/>
        </w:rPr>
        <w:t>.</w:t>
      </w:r>
    </w:p>
    <w:p w14:paraId="14A2CB9A" w14:textId="53C42F2B" w:rsidR="002118D2" w:rsidRPr="00ED0E77" w:rsidRDefault="002118D2" w:rsidP="00A82502">
      <w:pPr>
        <w:pStyle w:val="111Para"/>
        <w:rPr>
          <w:u w:val="double"/>
          <w:lang w:val="en-IE"/>
        </w:rPr>
      </w:pPr>
      <w:r w:rsidRPr="00ED0E77">
        <w:rPr>
          <w:u w:val="double"/>
          <w:lang w:val="en-IE"/>
        </w:rPr>
        <w:t xml:space="preserve">Other conventional and real-time PCRs have been developed and commercial PCR kits are available for the detection of </w:t>
      </w:r>
      <w:r w:rsidRPr="00ED0E77">
        <w:rPr>
          <w:rStyle w:val="Emphasis"/>
          <w:u w:val="double"/>
          <w:lang w:val="en-IE"/>
        </w:rPr>
        <w:t>T. equigenitalis</w:t>
      </w:r>
      <w:r>
        <w:rPr>
          <w:rStyle w:val="Emphasis"/>
          <w:u w:val="double"/>
          <w:lang w:val="en-IE"/>
        </w:rPr>
        <w:t>.</w:t>
      </w:r>
      <w:r w:rsidRPr="00ED0E77">
        <w:rPr>
          <w:u w:val="double"/>
          <w:lang w:val="en-IE"/>
        </w:rPr>
        <w:t xml:space="preserve"> </w:t>
      </w:r>
      <w:r w:rsidR="00324A8D" w:rsidRPr="00324A8D">
        <w:rPr>
          <w:highlight w:val="yellow"/>
          <w:u w:val="double"/>
          <w:lang w:val="en-IE"/>
        </w:rPr>
        <w:t xml:space="preserve">Before use in a diagnostic laboratory these must be fully validated </w:t>
      </w:r>
      <w:bookmarkStart w:id="1" w:name="_Hlk96192716"/>
      <w:r w:rsidR="00324A8D" w:rsidRPr="00324A8D">
        <w:rPr>
          <w:highlight w:val="yellow"/>
          <w:u w:val="double"/>
          <w:lang w:val="en-IE"/>
        </w:rPr>
        <w:t>to OIE Standards (Chapter 1.1.6) as fit for use for defined purposes</w:t>
      </w:r>
      <w:bookmarkEnd w:id="1"/>
      <w:r w:rsidR="00324A8D" w:rsidRPr="00324A8D">
        <w:rPr>
          <w:highlight w:val="yellow"/>
          <w:u w:val="double"/>
          <w:lang w:val="en-IE"/>
        </w:rPr>
        <w:t>.</w:t>
      </w:r>
      <w:r w:rsidR="00324A8D" w:rsidRPr="00324A8D">
        <w:rPr>
          <w:highlight w:val="yellow"/>
          <w:lang w:val="en-IE"/>
        </w:rPr>
        <w:t xml:space="preserve"> </w:t>
      </w:r>
      <w:r w:rsidRPr="00324A8D">
        <w:rPr>
          <w:strike/>
          <w:highlight w:val="yellow"/>
          <w:lang w:val="en-IE"/>
        </w:rPr>
        <w:t xml:space="preserve">These may be used to enhance the testing capabilities of laboratories already using </w:t>
      </w:r>
      <w:r w:rsidRPr="00324A8D">
        <w:rPr>
          <w:strike/>
          <w:highlight w:val="yellow"/>
        </w:rPr>
        <w:t>culture, but their validation is currently unassessed and they should not be used in lieu of the recommended real-time PCRs</w:t>
      </w:r>
      <w:r>
        <w:t>.</w:t>
      </w:r>
    </w:p>
    <w:p w14:paraId="2BC5AEC5" w14:textId="5D492FF8" w:rsidR="00EA3602" w:rsidRPr="00ED0E77" w:rsidRDefault="00C23C2F" w:rsidP="00A82502">
      <w:pPr>
        <w:pStyle w:val="111"/>
        <w:rPr>
          <w:rFonts w:ascii="Arial" w:hAnsi="Arial"/>
          <w:sz w:val="18"/>
          <w:szCs w:val="18"/>
          <w:u w:val="double"/>
          <w:lang w:val="en-IE"/>
        </w:rPr>
      </w:pPr>
      <w:r w:rsidRPr="00ED0E77">
        <w:rPr>
          <w:u w:val="double"/>
          <w:lang w:val="en-IE"/>
        </w:rPr>
        <w:t>1.4.3.</w:t>
      </w:r>
      <w:r w:rsidR="00A82502" w:rsidRPr="00ED0E77">
        <w:rPr>
          <w:u w:val="double"/>
          <w:lang w:val="en-IE"/>
        </w:rPr>
        <w:tab/>
      </w:r>
      <w:r w:rsidR="00176913" w:rsidRPr="00ED0E77">
        <w:rPr>
          <w:u w:val="double"/>
          <w:lang w:val="en-IE"/>
        </w:rPr>
        <w:t>S</w:t>
      </w:r>
      <w:r w:rsidR="002434D6" w:rsidRPr="00ED0E77">
        <w:rPr>
          <w:u w:val="double"/>
          <w:lang w:val="en-IE"/>
        </w:rPr>
        <w:t>equencing</w:t>
      </w:r>
      <w:r w:rsidR="00176913" w:rsidRPr="00ED0E77">
        <w:rPr>
          <w:u w:val="double"/>
          <w:lang w:val="en-IE"/>
        </w:rPr>
        <w:t>-based methods</w:t>
      </w:r>
    </w:p>
    <w:p w14:paraId="7C5D8BB6" w14:textId="6DCD6B59" w:rsidR="00EA3602" w:rsidRPr="00ED0E77" w:rsidRDefault="00EA3602" w:rsidP="00A82502">
      <w:pPr>
        <w:pStyle w:val="111Para"/>
        <w:rPr>
          <w:u w:val="double"/>
          <w:lang w:val="en-IE"/>
        </w:rPr>
      </w:pPr>
      <w:r w:rsidRPr="00ED0E77">
        <w:rPr>
          <w:u w:val="double"/>
          <w:lang w:val="en-IE"/>
        </w:rPr>
        <w:t>Sequencing-based methods</w:t>
      </w:r>
      <w:r w:rsidR="00A23740" w:rsidRPr="00ED0E77">
        <w:rPr>
          <w:u w:val="double"/>
          <w:lang w:val="en-IE"/>
        </w:rPr>
        <w:t>,</w:t>
      </w:r>
      <w:r w:rsidRPr="00ED0E77">
        <w:rPr>
          <w:u w:val="double"/>
          <w:lang w:val="en-IE"/>
        </w:rPr>
        <w:t xml:space="preserve"> such as sequencing of the 16s rRNA gene</w:t>
      </w:r>
      <w:r w:rsidR="00A23740" w:rsidRPr="00ED0E77">
        <w:rPr>
          <w:u w:val="double"/>
          <w:lang w:val="en-IE"/>
        </w:rPr>
        <w:t>,</w:t>
      </w:r>
      <w:r w:rsidRPr="00ED0E77">
        <w:rPr>
          <w:u w:val="double"/>
          <w:lang w:val="en-IE"/>
        </w:rPr>
        <w:t xml:space="preserve"> have been used to confirm the identification of </w:t>
      </w:r>
      <w:r w:rsidRPr="00ED0E77">
        <w:rPr>
          <w:i/>
          <w:u w:val="double"/>
          <w:lang w:val="en-IE"/>
        </w:rPr>
        <w:t>Taylorella</w:t>
      </w:r>
      <w:r w:rsidRPr="00ED0E77">
        <w:rPr>
          <w:u w:val="double"/>
          <w:lang w:val="en-IE"/>
        </w:rPr>
        <w:t xml:space="preserve"> spp. (Erdman</w:t>
      </w:r>
      <w:r w:rsidRPr="00ED0E77">
        <w:rPr>
          <w:i/>
          <w:u w:val="double"/>
          <w:lang w:val="en-IE"/>
        </w:rPr>
        <w:t xml:space="preserve"> et al</w:t>
      </w:r>
      <w:r w:rsidRPr="00ED0E77">
        <w:rPr>
          <w:u w:val="double"/>
          <w:lang w:val="en-IE"/>
        </w:rPr>
        <w:t xml:space="preserve">., 2011). Advances in whole genome sequencing have led to additional identification and typing tools as well as improved molecular characterisation of </w:t>
      </w:r>
      <w:r w:rsidRPr="00ED0E77">
        <w:rPr>
          <w:i/>
          <w:iCs/>
          <w:u w:val="double"/>
          <w:lang w:val="en-IE"/>
        </w:rPr>
        <w:t>Taylorella</w:t>
      </w:r>
      <w:r w:rsidRPr="00ED0E77">
        <w:rPr>
          <w:u w:val="double"/>
          <w:lang w:val="en-IE"/>
        </w:rPr>
        <w:t xml:space="preserve"> spp. The </w:t>
      </w:r>
      <w:r w:rsidR="00975AF8" w:rsidRPr="00ED0E77">
        <w:rPr>
          <w:u w:val="double"/>
          <w:lang w:val="en-IE"/>
        </w:rPr>
        <w:t>multi</w:t>
      </w:r>
      <w:r w:rsidR="00A23740" w:rsidRPr="00ED0E77">
        <w:rPr>
          <w:u w:val="double"/>
          <w:lang w:val="en-IE"/>
        </w:rPr>
        <w:t>-</w:t>
      </w:r>
      <w:r w:rsidR="00975AF8" w:rsidRPr="00ED0E77">
        <w:rPr>
          <w:u w:val="double"/>
          <w:lang w:val="en-IE"/>
        </w:rPr>
        <w:t xml:space="preserve">locus sequence typing </w:t>
      </w:r>
      <w:r w:rsidRPr="00ED0E77">
        <w:rPr>
          <w:u w:val="double"/>
          <w:lang w:val="en-IE"/>
        </w:rPr>
        <w:t xml:space="preserve">(MLST) scheme has been used for typing of </w:t>
      </w:r>
      <w:r w:rsidRPr="00ED0E77">
        <w:rPr>
          <w:i/>
          <w:iCs/>
          <w:u w:val="double"/>
          <w:lang w:val="en-IE"/>
        </w:rPr>
        <w:t>Taylorella</w:t>
      </w:r>
      <w:r w:rsidRPr="00ED0E77">
        <w:rPr>
          <w:u w:val="double"/>
          <w:lang w:val="en-IE"/>
        </w:rPr>
        <w:t xml:space="preserve"> spp. and defining clonal complexes that further describe genetic relationships between the sequence types (Duquesne </w:t>
      </w:r>
      <w:r w:rsidRPr="00ED0E77">
        <w:rPr>
          <w:i/>
          <w:iCs/>
          <w:u w:val="double"/>
          <w:lang w:val="en-IE"/>
        </w:rPr>
        <w:t>et al.</w:t>
      </w:r>
      <w:r w:rsidR="005615CC">
        <w:rPr>
          <w:i/>
          <w:iCs/>
          <w:u w:val="double"/>
          <w:lang w:val="en-IE"/>
        </w:rPr>
        <w:t>,</w:t>
      </w:r>
      <w:r w:rsidRPr="00ED0E77">
        <w:rPr>
          <w:u w:val="double"/>
          <w:lang w:val="en-IE"/>
        </w:rPr>
        <w:t xml:space="preserve"> 2013). Recent studies have also demonstrated the use of MLST, single nucleotide polymorphism analysis, and other genomic methods to characteri</w:t>
      </w:r>
      <w:r w:rsidR="00E62AB3">
        <w:rPr>
          <w:u w:val="double"/>
          <w:lang w:val="en-IE"/>
        </w:rPr>
        <w:t>s</w:t>
      </w:r>
      <w:r w:rsidRPr="00ED0E77">
        <w:rPr>
          <w:u w:val="double"/>
          <w:lang w:val="en-IE"/>
        </w:rPr>
        <w:t>e strains, evaluate detailed genetic relationships between isolates, and generate phylogenetic trees, which may prove useful in understanding transmission patterns and for epidemiological tracing (</w:t>
      </w:r>
      <w:r w:rsidR="00975AF8" w:rsidRPr="00ED0E77">
        <w:rPr>
          <w:u w:val="double"/>
          <w:lang w:val="en-IE"/>
        </w:rPr>
        <w:t xml:space="preserve">Duquesne </w:t>
      </w:r>
      <w:r w:rsidR="00975AF8" w:rsidRPr="00ED0E77">
        <w:rPr>
          <w:i/>
          <w:iCs/>
          <w:u w:val="double"/>
          <w:lang w:val="en-IE"/>
        </w:rPr>
        <w:t>et al</w:t>
      </w:r>
      <w:r w:rsidR="00975AF8" w:rsidRPr="00ED0E77">
        <w:rPr>
          <w:u w:val="double"/>
          <w:lang w:val="en-IE"/>
        </w:rPr>
        <w:t xml:space="preserve">., 2020; </w:t>
      </w:r>
      <w:r w:rsidRPr="00ED0E77">
        <w:rPr>
          <w:u w:val="double"/>
          <w:lang w:val="en-IE"/>
        </w:rPr>
        <w:t xml:space="preserve">Hicks </w:t>
      </w:r>
      <w:r w:rsidRPr="00ED0E77">
        <w:rPr>
          <w:i/>
          <w:iCs/>
          <w:u w:val="double"/>
          <w:lang w:val="en-IE"/>
        </w:rPr>
        <w:t>et al.</w:t>
      </w:r>
      <w:r w:rsidR="00975AF8" w:rsidRPr="00ED0E77">
        <w:rPr>
          <w:i/>
          <w:iCs/>
          <w:u w:val="double"/>
          <w:lang w:val="en-IE"/>
        </w:rPr>
        <w:t>,</w:t>
      </w:r>
      <w:r w:rsidRPr="00ED0E77">
        <w:rPr>
          <w:i/>
          <w:iCs/>
          <w:u w:val="double"/>
          <w:lang w:val="en-IE"/>
        </w:rPr>
        <w:t xml:space="preserve"> </w:t>
      </w:r>
      <w:r w:rsidRPr="00ED0E77">
        <w:rPr>
          <w:u w:val="double"/>
          <w:lang w:val="en-IE"/>
        </w:rPr>
        <w:t xml:space="preserve">2018,). New research has explored targeted amplification from semen and swabs for culture independent sequence typing using MLST (May </w:t>
      </w:r>
      <w:r w:rsidR="005E6553" w:rsidRPr="00ED0E77">
        <w:rPr>
          <w:i/>
          <w:iCs/>
          <w:u w:val="double"/>
          <w:lang w:val="en-IE"/>
        </w:rPr>
        <w:t>et al.</w:t>
      </w:r>
      <w:r w:rsidR="00975AF8" w:rsidRPr="00ED0E77">
        <w:rPr>
          <w:i/>
          <w:iCs/>
          <w:u w:val="double"/>
          <w:lang w:val="en-IE"/>
        </w:rPr>
        <w:t>,</w:t>
      </w:r>
      <w:r w:rsidRPr="00ED0E77">
        <w:rPr>
          <w:i/>
          <w:iCs/>
          <w:u w:val="double"/>
          <w:lang w:val="en-IE"/>
        </w:rPr>
        <w:t xml:space="preserve"> </w:t>
      </w:r>
      <w:r w:rsidRPr="00ED0E77">
        <w:rPr>
          <w:u w:val="double"/>
          <w:lang w:val="en-IE"/>
        </w:rPr>
        <w:t>2019).</w:t>
      </w:r>
    </w:p>
    <w:p w14:paraId="0F099F30" w14:textId="38781903" w:rsidR="00C23C2F" w:rsidRPr="00ED0E77" w:rsidRDefault="00C23C2F" w:rsidP="00A82502">
      <w:pPr>
        <w:pStyle w:val="11"/>
        <w:rPr>
          <w:u w:val="double"/>
          <w:lang w:val="en-IE"/>
        </w:rPr>
      </w:pPr>
      <w:r w:rsidRPr="00ED0E77">
        <w:rPr>
          <w:u w:val="double"/>
          <w:lang w:val="en-IE"/>
        </w:rPr>
        <w:t>1.</w:t>
      </w:r>
      <w:r w:rsidR="00E844B9" w:rsidRPr="00ED0E77">
        <w:rPr>
          <w:u w:val="double"/>
          <w:lang w:val="en-IE"/>
        </w:rPr>
        <w:t>5</w:t>
      </w:r>
      <w:r w:rsidR="00A82502" w:rsidRPr="00ED0E77">
        <w:rPr>
          <w:u w:val="double"/>
          <w:lang w:val="en-IE"/>
        </w:rPr>
        <w:t>.</w:t>
      </w:r>
      <w:r w:rsidR="00A82502" w:rsidRPr="00ED0E77">
        <w:rPr>
          <w:u w:val="double"/>
          <w:lang w:val="en-IE"/>
        </w:rPr>
        <w:tab/>
      </w:r>
      <w:r w:rsidRPr="00ED0E77">
        <w:rPr>
          <w:u w:val="double"/>
          <w:lang w:val="en-IE"/>
        </w:rPr>
        <w:t>Use of agent identity tests</w:t>
      </w:r>
    </w:p>
    <w:p w14:paraId="72ADA596" w14:textId="2D6A07C4" w:rsidR="00C23C2F" w:rsidRPr="00ED0E77" w:rsidRDefault="00E844B9" w:rsidP="00A82502">
      <w:pPr>
        <w:pStyle w:val="111"/>
        <w:rPr>
          <w:u w:val="double"/>
          <w:lang w:val="en-IE"/>
        </w:rPr>
      </w:pPr>
      <w:r w:rsidRPr="00ED0E77">
        <w:rPr>
          <w:u w:val="double"/>
          <w:lang w:val="en-IE"/>
        </w:rPr>
        <w:t>1.5.1.</w:t>
      </w:r>
      <w:r w:rsidR="00A82502" w:rsidRPr="00ED0E77">
        <w:rPr>
          <w:u w:val="double"/>
          <w:lang w:val="en-IE"/>
        </w:rPr>
        <w:tab/>
      </w:r>
      <w:r w:rsidR="00C23C2F" w:rsidRPr="00ED0E77">
        <w:rPr>
          <w:u w:val="double"/>
          <w:lang w:val="en-IE"/>
        </w:rPr>
        <w:t>Testing post</w:t>
      </w:r>
      <w:r w:rsidR="00E62AB3">
        <w:rPr>
          <w:u w:val="double"/>
          <w:lang w:val="en-IE"/>
        </w:rPr>
        <w:t>-</w:t>
      </w:r>
      <w:r w:rsidR="00C23C2F" w:rsidRPr="00ED0E77">
        <w:rPr>
          <w:u w:val="double"/>
          <w:lang w:val="en-IE"/>
        </w:rPr>
        <w:t>treatment</w:t>
      </w:r>
    </w:p>
    <w:p w14:paraId="1182721B" w14:textId="55821DDC" w:rsidR="00C23C2F" w:rsidRPr="00ED0E77" w:rsidRDefault="00C23C2F" w:rsidP="00A82502">
      <w:pPr>
        <w:pStyle w:val="111Para"/>
        <w:rPr>
          <w:u w:val="double"/>
          <w:lang w:val="en-IE"/>
        </w:rPr>
      </w:pPr>
      <w:r w:rsidRPr="00ED0E77">
        <w:rPr>
          <w:u w:val="double"/>
          <w:lang w:val="en-IE"/>
        </w:rPr>
        <w:t xml:space="preserve">After a horse has been treated </w:t>
      </w:r>
      <w:r w:rsidR="0096556E" w:rsidRPr="00ED0E77">
        <w:rPr>
          <w:u w:val="double"/>
          <w:lang w:val="en-IE"/>
        </w:rPr>
        <w:t xml:space="preserve">to eliminate </w:t>
      </w:r>
      <w:r w:rsidRPr="00ED0E77">
        <w:rPr>
          <w:i/>
          <w:u w:val="double"/>
          <w:lang w:val="en-IE"/>
        </w:rPr>
        <w:t>T</w:t>
      </w:r>
      <w:r w:rsidR="00E62AB3">
        <w:rPr>
          <w:i/>
          <w:u w:val="double"/>
          <w:lang w:val="en-IE"/>
        </w:rPr>
        <w:t>. </w:t>
      </w:r>
      <w:r w:rsidRPr="00ED0E77">
        <w:rPr>
          <w:i/>
          <w:u w:val="double"/>
          <w:lang w:val="en-IE"/>
        </w:rPr>
        <w:t>equigenitalis</w:t>
      </w:r>
      <w:r w:rsidRPr="00ED0E77">
        <w:rPr>
          <w:u w:val="double"/>
          <w:lang w:val="en-IE"/>
        </w:rPr>
        <w:t xml:space="preserve">, either culture or PCR may be used to determine the continued presence of infection or carrier state. </w:t>
      </w:r>
      <w:r w:rsidR="0096556E" w:rsidRPr="00ED0E77">
        <w:rPr>
          <w:u w:val="double"/>
          <w:lang w:val="en-IE"/>
        </w:rPr>
        <w:t xml:space="preserve">Detection by culture can </w:t>
      </w:r>
      <w:r w:rsidRPr="00ED0E77">
        <w:rPr>
          <w:u w:val="double"/>
          <w:lang w:val="en-IE"/>
        </w:rPr>
        <w:t xml:space="preserve">be inhibited by </w:t>
      </w:r>
      <w:r w:rsidR="0096556E" w:rsidRPr="00ED0E77">
        <w:rPr>
          <w:u w:val="double"/>
          <w:lang w:val="en-IE"/>
        </w:rPr>
        <w:t>carry</w:t>
      </w:r>
      <w:r w:rsidR="00E62AB3">
        <w:rPr>
          <w:u w:val="double"/>
          <w:lang w:val="en-IE"/>
        </w:rPr>
        <w:t>-</w:t>
      </w:r>
      <w:r w:rsidR="0096556E" w:rsidRPr="00ED0E77">
        <w:rPr>
          <w:u w:val="double"/>
          <w:lang w:val="en-IE"/>
        </w:rPr>
        <w:t xml:space="preserve">over of </w:t>
      </w:r>
      <w:r w:rsidRPr="00ED0E77">
        <w:rPr>
          <w:u w:val="double"/>
          <w:lang w:val="en-IE"/>
        </w:rPr>
        <w:t xml:space="preserve">the antimicrobial </w:t>
      </w:r>
      <w:r w:rsidR="0096556E" w:rsidRPr="00ED0E77">
        <w:rPr>
          <w:u w:val="double"/>
          <w:lang w:val="en-IE"/>
        </w:rPr>
        <w:t xml:space="preserve">agent in the swab onto </w:t>
      </w:r>
      <w:r w:rsidRPr="00ED0E77">
        <w:rPr>
          <w:u w:val="double"/>
          <w:lang w:val="en-IE"/>
        </w:rPr>
        <w:t xml:space="preserve">the culture </w:t>
      </w:r>
      <w:r w:rsidR="0096556E" w:rsidRPr="00ED0E77">
        <w:rPr>
          <w:u w:val="double"/>
          <w:lang w:val="en-IE"/>
        </w:rPr>
        <w:t>plate</w:t>
      </w:r>
      <w:r w:rsidRPr="00ED0E77">
        <w:rPr>
          <w:u w:val="double"/>
          <w:lang w:val="en-IE"/>
        </w:rPr>
        <w:t>, sub-lethal damage to the organism</w:t>
      </w:r>
      <w:r w:rsidR="0096556E" w:rsidRPr="00ED0E77">
        <w:rPr>
          <w:u w:val="double"/>
          <w:lang w:val="en-IE"/>
        </w:rPr>
        <w:t xml:space="preserve"> preventing its growth </w:t>
      </w:r>
      <w:r w:rsidR="0096556E" w:rsidRPr="00ED0E77">
        <w:rPr>
          <w:i/>
          <w:u w:val="double"/>
          <w:lang w:val="en-IE"/>
        </w:rPr>
        <w:t>in vitro</w:t>
      </w:r>
      <w:r w:rsidRPr="00ED0E77">
        <w:rPr>
          <w:u w:val="double"/>
          <w:lang w:val="en-IE"/>
        </w:rPr>
        <w:t xml:space="preserve"> or due to overgrowth by competing organisms. PCR detects the DNA of both viable and non-viable organism. If treatment does not involve adequate washing of debris from the anatomical sites used for swabbing, then DNA from the dead organism may persist. </w:t>
      </w:r>
      <w:r w:rsidR="0096556E" w:rsidRPr="00ED0E77">
        <w:rPr>
          <w:u w:val="double"/>
          <w:lang w:val="en-IE"/>
        </w:rPr>
        <w:t xml:space="preserve">For these reasons </w:t>
      </w:r>
      <w:r w:rsidRPr="00ED0E77">
        <w:rPr>
          <w:u w:val="double"/>
          <w:lang w:val="en-IE"/>
        </w:rPr>
        <w:t xml:space="preserve">it is common to test </w:t>
      </w:r>
      <w:r w:rsidR="0096556E" w:rsidRPr="00ED0E77">
        <w:rPr>
          <w:u w:val="double"/>
          <w:lang w:val="en-IE"/>
        </w:rPr>
        <w:t xml:space="preserve">by either method </w:t>
      </w:r>
      <w:r w:rsidRPr="00ED0E77">
        <w:rPr>
          <w:u w:val="double"/>
          <w:lang w:val="en-IE"/>
        </w:rPr>
        <w:t>a</w:t>
      </w:r>
      <w:r w:rsidR="0096556E" w:rsidRPr="00ED0E77">
        <w:rPr>
          <w:u w:val="double"/>
          <w:lang w:val="en-IE"/>
        </w:rPr>
        <w:t xml:space="preserve">t least 21 days after treatment. </w:t>
      </w:r>
      <w:r w:rsidRPr="00ED0E77">
        <w:rPr>
          <w:u w:val="double"/>
          <w:lang w:val="en-IE"/>
        </w:rPr>
        <w:t>In most cases adequate treatment will result in negative tests using both methods. However if discordant results between culture and PCR are found, it is advisable to assume that infection may still be present and consider re-treatment to eliminate the organism.</w:t>
      </w:r>
    </w:p>
    <w:p w14:paraId="0A2AAF87" w14:textId="0E682AC0" w:rsidR="00C23C2F" w:rsidRPr="00ED0E77" w:rsidRDefault="00E844B9" w:rsidP="00A82502">
      <w:pPr>
        <w:pStyle w:val="111"/>
        <w:rPr>
          <w:u w:val="double"/>
          <w:lang w:val="en-IE"/>
        </w:rPr>
      </w:pPr>
      <w:r w:rsidRPr="00ED0E77">
        <w:rPr>
          <w:u w:val="double"/>
          <w:lang w:val="en-IE"/>
        </w:rPr>
        <w:t>1.5.2</w:t>
      </w:r>
      <w:r w:rsidR="00A82502" w:rsidRPr="00ED0E77">
        <w:rPr>
          <w:u w:val="double"/>
          <w:lang w:val="en-IE"/>
        </w:rPr>
        <w:t>.</w:t>
      </w:r>
      <w:r w:rsidR="00A82502" w:rsidRPr="00ED0E77">
        <w:rPr>
          <w:u w:val="double"/>
          <w:lang w:val="en-IE"/>
        </w:rPr>
        <w:tab/>
      </w:r>
      <w:r w:rsidR="00C23C2F" w:rsidRPr="00ED0E77">
        <w:rPr>
          <w:u w:val="double"/>
          <w:lang w:val="en-IE"/>
        </w:rPr>
        <w:t>Semen testing</w:t>
      </w:r>
    </w:p>
    <w:p w14:paraId="6AB7FA7B" w14:textId="1A73EB75" w:rsidR="006E09E8" w:rsidRPr="00ED0E77" w:rsidRDefault="00733C1F" w:rsidP="00A82502">
      <w:pPr>
        <w:pStyle w:val="111Para"/>
        <w:rPr>
          <w:u w:val="double"/>
          <w:lang w:val="en-IE"/>
        </w:rPr>
      </w:pPr>
      <w:r w:rsidRPr="00ED0E77">
        <w:rPr>
          <w:u w:val="double"/>
          <w:lang w:val="en-IE"/>
        </w:rPr>
        <w:t xml:space="preserve">Table 1 refers to the tests validated for use with genital swabs rather than semen. </w:t>
      </w:r>
      <w:r w:rsidR="00C23C2F" w:rsidRPr="00ED0E77">
        <w:rPr>
          <w:u w:val="double"/>
          <w:lang w:val="en-IE"/>
        </w:rPr>
        <w:t xml:space="preserve">There </w:t>
      </w:r>
      <w:r w:rsidR="00E62AB3">
        <w:rPr>
          <w:u w:val="double"/>
          <w:lang w:val="en-IE"/>
        </w:rPr>
        <w:t>are</w:t>
      </w:r>
      <w:r w:rsidR="00C23C2F" w:rsidRPr="00ED0E77">
        <w:rPr>
          <w:u w:val="double"/>
          <w:lang w:val="en-IE"/>
        </w:rPr>
        <w:t xml:space="preserve"> little </w:t>
      </w:r>
      <w:r w:rsidR="00FA745D" w:rsidRPr="00ED0E77">
        <w:rPr>
          <w:u w:val="double"/>
          <w:lang w:val="en-IE"/>
        </w:rPr>
        <w:t xml:space="preserve">available </w:t>
      </w:r>
      <w:r w:rsidR="00C23C2F" w:rsidRPr="00ED0E77">
        <w:rPr>
          <w:u w:val="double"/>
          <w:lang w:val="en-IE"/>
        </w:rPr>
        <w:t xml:space="preserve">data on the relative diagnostic sensitivity of testing semen </w:t>
      </w:r>
      <w:r w:rsidR="00EB3ED5" w:rsidRPr="00ED0E77">
        <w:rPr>
          <w:u w:val="double"/>
          <w:lang w:val="en-IE"/>
        </w:rPr>
        <w:t xml:space="preserve">compared </w:t>
      </w:r>
      <w:r w:rsidR="00E62AB3">
        <w:rPr>
          <w:u w:val="double"/>
          <w:lang w:val="en-IE"/>
        </w:rPr>
        <w:t>with</w:t>
      </w:r>
      <w:r w:rsidR="00EB3ED5" w:rsidRPr="00ED0E77">
        <w:rPr>
          <w:u w:val="double"/>
          <w:lang w:val="en-IE"/>
        </w:rPr>
        <w:t xml:space="preserve"> genital swabs </w:t>
      </w:r>
      <w:r w:rsidR="00C23C2F" w:rsidRPr="00ED0E77">
        <w:rPr>
          <w:u w:val="double"/>
          <w:lang w:val="en-IE"/>
        </w:rPr>
        <w:t>from the stallion</w:t>
      </w:r>
      <w:r w:rsidR="00EB3ED5" w:rsidRPr="00ED0E77">
        <w:rPr>
          <w:u w:val="double"/>
          <w:lang w:val="en-IE"/>
        </w:rPr>
        <w:t xml:space="preserve"> (</w:t>
      </w:r>
      <w:r w:rsidR="00975AF8" w:rsidRPr="00ED0E77">
        <w:rPr>
          <w:u w:val="double"/>
          <w:lang w:val="en-IE"/>
        </w:rPr>
        <w:t xml:space="preserve">Al-Kass </w:t>
      </w:r>
      <w:r w:rsidR="00975AF8" w:rsidRPr="00ED0E77">
        <w:rPr>
          <w:i/>
          <w:iCs/>
          <w:u w:val="double"/>
          <w:lang w:val="en-IE"/>
        </w:rPr>
        <w:t xml:space="preserve">et al., </w:t>
      </w:r>
      <w:r w:rsidR="00975AF8" w:rsidRPr="00ED0E77">
        <w:rPr>
          <w:u w:val="double"/>
          <w:lang w:val="en-IE"/>
        </w:rPr>
        <w:t xml:space="preserve">2019; </w:t>
      </w:r>
      <w:r w:rsidRPr="00ED0E77">
        <w:rPr>
          <w:u w:val="double"/>
          <w:lang w:val="en-IE"/>
        </w:rPr>
        <w:t xml:space="preserve">Erdman </w:t>
      </w:r>
      <w:r w:rsidRPr="00ED0E77">
        <w:rPr>
          <w:i/>
          <w:iCs/>
          <w:u w:val="double"/>
          <w:lang w:val="en-IE"/>
        </w:rPr>
        <w:t>et al</w:t>
      </w:r>
      <w:r w:rsidR="00975AF8" w:rsidRPr="00ED0E77">
        <w:rPr>
          <w:i/>
          <w:iCs/>
          <w:u w:val="double"/>
          <w:lang w:val="en-IE"/>
        </w:rPr>
        <w:t>.,</w:t>
      </w:r>
      <w:r w:rsidRPr="00ED0E77">
        <w:rPr>
          <w:i/>
          <w:iCs/>
          <w:u w:val="double"/>
          <w:lang w:val="en-IE"/>
        </w:rPr>
        <w:t xml:space="preserve"> </w:t>
      </w:r>
      <w:r w:rsidRPr="00ED0E77">
        <w:rPr>
          <w:u w:val="double"/>
          <w:lang w:val="en-IE"/>
        </w:rPr>
        <w:t>2011</w:t>
      </w:r>
      <w:r w:rsidR="00EB3ED5" w:rsidRPr="00ED0E77">
        <w:rPr>
          <w:u w:val="double"/>
          <w:lang w:val="en-IE"/>
        </w:rPr>
        <w:t>).</w:t>
      </w:r>
      <w:r w:rsidR="00C23C2F" w:rsidRPr="00ED0E77">
        <w:rPr>
          <w:u w:val="double"/>
          <w:lang w:val="en-IE"/>
        </w:rPr>
        <w:t xml:space="preserve"> Semen testing is therefore usually used as an adjunct</w:t>
      </w:r>
      <w:r w:rsidR="00EB3ED5" w:rsidRPr="00ED0E77">
        <w:rPr>
          <w:u w:val="double"/>
          <w:lang w:val="en-IE"/>
        </w:rPr>
        <w:t xml:space="preserve"> to rather than a substitute for swabbing the </w:t>
      </w:r>
      <w:r w:rsidR="00EA3602" w:rsidRPr="00ED0E77">
        <w:rPr>
          <w:u w:val="double"/>
          <w:lang w:val="en-IE"/>
        </w:rPr>
        <w:t>horse</w:t>
      </w:r>
      <w:r w:rsidRPr="00ED0E77">
        <w:rPr>
          <w:u w:val="double"/>
          <w:lang w:val="en-IE"/>
        </w:rPr>
        <w:t>.</w:t>
      </w:r>
      <w:r w:rsidR="00EA3602" w:rsidRPr="00ED0E77">
        <w:rPr>
          <w:u w:val="double"/>
          <w:lang w:val="en-IE"/>
        </w:rPr>
        <w:t xml:space="preserve"> </w:t>
      </w:r>
      <w:r w:rsidR="00C23C2F" w:rsidRPr="00ED0E77">
        <w:rPr>
          <w:u w:val="double"/>
          <w:lang w:val="en-IE"/>
        </w:rPr>
        <w:t xml:space="preserve">There </w:t>
      </w:r>
      <w:r w:rsidR="00E62AB3">
        <w:rPr>
          <w:u w:val="double"/>
          <w:lang w:val="en-IE"/>
        </w:rPr>
        <w:t>are</w:t>
      </w:r>
      <w:r w:rsidR="00C23C2F" w:rsidRPr="00ED0E77">
        <w:rPr>
          <w:u w:val="double"/>
          <w:lang w:val="en-IE"/>
        </w:rPr>
        <w:t xml:space="preserve"> </w:t>
      </w:r>
      <w:r w:rsidR="00EA3602" w:rsidRPr="00ED0E77">
        <w:rPr>
          <w:u w:val="double"/>
          <w:lang w:val="en-IE"/>
        </w:rPr>
        <w:t xml:space="preserve">limited </w:t>
      </w:r>
      <w:r w:rsidR="00C23C2F" w:rsidRPr="00ED0E77">
        <w:rPr>
          <w:u w:val="double"/>
          <w:lang w:val="en-IE"/>
        </w:rPr>
        <w:t>data on the use of either culture or PCR in semen</w:t>
      </w:r>
      <w:r w:rsidR="00E93682" w:rsidRPr="00ED0E77">
        <w:rPr>
          <w:u w:val="double"/>
          <w:lang w:val="en-IE"/>
        </w:rPr>
        <w:t xml:space="preserve"> or the viabil</w:t>
      </w:r>
      <w:r w:rsidR="005E6553" w:rsidRPr="00ED0E77">
        <w:rPr>
          <w:u w:val="double"/>
          <w:lang w:val="en-IE"/>
        </w:rPr>
        <w:t xml:space="preserve">ity of the organism in transit. </w:t>
      </w:r>
      <w:r w:rsidR="00C23C2F" w:rsidRPr="00ED0E77">
        <w:rPr>
          <w:u w:val="double"/>
          <w:lang w:val="en-IE"/>
        </w:rPr>
        <w:t xml:space="preserve">Published data indicate the organism </w:t>
      </w:r>
      <w:r w:rsidR="005E6553" w:rsidRPr="00ED0E77">
        <w:rPr>
          <w:u w:val="double"/>
          <w:lang w:val="en-IE"/>
        </w:rPr>
        <w:t xml:space="preserve">can </w:t>
      </w:r>
      <w:r w:rsidR="00EB3ED5" w:rsidRPr="00ED0E77">
        <w:rPr>
          <w:u w:val="double"/>
          <w:lang w:val="en-IE"/>
        </w:rPr>
        <w:t xml:space="preserve">remain </w:t>
      </w:r>
      <w:r w:rsidR="00EC298F" w:rsidRPr="00ED0E77">
        <w:rPr>
          <w:u w:val="double"/>
          <w:lang w:val="en-IE"/>
        </w:rPr>
        <w:t xml:space="preserve">viable </w:t>
      </w:r>
      <w:r w:rsidR="00EB3ED5" w:rsidRPr="00ED0E77">
        <w:rPr>
          <w:u w:val="double"/>
          <w:lang w:val="en-IE"/>
        </w:rPr>
        <w:t>after</w:t>
      </w:r>
      <w:r w:rsidR="00EC298F" w:rsidRPr="00ED0E77">
        <w:rPr>
          <w:u w:val="double"/>
          <w:lang w:val="en-IE"/>
        </w:rPr>
        <w:t xml:space="preserve"> freezing semen</w:t>
      </w:r>
      <w:r w:rsidR="00E1380A" w:rsidRPr="00ED0E77">
        <w:rPr>
          <w:u w:val="double"/>
          <w:lang w:val="en-IE"/>
        </w:rPr>
        <w:t>, and i</w:t>
      </w:r>
      <w:r w:rsidR="00EB3ED5" w:rsidRPr="00ED0E77">
        <w:rPr>
          <w:u w:val="double"/>
          <w:lang w:val="en-IE"/>
        </w:rPr>
        <w:t>t</w:t>
      </w:r>
      <w:r w:rsidR="00EC298F" w:rsidRPr="00ED0E77">
        <w:rPr>
          <w:u w:val="double"/>
          <w:lang w:val="en-IE"/>
        </w:rPr>
        <w:t xml:space="preserve"> </w:t>
      </w:r>
      <w:r w:rsidR="00C23C2F" w:rsidRPr="00ED0E77">
        <w:rPr>
          <w:u w:val="double"/>
          <w:lang w:val="en-IE"/>
        </w:rPr>
        <w:t xml:space="preserve">can be readily recovered from </w:t>
      </w:r>
      <w:r w:rsidR="00E1380A" w:rsidRPr="00ED0E77">
        <w:rPr>
          <w:u w:val="double"/>
          <w:lang w:val="en-IE"/>
        </w:rPr>
        <w:t xml:space="preserve">fresh </w:t>
      </w:r>
      <w:r w:rsidR="00C23C2F" w:rsidRPr="00ED0E77">
        <w:rPr>
          <w:u w:val="double"/>
          <w:lang w:val="en-IE"/>
        </w:rPr>
        <w:t>semen by culture</w:t>
      </w:r>
      <w:r w:rsidR="00324A8D" w:rsidRPr="00324A8D">
        <w:rPr>
          <w:lang w:val="en-IE"/>
        </w:rPr>
        <w:t>.</w:t>
      </w:r>
      <w:r w:rsidR="00324A8D" w:rsidRPr="00324A8D">
        <w:rPr>
          <w:strike/>
          <w:lang w:val="en-IE"/>
        </w:rPr>
        <w:t xml:space="preserve"> </w:t>
      </w:r>
      <w:r w:rsidR="00C23C2F" w:rsidRPr="00324A8D">
        <w:rPr>
          <w:strike/>
          <w:highlight w:val="yellow"/>
          <w:lang w:val="en-IE"/>
        </w:rPr>
        <w:t>but</w:t>
      </w:r>
      <w:r w:rsidR="00C23C2F" w:rsidRPr="00324A8D">
        <w:rPr>
          <w:lang w:val="en-IE"/>
        </w:rPr>
        <w:t xml:space="preserve"> </w:t>
      </w:r>
      <w:r w:rsidR="00324A8D" w:rsidRPr="00324A8D">
        <w:rPr>
          <w:u w:val="double"/>
          <w:lang w:val="en-IE"/>
        </w:rPr>
        <w:t>It</w:t>
      </w:r>
      <w:r w:rsidR="00324A8D" w:rsidRPr="00ED0E77">
        <w:rPr>
          <w:u w:val="double"/>
          <w:lang w:val="en-IE"/>
        </w:rPr>
        <w:t xml:space="preserve">s </w:t>
      </w:r>
      <w:r w:rsidR="00EB3ED5" w:rsidRPr="00324A8D">
        <w:rPr>
          <w:u w:val="double"/>
          <w:lang w:val="en-IE"/>
        </w:rPr>
        <w:t>growth</w:t>
      </w:r>
      <w:r w:rsidR="00324A8D">
        <w:rPr>
          <w:u w:val="double"/>
          <w:lang w:val="en-IE"/>
        </w:rPr>
        <w:t xml:space="preserve"> </w:t>
      </w:r>
      <w:r w:rsidR="00324A8D" w:rsidRPr="00324A8D">
        <w:rPr>
          <w:highlight w:val="yellow"/>
          <w:u w:val="double"/>
          <w:lang w:val="en-IE"/>
        </w:rPr>
        <w:t>in culture</w:t>
      </w:r>
      <w:r w:rsidR="00EB3ED5" w:rsidRPr="00324A8D">
        <w:rPr>
          <w:u w:val="double"/>
          <w:lang w:val="en-IE"/>
        </w:rPr>
        <w:t xml:space="preserve"> </w:t>
      </w:r>
      <w:r w:rsidR="00C23C2F" w:rsidRPr="00324A8D">
        <w:rPr>
          <w:u w:val="double"/>
          <w:lang w:val="en-IE"/>
        </w:rPr>
        <w:t xml:space="preserve">is </w:t>
      </w:r>
      <w:r w:rsidR="00324A8D" w:rsidRPr="00324A8D">
        <w:rPr>
          <w:highlight w:val="yellow"/>
          <w:u w:val="double"/>
          <w:lang w:val="en-IE"/>
        </w:rPr>
        <w:t>often completely</w:t>
      </w:r>
      <w:r w:rsidR="00324A8D">
        <w:rPr>
          <w:u w:val="double"/>
          <w:lang w:val="en-IE"/>
        </w:rPr>
        <w:t xml:space="preserve"> </w:t>
      </w:r>
      <w:r w:rsidR="00C23C2F" w:rsidRPr="00ED0E77">
        <w:rPr>
          <w:u w:val="double"/>
          <w:lang w:val="en-IE"/>
        </w:rPr>
        <w:t>inhibited by antibiotic</w:t>
      </w:r>
      <w:r w:rsidR="00E62AB3">
        <w:rPr>
          <w:u w:val="double"/>
          <w:lang w:val="en-IE"/>
        </w:rPr>
        <w:t>s</w:t>
      </w:r>
      <w:r w:rsidR="00C23C2F" w:rsidRPr="00ED0E77">
        <w:rPr>
          <w:u w:val="double"/>
          <w:lang w:val="en-IE"/>
        </w:rPr>
        <w:t xml:space="preserve"> in semen extender</w:t>
      </w:r>
      <w:r w:rsidR="00E1380A" w:rsidRPr="00ED0E77">
        <w:rPr>
          <w:u w:val="double"/>
          <w:lang w:val="en-IE"/>
        </w:rPr>
        <w:t xml:space="preserve"> (</w:t>
      </w:r>
      <w:r w:rsidR="00975AF8" w:rsidRPr="00ED0E77">
        <w:rPr>
          <w:u w:val="double"/>
          <w:lang w:val="en-IE"/>
        </w:rPr>
        <w:t xml:space="preserve">Klein </w:t>
      </w:r>
      <w:r w:rsidR="00975AF8" w:rsidRPr="00ED0E77">
        <w:rPr>
          <w:i/>
          <w:iCs/>
          <w:u w:val="double"/>
          <w:lang w:val="en-IE"/>
        </w:rPr>
        <w:t>et al.,</w:t>
      </w:r>
      <w:r w:rsidR="00975AF8" w:rsidRPr="00ED0E77">
        <w:rPr>
          <w:u w:val="double"/>
          <w:lang w:val="en-IE"/>
        </w:rPr>
        <w:t xml:space="preserve"> 2012; </w:t>
      </w:r>
      <w:r w:rsidR="00E1380A" w:rsidRPr="00ED0E77">
        <w:rPr>
          <w:u w:val="double"/>
          <w:lang w:val="en-IE"/>
        </w:rPr>
        <w:t xml:space="preserve">Olivieri </w:t>
      </w:r>
      <w:r w:rsidR="00E1380A" w:rsidRPr="00ED0E77">
        <w:rPr>
          <w:i/>
          <w:iCs/>
          <w:u w:val="double"/>
          <w:lang w:val="en-IE"/>
        </w:rPr>
        <w:t>et al</w:t>
      </w:r>
      <w:r w:rsidR="00F92474" w:rsidRPr="00ED0E77">
        <w:rPr>
          <w:i/>
          <w:iCs/>
          <w:u w:val="double"/>
          <w:lang w:val="en-IE"/>
        </w:rPr>
        <w:t>.</w:t>
      </w:r>
      <w:r w:rsidR="00E1380A" w:rsidRPr="00ED0E77">
        <w:rPr>
          <w:i/>
          <w:iCs/>
          <w:u w:val="double"/>
          <w:lang w:val="en-IE"/>
        </w:rPr>
        <w:t>,</w:t>
      </w:r>
      <w:r w:rsidR="00E1380A" w:rsidRPr="00ED0E77">
        <w:rPr>
          <w:u w:val="double"/>
          <w:lang w:val="en-IE"/>
        </w:rPr>
        <w:t xml:space="preserve"> 2011</w:t>
      </w:r>
      <w:r w:rsidR="00E1380A" w:rsidRPr="00DB3721">
        <w:t>)</w:t>
      </w:r>
      <w:r w:rsidR="00D3343F" w:rsidRPr="00D3343F">
        <w:rPr>
          <w:highlight w:val="yellow"/>
          <w:u w:val="double"/>
        </w:rPr>
        <w:t>,</w:t>
      </w:r>
      <w:r w:rsidR="005C0824" w:rsidRPr="00D3343F">
        <w:rPr>
          <w:highlight w:val="yellow"/>
          <w:u w:val="double"/>
        </w:rPr>
        <w:t xml:space="preserve"> </w:t>
      </w:r>
      <w:r w:rsidR="00D334D5">
        <w:rPr>
          <w:highlight w:val="yellow"/>
          <w:u w:val="double"/>
        </w:rPr>
        <w:t>but</w:t>
      </w:r>
      <w:r w:rsidR="005C0824" w:rsidRPr="00D3343F">
        <w:rPr>
          <w:highlight w:val="yellow"/>
          <w:u w:val="double"/>
        </w:rPr>
        <w:t xml:space="preserve"> this is not always the case</w:t>
      </w:r>
      <w:r w:rsidR="00324A8D">
        <w:rPr>
          <w:highlight w:val="yellow"/>
          <w:u w:val="double"/>
        </w:rPr>
        <w:t>, and semen may remain infective in the presence of extender</w:t>
      </w:r>
      <w:r w:rsidR="005C0824" w:rsidRPr="00D3343F">
        <w:rPr>
          <w:highlight w:val="yellow"/>
          <w:u w:val="double"/>
        </w:rPr>
        <w:t xml:space="preserve"> (Delerue </w:t>
      </w:r>
      <w:r w:rsidR="005C0824" w:rsidRPr="00D3343F">
        <w:rPr>
          <w:i/>
          <w:iCs/>
          <w:highlight w:val="yellow"/>
          <w:u w:val="double"/>
        </w:rPr>
        <w:t>et al.,</w:t>
      </w:r>
      <w:r w:rsidR="005C0824" w:rsidRPr="00D3343F">
        <w:rPr>
          <w:highlight w:val="yellow"/>
          <w:u w:val="double"/>
        </w:rPr>
        <w:t xml:space="preserve"> 2019).</w:t>
      </w:r>
      <w:r w:rsidR="00C23C2F" w:rsidRPr="00ED0E77">
        <w:rPr>
          <w:u w:val="double"/>
          <w:lang w:val="en-IE"/>
        </w:rPr>
        <w:t xml:space="preserve"> </w:t>
      </w:r>
      <w:r w:rsidR="009330D2" w:rsidRPr="00ED0E77">
        <w:rPr>
          <w:u w:val="double"/>
          <w:lang w:val="en-IE"/>
        </w:rPr>
        <w:t>Further data from a semen spiking study indicated</w:t>
      </w:r>
      <w:r w:rsidR="00C23C2F" w:rsidRPr="00ED0E77">
        <w:rPr>
          <w:u w:val="double"/>
          <w:lang w:val="en-IE"/>
        </w:rPr>
        <w:t xml:space="preserve"> that culture can be very sensitive if the semen is pure and fresh</w:t>
      </w:r>
      <w:r w:rsidR="00881773" w:rsidRPr="00ED0E77">
        <w:rPr>
          <w:u w:val="double"/>
          <w:lang w:val="en-IE"/>
        </w:rPr>
        <w:t xml:space="preserve">, but </w:t>
      </w:r>
      <w:r w:rsidR="009330D2" w:rsidRPr="00ED0E77">
        <w:rPr>
          <w:u w:val="double"/>
          <w:lang w:val="en-IE"/>
        </w:rPr>
        <w:t xml:space="preserve">extended semen </w:t>
      </w:r>
      <w:r w:rsidR="00881773" w:rsidRPr="00ED0E77">
        <w:rPr>
          <w:u w:val="double"/>
          <w:lang w:val="en-IE"/>
        </w:rPr>
        <w:t>containing</w:t>
      </w:r>
      <w:r w:rsidR="00C23C2F" w:rsidRPr="00ED0E77">
        <w:rPr>
          <w:u w:val="double"/>
          <w:lang w:val="en-IE"/>
        </w:rPr>
        <w:t xml:space="preserve"> antibiotics showed </w:t>
      </w:r>
      <w:r w:rsidR="00881773" w:rsidRPr="00ED0E77">
        <w:rPr>
          <w:u w:val="double"/>
          <w:lang w:val="en-IE"/>
        </w:rPr>
        <w:t xml:space="preserve">a </w:t>
      </w:r>
      <w:r w:rsidR="009330D2" w:rsidRPr="00ED0E77">
        <w:rPr>
          <w:u w:val="double"/>
          <w:lang w:val="en-IE"/>
        </w:rPr>
        <w:t xml:space="preserve">rapidly reduced </w:t>
      </w:r>
      <w:r w:rsidR="00881773" w:rsidRPr="00ED0E77">
        <w:rPr>
          <w:u w:val="double"/>
          <w:lang w:val="en-IE"/>
        </w:rPr>
        <w:t>detection level</w:t>
      </w:r>
      <w:r w:rsidR="00C4272E" w:rsidRPr="00ED0E77">
        <w:rPr>
          <w:u w:val="double"/>
          <w:lang w:val="en-IE"/>
        </w:rPr>
        <w:t>, and r</w:t>
      </w:r>
      <w:r w:rsidR="00C23C2F" w:rsidRPr="00ED0E77">
        <w:rPr>
          <w:u w:val="double"/>
          <w:lang w:val="en-IE"/>
        </w:rPr>
        <w:t xml:space="preserve">efrigerated storage </w:t>
      </w:r>
      <w:r w:rsidR="00785778" w:rsidRPr="00ED0E77">
        <w:rPr>
          <w:u w:val="double"/>
          <w:lang w:val="en-IE"/>
        </w:rPr>
        <w:t xml:space="preserve">of semen samples </w:t>
      </w:r>
      <w:r w:rsidR="009330D2" w:rsidRPr="00ED0E77">
        <w:rPr>
          <w:u w:val="double"/>
          <w:lang w:val="en-IE"/>
        </w:rPr>
        <w:t xml:space="preserve">over many days resulted in poor </w:t>
      </w:r>
      <w:r w:rsidR="00C23C2F" w:rsidRPr="00ED0E77">
        <w:rPr>
          <w:u w:val="double"/>
          <w:lang w:val="en-IE"/>
        </w:rPr>
        <w:t xml:space="preserve">detection of </w:t>
      </w:r>
      <w:r w:rsidR="00C23C2F" w:rsidRPr="00ED0E77">
        <w:rPr>
          <w:i/>
          <w:u w:val="double"/>
          <w:lang w:val="en-IE"/>
        </w:rPr>
        <w:t>T</w:t>
      </w:r>
      <w:r w:rsidR="00E62AB3">
        <w:rPr>
          <w:i/>
          <w:u w:val="double"/>
          <w:lang w:val="en-IE"/>
        </w:rPr>
        <w:t>. </w:t>
      </w:r>
      <w:r w:rsidR="00C23C2F" w:rsidRPr="00ED0E77">
        <w:rPr>
          <w:i/>
          <w:u w:val="double"/>
          <w:lang w:val="en-IE"/>
        </w:rPr>
        <w:t>equigenitalis</w:t>
      </w:r>
      <w:r w:rsidR="00C4272E" w:rsidRPr="00ED0E77">
        <w:rPr>
          <w:i/>
          <w:u w:val="double"/>
          <w:lang w:val="en-IE"/>
        </w:rPr>
        <w:t xml:space="preserve"> </w:t>
      </w:r>
      <w:r w:rsidR="00C4272E" w:rsidRPr="00ED0E77">
        <w:rPr>
          <w:u w:val="double"/>
          <w:lang w:val="en-IE"/>
        </w:rPr>
        <w:t>by culture</w:t>
      </w:r>
      <w:r w:rsidR="00C23C2F" w:rsidRPr="00ED0E77">
        <w:rPr>
          <w:u w:val="double"/>
          <w:lang w:val="en-IE"/>
        </w:rPr>
        <w:t xml:space="preserve"> </w:t>
      </w:r>
      <w:r w:rsidR="009330D2" w:rsidRPr="00ED0E77">
        <w:rPr>
          <w:u w:val="double"/>
          <w:lang w:val="en-IE"/>
        </w:rPr>
        <w:t>for</w:t>
      </w:r>
      <w:r w:rsidR="00785778" w:rsidRPr="00ED0E77">
        <w:rPr>
          <w:u w:val="double"/>
          <w:lang w:val="en-IE"/>
        </w:rPr>
        <w:t xml:space="preserve"> both pure and extended semen</w:t>
      </w:r>
      <w:r w:rsidR="009330D2" w:rsidRPr="00ED0E77">
        <w:rPr>
          <w:u w:val="double"/>
          <w:lang w:val="en-IE"/>
        </w:rPr>
        <w:t xml:space="preserve"> due to overgrowth with commensal organisms</w:t>
      </w:r>
      <w:r w:rsidR="00C23C2F" w:rsidRPr="00ED0E77">
        <w:rPr>
          <w:u w:val="double"/>
          <w:lang w:val="en-IE"/>
        </w:rPr>
        <w:t xml:space="preserve">. </w:t>
      </w:r>
      <w:r w:rsidR="00785778" w:rsidRPr="00ED0E77">
        <w:rPr>
          <w:u w:val="double"/>
          <w:lang w:val="en-IE"/>
        </w:rPr>
        <w:t>A</w:t>
      </w:r>
      <w:r w:rsidR="00C23C2F" w:rsidRPr="00ED0E77">
        <w:rPr>
          <w:u w:val="double"/>
          <w:lang w:val="en-IE"/>
        </w:rPr>
        <w:t xml:space="preserve"> </w:t>
      </w:r>
      <w:r w:rsidR="00E62AB3">
        <w:rPr>
          <w:u w:val="double"/>
          <w:lang w:val="en-IE"/>
        </w:rPr>
        <w:t xml:space="preserve">real-time </w:t>
      </w:r>
      <w:r w:rsidR="00C23C2F" w:rsidRPr="00ED0E77">
        <w:rPr>
          <w:u w:val="double"/>
          <w:lang w:val="en-IE"/>
        </w:rPr>
        <w:t xml:space="preserve">PCR (Wakeley </w:t>
      </w:r>
      <w:r w:rsidR="00C23C2F" w:rsidRPr="00ED0E77">
        <w:rPr>
          <w:i/>
          <w:iCs/>
          <w:u w:val="double"/>
          <w:lang w:val="en-IE"/>
        </w:rPr>
        <w:t>et al</w:t>
      </w:r>
      <w:r w:rsidR="00F92474" w:rsidRPr="00ED0E77">
        <w:rPr>
          <w:i/>
          <w:iCs/>
          <w:u w:val="double"/>
          <w:lang w:val="en-IE"/>
        </w:rPr>
        <w:t>.</w:t>
      </w:r>
      <w:r w:rsidR="00C23C2F" w:rsidRPr="00ED0E77">
        <w:rPr>
          <w:i/>
          <w:iCs/>
          <w:u w:val="double"/>
          <w:lang w:val="en-IE"/>
        </w:rPr>
        <w:t>,</w:t>
      </w:r>
      <w:r w:rsidR="00C23C2F" w:rsidRPr="00ED0E77">
        <w:rPr>
          <w:u w:val="double"/>
          <w:lang w:val="en-IE"/>
        </w:rPr>
        <w:t xml:space="preserve"> 2006</w:t>
      </w:r>
      <w:r w:rsidR="00881773" w:rsidRPr="00ED0E77">
        <w:rPr>
          <w:u w:val="double"/>
          <w:lang w:val="en-IE"/>
        </w:rPr>
        <w:t xml:space="preserve">) with a DNA extraction </w:t>
      </w:r>
      <w:r w:rsidR="00C4272E" w:rsidRPr="00ED0E77">
        <w:rPr>
          <w:u w:val="double"/>
          <w:lang w:val="en-IE"/>
        </w:rPr>
        <w:t>step</w:t>
      </w:r>
      <w:r w:rsidR="00C23C2F" w:rsidRPr="00ED0E77">
        <w:rPr>
          <w:u w:val="double"/>
          <w:lang w:val="en-IE"/>
        </w:rPr>
        <w:t xml:space="preserve"> used on the same samples was reasonably sensitive and not </w:t>
      </w:r>
      <w:r w:rsidR="00E93682" w:rsidRPr="00ED0E77">
        <w:rPr>
          <w:u w:val="double"/>
          <w:lang w:val="en-IE"/>
        </w:rPr>
        <w:t>diminished</w:t>
      </w:r>
      <w:r w:rsidR="00C23C2F" w:rsidRPr="00ED0E77">
        <w:rPr>
          <w:u w:val="double"/>
          <w:lang w:val="en-IE"/>
        </w:rPr>
        <w:t xml:space="preserve"> by extender</w:t>
      </w:r>
      <w:r w:rsidR="00C4272E" w:rsidRPr="00ED0E77">
        <w:rPr>
          <w:u w:val="double"/>
          <w:lang w:val="en-IE"/>
        </w:rPr>
        <w:t xml:space="preserve"> nor by storage</w:t>
      </w:r>
      <w:r w:rsidR="00975AF8" w:rsidRPr="00ED0E77">
        <w:rPr>
          <w:u w:val="double"/>
          <w:lang w:val="en-IE"/>
        </w:rPr>
        <w:t>.</w:t>
      </w:r>
      <w:r w:rsidR="00C23C2F" w:rsidRPr="00ED0E77">
        <w:rPr>
          <w:u w:val="double"/>
          <w:lang w:val="en-IE"/>
        </w:rPr>
        <w:t xml:space="preserve"> </w:t>
      </w:r>
      <w:r w:rsidR="007335D4" w:rsidRPr="00ED0E77">
        <w:rPr>
          <w:u w:val="double"/>
          <w:lang w:val="en-IE"/>
        </w:rPr>
        <w:t xml:space="preserve">There is an </w:t>
      </w:r>
      <w:r w:rsidR="00C23C2F" w:rsidRPr="00ED0E77">
        <w:rPr>
          <w:u w:val="double"/>
          <w:lang w:val="en-IE"/>
        </w:rPr>
        <w:t xml:space="preserve">inherent limit on the analytical sensitivity of PCR </w:t>
      </w:r>
      <w:r w:rsidR="007335D4" w:rsidRPr="00ED0E77">
        <w:rPr>
          <w:u w:val="double"/>
          <w:lang w:val="en-IE"/>
        </w:rPr>
        <w:t>due to</w:t>
      </w:r>
      <w:r w:rsidR="00C23C2F" w:rsidRPr="00ED0E77">
        <w:rPr>
          <w:u w:val="double"/>
          <w:lang w:val="en-IE"/>
        </w:rPr>
        <w:t xml:space="preserve"> the quantity of semen tha</w:t>
      </w:r>
      <w:r w:rsidR="00E1380A" w:rsidRPr="00ED0E77">
        <w:rPr>
          <w:u w:val="double"/>
          <w:lang w:val="en-IE"/>
        </w:rPr>
        <w:t xml:space="preserve">t is used in the DNA extraction and reaction </w:t>
      </w:r>
      <w:r w:rsidR="00C23C2F" w:rsidRPr="00ED0E77">
        <w:rPr>
          <w:u w:val="double"/>
          <w:lang w:val="en-IE"/>
        </w:rPr>
        <w:t>step</w:t>
      </w:r>
      <w:r w:rsidR="00E1380A" w:rsidRPr="00ED0E77">
        <w:rPr>
          <w:u w:val="double"/>
          <w:lang w:val="en-IE"/>
        </w:rPr>
        <w:t>s</w:t>
      </w:r>
      <w:r w:rsidR="00EA68B9" w:rsidRPr="00ED0E77">
        <w:rPr>
          <w:u w:val="double"/>
          <w:lang w:val="en-IE"/>
        </w:rPr>
        <w:t xml:space="preserve">, but it is not known </w:t>
      </w:r>
      <w:r w:rsidR="00985941" w:rsidRPr="00ED0E77">
        <w:rPr>
          <w:u w:val="double"/>
          <w:lang w:val="en-IE"/>
        </w:rPr>
        <w:t>if</w:t>
      </w:r>
      <w:r w:rsidR="00EA68B9" w:rsidRPr="00ED0E77">
        <w:rPr>
          <w:u w:val="double"/>
          <w:lang w:val="en-IE"/>
        </w:rPr>
        <w:t xml:space="preserve"> this </w:t>
      </w:r>
      <w:r w:rsidR="00985941" w:rsidRPr="00ED0E77">
        <w:rPr>
          <w:u w:val="double"/>
          <w:lang w:val="en-IE"/>
        </w:rPr>
        <w:t>limits</w:t>
      </w:r>
      <w:r w:rsidR="00EA68B9" w:rsidRPr="00ED0E77">
        <w:rPr>
          <w:u w:val="double"/>
          <w:lang w:val="en-IE"/>
        </w:rPr>
        <w:t xml:space="preserve"> the diagnostic sensitivity in carrier horses</w:t>
      </w:r>
      <w:r w:rsidR="00E93682" w:rsidRPr="00ED0E77">
        <w:rPr>
          <w:u w:val="double"/>
          <w:lang w:val="en-IE"/>
        </w:rPr>
        <w:t xml:space="preserve"> </w:t>
      </w:r>
      <w:r w:rsidR="00E62AB3">
        <w:rPr>
          <w:u w:val="double"/>
          <w:lang w:val="en-IE"/>
        </w:rPr>
        <w:t>as</w:t>
      </w:r>
      <w:r w:rsidR="00E93682" w:rsidRPr="00ED0E77">
        <w:rPr>
          <w:u w:val="double"/>
          <w:lang w:val="en-IE"/>
        </w:rPr>
        <w:t xml:space="preserve"> there </w:t>
      </w:r>
      <w:r w:rsidR="00E62AB3">
        <w:rPr>
          <w:u w:val="double"/>
          <w:lang w:val="en-IE"/>
        </w:rPr>
        <w:t>are</w:t>
      </w:r>
      <w:r w:rsidR="00E93682" w:rsidRPr="00ED0E77">
        <w:rPr>
          <w:u w:val="double"/>
          <w:lang w:val="en-IE"/>
        </w:rPr>
        <w:t xml:space="preserve"> little data on expected viable cell counts of </w:t>
      </w:r>
      <w:r w:rsidR="00E93682" w:rsidRPr="00ED0E77">
        <w:rPr>
          <w:i/>
          <w:u w:val="double"/>
          <w:lang w:val="en-IE"/>
        </w:rPr>
        <w:t>T</w:t>
      </w:r>
      <w:r w:rsidR="00E62AB3">
        <w:rPr>
          <w:i/>
          <w:u w:val="double"/>
          <w:lang w:val="en-IE"/>
        </w:rPr>
        <w:t>. </w:t>
      </w:r>
      <w:r w:rsidR="00E93682" w:rsidRPr="00ED0E77">
        <w:rPr>
          <w:i/>
          <w:u w:val="double"/>
          <w:lang w:val="en-IE"/>
        </w:rPr>
        <w:t>equigenitalis</w:t>
      </w:r>
      <w:r w:rsidR="00E93682" w:rsidRPr="00ED0E77">
        <w:rPr>
          <w:u w:val="double"/>
          <w:lang w:val="en-IE"/>
        </w:rPr>
        <w:t xml:space="preserve"> in semen from infected horses</w:t>
      </w:r>
      <w:r w:rsidR="00C4272E" w:rsidRPr="00ED0E77">
        <w:rPr>
          <w:u w:val="double"/>
          <w:lang w:val="en-IE"/>
        </w:rPr>
        <w:t xml:space="preserve">. </w:t>
      </w:r>
      <w:r w:rsidR="00C23C2F" w:rsidRPr="00ED0E77">
        <w:rPr>
          <w:u w:val="double"/>
          <w:lang w:val="en-IE"/>
        </w:rPr>
        <w:t xml:space="preserve">A study </w:t>
      </w:r>
      <w:r w:rsidR="00785778" w:rsidRPr="00ED0E77">
        <w:rPr>
          <w:u w:val="double"/>
          <w:lang w:val="en-IE"/>
        </w:rPr>
        <w:t xml:space="preserve">using </w:t>
      </w:r>
      <w:r w:rsidR="00E62AB3">
        <w:rPr>
          <w:u w:val="double"/>
          <w:lang w:val="en-IE"/>
        </w:rPr>
        <w:t xml:space="preserve">real-time </w:t>
      </w:r>
      <w:r w:rsidR="00785778" w:rsidRPr="00ED0E77">
        <w:rPr>
          <w:u w:val="double"/>
          <w:lang w:val="en-IE"/>
        </w:rPr>
        <w:t>PCR on</w:t>
      </w:r>
      <w:r w:rsidR="00C23C2F" w:rsidRPr="00ED0E77">
        <w:rPr>
          <w:u w:val="double"/>
          <w:lang w:val="en-IE"/>
        </w:rPr>
        <w:t xml:space="preserve"> frozen extended semen samples from a naturally infected horse indicated that testing multiple aliquots from each ejaculate may enhance the sensitivity in detecting </w:t>
      </w:r>
      <w:r w:rsidR="00785778" w:rsidRPr="00ED0E77">
        <w:rPr>
          <w:u w:val="double"/>
          <w:lang w:val="en-IE"/>
        </w:rPr>
        <w:t>whether</w:t>
      </w:r>
      <w:r w:rsidR="00C23C2F" w:rsidRPr="00ED0E77">
        <w:rPr>
          <w:u w:val="double"/>
          <w:lang w:val="en-IE"/>
        </w:rPr>
        <w:t xml:space="preserve"> the donor horse was infected (Schulman </w:t>
      </w:r>
      <w:r w:rsidR="00C23C2F" w:rsidRPr="00ED0E77">
        <w:rPr>
          <w:i/>
          <w:iCs/>
          <w:u w:val="double"/>
          <w:lang w:val="en-IE"/>
        </w:rPr>
        <w:t>et al</w:t>
      </w:r>
      <w:r w:rsidR="00F92474" w:rsidRPr="00ED0E77">
        <w:rPr>
          <w:i/>
          <w:iCs/>
          <w:u w:val="double"/>
          <w:lang w:val="en-IE"/>
        </w:rPr>
        <w:t>.</w:t>
      </w:r>
      <w:r w:rsidR="00C4272E" w:rsidRPr="00ED0E77">
        <w:rPr>
          <w:i/>
          <w:iCs/>
          <w:u w:val="double"/>
          <w:lang w:val="en-IE"/>
        </w:rPr>
        <w:t>,</w:t>
      </w:r>
      <w:r w:rsidR="00C4272E" w:rsidRPr="00ED0E77">
        <w:rPr>
          <w:u w:val="double"/>
          <w:lang w:val="en-IE"/>
        </w:rPr>
        <w:t xml:space="preserve"> 2016</w:t>
      </w:r>
      <w:r w:rsidR="00C23C2F" w:rsidRPr="00ED0E77">
        <w:rPr>
          <w:u w:val="double"/>
          <w:lang w:val="en-IE"/>
        </w:rPr>
        <w:t xml:space="preserve">). The sensitivity of culture from frozen </w:t>
      </w:r>
      <w:r w:rsidR="005C4336" w:rsidRPr="00ED0E77">
        <w:rPr>
          <w:u w:val="double"/>
          <w:lang w:val="en-IE"/>
        </w:rPr>
        <w:t xml:space="preserve">extended </w:t>
      </w:r>
      <w:r w:rsidR="00C23C2F" w:rsidRPr="00ED0E77">
        <w:rPr>
          <w:u w:val="double"/>
          <w:lang w:val="en-IE"/>
        </w:rPr>
        <w:t xml:space="preserve">semen has not been </w:t>
      </w:r>
      <w:r w:rsidR="00E93682" w:rsidRPr="00ED0E77">
        <w:rPr>
          <w:u w:val="double"/>
          <w:lang w:val="en-IE"/>
        </w:rPr>
        <w:t xml:space="preserve">widely </w:t>
      </w:r>
      <w:r w:rsidR="00785778" w:rsidRPr="00ED0E77">
        <w:rPr>
          <w:u w:val="double"/>
          <w:lang w:val="en-IE"/>
        </w:rPr>
        <w:t>report</w:t>
      </w:r>
      <w:r w:rsidR="00C23C2F" w:rsidRPr="00ED0E77">
        <w:rPr>
          <w:u w:val="double"/>
          <w:lang w:val="en-IE"/>
        </w:rPr>
        <w:t>ed</w:t>
      </w:r>
      <w:r w:rsidR="00785778" w:rsidRPr="00ED0E77">
        <w:rPr>
          <w:u w:val="double"/>
          <w:lang w:val="en-IE"/>
        </w:rPr>
        <w:t xml:space="preserve"> but</w:t>
      </w:r>
      <w:r w:rsidR="00C23C2F" w:rsidRPr="00ED0E77">
        <w:rPr>
          <w:u w:val="double"/>
          <w:lang w:val="en-IE"/>
        </w:rPr>
        <w:t xml:space="preserve"> </w:t>
      </w:r>
      <w:r w:rsidR="00785778" w:rsidRPr="00ED0E77">
        <w:rPr>
          <w:u w:val="double"/>
          <w:lang w:val="en-IE"/>
        </w:rPr>
        <w:t>t</w:t>
      </w:r>
      <w:r w:rsidR="00C23C2F" w:rsidRPr="00ED0E77">
        <w:rPr>
          <w:u w:val="double"/>
          <w:lang w:val="en-IE"/>
        </w:rPr>
        <w:t xml:space="preserve">he limitations of culture for </w:t>
      </w:r>
      <w:r w:rsidR="00E1380A" w:rsidRPr="00ED0E77">
        <w:rPr>
          <w:u w:val="double"/>
          <w:lang w:val="en-IE"/>
        </w:rPr>
        <w:t xml:space="preserve">fresh </w:t>
      </w:r>
      <w:r w:rsidR="00C23C2F" w:rsidRPr="00ED0E77">
        <w:rPr>
          <w:u w:val="double"/>
          <w:lang w:val="en-IE"/>
        </w:rPr>
        <w:t>extended semen</w:t>
      </w:r>
      <w:r w:rsidR="00E93682" w:rsidRPr="00ED0E77">
        <w:rPr>
          <w:u w:val="double"/>
          <w:lang w:val="en-IE"/>
        </w:rPr>
        <w:t xml:space="preserve"> a</w:t>
      </w:r>
      <w:r w:rsidR="005E6553" w:rsidRPr="00ED0E77">
        <w:rPr>
          <w:u w:val="double"/>
          <w:lang w:val="en-IE"/>
        </w:rPr>
        <w:t>t least</w:t>
      </w:r>
      <w:r w:rsidR="00C23C2F" w:rsidRPr="00ED0E77">
        <w:rPr>
          <w:u w:val="double"/>
          <w:lang w:val="en-IE"/>
        </w:rPr>
        <w:t xml:space="preserve"> appl</w:t>
      </w:r>
      <w:r w:rsidR="00E37500" w:rsidRPr="00ED0E77">
        <w:rPr>
          <w:u w:val="double"/>
          <w:lang w:val="en-IE"/>
        </w:rPr>
        <w:t>y</w:t>
      </w:r>
      <w:r w:rsidR="00C23C2F" w:rsidRPr="00ED0E77">
        <w:rPr>
          <w:u w:val="double"/>
          <w:lang w:val="en-IE"/>
        </w:rPr>
        <w:t xml:space="preserve"> to frozen </w:t>
      </w:r>
      <w:r w:rsidR="00E93682" w:rsidRPr="00ED0E77">
        <w:rPr>
          <w:u w:val="double"/>
          <w:lang w:val="en-IE"/>
        </w:rPr>
        <w:t>samples.</w:t>
      </w:r>
      <w:r w:rsidR="006E09E8" w:rsidRPr="00ED0E77">
        <w:rPr>
          <w:u w:val="double"/>
          <w:lang w:val="en-IE"/>
        </w:rPr>
        <w:t xml:space="preserve"> Aliquots of semen and swabs dipped in semen have both been used as samples for culture and PCR, and the same conditions for transit are </w:t>
      </w:r>
      <w:r w:rsidR="00810BA0" w:rsidRPr="00ED0E77">
        <w:rPr>
          <w:u w:val="double"/>
          <w:lang w:val="en-IE"/>
        </w:rPr>
        <w:t xml:space="preserve">applied </w:t>
      </w:r>
      <w:r w:rsidR="006E09E8" w:rsidRPr="00ED0E77">
        <w:rPr>
          <w:u w:val="double"/>
          <w:lang w:val="en-IE"/>
        </w:rPr>
        <w:t xml:space="preserve">as </w:t>
      </w:r>
      <w:r w:rsidR="00810BA0" w:rsidRPr="00ED0E77">
        <w:rPr>
          <w:u w:val="double"/>
          <w:lang w:val="en-IE"/>
        </w:rPr>
        <w:t xml:space="preserve">for </w:t>
      </w:r>
      <w:r w:rsidR="006E09E8" w:rsidRPr="00ED0E77">
        <w:rPr>
          <w:u w:val="double"/>
          <w:lang w:val="en-IE"/>
        </w:rPr>
        <w:t>horse swab samples.</w:t>
      </w:r>
    </w:p>
    <w:p w14:paraId="63B6ED80" w14:textId="77777777" w:rsidR="0053190D" w:rsidRPr="00ED0E77" w:rsidRDefault="0053190D">
      <w:pPr>
        <w:pStyle w:val="1"/>
        <w:rPr>
          <w:lang w:val="en-IE"/>
        </w:rPr>
      </w:pPr>
      <w:r w:rsidRPr="00ED0E77">
        <w:rPr>
          <w:lang w:val="en-IE"/>
        </w:rPr>
        <w:t>2.</w:t>
      </w:r>
      <w:r w:rsidRPr="00ED0E77">
        <w:rPr>
          <w:lang w:val="en-IE"/>
        </w:rPr>
        <w:tab/>
        <w:t>Serological tests</w:t>
      </w:r>
    </w:p>
    <w:p w14:paraId="63B6ED81" w14:textId="77777777" w:rsidR="0053190D" w:rsidRPr="00ED0E77" w:rsidRDefault="0053190D" w:rsidP="00E64478">
      <w:pPr>
        <w:pStyle w:val="para1"/>
        <w:spacing w:after="360"/>
        <w:rPr>
          <w:lang w:val="en-IE"/>
        </w:rPr>
      </w:pPr>
      <w:r w:rsidRPr="00ED0E77">
        <w:rPr>
          <w:lang w:val="en-IE"/>
        </w:rPr>
        <w:t xml:space="preserve">No serological test described to date will, by itself, reliably detect infection for diagnosis and control. However, the complement fixation test has been used successfully as an adjunct to culture for </w:t>
      </w:r>
      <w:r w:rsidRPr="00ED0E77">
        <w:rPr>
          <w:i/>
          <w:iCs/>
          <w:lang w:val="en-IE"/>
        </w:rPr>
        <w:t>T. equigenitalis</w:t>
      </w:r>
      <w:r w:rsidRPr="00ED0E77">
        <w:rPr>
          <w:lang w:val="en-IE"/>
        </w:rPr>
        <w:t xml:space="preserve"> in screening mares between 21 and 45 days after being bred to a suspect carrier stallion.</w:t>
      </w:r>
    </w:p>
    <w:p w14:paraId="63B6ED82" w14:textId="77777777" w:rsidR="0053190D" w:rsidRPr="00ED0E77" w:rsidRDefault="0053190D">
      <w:pPr>
        <w:pStyle w:val="A0"/>
        <w:rPr>
          <w:lang w:val="en-IE"/>
        </w:rPr>
      </w:pPr>
      <w:r w:rsidRPr="00ED0E77">
        <w:rPr>
          <w:lang w:val="en-IE"/>
        </w:rPr>
        <w:t xml:space="preserve">c.  REQUIREMENTS FOR VACCINES </w:t>
      </w:r>
    </w:p>
    <w:p w14:paraId="63B6ED83" w14:textId="659CDB04" w:rsidR="0053190D" w:rsidRPr="00ED0E77" w:rsidRDefault="0053190D" w:rsidP="00E64478">
      <w:pPr>
        <w:pStyle w:val="paraA0"/>
        <w:spacing w:after="360"/>
        <w:rPr>
          <w:lang w:val="en-IE"/>
        </w:rPr>
      </w:pPr>
      <w:r w:rsidRPr="00ED0E77">
        <w:rPr>
          <w:lang w:val="en-IE"/>
        </w:rPr>
        <w:t xml:space="preserve">Effective vaccines that protect against contagious equine metritis or prevent colonisation by </w:t>
      </w:r>
      <w:r w:rsidRPr="00ED0E77">
        <w:rPr>
          <w:i/>
          <w:iCs/>
          <w:lang w:val="en-IE"/>
        </w:rPr>
        <w:t>T. equigenitalis</w:t>
      </w:r>
      <w:r w:rsidRPr="00ED0E77">
        <w:rPr>
          <w:lang w:val="en-IE"/>
        </w:rPr>
        <w:t xml:space="preserve"> are </w:t>
      </w:r>
      <w:r w:rsidR="000C7891" w:rsidRPr="00ED0E77">
        <w:rPr>
          <w:lang w:val="en-IE"/>
        </w:rPr>
        <w:t>currently un</w:t>
      </w:r>
      <w:r w:rsidRPr="00ED0E77">
        <w:rPr>
          <w:lang w:val="en-IE"/>
        </w:rPr>
        <w:t>available.</w:t>
      </w:r>
    </w:p>
    <w:p w14:paraId="63B6ED84" w14:textId="77777777" w:rsidR="0053190D" w:rsidRPr="00101C0B" w:rsidRDefault="0053190D" w:rsidP="0059378C">
      <w:pPr>
        <w:pStyle w:val="A0"/>
        <w:spacing w:after="280"/>
        <w:rPr>
          <w:sz w:val="22"/>
          <w:szCs w:val="22"/>
          <w:lang w:val="de-DE"/>
        </w:rPr>
      </w:pPr>
      <w:r w:rsidRPr="00101C0B">
        <w:rPr>
          <w:sz w:val="22"/>
          <w:szCs w:val="22"/>
          <w:lang w:val="de-DE"/>
        </w:rPr>
        <w:t>REFERENCES</w:t>
      </w:r>
    </w:p>
    <w:p w14:paraId="05F525ED" w14:textId="630EC89E" w:rsidR="00FA745D" w:rsidRPr="009963AF" w:rsidRDefault="00FA745D" w:rsidP="00726050">
      <w:pPr>
        <w:pStyle w:val="Ref"/>
        <w:spacing w:after="280"/>
        <w:rPr>
          <w:u w:val="double"/>
          <w:lang w:val="en-IE"/>
        </w:rPr>
      </w:pPr>
      <w:r w:rsidRPr="00101C0B">
        <w:rPr>
          <w:smallCaps/>
          <w:u w:val="double"/>
          <w:lang w:val="de-DE"/>
        </w:rPr>
        <w:t>Al</w:t>
      </w:r>
      <w:r w:rsidR="00EE4BA0" w:rsidRPr="00101C0B">
        <w:rPr>
          <w:smallCaps/>
          <w:u w:val="double"/>
          <w:lang w:val="de-DE"/>
        </w:rPr>
        <w:t xml:space="preserve">-Kass </w:t>
      </w:r>
      <w:r w:rsidRPr="00101C0B">
        <w:rPr>
          <w:smallCaps/>
          <w:u w:val="double"/>
          <w:lang w:val="de-DE"/>
        </w:rPr>
        <w:t>Z</w:t>
      </w:r>
      <w:r w:rsidR="00EE4BA0" w:rsidRPr="00101C0B">
        <w:rPr>
          <w:smallCaps/>
          <w:u w:val="double"/>
          <w:lang w:val="de-DE"/>
        </w:rPr>
        <w:t xml:space="preserve">., Eriksson </w:t>
      </w:r>
      <w:r w:rsidRPr="00101C0B">
        <w:rPr>
          <w:smallCaps/>
          <w:u w:val="double"/>
          <w:lang w:val="de-DE"/>
        </w:rPr>
        <w:t>E</w:t>
      </w:r>
      <w:r w:rsidR="00EE4BA0" w:rsidRPr="00101C0B">
        <w:rPr>
          <w:smallCaps/>
          <w:u w:val="double"/>
          <w:lang w:val="de-DE"/>
        </w:rPr>
        <w:t xml:space="preserve">., Bagge </w:t>
      </w:r>
      <w:r w:rsidRPr="00101C0B">
        <w:rPr>
          <w:smallCaps/>
          <w:u w:val="double"/>
          <w:lang w:val="de-DE"/>
        </w:rPr>
        <w:t>E</w:t>
      </w:r>
      <w:r w:rsidR="00EE4BA0" w:rsidRPr="00101C0B">
        <w:rPr>
          <w:smallCaps/>
          <w:u w:val="double"/>
          <w:lang w:val="de-DE"/>
        </w:rPr>
        <w:t xml:space="preserve">., Wallgren </w:t>
      </w:r>
      <w:r w:rsidRPr="00101C0B">
        <w:rPr>
          <w:smallCaps/>
          <w:u w:val="double"/>
          <w:lang w:val="de-DE"/>
        </w:rPr>
        <w:t>M</w:t>
      </w:r>
      <w:r w:rsidR="00EE4BA0" w:rsidRPr="00101C0B">
        <w:rPr>
          <w:smallCaps/>
          <w:u w:val="double"/>
          <w:lang w:val="de-DE"/>
        </w:rPr>
        <w:t xml:space="preserve">. &amp; Morrell </w:t>
      </w:r>
      <w:r w:rsidRPr="00101C0B">
        <w:rPr>
          <w:smallCaps/>
          <w:u w:val="double"/>
          <w:lang w:val="de-DE"/>
        </w:rPr>
        <w:t>J</w:t>
      </w:r>
      <w:r w:rsidR="00EE4BA0" w:rsidRPr="00101C0B">
        <w:rPr>
          <w:smallCaps/>
          <w:u w:val="double"/>
          <w:lang w:val="de-DE"/>
        </w:rPr>
        <w:t>.</w:t>
      </w:r>
      <w:r w:rsidRPr="00101C0B">
        <w:rPr>
          <w:smallCaps/>
          <w:u w:val="double"/>
          <w:lang w:val="de-DE"/>
        </w:rPr>
        <w:t>M</w:t>
      </w:r>
      <w:r w:rsidR="00EE4BA0" w:rsidRPr="00101C0B">
        <w:rPr>
          <w:smallCaps/>
          <w:u w:val="double"/>
          <w:lang w:val="de-DE"/>
        </w:rPr>
        <w:t>.</w:t>
      </w:r>
      <w:r w:rsidRPr="00101C0B">
        <w:rPr>
          <w:smallCaps/>
          <w:u w:val="double"/>
          <w:lang w:val="de-DE"/>
        </w:rPr>
        <w:t xml:space="preserve"> (2019). </w:t>
      </w:r>
      <w:r w:rsidRPr="00ED0E77">
        <w:rPr>
          <w:u w:val="double"/>
          <w:lang w:val="en-IE"/>
        </w:rPr>
        <w:t xml:space="preserve">Bacteria detected in the genital tract, semen or pre-ejaculatory fluid of Swedish stallions from 2007 to 2017. </w:t>
      </w:r>
      <w:r w:rsidRPr="009963AF">
        <w:rPr>
          <w:i/>
          <w:iCs/>
          <w:u w:val="double"/>
          <w:lang w:val="en-IE"/>
        </w:rPr>
        <w:t>Acta Vet</w:t>
      </w:r>
      <w:r w:rsidR="00EE4BA0" w:rsidRPr="009963AF">
        <w:rPr>
          <w:i/>
          <w:iCs/>
          <w:u w:val="double"/>
          <w:lang w:val="en-IE"/>
        </w:rPr>
        <w:t>.</w:t>
      </w:r>
      <w:r w:rsidRPr="009963AF">
        <w:rPr>
          <w:i/>
          <w:iCs/>
          <w:u w:val="double"/>
          <w:lang w:val="en-IE"/>
        </w:rPr>
        <w:t xml:space="preserve"> Scand</w:t>
      </w:r>
      <w:r w:rsidR="00EE4BA0" w:rsidRPr="009963AF">
        <w:rPr>
          <w:u w:val="double"/>
          <w:lang w:val="en-IE"/>
        </w:rPr>
        <w:t>.,</w:t>
      </w:r>
      <w:r w:rsidRPr="009963AF">
        <w:rPr>
          <w:u w:val="double"/>
          <w:lang w:val="en-IE"/>
        </w:rPr>
        <w:t xml:space="preserve"> </w:t>
      </w:r>
      <w:r w:rsidRPr="009963AF">
        <w:rPr>
          <w:b/>
          <w:bCs/>
          <w:u w:val="double"/>
          <w:lang w:val="en-IE"/>
        </w:rPr>
        <w:t>61</w:t>
      </w:r>
      <w:r w:rsidR="00EE4BA0" w:rsidRPr="009963AF">
        <w:rPr>
          <w:u w:val="double"/>
          <w:lang w:val="en-IE"/>
        </w:rPr>
        <w:t xml:space="preserve">, </w:t>
      </w:r>
      <w:r w:rsidRPr="009963AF">
        <w:rPr>
          <w:u w:val="double"/>
          <w:lang w:val="en-IE"/>
        </w:rPr>
        <w:t>25</w:t>
      </w:r>
      <w:r w:rsidR="00EE4BA0" w:rsidRPr="009963AF">
        <w:rPr>
          <w:u w:val="double"/>
          <w:lang w:val="en-IE"/>
        </w:rPr>
        <w:t>.</w:t>
      </w:r>
    </w:p>
    <w:p w14:paraId="1273D752" w14:textId="0A23F564" w:rsidR="0000543A" w:rsidRPr="00101C0B" w:rsidRDefault="007621DC" w:rsidP="00726050">
      <w:pPr>
        <w:pStyle w:val="Ref"/>
        <w:spacing w:after="280"/>
        <w:rPr>
          <w:u w:val="double"/>
          <w:lang w:val="it-IT"/>
        </w:rPr>
      </w:pPr>
      <w:r w:rsidRPr="009963AF">
        <w:rPr>
          <w:smallCaps/>
          <w:u w:val="double"/>
          <w:lang w:val="en-IE"/>
        </w:rPr>
        <w:t>Anzai</w:t>
      </w:r>
      <w:r w:rsidR="00E23A18" w:rsidRPr="009963AF">
        <w:rPr>
          <w:smallCaps/>
          <w:u w:val="double"/>
          <w:lang w:val="en-IE"/>
        </w:rPr>
        <w:t xml:space="preserve"> T., </w:t>
      </w:r>
      <w:r w:rsidR="00EE4BA0" w:rsidRPr="009963AF">
        <w:rPr>
          <w:smallCaps/>
          <w:u w:val="double"/>
          <w:lang w:val="en-IE"/>
        </w:rPr>
        <w:t xml:space="preserve">Eguchi </w:t>
      </w:r>
      <w:r w:rsidR="00E23A18" w:rsidRPr="009963AF">
        <w:rPr>
          <w:smallCaps/>
          <w:u w:val="double"/>
          <w:lang w:val="en-IE"/>
        </w:rPr>
        <w:t xml:space="preserve">M., </w:t>
      </w:r>
      <w:r w:rsidR="00EE4BA0" w:rsidRPr="009963AF">
        <w:rPr>
          <w:smallCaps/>
          <w:u w:val="double"/>
          <w:lang w:val="en-IE"/>
        </w:rPr>
        <w:t xml:space="preserve">Sekizaki </w:t>
      </w:r>
      <w:r w:rsidR="00E23A18" w:rsidRPr="009963AF">
        <w:rPr>
          <w:smallCaps/>
          <w:u w:val="double"/>
          <w:lang w:val="en-IE"/>
        </w:rPr>
        <w:t xml:space="preserve">T., </w:t>
      </w:r>
      <w:r w:rsidR="00EE4BA0" w:rsidRPr="009963AF">
        <w:rPr>
          <w:smallCaps/>
          <w:u w:val="double"/>
          <w:lang w:val="en-IE"/>
        </w:rPr>
        <w:t xml:space="preserve">Kamada </w:t>
      </w:r>
      <w:r w:rsidR="00E23A18" w:rsidRPr="009963AF">
        <w:rPr>
          <w:smallCaps/>
          <w:u w:val="double"/>
          <w:lang w:val="en-IE"/>
        </w:rPr>
        <w:t xml:space="preserve">M., </w:t>
      </w:r>
      <w:r w:rsidR="00EE4BA0" w:rsidRPr="009963AF">
        <w:rPr>
          <w:smallCaps/>
          <w:u w:val="double"/>
          <w:lang w:val="en-IE"/>
        </w:rPr>
        <w:t xml:space="preserve">Yamoto </w:t>
      </w:r>
      <w:r w:rsidR="00E23A18" w:rsidRPr="009963AF">
        <w:rPr>
          <w:smallCaps/>
          <w:u w:val="double"/>
          <w:lang w:val="en-IE"/>
        </w:rPr>
        <w:t>K.</w:t>
      </w:r>
      <w:r w:rsidR="00EE4BA0" w:rsidRPr="009963AF">
        <w:rPr>
          <w:smallCaps/>
          <w:u w:val="double"/>
          <w:lang w:val="en-IE"/>
        </w:rPr>
        <w:t xml:space="preserve"> &amp;</w:t>
      </w:r>
      <w:r w:rsidR="00E23A18" w:rsidRPr="009963AF">
        <w:rPr>
          <w:smallCaps/>
          <w:u w:val="double"/>
          <w:lang w:val="en-IE"/>
        </w:rPr>
        <w:t xml:space="preserve"> </w:t>
      </w:r>
      <w:r w:rsidR="00EE4BA0" w:rsidRPr="009963AF">
        <w:rPr>
          <w:smallCaps/>
          <w:u w:val="double"/>
          <w:lang w:val="en-IE"/>
        </w:rPr>
        <w:t xml:space="preserve">Okuda </w:t>
      </w:r>
      <w:r w:rsidR="00E23A18" w:rsidRPr="009963AF">
        <w:rPr>
          <w:smallCaps/>
          <w:u w:val="double"/>
          <w:lang w:val="en-IE"/>
        </w:rPr>
        <w:t>T.</w:t>
      </w:r>
      <w:r w:rsidR="0000543A" w:rsidRPr="009963AF">
        <w:rPr>
          <w:smallCaps/>
          <w:u w:val="double"/>
          <w:lang w:val="en-IE"/>
        </w:rPr>
        <w:t xml:space="preserve"> (1999). </w:t>
      </w:r>
      <w:r w:rsidR="00E23A18" w:rsidRPr="00ED0E77">
        <w:rPr>
          <w:u w:val="double"/>
          <w:lang w:val="en-IE"/>
        </w:rPr>
        <w:t>Development of a PCR Te</w:t>
      </w:r>
      <w:r w:rsidR="00122A0C" w:rsidRPr="00ED0E77">
        <w:rPr>
          <w:u w:val="double"/>
          <w:lang w:val="en-IE"/>
        </w:rPr>
        <w:t>s</w:t>
      </w:r>
      <w:r w:rsidR="00E23A18" w:rsidRPr="00ED0E77">
        <w:rPr>
          <w:u w:val="double"/>
          <w:lang w:val="en-IE"/>
        </w:rPr>
        <w:t>t</w:t>
      </w:r>
      <w:r w:rsidR="00122A0C" w:rsidRPr="00ED0E77">
        <w:rPr>
          <w:u w:val="double"/>
          <w:lang w:val="en-IE"/>
        </w:rPr>
        <w:t xml:space="preserve"> for Rapid Diagn</w:t>
      </w:r>
      <w:r w:rsidR="00E23A18" w:rsidRPr="00ED0E77">
        <w:rPr>
          <w:u w:val="double"/>
          <w:lang w:val="en-IE"/>
        </w:rPr>
        <w:t>osis of C</w:t>
      </w:r>
      <w:r w:rsidR="00122A0C" w:rsidRPr="00ED0E77">
        <w:rPr>
          <w:u w:val="double"/>
          <w:lang w:val="en-IE"/>
        </w:rPr>
        <w:t xml:space="preserve">ontagious Equine Metritis. </w:t>
      </w:r>
      <w:r w:rsidR="0000543A" w:rsidRPr="00101C0B">
        <w:rPr>
          <w:i/>
          <w:iCs/>
          <w:u w:val="double"/>
          <w:lang w:val="it-IT"/>
        </w:rPr>
        <w:t>J</w:t>
      </w:r>
      <w:r w:rsidR="00EE4BA0" w:rsidRPr="00101C0B">
        <w:rPr>
          <w:i/>
          <w:iCs/>
          <w:u w:val="double"/>
          <w:lang w:val="it-IT"/>
        </w:rPr>
        <w:t>.</w:t>
      </w:r>
      <w:r w:rsidR="0000543A" w:rsidRPr="00101C0B">
        <w:rPr>
          <w:i/>
          <w:iCs/>
          <w:u w:val="double"/>
          <w:lang w:val="it-IT"/>
        </w:rPr>
        <w:t xml:space="preserve"> Vet</w:t>
      </w:r>
      <w:r w:rsidR="00EE4BA0" w:rsidRPr="00101C0B">
        <w:rPr>
          <w:i/>
          <w:iCs/>
          <w:u w:val="double"/>
          <w:lang w:val="it-IT"/>
        </w:rPr>
        <w:t>.</w:t>
      </w:r>
      <w:r w:rsidR="0000543A" w:rsidRPr="00101C0B">
        <w:rPr>
          <w:i/>
          <w:iCs/>
          <w:u w:val="double"/>
          <w:lang w:val="it-IT"/>
        </w:rPr>
        <w:t xml:space="preserve"> Med</w:t>
      </w:r>
      <w:r w:rsidR="00EE4BA0" w:rsidRPr="00101C0B">
        <w:rPr>
          <w:i/>
          <w:iCs/>
          <w:u w:val="double"/>
          <w:lang w:val="it-IT"/>
        </w:rPr>
        <w:t>.</w:t>
      </w:r>
      <w:r w:rsidR="0000543A" w:rsidRPr="00101C0B">
        <w:rPr>
          <w:i/>
          <w:iCs/>
          <w:u w:val="double"/>
          <w:lang w:val="it-IT"/>
        </w:rPr>
        <w:t xml:space="preserve"> Sci</w:t>
      </w:r>
      <w:r w:rsidR="00EE4BA0" w:rsidRPr="00101C0B">
        <w:rPr>
          <w:i/>
          <w:iCs/>
          <w:u w:val="double"/>
          <w:lang w:val="it-IT"/>
        </w:rPr>
        <w:t>.,</w:t>
      </w:r>
      <w:r w:rsidR="0000543A" w:rsidRPr="00101C0B">
        <w:rPr>
          <w:u w:val="double"/>
          <w:lang w:val="it-IT"/>
        </w:rPr>
        <w:t xml:space="preserve"> </w:t>
      </w:r>
      <w:r w:rsidR="0000543A" w:rsidRPr="00101C0B">
        <w:rPr>
          <w:b/>
          <w:bCs/>
          <w:u w:val="double"/>
          <w:lang w:val="it-IT"/>
        </w:rPr>
        <w:t>61</w:t>
      </w:r>
      <w:r w:rsidR="00EE4BA0" w:rsidRPr="00101C0B">
        <w:rPr>
          <w:u w:val="double"/>
          <w:lang w:val="it-IT"/>
        </w:rPr>
        <w:t>,</w:t>
      </w:r>
      <w:r w:rsidR="0000543A" w:rsidRPr="00101C0B">
        <w:rPr>
          <w:u w:val="double"/>
          <w:lang w:val="it-IT"/>
        </w:rPr>
        <w:t xml:space="preserve"> 1287</w:t>
      </w:r>
      <w:r w:rsidR="00EE4BA0" w:rsidRPr="00101C0B">
        <w:rPr>
          <w:u w:val="double"/>
          <w:lang w:val="it-IT"/>
        </w:rPr>
        <w:t>–</w:t>
      </w:r>
      <w:r w:rsidR="0000543A" w:rsidRPr="00101C0B">
        <w:rPr>
          <w:u w:val="double"/>
          <w:lang w:val="it-IT"/>
        </w:rPr>
        <w:t xml:space="preserve">1292. </w:t>
      </w:r>
    </w:p>
    <w:p w14:paraId="63B6ED85" w14:textId="77777777" w:rsidR="0053190D" w:rsidRPr="00ED0E77" w:rsidRDefault="0053190D" w:rsidP="0059378C">
      <w:pPr>
        <w:pStyle w:val="Ref"/>
        <w:spacing w:after="280"/>
        <w:rPr>
          <w:lang w:val="en-IE"/>
        </w:rPr>
      </w:pPr>
      <w:r w:rsidRPr="00101C0B">
        <w:rPr>
          <w:smallCaps/>
          <w:lang w:val="it-IT"/>
        </w:rPr>
        <w:t>Anzai T., Wada R., Okuda T. &amp; Aoki T.</w:t>
      </w:r>
      <w:r w:rsidRPr="00101C0B">
        <w:rPr>
          <w:lang w:val="it-IT"/>
        </w:rPr>
        <w:t xml:space="preserve"> (2002). </w:t>
      </w:r>
      <w:r w:rsidRPr="00ED0E77">
        <w:rPr>
          <w:lang w:val="en-IE"/>
        </w:rPr>
        <w:t xml:space="preserve">Evaluation of the field application of PCR in the eradication of contagious equine metritis from Japan. </w:t>
      </w:r>
      <w:r w:rsidRPr="00ED0E77">
        <w:rPr>
          <w:i/>
          <w:iCs/>
          <w:lang w:val="en-IE"/>
        </w:rPr>
        <w:t>J. Vet. Med. Sci</w:t>
      </w:r>
      <w:r w:rsidRPr="00ED0E77">
        <w:rPr>
          <w:lang w:val="en-IE"/>
        </w:rPr>
        <w:t xml:space="preserve">., </w:t>
      </w:r>
      <w:r w:rsidRPr="00ED0E77">
        <w:rPr>
          <w:b/>
          <w:bCs/>
          <w:lang w:val="en-IE"/>
        </w:rPr>
        <w:t>64</w:t>
      </w:r>
      <w:r w:rsidRPr="00ED0E77">
        <w:rPr>
          <w:lang w:val="en-IE"/>
        </w:rPr>
        <w:t>, 999–1002.</w:t>
      </w:r>
    </w:p>
    <w:p w14:paraId="154D9DE7" w14:textId="77777777" w:rsidR="00757770" w:rsidRPr="00ED0E77" w:rsidRDefault="00757770" w:rsidP="0059378C">
      <w:pPr>
        <w:pStyle w:val="Ref"/>
        <w:spacing w:after="280"/>
        <w:rPr>
          <w:strike/>
          <w:lang w:val="en-IE"/>
        </w:rPr>
      </w:pPr>
      <w:r w:rsidRPr="00ED0E77">
        <w:rPr>
          <w:smallCaps/>
          <w:strike/>
          <w:lang w:val="en-IE"/>
        </w:rPr>
        <w:t>Arata A.B., Cooke C.L., Jang S.S. &amp; Hirsh D.C</w:t>
      </w:r>
      <w:r w:rsidRPr="00ED0E77">
        <w:rPr>
          <w:strike/>
          <w:lang w:val="en-IE"/>
        </w:rPr>
        <w:t xml:space="preserve">. (2001). Multiplex polymerase chain reaction for distinguishing </w:t>
      </w:r>
      <w:r w:rsidRPr="00ED0E77">
        <w:rPr>
          <w:i/>
          <w:strike/>
          <w:lang w:val="en-IE"/>
        </w:rPr>
        <w:t>Taylorella equigenitalis</w:t>
      </w:r>
      <w:r w:rsidRPr="00ED0E77">
        <w:rPr>
          <w:strike/>
          <w:lang w:val="en-IE"/>
        </w:rPr>
        <w:t xml:space="preserve"> from </w:t>
      </w:r>
      <w:r w:rsidRPr="00ED0E77">
        <w:rPr>
          <w:i/>
          <w:strike/>
          <w:lang w:val="en-IE"/>
        </w:rPr>
        <w:t>Taylorella equigenitalis</w:t>
      </w:r>
      <w:r w:rsidRPr="00ED0E77">
        <w:rPr>
          <w:strike/>
          <w:lang w:val="en-IE"/>
        </w:rPr>
        <w:t xml:space="preserve">-like organisms. </w:t>
      </w:r>
      <w:r w:rsidRPr="00ED0E77">
        <w:rPr>
          <w:i/>
          <w:strike/>
          <w:lang w:val="en-IE"/>
        </w:rPr>
        <w:t>J. Vet. Diagn. Invest</w:t>
      </w:r>
      <w:r w:rsidRPr="00ED0E77">
        <w:rPr>
          <w:strike/>
          <w:lang w:val="en-IE"/>
        </w:rPr>
        <w:t xml:space="preserve">., </w:t>
      </w:r>
      <w:r w:rsidRPr="00ED0E77">
        <w:rPr>
          <w:b/>
          <w:strike/>
          <w:lang w:val="en-IE"/>
        </w:rPr>
        <w:t>13,</w:t>
      </w:r>
      <w:r w:rsidRPr="00ED0E77">
        <w:rPr>
          <w:strike/>
          <w:lang w:val="en-IE"/>
        </w:rPr>
        <w:t xml:space="preserve"> 263–264.</w:t>
      </w:r>
    </w:p>
    <w:p w14:paraId="63B6ED86" w14:textId="77777777" w:rsidR="0053190D" w:rsidRPr="00ED0E77" w:rsidRDefault="0053190D" w:rsidP="0059378C">
      <w:pPr>
        <w:pStyle w:val="Ref"/>
        <w:spacing w:after="280"/>
        <w:rPr>
          <w:lang w:val="en-IE"/>
        </w:rPr>
      </w:pPr>
      <w:r w:rsidRPr="00ED0E77">
        <w:rPr>
          <w:smallCaps/>
          <w:lang w:val="en-IE"/>
        </w:rPr>
        <w:t>Atherton J.G</w:t>
      </w:r>
      <w:r w:rsidRPr="00ED0E77">
        <w:rPr>
          <w:lang w:val="en-IE"/>
        </w:rPr>
        <w:t xml:space="preserve">. (1983). Evaluation of selective supplements used in media for the isolation of the causative organism of contagious equine metritis. </w:t>
      </w:r>
      <w:r w:rsidRPr="00ED0E77">
        <w:rPr>
          <w:i/>
          <w:iCs/>
          <w:lang w:val="en-IE"/>
        </w:rPr>
        <w:t>Vet. Rec.</w:t>
      </w:r>
      <w:r w:rsidRPr="00ED0E77">
        <w:rPr>
          <w:lang w:val="en-IE"/>
        </w:rPr>
        <w:t xml:space="preserve">, </w:t>
      </w:r>
      <w:r w:rsidRPr="00ED0E77">
        <w:rPr>
          <w:b/>
          <w:bCs/>
          <w:lang w:val="en-IE"/>
        </w:rPr>
        <w:t>113</w:t>
      </w:r>
      <w:r w:rsidRPr="00ED0E77">
        <w:rPr>
          <w:lang w:val="en-IE"/>
        </w:rPr>
        <w:t>, 299–300.</w:t>
      </w:r>
    </w:p>
    <w:p w14:paraId="63B6ED87" w14:textId="77777777" w:rsidR="0053190D" w:rsidRPr="00ED0E77" w:rsidRDefault="0053190D" w:rsidP="0059378C">
      <w:pPr>
        <w:pStyle w:val="Ref"/>
        <w:spacing w:after="280"/>
        <w:rPr>
          <w:lang w:val="en-IE"/>
        </w:rPr>
      </w:pPr>
      <w:r w:rsidRPr="00ED0E77">
        <w:rPr>
          <w:smallCaps/>
          <w:lang w:val="en-IE"/>
        </w:rPr>
        <w:t>Baverud V., Nystrom C. &amp; Johansson K.-E.</w:t>
      </w:r>
      <w:r w:rsidRPr="00ED0E77">
        <w:rPr>
          <w:lang w:val="en-IE"/>
        </w:rPr>
        <w:t xml:space="preserve"> (2006). Isolation and identification of </w:t>
      </w:r>
      <w:r w:rsidRPr="00ED0E77">
        <w:rPr>
          <w:i/>
          <w:iCs/>
          <w:lang w:val="en-IE"/>
        </w:rPr>
        <w:t xml:space="preserve">Taylorella asinigenitalis </w:t>
      </w:r>
      <w:r w:rsidRPr="00ED0E77">
        <w:rPr>
          <w:lang w:val="en-IE"/>
        </w:rPr>
        <w:t xml:space="preserve">from the genital tract of a stallion, first case of a natural infection. </w:t>
      </w:r>
      <w:r w:rsidRPr="00ED0E77">
        <w:rPr>
          <w:i/>
          <w:iCs/>
          <w:lang w:val="en-IE"/>
        </w:rPr>
        <w:t>Vet. Microbiol.,</w:t>
      </w:r>
      <w:r w:rsidRPr="00ED0E77">
        <w:rPr>
          <w:lang w:val="en-IE"/>
        </w:rPr>
        <w:t xml:space="preserve"> </w:t>
      </w:r>
      <w:r w:rsidRPr="00ED0E77">
        <w:rPr>
          <w:b/>
          <w:bCs/>
          <w:lang w:val="en-IE"/>
        </w:rPr>
        <w:t>116</w:t>
      </w:r>
      <w:r w:rsidRPr="00ED0E77">
        <w:rPr>
          <w:lang w:val="en-IE"/>
        </w:rPr>
        <w:t>, 294–300.</w:t>
      </w:r>
    </w:p>
    <w:p w14:paraId="5E2DBEE0" w14:textId="002A8A9B" w:rsidR="0000543A" w:rsidRPr="00101C0B" w:rsidRDefault="0000543A" w:rsidP="00726050">
      <w:pPr>
        <w:pStyle w:val="Ref"/>
        <w:spacing w:after="280"/>
        <w:rPr>
          <w:u w:val="double"/>
          <w:lang w:val="nl-NL"/>
        </w:rPr>
      </w:pPr>
      <w:r w:rsidRPr="00ED0E77">
        <w:rPr>
          <w:smallCaps/>
          <w:u w:val="double"/>
          <w:lang w:val="en-IE"/>
        </w:rPr>
        <w:t>Belloy L., Ferriera M.</w:t>
      </w:r>
      <w:r w:rsidR="00EE4BA0" w:rsidRPr="00ED0E77">
        <w:rPr>
          <w:smallCaps/>
          <w:u w:val="double"/>
          <w:lang w:val="en-IE"/>
        </w:rPr>
        <w:t xml:space="preserve"> &amp; </w:t>
      </w:r>
      <w:r w:rsidRPr="00ED0E77">
        <w:rPr>
          <w:smallCaps/>
          <w:u w:val="double"/>
          <w:lang w:val="en-IE"/>
        </w:rPr>
        <w:t xml:space="preserve">Waldvogel A.S. (2012). </w:t>
      </w:r>
      <w:r w:rsidR="007B21B4" w:rsidRPr="00ED0E77">
        <w:rPr>
          <w:u w:val="double"/>
          <w:lang w:val="en-IE"/>
        </w:rPr>
        <w:t xml:space="preserve">Diagnosis of </w:t>
      </w:r>
      <w:r w:rsidR="007B21B4" w:rsidRPr="00ED0E77">
        <w:rPr>
          <w:i/>
          <w:u w:val="double"/>
          <w:lang w:val="en-IE"/>
        </w:rPr>
        <w:t>taylorella equigenitalis</w:t>
      </w:r>
      <w:r w:rsidR="007B21B4" w:rsidRPr="00ED0E77">
        <w:rPr>
          <w:u w:val="double"/>
          <w:lang w:val="en-IE"/>
        </w:rPr>
        <w:t xml:space="preserve"> by culture or by real time </w:t>
      </w:r>
      <w:r w:rsidR="00EE4BA0" w:rsidRPr="00ED0E77">
        <w:rPr>
          <w:u w:val="double"/>
          <w:lang w:val="en-IE"/>
        </w:rPr>
        <w:t>PCR</w:t>
      </w:r>
      <w:r w:rsidR="007B21B4" w:rsidRPr="00ED0E77">
        <w:rPr>
          <w:u w:val="double"/>
          <w:lang w:val="en-IE"/>
        </w:rPr>
        <w:t xml:space="preserve">. </w:t>
      </w:r>
      <w:r w:rsidR="007B21B4" w:rsidRPr="00101C0B">
        <w:rPr>
          <w:i/>
          <w:iCs/>
          <w:u w:val="double"/>
          <w:lang w:val="nl-NL"/>
        </w:rPr>
        <w:t>Schweiz</w:t>
      </w:r>
      <w:r w:rsidR="00F92474" w:rsidRPr="00101C0B">
        <w:rPr>
          <w:i/>
          <w:iCs/>
          <w:u w:val="double"/>
          <w:lang w:val="nl-NL"/>
        </w:rPr>
        <w:t>.</w:t>
      </w:r>
      <w:r w:rsidR="007B21B4" w:rsidRPr="00101C0B">
        <w:rPr>
          <w:i/>
          <w:iCs/>
          <w:u w:val="double"/>
          <w:lang w:val="nl-NL"/>
        </w:rPr>
        <w:t xml:space="preserve"> </w:t>
      </w:r>
      <w:r w:rsidR="00EE4BA0" w:rsidRPr="00101C0B">
        <w:rPr>
          <w:i/>
          <w:iCs/>
          <w:u w:val="double"/>
          <w:lang w:val="nl-NL"/>
        </w:rPr>
        <w:t>Arch. Tierheilk</w:t>
      </w:r>
      <w:r w:rsidR="00EE4BA0" w:rsidRPr="00101C0B">
        <w:rPr>
          <w:u w:val="double"/>
          <w:lang w:val="nl-NL"/>
        </w:rPr>
        <w:t xml:space="preserve">., </w:t>
      </w:r>
      <w:r w:rsidRPr="00101C0B">
        <w:rPr>
          <w:b/>
          <w:bCs/>
          <w:u w:val="double"/>
          <w:lang w:val="nl-NL"/>
        </w:rPr>
        <w:t>154</w:t>
      </w:r>
      <w:r w:rsidRPr="00101C0B">
        <w:rPr>
          <w:u w:val="double"/>
          <w:lang w:val="nl-NL"/>
        </w:rPr>
        <w:t>, 87</w:t>
      </w:r>
      <w:r w:rsidR="00EE4BA0" w:rsidRPr="00101C0B">
        <w:rPr>
          <w:u w:val="double"/>
          <w:lang w:val="nl-NL"/>
        </w:rPr>
        <w:t>–</w:t>
      </w:r>
      <w:r w:rsidRPr="00101C0B">
        <w:rPr>
          <w:u w:val="double"/>
          <w:lang w:val="nl-NL"/>
        </w:rPr>
        <w:t>88.</w:t>
      </w:r>
    </w:p>
    <w:p w14:paraId="63B6ED88" w14:textId="77777777" w:rsidR="0053190D" w:rsidRPr="00ED0E77" w:rsidRDefault="0053190D" w:rsidP="0059378C">
      <w:pPr>
        <w:pStyle w:val="Ref"/>
        <w:spacing w:after="280"/>
        <w:rPr>
          <w:lang w:val="en-IE"/>
        </w:rPr>
      </w:pPr>
      <w:r w:rsidRPr="00101C0B">
        <w:rPr>
          <w:smallCaps/>
          <w:lang w:val="nl-NL"/>
        </w:rPr>
        <w:t>Bleumink-Pluym N.M.C., Van Dijk L., Van Vliet A.H., Van Der Giessen J.W. &amp; Van Der Zeijst B.A.</w:t>
      </w:r>
      <w:r w:rsidRPr="00101C0B">
        <w:rPr>
          <w:lang w:val="nl-NL"/>
        </w:rPr>
        <w:t xml:space="preserve"> (1993). </w:t>
      </w:r>
      <w:r w:rsidRPr="00ED0E77">
        <w:rPr>
          <w:lang w:val="en-IE"/>
        </w:rPr>
        <w:t xml:space="preserve">Phylogenetic position of </w:t>
      </w:r>
      <w:r w:rsidRPr="00ED0E77">
        <w:rPr>
          <w:i/>
          <w:iCs/>
          <w:lang w:val="en-IE"/>
        </w:rPr>
        <w:t>Taylorella equigenitalis</w:t>
      </w:r>
      <w:r w:rsidRPr="00ED0E77">
        <w:rPr>
          <w:lang w:val="en-IE"/>
        </w:rPr>
        <w:t xml:space="preserve"> determined by analysis of amplified 16S ribosomal DNA sequences. </w:t>
      </w:r>
      <w:r w:rsidRPr="00ED0E77">
        <w:rPr>
          <w:i/>
          <w:lang w:val="en-IE"/>
        </w:rPr>
        <w:t>Int. J. Syst. Bacteriol.</w:t>
      </w:r>
      <w:r w:rsidRPr="00ED0E77">
        <w:rPr>
          <w:lang w:val="en-IE"/>
        </w:rPr>
        <w:t xml:space="preserve">, </w:t>
      </w:r>
      <w:r w:rsidRPr="00ED0E77">
        <w:rPr>
          <w:b/>
          <w:lang w:val="en-IE"/>
        </w:rPr>
        <w:t>43</w:t>
      </w:r>
      <w:r w:rsidRPr="00ED0E77">
        <w:rPr>
          <w:lang w:val="en-IE"/>
        </w:rPr>
        <w:t>, 618–621.</w:t>
      </w:r>
    </w:p>
    <w:p w14:paraId="63B6ED89" w14:textId="77777777" w:rsidR="0053190D" w:rsidRPr="001665D3" w:rsidRDefault="0053190D" w:rsidP="0059378C">
      <w:pPr>
        <w:pStyle w:val="Ref"/>
        <w:spacing w:after="280"/>
        <w:rPr>
          <w:smallCaps/>
          <w:strike/>
          <w:lang w:val="en-IE"/>
        </w:rPr>
      </w:pPr>
      <w:r w:rsidRPr="001665D3">
        <w:rPr>
          <w:smallCaps/>
          <w:strike/>
          <w:lang w:val="en-IE"/>
        </w:rPr>
        <w:t xml:space="preserve">Bleumink-Pluym N.M.C., Werdler M.E.B., Houwers D.J., Parlevliet J.M., Colenbrander B. &amp; Van Der Zeijst B.A.M. (1994). </w:t>
      </w:r>
      <w:r w:rsidRPr="001665D3">
        <w:rPr>
          <w:strike/>
          <w:lang w:val="en-IE"/>
        </w:rPr>
        <w:t xml:space="preserve">Development and evaluation of PCR test for detection of </w:t>
      </w:r>
      <w:r w:rsidRPr="001665D3">
        <w:rPr>
          <w:i/>
          <w:strike/>
          <w:lang w:val="en-IE"/>
        </w:rPr>
        <w:t>Taylorella equigenitalis. J. Clin. Microbiol.</w:t>
      </w:r>
      <w:r w:rsidRPr="001665D3">
        <w:rPr>
          <w:strike/>
          <w:lang w:val="en-IE"/>
        </w:rPr>
        <w:t xml:space="preserve">, </w:t>
      </w:r>
      <w:r w:rsidRPr="001665D3">
        <w:rPr>
          <w:b/>
          <w:smallCaps/>
          <w:strike/>
          <w:lang w:val="en-IE"/>
        </w:rPr>
        <w:t>32</w:t>
      </w:r>
      <w:r w:rsidRPr="001665D3">
        <w:rPr>
          <w:smallCaps/>
          <w:strike/>
          <w:lang w:val="en-IE"/>
        </w:rPr>
        <w:t>, 893–896.</w:t>
      </w:r>
    </w:p>
    <w:p w14:paraId="63B6ED8A" w14:textId="77777777" w:rsidR="0053190D" w:rsidRPr="00D049C5" w:rsidRDefault="0053190D" w:rsidP="0059378C">
      <w:pPr>
        <w:pStyle w:val="Ref"/>
        <w:spacing w:after="280"/>
        <w:rPr>
          <w:lang w:val="fr-FR" w:eastAsia="en-GB"/>
        </w:rPr>
      </w:pPr>
      <w:r w:rsidRPr="00ED0E77">
        <w:rPr>
          <w:smallCaps/>
          <w:lang w:val="en-IE"/>
        </w:rPr>
        <w:t>Breuil M.S.F., Duquesne F., Sevin C., Laugier C. &amp; Petry S.</w:t>
      </w:r>
      <w:r w:rsidRPr="00ED0E77">
        <w:rPr>
          <w:lang w:val="en-IE"/>
        </w:rPr>
        <w:t xml:space="preserve"> (2010). Indirect immunofluorescence test using polyclonal antibodies for the detection of </w:t>
      </w:r>
      <w:r w:rsidRPr="00ED0E77">
        <w:rPr>
          <w:i/>
          <w:iCs/>
          <w:lang w:val="en-IE" w:eastAsia="en-GB"/>
        </w:rPr>
        <w:t>T. equigenitalis.</w:t>
      </w:r>
      <w:r w:rsidRPr="00ED0E77">
        <w:rPr>
          <w:lang w:val="en-IE" w:eastAsia="en-GB"/>
        </w:rPr>
        <w:t xml:space="preserve"> </w:t>
      </w:r>
      <w:r w:rsidRPr="00D049C5">
        <w:rPr>
          <w:i/>
          <w:iCs/>
          <w:lang w:val="fr-FR" w:eastAsia="en-GB"/>
        </w:rPr>
        <w:t>Res. Vet. Sci.,</w:t>
      </w:r>
      <w:r w:rsidRPr="00D049C5">
        <w:rPr>
          <w:lang w:val="fr-FR" w:eastAsia="en-GB"/>
        </w:rPr>
        <w:t xml:space="preserve"> </w:t>
      </w:r>
      <w:r w:rsidRPr="00D049C5">
        <w:rPr>
          <w:b/>
          <w:bCs/>
          <w:lang w:val="fr-FR" w:eastAsia="en-GB"/>
        </w:rPr>
        <w:t>88</w:t>
      </w:r>
      <w:r w:rsidRPr="00D049C5">
        <w:rPr>
          <w:lang w:val="fr-FR" w:eastAsia="en-GB"/>
        </w:rPr>
        <w:t>, 369–371.</w:t>
      </w:r>
    </w:p>
    <w:p w14:paraId="63B6ED8B" w14:textId="77777777" w:rsidR="0053190D" w:rsidRPr="00ED0E77" w:rsidRDefault="0053190D" w:rsidP="0059378C">
      <w:pPr>
        <w:pStyle w:val="Ref"/>
        <w:spacing w:after="280"/>
        <w:rPr>
          <w:lang w:val="en-IE"/>
        </w:rPr>
      </w:pPr>
      <w:r w:rsidRPr="00D049C5">
        <w:rPr>
          <w:smallCaps/>
          <w:lang w:val="fr-FR"/>
        </w:rPr>
        <w:t xml:space="preserve">Breuil M.F., Duquesne F., Laugier C. &amp; Petry S. </w:t>
      </w:r>
      <w:r w:rsidRPr="00D049C5">
        <w:rPr>
          <w:lang w:val="fr-FR"/>
        </w:rPr>
        <w:t xml:space="preserve">(2011). </w:t>
      </w:r>
      <w:r w:rsidRPr="00ED0E77">
        <w:rPr>
          <w:lang w:val="en-IE"/>
        </w:rPr>
        <w:t xml:space="preserve">Phenotypic and 16S ribosomal RNA gene diversity of </w:t>
      </w:r>
      <w:r w:rsidRPr="00ED0E77">
        <w:rPr>
          <w:i/>
          <w:iCs/>
          <w:lang w:val="en-IE"/>
        </w:rPr>
        <w:t>Taylorella</w:t>
      </w:r>
      <w:r w:rsidRPr="00ED0E77">
        <w:rPr>
          <w:lang w:val="en-IE"/>
        </w:rPr>
        <w:t xml:space="preserve"> </w:t>
      </w:r>
      <w:r w:rsidRPr="00ED0E77">
        <w:rPr>
          <w:i/>
          <w:iCs/>
          <w:lang w:val="en-IE"/>
        </w:rPr>
        <w:t>asinigenitalis</w:t>
      </w:r>
      <w:r w:rsidRPr="00ED0E77">
        <w:rPr>
          <w:lang w:val="en-IE"/>
        </w:rPr>
        <w:t xml:space="preserve"> strains isolated between 1995 and 2008. Vet. Microbiol., </w:t>
      </w:r>
      <w:r w:rsidRPr="00ED0E77">
        <w:rPr>
          <w:b/>
          <w:bCs/>
          <w:lang w:val="en-IE"/>
        </w:rPr>
        <w:t>148</w:t>
      </w:r>
      <w:r w:rsidRPr="00ED0E77">
        <w:rPr>
          <w:lang w:val="en-IE"/>
        </w:rPr>
        <w:t>, 260–266.</w:t>
      </w:r>
    </w:p>
    <w:p w14:paraId="42941601" w14:textId="77777777" w:rsidR="00757770" w:rsidRPr="009963AF" w:rsidRDefault="00757770" w:rsidP="0059378C">
      <w:pPr>
        <w:pStyle w:val="Ref"/>
        <w:spacing w:after="280"/>
        <w:rPr>
          <w:strike/>
          <w:lang w:val="en-IE"/>
        </w:rPr>
      </w:pPr>
      <w:r w:rsidRPr="00ED0E77">
        <w:rPr>
          <w:smallCaps/>
          <w:strike/>
          <w:lang w:val="en-IE"/>
        </w:rPr>
        <w:t>Buckley T.C., Millar B.C., Egan C.L., Gibson P., Cosgrove H., Stanbridge</w:t>
      </w:r>
      <w:r w:rsidR="002D66B2" w:rsidRPr="00ED0E77">
        <w:rPr>
          <w:smallCaps/>
          <w:strike/>
          <w:lang w:val="en-IE"/>
        </w:rPr>
        <w:t xml:space="preserve"> S., </w:t>
      </w:r>
      <w:r w:rsidRPr="00ED0E77">
        <w:rPr>
          <w:smallCaps/>
          <w:strike/>
          <w:lang w:val="en-IE"/>
        </w:rPr>
        <w:t>Matsuda M. &amp; Moore J.E.</w:t>
      </w:r>
      <w:r w:rsidRPr="00ED0E77">
        <w:rPr>
          <w:strike/>
          <w:lang w:val="en-IE"/>
        </w:rPr>
        <w:t xml:space="preserve"> (2005). A two-step species-specific 16S rRNA PCR assay for the detection of </w:t>
      </w:r>
      <w:r w:rsidRPr="00ED0E77">
        <w:rPr>
          <w:i/>
          <w:strike/>
          <w:lang w:val="en-IE"/>
        </w:rPr>
        <w:t>Taylorella equigenitalis</w:t>
      </w:r>
      <w:r w:rsidRPr="00ED0E77">
        <w:rPr>
          <w:strike/>
          <w:lang w:val="en-IE"/>
        </w:rPr>
        <w:t xml:space="preserve"> in horses. </w:t>
      </w:r>
      <w:r w:rsidRPr="009963AF">
        <w:rPr>
          <w:i/>
          <w:strike/>
          <w:lang w:val="en-IE"/>
        </w:rPr>
        <w:t>Ir. Vet. J.,</w:t>
      </w:r>
      <w:r w:rsidRPr="009963AF">
        <w:rPr>
          <w:strike/>
          <w:lang w:val="en-IE"/>
        </w:rPr>
        <w:t xml:space="preserve"> </w:t>
      </w:r>
      <w:r w:rsidRPr="009963AF">
        <w:rPr>
          <w:b/>
          <w:strike/>
          <w:lang w:val="en-IE"/>
        </w:rPr>
        <w:t>58</w:t>
      </w:r>
      <w:r w:rsidRPr="009963AF">
        <w:rPr>
          <w:strike/>
          <w:lang w:val="en-IE"/>
        </w:rPr>
        <w:t>, 146–149. doi: 10.1186/2046-0481-58-3-146.</w:t>
      </w:r>
    </w:p>
    <w:p w14:paraId="41604EA4" w14:textId="73D80B5E" w:rsidR="00653B9E" w:rsidRPr="00D3343F" w:rsidRDefault="00653B9E" w:rsidP="008C1E58">
      <w:pPr>
        <w:pStyle w:val="Ref"/>
        <w:rPr>
          <w:u w:val="double"/>
        </w:rPr>
      </w:pPr>
      <w:r w:rsidRPr="00D3343F">
        <w:rPr>
          <w:smallCaps/>
          <w:highlight w:val="yellow"/>
          <w:u w:val="double"/>
        </w:rPr>
        <w:t>Delerue M</w:t>
      </w:r>
      <w:r w:rsidR="00D3343F">
        <w:rPr>
          <w:smallCaps/>
          <w:highlight w:val="yellow"/>
          <w:u w:val="double"/>
        </w:rPr>
        <w:t>.</w:t>
      </w:r>
      <w:r w:rsidRPr="00D3343F">
        <w:rPr>
          <w:smallCaps/>
          <w:highlight w:val="yellow"/>
          <w:u w:val="double"/>
        </w:rPr>
        <w:t>, Breuil M</w:t>
      </w:r>
      <w:r w:rsidR="00D3343F">
        <w:rPr>
          <w:smallCaps/>
          <w:highlight w:val="yellow"/>
          <w:u w:val="double"/>
        </w:rPr>
        <w:t>.</w:t>
      </w:r>
      <w:r w:rsidRPr="00D3343F">
        <w:rPr>
          <w:smallCaps/>
          <w:highlight w:val="yellow"/>
          <w:u w:val="double"/>
        </w:rPr>
        <w:t>F</w:t>
      </w:r>
      <w:r w:rsidR="00D3343F">
        <w:rPr>
          <w:smallCaps/>
          <w:highlight w:val="yellow"/>
          <w:u w:val="double"/>
        </w:rPr>
        <w:t>.</w:t>
      </w:r>
      <w:r w:rsidRPr="00D3343F">
        <w:rPr>
          <w:smallCaps/>
          <w:highlight w:val="yellow"/>
          <w:u w:val="double"/>
        </w:rPr>
        <w:t>, Duquesne F</w:t>
      </w:r>
      <w:r w:rsidR="00D3343F">
        <w:rPr>
          <w:smallCaps/>
          <w:highlight w:val="yellow"/>
          <w:u w:val="double"/>
        </w:rPr>
        <w:t>.</w:t>
      </w:r>
      <w:r w:rsidRPr="00D3343F">
        <w:rPr>
          <w:smallCaps/>
          <w:highlight w:val="yellow"/>
          <w:u w:val="double"/>
        </w:rPr>
        <w:t>, Bayon-Auboyer M</w:t>
      </w:r>
      <w:r w:rsidR="00D3343F">
        <w:rPr>
          <w:smallCaps/>
          <w:highlight w:val="yellow"/>
          <w:u w:val="double"/>
        </w:rPr>
        <w:t>.</w:t>
      </w:r>
      <w:r w:rsidRPr="00D3343F">
        <w:rPr>
          <w:smallCaps/>
          <w:highlight w:val="yellow"/>
          <w:u w:val="double"/>
        </w:rPr>
        <w:t>H</w:t>
      </w:r>
      <w:r w:rsidR="00D3343F">
        <w:rPr>
          <w:smallCaps/>
          <w:highlight w:val="yellow"/>
          <w:u w:val="double"/>
        </w:rPr>
        <w:t>.</w:t>
      </w:r>
      <w:r w:rsidRPr="00D3343F">
        <w:rPr>
          <w:smallCaps/>
          <w:highlight w:val="yellow"/>
          <w:u w:val="double"/>
        </w:rPr>
        <w:t>, Amenna-Bernard N</w:t>
      </w:r>
      <w:r w:rsidR="00D3343F">
        <w:rPr>
          <w:smallCaps/>
          <w:highlight w:val="yellow"/>
          <w:u w:val="double"/>
        </w:rPr>
        <w:t>.</w:t>
      </w:r>
      <w:r w:rsidRPr="00D3343F">
        <w:rPr>
          <w:smallCaps/>
          <w:highlight w:val="yellow"/>
          <w:u w:val="double"/>
        </w:rPr>
        <w:t xml:space="preserve"> &amp; Petry S</w:t>
      </w:r>
      <w:r w:rsidR="00F97E25" w:rsidRPr="00D3343F">
        <w:rPr>
          <w:smallCaps/>
          <w:highlight w:val="yellow"/>
          <w:u w:val="double"/>
        </w:rPr>
        <w:t>.</w:t>
      </w:r>
      <w:r w:rsidRPr="00D3343F">
        <w:rPr>
          <w:highlight w:val="yellow"/>
          <w:u w:val="double"/>
        </w:rPr>
        <w:t xml:space="preserve"> (2019)</w:t>
      </w:r>
      <w:r w:rsidR="00F97E25" w:rsidRPr="00D3343F">
        <w:rPr>
          <w:highlight w:val="yellow"/>
          <w:u w:val="double"/>
        </w:rPr>
        <w:t>.</w:t>
      </w:r>
      <w:r w:rsidRPr="00D3343F">
        <w:rPr>
          <w:highlight w:val="yellow"/>
          <w:u w:val="double"/>
        </w:rPr>
        <w:t xml:space="preserve"> Acute Endometritis due to </w:t>
      </w:r>
      <w:r w:rsidRPr="00D3343F">
        <w:rPr>
          <w:i/>
          <w:highlight w:val="yellow"/>
          <w:u w:val="double"/>
        </w:rPr>
        <w:t>Taylorella equigenitalis</w:t>
      </w:r>
      <w:r w:rsidRPr="00D3343F">
        <w:rPr>
          <w:highlight w:val="yellow"/>
          <w:u w:val="double"/>
        </w:rPr>
        <w:t xml:space="preserve"> Transmission by Insemination of Cryopreserved Stallion Semen. </w:t>
      </w:r>
      <w:r w:rsidRPr="00D3343F">
        <w:rPr>
          <w:i/>
          <w:iCs/>
          <w:highlight w:val="yellow"/>
          <w:u w:val="double"/>
        </w:rPr>
        <w:t>J. Equine Vet. Sci.</w:t>
      </w:r>
      <w:r w:rsidR="00D3343F">
        <w:rPr>
          <w:highlight w:val="yellow"/>
          <w:u w:val="double"/>
        </w:rPr>
        <w:t>,</w:t>
      </w:r>
      <w:r w:rsidRPr="00D3343F">
        <w:rPr>
          <w:highlight w:val="yellow"/>
          <w:u w:val="double"/>
        </w:rPr>
        <w:t xml:space="preserve"> </w:t>
      </w:r>
      <w:r w:rsidRPr="00D3343F">
        <w:rPr>
          <w:b/>
          <w:bCs/>
          <w:highlight w:val="yellow"/>
          <w:u w:val="double"/>
        </w:rPr>
        <w:t>78</w:t>
      </w:r>
      <w:r w:rsidR="00D3343F">
        <w:rPr>
          <w:highlight w:val="yellow"/>
          <w:u w:val="double"/>
        </w:rPr>
        <w:t xml:space="preserve">, </w:t>
      </w:r>
      <w:r w:rsidRPr="00D3343F">
        <w:rPr>
          <w:highlight w:val="yellow"/>
          <w:u w:val="double"/>
        </w:rPr>
        <w:t>10</w:t>
      </w:r>
      <w:r w:rsidR="00D3343F">
        <w:rPr>
          <w:highlight w:val="yellow"/>
          <w:u w:val="double"/>
        </w:rPr>
        <w:t>–</w:t>
      </w:r>
      <w:r w:rsidRPr="00D3343F">
        <w:rPr>
          <w:highlight w:val="yellow"/>
          <w:u w:val="double"/>
        </w:rPr>
        <w:t>13</w:t>
      </w:r>
      <w:r w:rsidR="00F97E25" w:rsidRPr="00D3343F">
        <w:rPr>
          <w:highlight w:val="yellow"/>
          <w:u w:val="double"/>
        </w:rPr>
        <w:t>.</w:t>
      </w:r>
    </w:p>
    <w:p w14:paraId="63B6ED8F" w14:textId="2F97658B" w:rsidR="009128D8" w:rsidRPr="00D049C5" w:rsidRDefault="0053190D" w:rsidP="0059378C">
      <w:pPr>
        <w:pStyle w:val="Ref"/>
        <w:spacing w:after="280"/>
        <w:rPr>
          <w:lang w:val="fr-FR"/>
        </w:rPr>
      </w:pPr>
      <w:r w:rsidRPr="009963AF">
        <w:rPr>
          <w:smallCaps/>
        </w:rPr>
        <w:t>Duquesne F., Pronost S., Laugier C. &amp; Petry S.</w:t>
      </w:r>
      <w:r w:rsidRPr="009963AF">
        <w:t xml:space="preserve"> (2007). </w:t>
      </w:r>
      <w:r w:rsidRPr="00ED0E77">
        <w:rPr>
          <w:lang w:val="en-IE"/>
        </w:rPr>
        <w:t xml:space="preserve">Identification of </w:t>
      </w:r>
      <w:r w:rsidRPr="00ED0E77">
        <w:rPr>
          <w:i/>
          <w:iCs/>
          <w:lang w:val="en-IE"/>
        </w:rPr>
        <w:t>Taylorella</w:t>
      </w:r>
      <w:r w:rsidRPr="00ED0E77">
        <w:rPr>
          <w:lang w:val="en-IE"/>
        </w:rPr>
        <w:t xml:space="preserve"> </w:t>
      </w:r>
      <w:r w:rsidRPr="00ED0E77">
        <w:rPr>
          <w:i/>
          <w:iCs/>
          <w:lang w:val="en-IE"/>
        </w:rPr>
        <w:t>equigenitalis</w:t>
      </w:r>
      <w:r w:rsidRPr="00ED0E77">
        <w:rPr>
          <w:lang w:val="en-IE"/>
        </w:rPr>
        <w:t xml:space="preserve"> responsible for contagious equine metritis in equine genital swabs by direct polyermase chain reaction. </w:t>
      </w:r>
      <w:r w:rsidRPr="00D049C5">
        <w:rPr>
          <w:i/>
          <w:iCs/>
          <w:lang w:val="fr-FR"/>
        </w:rPr>
        <w:t>Res. Vet. Sci.</w:t>
      </w:r>
      <w:r w:rsidRPr="00D049C5">
        <w:rPr>
          <w:lang w:val="fr-FR"/>
        </w:rPr>
        <w:t xml:space="preserve">, </w:t>
      </w:r>
      <w:r w:rsidRPr="00D049C5">
        <w:rPr>
          <w:b/>
          <w:bCs/>
          <w:lang w:val="fr-FR"/>
        </w:rPr>
        <w:t>82</w:t>
      </w:r>
      <w:r w:rsidRPr="00D049C5">
        <w:rPr>
          <w:lang w:val="fr-FR"/>
        </w:rPr>
        <w:t>, 47–49.</w:t>
      </w:r>
    </w:p>
    <w:p w14:paraId="17C6240D" w14:textId="088F9062" w:rsidR="00090466" w:rsidRPr="00ED0E77" w:rsidRDefault="00090466" w:rsidP="0059378C">
      <w:pPr>
        <w:pStyle w:val="Ref"/>
        <w:spacing w:after="280"/>
        <w:rPr>
          <w:u w:val="double"/>
          <w:lang w:val="en-IE"/>
        </w:rPr>
      </w:pPr>
      <w:r w:rsidRPr="00D049C5">
        <w:rPr>
          <w:smallCaps/>
          <w:u w:val="double"/>
          <w:lang w:val="fr-FR"/>
        </w:rPr>
        <w:t>Duquesne F., Hebert L., Breuil M-F., Matsuda M., Lugier C.</w:t>
      </w:r>
      <w:r w:rsidR="00A84F2A" w:rsidRPr="00D049C5">
        <w:rPr>
          <w:smallCaps/>
          <w:u w:val="double"/>
          <w:lang w:val="fr-FR"/>
        </w:rPr>
        <w:t xml:space="preserve"> &amp;</w:t>
      </w:r>
      <w:r w:rsidRPr="00D049C5">
        <w:rPr>
          <w:smallCaps/>
          <w:u w:val="double"/>
          <w:lang w:val="fr-FR"/>
        </w:rPr>
        <w:t xml:space="preserve"> Petry S. (2013)</w:t>
      </w:r>
      <w:r w:rsidR="00A84F2A" w:rsidRPr="00D049C5">
        <w:rPr>
          <w:smallCaps/>
          <w:u w:val="double"/>
          <w:lang w:val="fr-FR"/>
        </w:rPr>
        <w:t>.</w:t>
      </w:r>
      <w:r w:rsidRPr="00D049C5">
        <w:rPr>
          <w:smallCaps/>
          <w:u w:val="double"/>
          <w:lang w:val="fr-FR"/>
        </w:rPr>
        <w:t xml:space="preserve"> </w:t>
      </w:r>
      <w:r w:rsidRPr="00ED0E77">
        <w:rPr>
          <w:u w:val="double"/>
          <w:lang w:val="en-IE"/>
        </w:rPr>
        <w:t xml:space="preserve">Development of a single multi-locus sequence typing scheme for </w:t>
      </w:r>
      <w:r w:rsidR="00A84F2A" w:rsidRPr="00ED0E77">
        <w:rPr>
          <w:i/>
          <w:iCs/>
          <w:u w:val="double"/>
          <w:lang w:val="en-IE"/>
        </w:rPr>
        <w:t xml:space="preserve">Taylorella </w:t>
      </w:r>
      <w:r w:rsidRPr="00ED0E77">
        <w:rPr>
          <w:i/>
          <w:iCs/>
          <w:u w:val="double"/>
          <w:lang w:val="en-IE"/>
        </w:rPr>
        <w:t>equigenitalis</w:t>
      </w:r>
      <w:r w:rsidRPr="00ED0E77">
        <w:rPr>
          <w:u w:val="double"/>
          <w:lang w:val="en-IE"/>
        </w:rPr>
        <w:t xml:space="preserve"> and </w:t>
      </w:r>
      <w:r w:rsidRPr="00ED0E77">
        <w:rPr>
          <w:i/>
          <w:iCs/>
          <w:u w:val="double"/>
          <w:lang w:val="en-IE"/>
        </w:rPr>
        <w:t>Taylorella asinigenitalis</w:t>
      </w:r>
      <w:r w:rsidRPr="00ED0E77">
        <w:rPr>
          <w:u w:val="double"/>
          <w:lang w:val="en-IE"/>
        </w:rPr>
        <w:t xml:space="preserve">. </w:t>
      </w:r>
      <w:r w:rsidRPr="00ED0E77">
        <w:rPr>
          <w:i/>
          <w:iCs/>
          <w:u w:val="double"/>
          <w:lang w:val="en-IE"/>
        </w:rPr>
        <w:t>Vet</w:t>
      </w:r>
      <w:r w:rsidR="00A84F2A" w:rsidRPr="00ED0E77">
        <w:rPr>
          <w:i/>
          <w:iCs/>
          <w:u w:val="double"/>
          <w:lang w:val="en-IE"/>
        </w:rPr>
        <w:t>.</w:t>
      </w:r>
      <w:r w:rsidRPr="00ED0E77">
        <w:rPr>
          <w:i/>
          <w:iCs/>
          <w:u w:val="double"/>
          <w:lang w:val="en-IE"/>
        </w:rPr>
        <w:t xml:space="preserve"> Micro</w:t>
      </w:r>
      <w:r w:rsidR="00A84F2A" w:rsidRPr="00ED0E77">
        <w:rPr>
          <w:i/>
          <w:iCs/>
          <w:u w:val="double"/>
          <w:lang w:val="en-IE"/>
        </w:rPr>
        <w:t>biol</w:t>
      </w:r>
      <w:r w:rsidR="00A84F2A" w:rsidRPr="00ED0E77">
        <w:rPr>
          <w:u w:val="double"/>
          <w:lang w:val="en-IE"/>
        </w:rPr>
        <w:t>.,</w:t>
      </w:r>
      <w:r w:rsidRPr="00ED0E77">
        <w:rPr>
          <w:u w:val="double"/>
          <w:lang w:val="en-IE"/>
        </w:rPr>
        <w:t xml:space="preserve"> </w:t>
      </w:r>
      <w:r w:rsidRPr="00ED0E77">
        <w:rPr>
          <w:b/>
          <w:bCs/>
          <w:u w:val="double"/>
          <w:lang w:val="en-IE"/>
        </w:rPr>
        <w:t>167</w:t>
      </w:r>
      <w:r w:rsidR="00A84F2A" w:rsidRPr="00ED0E77">
        <w:rPr>
          <w:u w:val="double"/>
          <w:lang w:val="en-IE"/>
        </w:rPr>
        <w:t>,</w:t>
      </w:r>
      <w:r w:rsidRPr="00ED0E77">
        <w:rPr>
          <w:u w:val="double"/>
          <w:lang w:val="en-IE"/>
        </w:rPr>
        <w:t xml:space="preserve"> 609</w:t>
      </w:r>
      <w:r w:rsidR="00A84F2A" w:rsidRPr="00ED0E77">
        <w:rPr>
          <w:u w:val="double"/>
          <w:lang w:val="en-IE"/>
        </w:rPr>
        <w:t>–</w:t>
      </w:r>
      <w:r w:rsidRPr="00ED0E77">
        <w:rPr>
          <w:u w:val="double"/>
          <w:lang w:val="en-IE"/>
        </w:rPr>
        <w:t>618.</w:t>
      </w:r>
    </w:p>
    <w:p w14:paraId="21178689" w14:textId="32567C44" w:rsidR="00EC7082" w:rsidRPr="00ED0E77" w:rsidRDefault="002D66B2" w:rsidP="0059378C">
      <w:pPr>
        <w:pStyle w:val="Ref"/>
        <w:spacing w:after="280"/>
        <w:rPr>
          <w:u w:val="double"/>
          <w:lang w:val="en-IE"/>
        </w:rPr>
      </w:pPr>
      <w:r w:rsidRPr="00ED0E77">
        <w:rPr>
          <w:smallCaps/>
          <w:u w:val="double"/>
          <w:lang w:val="en-IE"/>
        </w:rPr>
        <w:t>Duquesne F., Merlin A., Pérez-Cobo I., Sedlák K., Melzer F., Overesch G., Fretin D., Iwaniak W., Breuil M.F., Wernery U., Hicks J., Agüero-García M., Frías-Serrano N., San Miguel-Ibáñez E., Patrasová E., Waldvogel A.</w:t>
      </w:r>
      <w:r w:rsidR="00A84F2A" w:rsidRPr="00ED0E77">
        <w:rPr>
          <w:smallCaps/>
          <w:u w:val="double"/>
          <w:lang w:val="en-IE"/>
        </w:rPr>
        <w:t xml:space="preserve">, </w:t>
      </w:r>
      <w:r w:rsidRPr="00ED0E77">
        <w:rPr>
          <w:smallCaps/>
          <w:u w:val="double"/>
          <w:lang w:val="en-IE"/>
        </w:rPr>
        <w:t>Szulowski K., Joseph M., Jeeba J., Shanty J.</w:t>
      </w:r>
      <w:r w:rsidR="00A84F2A" w:rsidRPr="00ED0E77">
        <w:rPr>
          <w:smallCaps/>
          <w:u w:val="double"/>
          <w:lang w:val="en-IE"/>
        </w:rPr>
        <w:t xml:space="preserve"> &amp; </w:t>
      </w:r>
      <w:r w:rsidRPr="00ED0E77">
        <w:rPr>
          <w:smallCaps/>
          <w:u w:val="double"/>
          <w:lang w:val="en-IE"/>
        </w:rPr>
        <w:t xml:space="preserve">Petry S. (2020). </w:t>
      </w:r>
      <w:r w:rsidRPr="00ED0E77">
        <w:rPr>
          <w:u w:val="double"/>
          <w:lang w:val="en-IE"/>
        </w:rPr>
        <w:t xml:space="preserve">Overview of spatio-temporal distribution inferred by multi-locus sequence typing of </w:t>
      </w:r>
      <w:r w:rsidRPr="00ED0E77">
        <w:rPr>
          <w:i/>
          <w:iCs/>
          <w:u w:val="double"/>
          <w:lang w:val="en-IE"/>
        </w:rPr>
        <w:t>Taylorella equigenitalis</w:t>
      </w:r>
      <w:r w:rsidRPr="00ED0E77">
        <w:rPr>
          <w:u w:val="double"/>
          <w:lang w:val="en-IE"/>
        </w:rPr>
        <w:t xml:space="preserve"> isolated worldwide from 1977 to 2018 in equidae. </w:t>
      </w:r>
      <w:r w:rsidRPr="00ED0E77">
        <w:rPr>
          <w:i/>
          <w:iCs/>
          <w:u w:val="double"/>
          <w:lang w:val="en-IE"/>
        </w:rPr>
        <w:t>Vet</w:t>
      </w:r>
      <w:r w:rsidR="00A84F2A" w:rsidRPr="00ED0E77">
        <w:rPr>
          <w:i/>
          <w:iCs/>
          <w:u w:val="double"/>
          <w:lang w:val="en-IE"/>
        </w:rPr>
        <w:t>.</w:t>
      </w:r>
      <w:r w:rsidRPr="00ED0E77">
        <w:rPr>
          <w:i/>
          <w:iCs/>
          <w:u w:val="double"/>
          <w:lang w:val="en-IE"/>
        </w:rPr>
        <w:t xml:space="preserve"> </w:t>
      </w:r>
      <w:r w:rsidR="00A84F2A" w:rsidRPr="00ED0E77">
        <w:rPr>
          <w:i/>
          <w:iCs/>
          <w:u w:val="double"/>
          <w:lang w:val="en-IE"/>
        </w:rPr>
        <w:t>M</w:t>
      </w:r>
      <w:r w:rsidRPr="00ED0E77">
        <w:rPr>
          <w:i/>
          <w:iCs/>
          <w:u w:val="double"/>
          <w:lang w:val="en-IE"/>
        </w:rPr>
        <w:t>icrobiol</w:t>
      </w:r>
      <w:r w:rsidR="00A84F2A" w:rsidRPr="00ED0E77">
        <w:rPr>
          <w:i/>
          <w:iCs/>
          <w:u w:val="double"/>
          <w:lang w:val="en-IE"/>
        </w:rPr>
        <w:t>.,</w:t>
      </w:r>
      <w:r w:rsidRPr="00ED0E77">
        <w:rPr>
          <w:u w:val="double"/>
          <w:lang w:val="en-IE"/>
        </w:rPr>
        <w:t xml:space="preserve"> </w:t>
      </w:r>
      <w:r w:rsidRPr="00ED0E77">
        <w:rPr>
          <w:b/>
          <w:bCs/>
          <w:u w:val="double"/>
          <w:lang w:val="en-IE"/>
        </w:rPr>
        <w:t>242</w:t>
      </w:r>
      <w:r w:rsidRPr="00ED0E77">
        <w:rPr>
          <w:u w:val="double"/>
          <w:lang w:val="en-IE"/>
        </w:rPr>
        <w:t>, 108597. https://doi.org/10.1016/j.vetmic.2020.108597</w:t>
      </w:r>
    </w:p>
    <w:p w14:paraId="63B6ED90" w14:textId="2761B927" w:rsidR="00176913" w:rsidRPr="00ED0E77" w:rsidRDefault="00176913" w:rsidP="0059378C">
      <w:pPr>
        <w:pStyle w:val="Ref"/>
        <w:spacing w:after="280"/>
        <w:rPr>
          <w:lang w:val="en-IE"/>
        </w:rPr>
      </w:pPr>
      <w:r w:rsidRPr="00ED0E77">
        <w:rPr>
          <w:smallCaps/>
          <w:lang w:val="en-IE"/>
        </w:rPr>
        <w:t xml:space="preserve">Erdman M.M., Creekmore L.H., Fox P.E., Pelzel A.M., Porter-Spalding B.A., Aalsburg A.M., Cox L.K., Morningstar-Shaw B.R. </w:t>
      </w:r>
      <w:r w:rsidR="009128D8" w:rsidRPr="00ED0E77">
        <w:rPr>
          <w:smallCaps/>
          <w:lang w:val="en-IE"/>
        </w:rPr>
        <w:t xml:space="preserve">&amp; </w:t>
      </w:r>
      <w:r w:rsidRPr="00ED0E77">
        <w:rPr>
          <w:smallCaps/>
          <w:lang w:val="en-IE"/>
        </w:rPr>
        <w:t>Crom R.L.</w:t>
      </w:r>
      <w:r w:rsidRPr="00ED0E77">
        <w:rPr>
          <w:lang w:val="en-IE"/>
        </w:rPr>
        <w:t xml:space="preserve"> (2011). Diagnostic and epidemiologic analysis of the 2008</w:t>
      </w:r>
      <w:r w:rsidR="0078582C" w:rsidRPr="00ED0E77">
        <w:rPr>
          <w:lang w:val="en-IE"/>
        </w:rPr>
        <w:t>–</w:t>
      </w:r>
      <w:r w:rsidRPr="00ED0E77">
        <w:rPr>
          <w:lang w:val="en-IE"/>
        </w:rPr>
        <w:t xml:space="preserve">2010 investigation of a multi-year outbreak of contagious equine metritis in the United States. </w:t>
      </w:r>
      <w:r w:rsidRPr="00ED0E77">
        <w:rPr>
          <w:i/>
          <w:iCs/>
          <w:lang w:val="en-IE"/>
        </w:rPr>
        <w:t>Prev. Vet. Med</w:t>
      </w:r>
      <w:r w:rsidR="0078582C" w:rsidRPr="00ED0E77">
        <w:rPr>
          <w:i/>
          <w:iCs/>
          <w:lang w:val="en-IE"/>
        </w:rPr>
        <w:t>.</w:t>
      </w:r>
      <w:r w:rsidRPr="00ED0E77">
        <w:rPr>
          <w:lang w:val="en-IE"/>
        </w:rPr>
        <w:t xml:space="preserve">, </w:t>
      </w:r>
      <w:r w:rsidRPr="00ED0E77">
        <w:rPr>
          <w:b/>
          <w:bCs/>
          <w:lang w:val="en-IE"/>
        </w:rPr>
        <w:t>101</w:t>
      </w:r>
      <w:r w:rsidRPr="00ED0E77">
        <w:rPr>
          <w:lang w:val="en-IE"/>
        </w:rPr>
        <w:t>, 219</w:t>
      </w:r>
      <w:r w:rsidR="0078582C" w:rsidRPr="00ED0E77">
        <w:rPr>
          <w:lang w:val="en-IE"/>
        </w:rPr>
        <w:t>–</w:t>
      </w:r>
      <w:r w:rsidRPr="00ED0E77">
        <w:rPr>
          <w:lang w:val="en-IE"/>
        </w:rPr>
        <w:t>228.</w:t>
      </w:r>
    </w:p>
    <w:p w14:paraId="63B6ED91" w14:textId="24CB0BE2" w:rsidR="0053190D" w:rsidRPr="00101C0B" w:rsidRDefault="0053190D" w:rsidP="0059378C">
      <w:pPr>
        <w:pStyle w:val="Ref"/>
        <w:spacing w:after="280"/>
        <w:rPr>
          <w:lang w:val="de-DE"/>
        </w:rPr>
      </w:pPr>
      <w:r w:rsidRPr="00ED0E77">
        <w:rPr>
          <w:smallCaps/>
          <w:lang w:val="en-IE"/>
        </w:rPr>
        <w:t xml:space="preserve">Fernie </w:t>
      </w:r>
      <w:r w:rsidR="0059378C" w:rsidRPr="00ED0E77">
        <w:rPr>
          <w:smallCaps/>
          <w:lang w:val="en-IE"/>
        </w:rPr>
        <w:t xml:space="preserve">D.S., </w:t>
      </w:r>
      <w:r w:rsidRPr="00ED0E77">
        <w:rPr>
          <w:smallCaps/>
          <w:lang w:val="en-IE"/>
        </w:rPr>
        <w:t xml:space="preserve">Batty I., Walker P.D., Platt H., Mackintosh M.E. &amp; Simpson D.J. </w:t>
      </w:r>
      <w:r w:rsidRPr="00ED0E77">
        <w:rPr>
          <w:lang w:val="en-IE"/>
        </w:rPr>
        <w:t xml:space="preserve">(1980). Observations on vaccine and post-infection immunity in contagious equine metritis. </w:t>
      </w:r>
      <w:r w:rsidRPr="00101C0B">
        <w:rPr>
          <w:i/>
          <w:iCs/>
          <w:lang w:val="de-DE"/>
        </w:rPr>
        <w:t>Res. Vet. Sci.</w:t>
      </w:r>
      <w:r w:rsidRPr="00101C0B">
        <w:rPr>
          <w:lang w:val="de-DE"/>
        </w:rPr>
        <w:t xml:space="preserve">, </w:t>
      </w:r>
      <w:r w:rsidRPr="00101C0B">
        <w:rPr>
          <w:b/>
          <w:bCs/>
          <w:lang w:val="de-DE"/>
        </w:rPr>
        <w:t>28</w:t>
      </w:r>
      <w:r w:rsidRPr="00101C0B">
        <w:rPr>
          <w:lang w:val="de-DE"/>
        </w:rPr>
        <w:t>, 362–367.</w:t>
      </w:r>
    </w:p>
    <w:p w14:paraId="37D3AA22" w14:textId="4D74142C" w:rsidR="00A84F2A" w:rsidRPr="00ED0E77" w:rsidRDefault="009D15B0" w:rsidP="00A84F2A">
      <w:pPr>
        <w:pStyle w:val="Ref"/>
        <w:spacing w:after="280"/>
        <w:rPr>
          <w:u w:val="double"/>
          <w:lang w:val="en-IE"/>
        </w:rPr>
      </w:pPr>
      <w:r w:rsidRPr="00101C0B">
        <w:rPr>
          <w:smallCaps/>
          <w:u w:val="double"/>
          <w:lang w:val="de-DE"/>
        </w:rPr>
        <w:t>Hicks J., Stuber T., Lantz K., Erdman M., Robbe-Austerman S. &amp; Huang X.</w:t>
      </w:r>
      <w:r w:rsidR="00A84F2A" w:rsidRPr="00101C0B">
        <w:rPr>
          <w:u w:val="double"/>
          <w:lang w:val="de-DE"/>
        </w:rPr>
        <w:t xml:space="preserve"> (2018)</w:t>
      </w:r>
      <w:r w:rsidR="00F92474" w:rsidRPr="00101C0B">
        <w:rPr>
          <w:u w:val="double"/>
          <w:lang w:val="de-DE"/>
        </w:rPr>
        <w:t>.</w:t>
      </w:r>
      <w:r w:rsidR="00A84F2A" w:rsidRPr="00101C0B">
        <w:rPr>
          <w:u w:val="double"/>
          <w:lang w:val="de-DE"/>
        </w:rPr>
        <w:t xml:space="preserve"> </w:t>
      </w:r>
      <w:r w:rsidR="00A84F2A" w:rsidRPr="00ED0E77">
        <w:rPr>
          <w:u w:val="double"/>
          <w:lang w:val="en-IE"/>
        </w:rPr>
        <w:t xml:space="preserve">Genomic diversity of </w:t>
      </w:r>
      <w:r w:rsidR="00A84F2A" w:rsidRPr="00ED0E77">
        <w:rPr>
          <w:i/>
          <w:iCs/>
          <w:u w:val="double"/>
          <w:lang w:val="en-IE"/>
        </w:rPr>
        <w:t>Taylorella equigenitalis</w:t>
      </w:r>
      <w:r w:rsidR="00A84F2A" w:rsidRPr="00ED0E77">
        <w:rPr>
          <w:u w:val="double"/>
          <w:lang w:val="en-IE"/>
        </w:rPr>
        <w:t xml:space="preserve"> introduced into the United States from 1978 to 2012. </w:t>
      </w:r>
      <w:r w:rsidR="00A84F2A" w:rsidRPr="00ED0E77">
        <w:rPr>
          <w:i/>
          <w:iCs/>
          <w:u w:val="double"/>
          <w:lang w:val="en-IE"/>
        </w:rPr>
        <w:t>PLoS ONE</w:t>
      </w:r>
      <w:r w:rsidR="00F92474" w:rsidRPr="00ED0E77">
        <w:rPr>
          <w:u w:val="double"/>
          <w:lang w:val="en-IE"/>
        </w:rPr>
        <w:t>,</w:t>
      </w:r>
      <w:r w:rsidR="00A84F2A" w:rsidRPr="00ED0E77">
        <w:rPr>
          <w:u w:val="double"/>
          <w:lang w:val="en-IE"/>
        </w:rPr>
        <w:t xml:space="preserve"> </w:t>
      </w:r>
      <w:r w:rsidR="00A84F2A" w:rsidRPr="00ED0E77">
        <w:rPr>
          <w:b/>
          <w:bCs/>
          <w:u w:val="double"/>
          <w:lang w:val="en-IE"/>
        </w:rPr>
        <w:t>13</w:t>
      </w:r>
      <w:r w:rsidR="00A84F2A" w:rsidRPr="00ED0E77">
        <w:rPr>
          <w:u w:val="double"/>
          <w:lang w:val="en-IE"/>
        </w:rPr>
        <w:t xml:space="preserve"> (3): e0194253.</w:t>
      </w:r>
    </w:p>
    <w:p w14:paraId="4E329FA9" w14:textId="6A0BEAF3" w:rsidR="00A84F2A" w:rsidRPr="00ED0E77" w:rsidRDefault="009D15B0" w:rsidP="00A84F2A">
      <w:pPr>
        <w:pStyle w:val="Ref"/>
        <w:spacing w:after="280"/>
        <w:rPr>
          <w:u w:val="double"/>
          <w:lang w:val="en-IE"/>
        </w:rPr>
      </w:pPr>
      <w:r w:rsidRPr="00ED0E77">
        <w:rPr>
          <w:smallCaps/>
          <w:u w:val="double"/>
          <w:lang w:val="en-IE"/>
        </w:rPr>
        <w:t>Jeoung H</w:t>
      </w:r>
      <w:r w:rsidR="00A23740" w:rsidRPr="00ED0E77">
        <w:rPr>
          <w:smallCaps/>
          <w:u w:val="double"/>
          <w:lang w:val="en-IE"/>
        </w:rPr>
        <w:t>.</w:t>
      </w:r>
      <w:r w:rsidRPr="00ED0E77">
        <w:rPr>
          <w:smallCaps/>
          <w:u w:val="double"/>
          <w:lang w:val="en-IE"/>
        </w:rPr>
        <w:t>-Y., Lee S</w:t>
      </w:r>
      <w:r w:rsidR="00A23740" w:rsidRPr="00ED0E77">
        <w:rPr>
          <w:smallCaps/>
          <w:u w:val="double"/>
          <w:lang w:val="en-IE"/>
        </w:rPr>
        <w:t>.</w:t>
      </w:r>
      <w:r w:rsidRPr="00ED0E77">
        <w:rPr>
          <w:smallCaps/>
          <w:u w:val="double"/>
          <w:lang w:val="en-IE"/>
        </w:rPr>
        <w:t>-K., Park J</w:t>
      </w:r>
      <w:r w:rsidR="00A23740" w:rsidRPr="00ED0E77">
        <w:rPr>
          <w:smallCaps/>
          <w:u w:val="double"/>
          <w:lang w:val="en-IE"/>
        </w:rPr>
        <w:t>.</w:t>
      </w:r>
      <w:r w:rsidRPr="00ED0E77">
        <w:rPr>
          <w:smallCaps/>
          <w:u w:val="double"/>
          <w:lang w:val="en-IE"/>
        </w:rPr>
        <w:t>-Y., Kim H</w:t>
      </w:r>
      <w:r w:rsidR="00A23740" w:rsidRPr="00ED0E77">
        <w:rPr>
          <w:smallCaps/>
          <w:u w:val="double"/>
          <w:lang w:val="en-IE"/>
        </w:rPr>
        <w:t>.</w:t>
      </w:r>
      <w:r w:rsidRPr="00ED0E77">
        <w:rPr>
          <w:smallCaps/>
          <w:u w:val="double"/>
          <w:lang w:val="en-IE"/>
        </w:rPr>
        <w:t>-J., Yang S</w:t>
      </w:r>
      <w:r w:rsidR="00A23740" w:rsidRPr="00ED0E77">
        <w:rPr>
          <w:smallCaps/>
          <w:u w:val="double"/>
          <w:lang w:val="en-IE"/>
        </w:rPr>
        <w:t>.</w:t>
      </w:r>
      <w:r w:rsidRPr="00ED0E77">
        <w:rPr>
          <w:smallCaps/>
          <w:u w:val="double"/>
          <w:lang w:val="en-IE"/>
        </w:rPr>
        <w:t>-J., Lee S</w:t>
      </w:r>
      <w:r w:rsidR="00A23740" w:rsidRPr="00ED0E77">
        <w:rPr>
          <w:smallCaps/>
          <w:u w:val="double"/>
          <w:lang w:val="en-IE"/>
        </w:rPr>
        <w:t>.</w:t>
      </w:r>
      <w:r w:rsidRPr="00ED0E77">
        <w:rPr>
          <w:smallCaps/>
          <w:u w:val="double"/>
          <w:lang w:val="en-IE"/>
        </w:rPr>
        <w:t>-K., Ko J.A., Yang H</w:t>
      </w:r>
      <w:r w:rsidR="00A23740" w:rsidRPr="00ED0E77">
        <w:rPr>
          <w:smallCaps/>
          <w:u w:val="double"/>
          <w:lang w:val="en-IE"/>
        </w:rPr>
        <w:t>.</w:t>
      </w:r>
      <w:r w:rsidRPr="00ED0E77">
        <w:rPr>
          <w:smallCaps/>
          <w:u w:val="double"/>
          <w:lang w:val="en-IE"/>
        </w:rPr>
        <w:t>-S., Park C., Kim S</w:t>
      </w:r>
      <w:r w:rsidR="00A23740" w:rsidRPr="00ED0E77">
        <w:rPr>
          <w:smallCaps/>
          <w:u w:val="double"/>
          <w:lang w:val="en-IE"/>
        </w:rPr>
        <w:t>.</w:t>
      </w:r>
      <w:r w:rsidRPr="00ED0E77">
        <w:rPr>
          <w:smallCaps/>
          <w:u w:val="double"/>
          <w:lang w:val="en-IE"/>
        </w:rPr>
        <w:t>-H., Kang H</w:t>
      </w:r>
      <w:r w:rsidR="00A23740" w:rsidRPr="00ED0E77">
        <w:rPr>
          <w:smallCaps/>
          <w:u w:val="double"/>
          <w:lang w:val="en-IE"/>
        </w:rPr>
        <w:t>.</w:t>
      </w:r>
      <w:r w:rsidRPr="00ED0E77">
        <w:rPr>
          <w:smallCaps/>
          <w:u w:val="double"/>
          <w:lang w:val="en-IE"/>
        </w:rPr>
        <w:t>-E. &amp; Choi J</w:t>
      </w:r>
      <w:r w:rsidR="00A23740" w:rsidRPr="00ED0E77">
        <w:rPr>
          <w:smallCaps/>
          <w:u w:val="double"/>
          <w:lang w:val="en-IE"/>
        </w:rPr>
        <w:t>.</w:t>
      </w:r>
      <w:r w:rsidRPr="00ED0E77">
        <w:rPr>
          <w:smallCaps/>
          <w:u w:val="double"/>
          <w:lang w:val="en-IE"/>
        </w:rPr>
        <w:t>-G.</w:t>
      </w:r>
      <w:r w:rsidR="00A84F2A" w:rsidRPr="00ED0E77">
        <w:rPr>
          <w:u w:val="double"/>
          <w:lang w:val="en-IE"/>
        </w:rPr>
        <w:t xml:space="preserve"> (2108)</w:t>
      </w:r>
      <w:r w:rsidR="00C72FF1" w:rsidRPr="00ED0E77">
        <w:rPr>
          <w:u w:val="double"/>
          <w:lang w:val="en-IE"/>
        </w:rPr>
        <w:t>.</w:t>
      </w:r>
      <w:r w:rsidR="00A84F2A" w:rsidRPr="00ED0E77">
        <w:rPr>
          <w:u w:val="double"/>
          <w:lang w:val="en-IE"/>
        </w:rPr>
        <w:t xml:space="preserve"> Status of </w:t>
      </w:r>
      <w:r w:rsidR="00A84F2A" w:rsidRPr="00ED0E77">
        <w:rPr>
          <w:i/>
          <w:u w:val="double"/>
          <w:lang w:val="en-IE"/>
        </w:rPr>
        <w:t>Taylorella equigenitalis</w:t>
      </w:r>
      <w:r w:rsidR="00A84F2A" w:rsidRPr="00ED0E77">
        <w:rPr>
          <w:u w:val="double"/>
          <w:lang w:val="en-IE"/>
        </w:rPr>
        <w:t xml:space="preserve"> in Thoroughbred Horses in the Republic of Korea and the Molecular Characterisation of the Korean </w:t>
      </w:r>
      <w:r w:rsidR="00A84F2A" w:rsidRPr="00ED0E77">
        <w:rPr>
          <w:i/>
          <w:iCs/>
          <w:u w:val="double"/>
          <w:lang w:val="en-IE"/>
        </w:rPr>
        <w:t>Taylorella equigenitalis</w:t>
      </w:r>
      <w:r w:rsidR="00A84F2A" w:rsidRPr="00ED0E77">
        <w:rPr>
          <w:u w:val="double"/>
          <w:lang w:val="en-IE"/>
        </w:rPr>
        <w:t xml:space="preserve"> Isolates. </w:t>
      </w:r>
      <w:r w:rsidR="00A84F2A" w:rsidRPr="00ED0E77">
        <w:rPr>
          <w:i/>
          <w:iCs/>
          <w:u w:val="double"/>
          <w:lang w:val="en-IE"/>
        </w:rPr>
        <w:t>J</w:t>
      </w:r>
      <w:r w:rsidR="003267A3" w:rsidRPr="00ED0E77">
        <w:rPr>
          <w:i/>
          <w:iCs/>
          <w:u w:val="double"/>
          <w:lang w:val="en-IE"/>
        </w:rPr>
        <w:t xml:space="preserve">. </w:t>
      </w:r>
      <w:r w:rsidR="00A84F2A" w:rsidRPr="00ED0E77">
        <w:rPr>
          <w:i/>
          <w:iCs/>
          <w:u w:val="double"/>
          <w:lang w:val="en-IE"/>
        </w:rPr>
        <w:t>E</w:t>
      </w:r>
      <w:r w:rsidR="003267A3" w:rsidRPr="00ED0E77">
        <w:rPr>
          <w:i/>
          <w:iCs/>
          <w:u w:val="double"/>
          <w:lang w:val="en-IE"/>
        </w:rPr>
        <w:t xml:space="preserve">quine </w:t>
      </w:r>
      <w:r w:rsidR="00A84F2A" w:rsidRPr="00ED0E77">
        <w:rPr>
          <w:i/>
          <w:iCs/>
          <w:u w:val="double"/>
          <w:lang w:val="en-IE"/>
        </w:rPr>
        <w:t>V</w:t>
      </w:r>
      <w:r w:rsidR="003267A3" w:rsidRPr="00ED0E77">
        <w:rPr>
          <w:i/>
          <w:iCs/>
          <w:u w:val="double"/>
          <w:lang w:val="en-IE"/>
        </w:rPr>
        <w:t>et.</w:t>
      </w:r>
      <w:r w:rsidR="00F92474" w:rsidRPr="00ED0E77">
        <w:rPr>
          <w:i/>
          <w:iCs/>
          <w:u w:val="double"/>
          <w:lang w:val="en-IE"/>
        </w:rPr>
        <w:t xml:space="preserve"> </w:t>
      </w:r>
      <w:r w:rsidR="00A84F2A" w:rsidRPr="00ED0E77">
        <w:rPr>
          <w:i/>
          <w:iCs/>
          <w:u w:val="double"/>
          <w:lang w:val="en-IE"/>
        </w:rPr>
        <w:t>Sci</w:t>
      </w:r>
      <w:r w:rsidR="00F92474" w:rsidRPr="00ED0E77">
        <w:rPr>
          <w:u w:val="double"/>
          <w:lang w:val="en-IE"/>
        </w:rPr>
        <w:t>.,</w:t>
      </w:r>
      <w:r w:rsidR="00A84F2A" w:rsidRPr="00ED0E77">
        <w:rPr>
          <w:u w:val="double"/>
          <w:lang w:val="en-IE"/>
        </w:rPr>
        <w:t xml:space="preserve"> </w:t>
      </w:r>
      <w:r w:rsidR="00A84F2A" w:rsidRPr="00ED0E77">
        <w:rPr>
          <w:b/>
          <w:bCs/>
          <w:u w:val="double"/>
          <w:lang w:val="en-IE"/>
        </w:rPr>
        <w:t>69</w:t>
      </w:r>
      <w:r w:rsidR="00A84F2A" w:rsidRPr="00ED0E77">
        <w:rPr>
          <w:u w:val="double"/>
          <w:lang w:val="en-IE"/>
        </w:rPr>
        <w:t>, 102</w:t>
      </w:r>
      <w:r w:rsidR="003267A3" w:rsidRPr="00ED0E77">
        <w:rPr>
          <w:u w:val="double"/>
          <w:lang w:val="en-IE"/>
        </w:rPr>
        <w:t>–</w:t>
      </w:r>
      <w:r w:rsidR="00A84F2A" w:rsidRPr="00ED0E77">
        <w:rPr>
          <w:u w:val="double"/>
          <w:lang w:val="en-IE"/>
        </w:rPr>
        <w:t>107.</w:t>
      </w:r>
    </w:p>
    <w:p w14:paraId="0723F0E9" w14:textId="3BEC910F" w:rsidR="00A84F2A" w:rsidRPr="00ED0E77" w:rsidRDefault="009D15B0" w:rsidP="00A84F2A">
      <w:pPr>
        <w:pStyle w:val="Ref"/>
        <w:spacing w:after="280"/>
        <w:rPr>
          <w:u w:val="double"/>
          <w:lang w:val="en-IE"/>
        </w:rPr>
      </w:pPr>
      <w:r w:rsidRPr="00ED0E77">
        <w:rPr>
          <w:smallCaps/>
          <w:u w:val="double"/>
          <w:lang w:val="en-IE"/>
        </w:rPr>
        <w:t>Klein C., Donahue J.M., Sells S.F., Squires E.L., Timoney P.J. &amp; Troedsson M.H.T.</w:t>
      </w:r>
      <w:r w:rsidRPr="00ED0E77">
        <w:rPr>
          <w:u w:val="double"/>
          <w:lang w:val="en-IE"/>
        </w:rPr>
        <w:t xml:space="preserve"> </w:t>
      </w:r>
      <w:r w:rsidR="00A84F2A" w:rsidRPr="00ED0E77">
        <w:rPr>
          <w:u w:val="double"/>
          <w:lang w:val="en-IE"/>
        </w:rPr>
        <w:t>(2012). Effect of antimicrobial-containing semen extender on risk of dissemination of contagious equine met</w:t>
      </w:r>
      <w:r w:rsidR="00C72FF1" w:rsidRPr="00ED0E77">
        <w:rPr>
          <w:u w:val="double"/>
          <w:lang w:val="en-IE"/>
        </w:rPr>
        <w:t>r</w:t>
      </w:r>
      <w:r w:rsidR="00A84F2A" w:rsidRPr="00ED0E77">
        <w:rPr>
          <w:u w:val="double"/>
          <w:lang w:val="en-IE"/>
        </w:rPr>
        <w:t xml:space="preserve">itis. </w:t>
      </w:r>
      <w:r w:rsidR="00A84F2A" w:rsidRPr="00ED0E77">
        <w:rPr>
          <w:i/>
          <w:iCs/>
          <w:u w:val="double"/>
          <w:lang w:val="en-IE"/>
        </w:rPr>
        <w:t>J</w:t>
      </w:r>
      <w:r w:rsidR="003267A3" w:rsidRPr="00ED0E77">
        <w:rPr>
          <w:i/>
          <w:iCs/>
          <w:u w:val="double"/>
          <w:lang w:val="en-IE"/>
        </w:rPr>
        <w:t xml:space="preserve">. </w:t>
      </w:r>
      <w:r w:rsidR="00A84F2A" w:rsidRPr="00ED0E77">
        <w:rPr>
          <w:i/>
          <w:iCs/>
          <w:u w:val="double"/>
          <w:lang w:val="en-IE"/>
        </w:rPr>
        <w:t>A</w:t>
      </w:r>
      <w:r w:rsidR="003267A3" w:rsidRPr="00ED0E77">
        <w:rPr>
          <w:i/>
          <w:iCs/>
          <w:u w:val="double"/>
          <w:lang w:val="en-IE"/>
        </w:rPr>
        <w:t xml:space="preserve">m. </w:t>
      </w:r>
      <w:r w:rsidR="00A84F2A" w:rsidRPr="00ED0E77">
        <w:rPr>
          <w:i/>
          <w:iCs/>
          <w:u w:val="double"/>
          <w:lang w:val="en-IE"/>
        </w:rPr>
        <w:t>V</w:t>
      </w:r>
      <w:r w:rsidR="003267A3" w:rsidRPr="00ED0E77">
        <w:rPr>
          <w:i/>
          <w:iCs/>
          <w:u w:val="double"/>
          <w:lang w:val="en-IE"/>
        </w:rPr>
        <w:t xml:space="preserve">et. </w:t>
      </w:r>
      <w:r w:rsidR="00A84F2A" w:rsidRPr="00ED0E77">
        <w:rPr>
          <w:i/>
          <w:iCs/>
          <w:u w:val="double"/>
          <w:lang w:val="en-IE"/>
        </w:rPr>
        <w:t>M</w:t>
      </w:r>
      <w:r w:rsidR="003267A3" w:rsidRPr="00ED0E77">
        <w:rPr>
          <w:i/>
          <w:iCs/>
          <w:u w:val="double"/>
          <w:lang w:val="en-IE"/>
        </w:rPr>
        <w:t xml:space="preserve">ed. </w:t>
      </w:r>
      <w:r w:rsidR="00A84F2A" w:rsidRPr="00ED0E77">
        <w:rPr>
          <w:i/>
          <w:iCs/>
          <w:u w:val="double"/>
          <w:lang w:val="en-IE"/>
        </w:rPr>
        <w:t>A</w:t>
      </w:r>
      <w:r w:rsidR="003267A3" w:rsidRPr="00ED0E77">
        <w:rPr>
          <w:i/>
          <w:iCs/>
          <w:u w:val="double"/>
          <w:lang w:val="en-IE"/>
        </w:rPr>
        <w:t>ssoc.</w:t>
      </w:r>
      <w:r w:rsidR="00A84F2A" w:rsidRPr="00ED0E77">
        <w:rPr>
          <w:u w:val="double"/>
          <w:lang w:val="en-IE"/>
        </w:rPr>
        <w:t xml:space="preserve">, </w:t>
      </w:r>
      <w:r w:rsidR="00A84F2A" w:rsidRPr="00ED0E77">
        <w:rPr>
          <w:b/>
          <w:bCs/>
          <w:u w:val="double"/>
          <w:lang w:val="en-IE"/>
        </w:rPr>
        <w:t>241</w:t>
      </w:r>
      <w:r w:rsidR="00A84F2A" w:rsidRPr="00ED0E77">
        <w:rPr>
          <w:u w:val="double"/>
          <w:lang w:val="en-IE"/>
        </w:rPr>
        <w:t>, 916</w:t>
      </w:r>
      <w:r w:rsidR="00F92474" w:rsidRPr="00ED0E77">
        <w:rPr>
          <w:u w:val="double"/>
          <w:lang w:val="en-IE"/>
        </w:rPr>
        <w:t>–</w:t>
      </w:r>
      <w:r w:rsidR="00A84F2A" w:rsidRPr="00ED0E77">
        <w:rPr>
          <w:u w:val="double"/>
          <w:lang w:val="en-IE"/>
        </w:rPr>
        <w:t xml:space="preserve">921. </w:t>
      </w:r>
    </w:p>
    <w:p w14:paraId="1BAFF075" w14:textId="77777777" w:rsidR="003267A3" w:rsidRPr="00ED0E77" w:rsidRDefault="003267A3" w:rsidP="003267A3">
      <w:pPr>
        <w:pStyle w:val="Ref"/>
        <w:spacing w:after="280"/>
        <w:rPr>
          <w:u w:val="double"/>
          <w:lang w:val="en-IE"/>
        </w:rPr>
      </w:pPr>
      <w:r w:rsidRPr="00ED0E77">
        <w:rPr>
          <w:smallCaps/>
          <w:u w:val="double"/>
          <w:lang w:val="en-IE"/>
        </w:rPr>
        <w:t>Mawhinney</w:t>
      </w:r>
      <w:r w:rsidRPr="00ED0E77">
        <w:rPr>
          <w:u w:val="double"/>
          <w:lang w:val="en-IE"/>
        </w:rPr>
        <w:t xml:space="preserve"> I. (2020). 10 years of </w:t>
      </w:r>
      <w:r w:rsidRPr="00ED0E77">
        <w:rPr>
          <w:i/>
          <w:iCs/>
          <w:u w:val="double"/>
          <w:lang w:val="en-IE"/>
        </w:rPr>
        <w:t>Taylorella equigenitalis</w:t>
      </w:r>
      <w:r w:rsidRPr="00ED0E77">
        <w:rPr>
          <w:u w:val="double"/>
          <w:lang w:val="en-IE"/>
        </w:rPr>
        <w:t xml:space="preserve"> ring trial results comparing culture and polymerase chain reaction. </w:t>
      </w:r>
      <w:r w:rsidRPr="00ED0E77">
        <w:rPr>
          <w:i/>
          <w:iCs/>
          <w:u w:val="double"/>
          <w:lang w:val="en-IE"/>
        </w:rPr>
        <w:t>Rev. Sci. Tech. Off. Int. Epiz</w:t>
      </w:r>
      <w:r w:rsidRPr="00ED0E77">
        <w:rPr>
          <w:u w:val="double"/>
          <w:lang w:val="en-IE"/>
        </w:rPr>
        <w:t xml:space="preserve">., </w:t>
      </w:r>
      <w:r w:rsidRPr="00ED0E77">
        <w:rPr>
          <w:b/>
          <w:bCs/>
          <w:u w:val="double"/>
          <w:lang w:val="en-IE"/>
        </w:rPr>
        <w:t>39</w:t>
      </w:r>
      <w:r w:rsidRPr="00ED0E77">
        <w:rPr>
          <w:u w:val="double"/>
          <w:lang w:val="en-IE"/>
        </w:rPr>
        <w:t xml:space="preserve">, </w:t>
      </w:r>
    </w:p>
    <w:p w14:paraId="08DDDE4F" w14:textId="2191B1A7" w:rsidR="00A84F2A" w:rsidRPr="00ED0E77" w:rsidRDefault="009D15B0" w:rsidP="00A84F2A">
      <w:pPr>
        <w:pStyle w:val="Ref"/>
        <w:spacing w:after="280"/>
        <w:rPr>
          <w:u w:val="double"/>
          <w:lang w:val="en-IE"/>
        </w:rPr>
      </w:pPr>
      <w:r w:rsidRPr="00ED0E77">
        <w:rPr>
          <w:smallCaps/>
          <w:u w:val="double"/>
          <w:lang w:val="en-IE"/>
        </w:rPr>
        <w:t>Mawhinney I., Errington J., Stamper N., Torrens N., Engelsma M.Y. &amp; Van Roest H-J.</w:t>
      </w:r>
      <w:r w:rsidRPr="00ED0E77">
        <w:rPr>
          <w:u w:val="double"/>
          <w:lang w:val="en-IE"/>
        </w:rPr>
        <w:t xml:space="preserve"> (</w:t>
      </w:r>
      <w:r w:rsidR="00A84F2A" w:rsidRPr="00ED0E77">
        <w:rPr>
          <w:u w:val="double"/>
          <w:lang w:val="en-IE"/>
        </w:rPr>
        <w:t xml:space="preserve">2019). Pooling of genital swabs for detection by PCR of </w:t>
      </w:r>
      <w:r w:rsidR="00A84F2A" w:rsidRPr="00ED0E77">
        <w:rPr>
          <w:i/>
          <w:iCs/>
          <w:u w:val="double"/>
          <w:lang w:val="en-IE"/>
        </w:rPr>
        <w:t>Taylorella equigenitalis</w:t>
      </w:r>
      <w:r w:rsidR="00A84F2A" w:rsidRPr="00ED0E77">
        <w:rPr>
          <w:u w:val="double"/>
          <w:lang w:val="en-IE"/>
        </w:rPr>
        <w:t xml:space="preserve">, the cause of contagious equine metritis. </w:t>
      </w:r>
      <w:r w:rsidR="00A84F2A" w:rsidRPr="00ED0E77">
        <w:rPr>
          <w:i/>
          <w:iCs/>
          <w:u w:val="double"/>
          <w:lang w:val="en-IE"/>
        </w:rPr>
        <w:t>Equine Vet</w:t>
      </w:r>
      <w:r w:rsidR="00C72FF1" w:rsidRPr="00ED0E77">
        <w:rPr>
          <w:i/>
          <w:iCs/>
          <w:u w:val="double"/>
          <w:lang w:val="en-IE"/>
        </w:rPr>
        <w:t>.</w:t>
      </w:r>
      <w:r w:rsidR="00A84F2A" w:rsidRPr="00ED0E77">
        <w:rPr>
          <w:i/>
          <w:iCs/>
          <w:u w:val="double"/>
          <w:lang w:val="en-IE"/>
        </w:rPr>
        <w:t xml:space="preserve"> J</w:t>
      </w:r>
      <w:r w:rsidR="00C72FF1" w:rsidRPr="00ED0E77">
        <w:rPr>
          <w:u w:val="double"/>
          <w:lang w:val="en-IE"/>
        </w:rPr>
        <w:t>.,</w:t>
      </w:r>
      <w:r w:rsidR="00A84F2A" w:rsidRPr="00ED0E77">
        <w:rPr>
          <w:u w:val="double"/>
          <w:lang w:val="en-IE"/>
        </w:rPr>
        <w:t xml:space="preserve"> </w:t>
      </w:r>
      <w:r w:rsidR="00A84F2A" w:rsidRPr="00ED0E77">
        <w:rPr>
          <w:b/>
          <w:bCs/>
          <w:u w:val="double"/>
          <w:lang w:val="en-IE"/>
        </w:rPr>
        <w:t>51</w:t>
      </w:r>
      <w:r w:rsidR="00A84F2A" w:rsidRPr="00ED0E77">
        <w:rPr>
          <w:u w:val="double"/>
          <w:lang w:val="en-IE"/>
        </w:rPr>
        <w:t>, 227</w:t>
      </w:r>
      <w:r w:rsidR="003267A3" w:rsidRPr="00ED0E77">
        <w:rPr>
          <w:u w:val="double"/>
          <w:lang w:val="en-IE"/>
        </w:rPr>
        <w:t>–</w:t>
      </w:r>
      <w:r w:rsidR="00A84F2A" w:rsidRPr="00ED0E77">
        <w:rPr>
          <w:u w:val="double"/>
          <w:lang w:val="en-IE"/>
        </w:rPr>
        <w:t>230.</w:t>
      </w:r>
    </w:p>
    <w:p w14:paraId="7CB29E98" w14:textId="1471B72F" w:rsidR="00A84F2A" w:rsidRPr="00ED0E77" w:rsidRDefault="001A1070" w:rsidP="00A84F2A">
      <w:pPr>
        <w:pStyle w:val="Ref"/>
        <w:spacing w:after="280"/>
        <w:rPr>
          <w:u w:val="double"/>
          <w:lang w:val="en-IE"/>
        </w:rPr>
      </w:pPr>
      <w:r w:rsidRPr="00ED0E77">
        <w:rPr>
          <w:smallCaps/>
          <w:u w:val="double"/>
          <w:lang w:val="en-IE"/>
        </w:rPr>
        <w:t>May C.E., Guthrie A.J., Keys B., Joone C., Monyai M. &amp; Schulman M.L.</w:t>
      </w:r>
      <w:r w:rsidR="00A84F2A" w:rsidRPr="00ED0E77">
        <w:rPr>
          <w:u w:val="double"/>
          <w:lang w:val="en-IE"/>
        </w:rPr>
        <w:t xml:space="preserve"> (2016). Polymerase chain reaction-based national surveillance programme to determine the distribution and prevalence of </w:t>
      </w:r>
      <w:r w:rsidR="00A84F2A" w:rsidRPr="00ED0E77">
        <w:rPr>
          <w:i/>
          <w:iCs/>
          <w:u w:val="double"/>
          <w:lang w:val="en-IE"/>
        </w:rPr>
        <w:t>Taylorella equigenitalis</w:t>
      </w:r>
      <w:r w:rsidR="00A84F2A" w:rsidRPr="00ED0E77">
        <w:rPr>
          <w:u w:val="double"/>
          <w:lang w:val="en-IE"/>
        </w:rPr>
        <w:t xml:space="preserve"> in South African horses. </w:t>
      </w:r>
      <w:r w:rsidR="00A84F2A" w:rsidRPr="00ED0E77">
        <w:rPr>
          <w:i/>
          <w:iCs/>
          <w:u w:val="double"/>
          <w:lang w:val="en-IE"/>
        </w:rPr>
        <w:t>Equine Vet</w:t>
      </w:r>
      <w:r w:rsidR="00F92474" w:rsidRPr="00ED0E77">
        <w:rPr>
          <w:i/>
          <w:iCs/>
          <w:u w:val="double"/>
          <w:lang w:val="en-IE"/>
        </w:rPr>
        <w:t>.</w:t>
      </w:r>
      <w:r w:rsidR="00A84F2A" w:rsidRPr="00ED0E77">
        <w:rPr>
          <w:i/>
          <w:iCs/>
          <w:u w:val="double"/>
          <w:lang w:val="en-IE"/>
        </w:rPr>
        <w:t xml:space="preserve"> J</w:t>
      </w:r>
      <w:r w:rsidR="00F92474" w:rsidRPr="00ED0E77">
        <w:rPr>
          <w:u w:val="double"/>
          <w:lang w:val="en-IE"/>
        </w:rPr>
        <w:t>.,</w:t>
      </w:r>
      <w:r w:rsidR="00A84F2A" w:rsidRPr="00ED0E77">
        <w:rPr>
          <w:u w:val="double"/>
          <w:lang w:val="en-IE"/>
        </w:rPr>
        <w:t xml:space="preserve"> </w:t>
      </w:r>
      <w:r w:rsidR="00A84F2A" w:rsidRPr="00ED0E77">
        <w:rPr>
          <w:b/>
          <w:bCs/>
          <w:u w:val="double"/>
          <w:lang w:val="en-IE"/>
        </w:rPr>
        <w:t>48</w:t>
      </w:r>
      <w:r w:rsidR="00A84F2A" w:rsidRPr="00ED0E77">
        <w:rPr>
          <w:u w:val="double"/>
          <w:lang w:val="en-IE"/>
        </w:rPr>
        <w:t>, 307–311</w:t>
      </w:r>
      <w:r w:rsidR="00705159" w:rsidRPr="00ED0E77">
        <w:rPr>
          <w:u w:val="double"/>
          <w:lang w:val="en-IE"/>
        </w:rPr>
        <w:t>.</w:t>
      </w:r>
    </w:p>
    <w:p w14:paraId="3CB4C91C" w14:textId="72E970BE" w:rsidR="00C7256E" w:rsidRPr="00ED0E77" w:rsidRDefault="00C7256E" w:rsidP="0059378C">
      <w:pPr>
        <w:pStyle w:val="Ref"/>
        <w:spacing w:after="280"/>
        <w:rPr>
          <w:u w:val="double"/>
          <w:lang w:val="en-IE"/>
        </w:rPr>
      </w:pPr>
      <w:r w:rsidRPr="00ED0E77">
        <w:rPr>
          <w:smallCaps/>
          <w:u w:val="double"/>
          <w:lang w:val="en-IE"/>
        </w:rPr>
        <w:t>May C</w:t>
      </w:r>
      <w:r w:rsidR="00090466" w:rsidRPr="00ED0E77">
        <w:rPr>
          <w:smallCaps/>
          <w:u w:val="double"/>
          <w:lang w:val="en-IE"/>
        </w:rPr>
        <w:t>.</w:t>
      </w:r>
      <w:r w:rsidRPr="00ED0E77">
        <w:rPr>
          <w:smallCaps/>
          <w:u w:val="double"/>
          <w:lang w:val="en-IE"/>
        </w:rPr>
        <w:t>E., Guthrie A</w:t>
      </w:r>
      <w:r w:rsidR="00090466" w:rsidRPr="00ED0E77">
        <w:rPr>
          <w:smallCaps/>
          <w:u w:val="double"/>
          <w:lang w:val="en-IE"/>
        </w:rPr>
        <w:t>.</w:t>
      </w:r>
      <w:r w:rsidRPr="00ED0E77">
        <w:rPr>
          <w:smallCaps/>
          <w:u w:val="double"/>
          <w:lang w:val="en-IE"/>
        </w:rPr>
        <w:t>J.</w:t>
      </w:r>
      <w:r w:rsidR="001A1070" w:rsidRPr="00ED0E77">
        <w:rPr>
          <w:smallCaps/>
          <w:u w:val="double"/>
          <w:lang w:val="en-IE"/>
        </w:rPr>
        <w:t xml:space="preserve"> &amp;</w:t>
      </w:r>
      <w:r w:rsidRPr="00ED0E77">
        <w:rPr>
          <w:smallCaps/>
          <w:u w:val="double"/>
          <w:lang w:val="en-IE"/>
        </w:rPr>
        <w:t xml:space="preserve"> Schulman M</w:t>
      </w:r>
      <w:r w:rsidR="00090466" w:rsidRPr="00ED0E77">
        <w:rPr>
          <w:smallCaps/>
          <w:u w:val="double"/>
          <w:lang w:val="en-IE"/>
        </w:rPr>
        <w:t>.</w:t>
      </w:r>
      <w:r w:rsidRPr="00ED0E77">
        <w:rPr>
          <w:smallCaps/>
          <w:u w:val="double"/>
          <w:lang w:val="en-IE"/>
        </w:rPr>
        <w:t>L. (2019)</w:t>
      </w:r>
      <w:r w:rsidR="001A1070" w:rsidRPr="00ED0E77">
        <w:rPr>
          <w:smallCaps/>
          <w:u w:val="double"/>
          <w:lang w:val="en-IE"/>
        </w:rPr>
        <w:t>.</w:t>
      </w:r>
      <w:r w:rsidRPr="00ED0E77">
        <w:rPr>
          <w:smallCaps/>
          <w:u w:val="double"/>
          <w:lang w:val="en-IE"/>
        </w:rPr>
        <w:t xml:space="preserve"> </w:t>
      </w:r>
      <w:r w:rsidRPr="00ED0E77">
        <w:rPr>
          <w:u w:val="double"/>
          <w:lang w:val="en-IE"/>
        </w:rPr>
        <w:t>Dire</w:t>
      </w:r>
      <w:r w:rsidR="00090466" w:rsidRPr="00ED0E77">
        <w:rPr>
          <w:u w:val="double"/>
          <w:lang w:val="en-IE"/>
        </w:rPr>
        <w:t>c</w:t>
      </w:r>
      <w:r w:rsidRPr="00ED0E77">
        <w:rPr>
          <w:u w:val="double"/>
          <w:lang w:val="en-IE"/>
        </w:rPr>
        <w:t>t culture-</w:t>
      </w:r>
      <w:r w:rsidR="00CF56B3" w:rsidRPr="00ED0E77">
        <w:rPr>
          <w:u w:val="double"/>
          <w:lang w:val="en-IE"/>
        </w:rPr>
        <w:t>independent</w:t>
      </w:r>
      <w:r w:rsidRPr="00ED0E77">
        <w:rPr>
          <w:u w:val="double"/>
          <w:lang w:val="en-IE"/>
        </w:rPr>
        <w:t xml:space="preserve"> sequence typing of </w:t>
      </w:r>
      <w:r w:rsidRPr="00ED0E77">
        <w:rPr>
          <w:i/>
          <w:iCs/>
          <w:u w:val="double"/>
          <w:lang w:val="en-IE"/>
        </w:rPr>
        <w:t>Taylorella equigenita</w:t>
      </w:r>
      <w:r w:rsidR="00090466" w:rsidRPr="00ED0E77">
        <w:rPr>
          <w:i/>
          <w:iCs/>
          <w:u w:val="double"/>
          <w:lang w:val="en-IE"/>
        </w:rPr>
        <w:t>l</w:t>
      </w:r>
      <w:r w:rsidRPr="00ED0E77">
        <w:rPr>
          <w:i/>
          <w:iCs/>
          <w:u w:val="double"/>
          <w:lang w:val="en-IE"/>
        </w:rPr>
        <w:t>is</w:t>
      </w:r>
      <w:r w:rsidRPr="00ED0E77">
        <w:rPr>
          <w:u w:val="double"/>
          <w:lang w:val="en-IE"/>
        </w:rPr>
        <w:t xml:space="preserve"> obtained f</w:t>
      </w:r>
      <w:r w:rsidR="00EC7082" w:rsidRPr="00ED0E77">
        <w:rPr>
          <w:u w:val="double"/>
          <w:lang w:val="en-IE"/>
        </w:rPr>
        <w:t>ro</w:t>
      </w:r>
      <w:r w:rsidRPr="00ED0E77">
        <w:rPr>
          <w:u w:val="double"/>
          <w:lang w:val="en-IE"/>
        </w:rPr>
        <w:t>m genital swabs and frozen semen samples from South African horses.</w:t>
      </w:r>
      <w:r w:rsidR="001A1070" w:rsidRPr="00ED0E77">
        <w:rPr>
          <w:u w:val="double"/>
          <w:lang w:val="en-IE"/>
        </w:rPr>
        <w:t xml:space="preserve"> </w:t>
      </w:r>
      <w:r w:rsidR="00090466" w:rsidRPr="00ED0E77">
        <w:rPr>
          <w:i/>
          <w:iCs/>
          <w:u w:val="double"/>
          <w:lang w:val="en-IE"/>
        </w:rPr>
        <w:t>J</w:t>
      </w:r>
      <w:r w:rsidR="001A1070" w:rsidRPr="00ED0E77">
        <w:rPr>
          <w:i/>
          <w:iCs/>
          <w:u w:val="double"/>
          <w:lang w:val="en-IE"/>
        </w:rPr>
        <w:t>.</w:t>
      </w:r>
      <w:r w:rsidR="00090466" w:rsidRPr="00ED0E77">
        <w:rPr>
          <w:i/>
          <w:iCs/>
          <w:u w:val="double"/>
          <w:lang w:val="en-IE"/>
        </w:rPr>
        <w:t xml:space="preserve"> Vet</w:t>
      </w:r>
      <w:r w:rsidR="001A1070" w:rsidRPr="00ED0E77">
        <w:rPr>
          <w:i/>
          <w:iCs/>
          <w:u w:val="double"/>
          <w:lang w:val="en-IE"/>
        </w:rPr>
        <w:t>.</w:t>
      </w:r>
      <w:r w:rsidR="00090466" w:rsidRPr="00ED0E77">
        <w:rPr>
          <w:i/>
          <w:iCs/>
          <w:u w:val="double"/>
          <w:lang w:val="en-IE"/>
        </w:rPr>
        <w:t xml:space="preserve"> Diag</w:t>
      </w:r>
      <w:r w:rsidR="001A1070" w:rsidRPr="00ED0E77">
        <w:rPr>
          <w:i/>
          <w:iCs/>
          <w:u w:val="double"/>
          <w:lang w:val="en-IE"/>
        </w:rPr>
        <w:t>n.</w:t>
      </w:r>
      <w:r w:rsidR="00090466" w:rsidRPr="00ED0E77">
        <w:rPr>
          <w:i/>
          <w:iCs/>
          <w:u w:val="double"/>
          <w:lang w:val="en-IE"/>
        </w:rPr>
        <w:t xml:space="preserve"> Inv</w:t>
      </w:r>
      <w:r w:rsidR="00CF56B3" w:rsidRPr="00ED0E77">
        <w:rPr>
          <w:i/>
          <w:iCs/>
          <w:u w:val="double"/>
          <w:lang w:val="en-IE"/>
        </w:rPr>
        <w:t>est</w:t>
      </w:r>
      <w:r w:rsidR="00090466" w:rsidRPr="00ED0E77">
        <w:rPr>
          <w:u w:val="double"/>
          <w:lang w:val="en-IE"/>
        </w:rPr>
        <w:t xml:space="preserve">. </w:t>
      </w:r>
      <w:r w:rsidRPr="00ED0E77">
        <w:rPr>
          <w:b/>
          <w:bCs/>
          <w:u w:val="double"/>
          <w:lang w:val="en-IE"/>
        </w:rPr>
        <w:t>31</w:t>
      </w:r>
      <w:r w:rsidR="001A1070" w:rsidRPr="00ED0E77">
        <w:rPr>
          <w:u w:val="double"/>
          <w:lang w:val="en-IE"/>
        </w:rPr>
        <w:t xml:space="preserve">, </w:t>
      </w:r>
      <w:r w:rsidRPr="00ED0E77">
        <w:rPr>
          <w:u w:val="double"/>
          <w:lang w:val="en-IE"/>
        </w:rPr>
        <w:t>792</w:t>
      </w:r>
      <w:r w:rsidR="001A1070" w:rsidRPr="00ED0E77">
        <w:rPr>
          <w:u w:val="double"/>
          <w:lang w:val="en-IE"/>
        </w:rPr>
        <w:t>–</w:t>
      </w:r>
      <w:r w:rsidRPr="00ED0E77">
        <w:rPr>
          <w:u w:val="double"/>
          <w:lang w:val="en-IE"/>
        </w:rPr>
        <w:t>794</w:t>
      </w:r>
      <w:r w:rsidR="00705159" w:rsidRPr="00ED0E77">
        <w:rPr>
          <w:u w:val="double"/>
          <w:lang w:val="en-IE"/>
        </w:rPr>
        <w:t>.</w:t>
      </w:r>
    </w:p>
    <w:p w14:paraId="2F5B2B69" w14:textId="77777777" w:rsidR="00F92474" w:rsidRPr="00ED0E77" w:rsidRDefault="00F92474" w:rsidP="00F92474">
      <w:pPr>
        <w:pStyle w:val="Ref"/>
        <w:spacing w:after="280"/>
        <w:rPr>
          <w:strike/>
          <w:lang w:val="en-IE"/>
        </w:rPr>
      </w:pPr>
      <w:r w:rsidRPr="00ED0E77">
        <w:rPr>
          <w:smallCaps/>
          <w:strike/>
          <w:lang w:val="en-IE"/>
        </w:rPr>
        <w:t>Moore J.E., Buckley T.C., Millar B.C., Gibson P., Cannon G., Egan C., Cosgrove H., Stanbridge S., Anzai T., Matsuda M. &amp; Murphy P.G</w:t>
      </w:r>
      <w:r w:rsidRPr="00ED0E77">
        <w:rPr>
          <w:strike/>
          <w:lang w:val="en-IE"/>
        </w:rPr>
        <w:t xml:space="preserve">. (2001). Molecular surveillance of the incidence of </w:t>
      </w:r>
      <w:r w:rsidRPr="00ED0E77">
        <w:rPr>
          <w:i/>
          <w:strike/>
          <w:lang w:val="en-IE"/>
        </w:rPr>
        <w:t>Taylorella equigenitalis</w:t>
      </w:r>
      <w:r w:rsidRPr="00ED0E77">
        <w:rPr>
          <w:strike/>
          <w:lang w:val="en-IE"/>
        </w:rPr>
        <w:t xml:space="preserve"> and </w:t>
      </w:r>
      <w:r w:rsidRPr="00ED0E77">
        <w:rPr>
          <w:i/>
          <w:strike/>
          <w:lang w:val="en-IE"/>
        </w:rPr>
        <w:t>Pseudomonas aeruginosa</w:t>
      </w:r>
      <w:r w:rsidRPr="00ED0E77">
        <w:rPr>
          <w:strike/>
          <w:lang w:val="en-IE"/>
        </w:rPr>
        <w:t xml:space="preserve"> from horses in Ireland by sequence-specific PCR. </w:t>
      </w:r>
      <w:r w:rsidRPr="00ED0E77">
        <w:rPr>
          <w:i/>
          <w:iCs/>
          <w:strike/>
          <w:lang w:val="en-IE"/>
        </w:rPr>
        <w:t>Equine Vet. J</w:t>
      </w:r>
      <w:r w:rsidRPr="00ED0E77">
        <w:rPr>
          <w:strike/>
          <w:lang w:val="en-IE"/>
        </w:rPr>
        <w:t xml:space="preserve">., </w:t>
      </w:r>
      <w:r w:rsidRPr="00ED0E77">
        <w:rPr>
          <w:b/>
          <w:bCs/>
          <w:strike/>
          <w:lang w:val="en-IE"/>
        </w:rPr>
        <w:t>33</w:t>
      </w:r>
      <w:r w:rsidRPr="00ED0E77">
        <w:rPr>
          <w:strike/>
          <w:lang w:val="en-IE"/>
        </w:rPr>
        <w:t>, 319–322.</w:t>
      </w:r>
    </w:p>
    <w:p w14:paraId="6F134E8D" w14:textId="17AF8FB9" w:rsidR="0000543A" w:rsidRPr="00ED0E77" w:rsidRDefault="001A1070" w:rsidP="00726050">
      <w:pPr>
        <w:pStyle w:val="Ref"/>
        <w:spacing w:after="280"/>
        <w:rPr>
          <w:u w:val="double"/>
          <w:lang w:val="en-IE"/>
        </w:rPr>
      </w:pPr>
      <w:r w:rsidRPr="00ED0E77">
        <w:rPr>
          <w:smallCaps/>
          <w:u w:val="double"/>
          <w:lang w:val="en-IE"/>
        </w:rPr>
        <w:t>Nadin-Davis S., Knowles M.K., Burke T., Bose R. &amp; Devenish J.</w:t>
      </w:r>
      <w:r w:rsidRPr="00ED0E77">
        <w:rPr>
          <w:u w:val="double"/>
          <w:lang w:val="en-IE"/>
        </w:rPr>
        <w:t xml:space="preserve"> </w:t>
      </w:r>
      <w:r w:rsidR="0000543A" w:rsidRPr="00ED0E77">
        <w:rPr>
          <w:u w:val="double"/>
          <w:lang w:val="en-IE"/>
        </w:rPr>
        <w:t xml:space="preserve">(2015). Comparison of culture versus quantitative real-time polymerase chain reaction for the detection of </w:t>
      </w:r>
      <w:r w:rsidR="0000543A" w:rsidRPr="00ED0E77">
        <w:rPr>
          <w:i/>
          <w:u w:val="double"/>
          <w:lang w:val="en-IE"/>
        </w:rPr>
        <w:t>Taylorella equigenitalis</w:t>
      </w:r>
      <w:r w:rsidR="0000543A" w:rsidRPr="00ED0E77">
        <w:rPr>
          <w:u w:val="double"/>
          <w:lang w:val="en-IE"/>
        </w:rPr>
        <w:t xml:space="preserve"> in field samples from naturally infected horses in Canada and Germany. </w:t>
      </w:r>
      <w:r w:rsidR="0000543A" w:rsidRPr="00ED0E77">
        <w:rPr>
          <w:i/>
          <w:iCs/>
          <w:u w:val="double"/>
          <w:lang w:val="en-IE"/>
        </w:rPr>
        <w:t>Can</w:t>
      </w:r>
      <w:r w:rsidR="00F92474" w:rsidRPr="00ED0E77">
        <w:rPr>
          <w:i/>
          <w:iCs/>
          <w:u w:val="double"/>
          <w:lang w:val="en-IE"/>
        </w:rPr>
        <w:t>.</w:t>
      </w:r>
      <w:r w:rsidR="0000543A" w:rsidRPr="00ED0E77">
        <w:rPr>
          <w:i/>
          <w:iCs/>
          <w:u w:val="double"/>
          <w:lang w:val="en-IE"/>
        </w:rPr>
        <w:t xml:space="preserve"> J</w:t>
      </w:r>
      <w:r w:rsidR="00F92474" w:rsidRPr="00ED0E77">
        <w:rPr>
          <w:i/>
          <w:iCs/>
          <w:u w:val="double"/>
          <w:lang w:val="en-IE"/>
        </w:rPr>
        <w:t>.</w:t>
      </w:r>
      <w:r w:rsidR="0000543A" w:rsidRPr="00ED0E77">
        <w:rPr>
          <w:i/>
          <w:iCs/>
          <w:u w:val="double"/>
          <w:lang w:val="en-IE"/>
        </w:rPr>
        <w:t xml:space="preserve"> Vet</w:t>
      </w:r>
      <w:r w:rsidR="00F92474" w:rsidRPr="00ED0E77">
        <w:rPr>
          <w:i/>
          <w:iCs/>
          <w:u w:val="double"/>
          <w:lang w:val="en-IE"/>
        </w:rPr>
        <w:t>.</w:t>
      </w:r>
      <w:r w:rsidR="0000543A" w:rsidRPr="00ED0E77">
        <w:rPr>
          <w:i/>
          <w:iCs/>
          <w:u w:val="double"/>
          <w:lang w:val="en-IE"/>
        </w:rPr>
        <w:t xml:space="preserve"> Res</w:t>
      </w:r>
      <w:r w:rsidR="00F92474" w:rsidRPr="00ED0E77">
        <w:rPr>
          <w:u w:val="double"/>
          <w:lang w:val="en-IE"/>
        </w:rPr>
        <w:t>.,</w:t>
      </w:r>
      <w:r w:rsidR="0000543A" w:rsidRPr="00ED0E77">
        <w:rPr>
          <w:u w:val="double"/>
          <w:lang w:val="en-IE"/>
        </w:rPr>
        <w:t xml:space="preserve"> </w:t>
      </w:r>
      <w:r w:rsidR="0000543A" w:rsidRPr="00ED0E77">
        <w:rPr>
          <w:b/>
          <w:bCs/>
          <w:u w:val="double"/>
          <w:lang w:val="en-IE"/>
        </w:rPr>
        <w:t>79</w:t>
      </w:r>
      <w:r w:rsidR="0000543A" w:rsidRPr="00ED0E77">
        <w:rPr>
          <w:u w:val="double"/>
          <w:lang w:val="en-IE"/>
        </w:rPr>
        <w:t>, 161–169</w:t>
      </w:r>
      <w:r w:rsidR="00705159" w:rsidRPr="00ED0E77">
        <w:rPr>
          <w:u w:val="double"/>
          <w:lang w:val="en-IE"/>
        </w:rPr>
        <w:t>.</w:t>
      </w:r>
    </w:p>
    <w:p w14:paraId="67602EC4" w14:textId="0ABDD12D" w:rsidR="00100402" w:rsidRPr="00ED0E77" w:rsidRDefault="001A1070" w:rsidP="0059378C">
      <w:pPr>
        <w:pStyle w:val="Ref"/>
        <w:spacing w:after="280"/>
        <w:rPr>
          <w:u w:val="double"/>
          <w:lang w:val="en-IE"/>
        </w:rPr>
      </w:pPr>
      <w:r w:rsidRPr="00ED0E77">
        <w:rPr>
          <w:smallCaps/>
          <w:u w:val="double"/>
          <w:lang w:val="en-IE"/>
        </w:rPr>
        <w:t>Olivieri B.T., Love B.C., Rezebak G.B., Lamm C.G., Varner D.D., Payton M.E. &amp; Holyoak G.R.</w:t>
      </w:r>
      <w:r w:rsidR="00100402" w:rsidRPr="00ED0E77">
        <w:rPr>
          <w:smallCaps/>
          <w:u w:val="double"/>
          <w:lang w:val="en-IE"/>
        </w:rPr>
        <w:t xml:space="preserve"> (2011). </w:t>
      </w:r>
      <w:r w:rsidR="00100402" w:rsidRPr="00ED0E77">
        <w:rPr>
          <w:u w:val="double"/>
          <w:lang w:val="en-IE"/>
        </w:rPr>
        <w:t>Effect</w:t>
      </w:r>
      <w:r w:rsidR="003F69FB" w:rsidRPr="00ED0E77">
        <w:rPr>
          <w:u w:val="double"/>
          <w:lang w:val="en-IE"/>
        </w:rPr>
        <w:t xml:space="preserve"> of Antibiotic-containing Exten</w:t>
      </w:r>
      <w:r w:rsidR="00100402" w:rsidRPr="00ED0E77">
        <w:rPr>
          <w:u w:val="double"/>
          <w:lang w:val="en-IE"/>
        </w:rPr>
        <w:t>d</w:t>
      </w:r>
      <w:r w:rsidR="003F69FB" w:rsidRPr="00ED0E77">
        <w:rPr>
          <w:u w:val="double"/>
          <w:lang w:val="en-IE"/>
        </w:rPr>
        <w:t>e</w:t>
      </w:r>
      <w:r w:rsidR="00100402" w:rsidRPr="00ED0E77">
        <w:rPr>
          <w:u w:val="double"/>
          <w:lang w:val="en-IE"/>
        </w:rPr>
        <w:t xml:space="preserve">rs on </w:t>
      </w:r>
      <w:r w:rsidR="00F92474" w:rsidRPr="00ED0E77">
        <w:rPr>
          <w:i/>
          <w:iCs/>
          <w:u w:val="double"/>
          <w:lang w:val="en-IE"/>
        </w:rPr>
        <w:t xml:space="preserve">Taylorella </w:t>
      </w:r>
      <w:r w:rsidR="00100402" w:rsidRPr="00ED0E77">
        <w:rPr>
          <w:i/>
          <w:iCs/>
          <w:u w:val="double"/>
          <w:lang w:val="en-IE"/>
        </w:rPr>
        <w:t>equigenitalis</w:t>
      </w:r>
      <w:r w:rsidR="00100402" w:rsidRPr="00ED0E77">
        <w:rPr>
          <w:u w:val="double"/>
          <w:lang w:val="en-IE"/>
        </w:rPr>
        <w:t xml:space="preserve"> Contaminated Semen.</w:t>
      </w:r>
      <w:r w:rsidR="003F69FB" w:rsidRPr="00ED0E77">
        <w:rPr>
          <w:u w:val="double"/>
          <w:lang w:val="en-IE"/>
        </w:rPr>
        <w:t xml:space="preserve"> </w:t>
      </w:r>
      <w:r w:rsidR="003F69FB" w:rsidRPr="00ED0E77">
        <w:rPr>
          <w:i/>
          <w:iCs/>
          <w:u w:val="double"/>
          <w:lang w:val="en-IE"/>
        </w:rPr>
        <w:t>J</w:t>
      </w:r>
      <w:r w:rsidRPr="00ED0E77">
        <w:rPr>
          <w:i/>
          <w:iCs/>
          <w:u w:val="double"/>
          <w:lang w:val="en-IE"/>
        </w:rPr>
        <w:t xml:space="preserve">. </w:t>
      </w:r>
      <w:r w:rsidR="003F69FB" w:rsidRPr="00ED0E77">
        <w:rPr>
          <w:i/>
          <w:iCs/>
          <w:u w:val="double"/>
          <w:lang w:val="en-IE"/>
        </w:rPr>
        <w:t>Eq</w:t>
      </w:r>
      <w:r w:rsidRPr="00ED0E77">
        <w:rPr>
          <w:i/>
          <w:iCs/>
          <w:u w:val="double"/>
          <w:lang w:val="en-IE"/>
        </w:rPr>
        <w:t>uine</w:t>
      </w:r>
      <w:r w:rsidR="003F69FB" w:rsidRPr="00ED0E77">
        <w:rPr>
          <w:i/>
          <w:iCs/>
          <w:u w:val="double"/>
          <w:lang w:val="en-IE"/>
        </w:rPr>
        <w:t xml:space="preserve"> Vet</w:t>
      </w:r>
      <w:r w:rsidRPr="00ED0E77">
        <w:rPr>
          <w:i/>
          <w:iCs/>
          <w:u w:val="double"/>
          <w:lang w:val="en-IE"/>
        </w:rPr>
        <w:t>.</w:t>
      </w:r>
      <w:r w:rsidR="003F69FB" w:rsidRPr="00ED0E77">
        <w:rPr>
          <w:i/>
          <w:iCs/>
          <w:u w:val="double"/>
          <w:lang w:val="en-IE"/>
        </w:rPr>
        <w:t xml:space="preserve"> Sci</w:t>
      </w:r>
      <w:r w:rsidRPr="00ED0E77">
        <w:rPr>
          <w:u w:val="double"/>
          <w:lang w:val="en-IE"/>
        </w:rPr>
        <w:t xml:space="preserve">., </w:t>
      </w:r>
      <w:r w:rsidR="003F69FB" w:rsidRPr="00ED0E77">
        <w:rPr>
          <w:b/>
          <w:bCs/>
          <w:u w:val="double"/>
          <w:lang w:val="en-IE"/>
        </w:rPr>
        <w:t>31</w:t>
      </w:r>
      <w:r w:rsidR="003F69FB" w:rsidRPr="00ED0E77">
        <w:rPr>
          <w:u w:val="double"/>
          <w:lang w:val="en-IE"/>
        </w:rPr>
        <w:t>, 655</w:t>
      </w:r>
      <w:r w:rsidRPr="00ED0E77">
        <w:rPr>
          <w:rStyle w:val="Emphasis"/>
          <w:i w:val="0"/>
          <w:iCs w:val="0"/>
          <w:u w:val="double"/>
          <w:lang w:val="en-IE"/>
        </w:rPr>
        <w:t>–</w:t>
      </w:r>
      <w:r w:rsidR="003F69FB" w:rsidRPr="00ED0E77">
        <w:rPr>
          <w:u w:val="double"/>
          <w:lang w:val="en-IE"/>
        </w:rPr>
        <w:t>660.</w:t>
      </w:r>
    </w:p>
    <w:p w14:paraId="63B6ED97" w14:textId="77777777" w:rsidR="0053190D" w:rsidRPr="00ED0E77" w:rsidRDefault="0053190D" w:rsidP="0059378C">
      <w:pPr>
        <w:pStyle w:val="Ref"/>
        <w:spacing w:after="280"/>
        <w:rPr>
          <w:lang w:val="en-IE"/>
        </w:rPr>
      </w:pPr>
      <w:r w:rsidRPr="00ED0E77">
        <w:rPr>
          <w:smallCaps/>
          <w:lang w:val="en-IE"/>
        </w:rPr>
        <w:t>Ousey J.C., Palmer L., Cash R.S.G., Grimes K.J., Fletcher A.P., Barrelet A., Foote A.K., Manning F.M. &amp; Ricketts S.W.</w:t>
      </w:r>
      <w:r w:rsidRPr="00ED0E77">
        <w:rPr>
          <w:lang w:val="en-IE"/>
        </w:rPr>
        <w:t xml:space="preserve"> (2009) An investigation into the suitability of a commercial real-time PCR assay to screen for Taylorella equigenitalis in routine prebreeding equine genital swabs. </w:t>
      </w:r>
      <w:r w:rsidRPr="00ED0E77">
        <w:rPr>
          <w:rStyle w:val="Emphasis"/>
          <w:lang w:val="en-IE"/>
        </w:rPr>
        <w:t xml:space="preserve">Equine Vet. J., </w:t>
      </w:r>
      <w:r w:rsidRPr="00ED0E77">
        <w:rPr>
          <w:rStyle w:val="Strong"/>
          <w:lang w:val="en-IE"/>
        </w:rPr>
        <w:t>41</w:t>
      </w:r>
      <w:r w:rsidRPr="00ED0E77">
        <w:rPr>
          <w:rStyle w:val="Emphasis"/>
          <w:i w:val="0"/>
          <w:iCs w:val="0"/>
          <w:lang w:val="en-IE"/>
        </w:rPr>
        <w:t>,</w:t>
      </w:r>
      <w:r w:rsidRPr="00ED0E77">
        <w:rPr>
          <w:rStyle w:val="Emphasis"/>
          <w:lang w:val="en-IE"/>
        </w:rPr>
        <w:t xml:space="preserve"> </w:t>
      </w:r>
      <w:r w:rsidRPr="00ED0E77">
        <w:rPr>
          <w:rStyle w:val="Emphasis"/>
          <w:i w:val="0"/>
          <w:iCs w:val="0"/>
          <w:lang w:val="en-IE"/>
        </w:rPr>
        <w:t>878–882.</w:t>
      </w:r>
    </w:p>
    <w:p w14:paraId="6160B546" w14:textId="7F49AD7B" w:rsidR="0000543A" w:rsidRDefault="001A1070" w:rsidP="00726050">
      <w:pPr>
        <w:pStyle w:val="Ref"/>
        <w:spacing w:after="280"/>
        <w:rPr>
          <w:u w:val="double"/>
          <w:lang w:val="en-IE"/>
        </w:rPr>
      </w:pPr>
      <w:r w:rsidRPr="00ED0E77">
        <w:rPr>
          <w:smallCaps/>
          <w:u w:val="double"/>
          <w:lang w:val="en-IE"/>
        </w:rPr>
        <w:t>Petry S., Breuil M-F., Duquesne F. &amp; Laugier C.</w:t>
      </w:r>
      <w:r w:rsidRPr="00ED0E77">
        <w:rPr>
          <w:u w:val="double"/>
          <w:lang w:val="en-IE"/>
        </w:rPr>
        <w:t xml:space="preserve"> </w:t>
      </w:r>
      <w:r w:rsidR="0000543A" w:rsidRPr="00ED0E77">
        <w:rPr>
          <w:u w:val="double"/>
          <w:lang w:val="en-IE"/>
        </w:rPr>
        <w:t xml:space="preserve">(2018) Towards European harmonisation of contagious equine metritis diagnosis through interlaboratory trials. 10.1136/vr.104556. </w:t>
      </w:r>
      <w:r w:rsidR="0000543A" w:rsidRPr="00ED0E77">
        <w:rPr>
          <w:i/>
          <w:iCs/>
          <w:u w:val="double"/>
          <w:lang w:val="en-IE"/>
        </w:rPr>
        <w:t>Vet</w:t>
      </w:r>
      <w:r w:rsidR="00F56BF6" w:rsidRPr="00ED0E77">
        <w:rPr>
          <w:i/>
          <w:iCs/>
          <w:u w:val="double"/>
          <w:lang w:val="en-IE"/>
        </w:rPr>
        <w:t>.</w:t>
      </w:r>
      <w:r w:rsidR="0000543A" w:rsidRPr="00ED0E77">
        <w:rPr>
          <w:i/>
          <w:iCs/>
          <w:u w:val="double"/>
          <w:lang w:val="en-IE"/>
        </w:rPr>
        <w:t xml:space="preserve"> Rec</w:t>
      </w:r>
      <w:r w:rsidR="00F56BF6" w:rsidRPr="00ED0E77">
        <w:rPr>
          <w:i/>
          <w:iCs/>
          <w:u w:val="double"/>
          <w:lang w:val="en-IE"/>
        </w:rPr>
        <w:t>.,</w:t>
      </w:r>
      <w:r w:rsidR="0000543A" w:rsidRPr="00ED0E77">
        <w:rPr>
          <w:u w:val="double"/>
          <w:lang w:val="en-IE"/>
        </w:rPr>
        <w:t xml:space="preserve"> </w:t>
      </w:r>
      <w:r w:rsidR="0000543A" w:rsidRPr="00ED0E77">
        <w:rPr>
          <w:b/>
          <w:bCs/>
          <w:u w:val="double"/>
          <w:lang w:val="en-IE"/>
        </w:rPr>
        <w:t>183</w:t>
      </w:r>
      <w:r w:rsidR="0000543A" w:rsidRPr="00ED0E77">
        <w:rPr>
          <w:u w:val="double"/>
          <w:lang w:val="en-IE"/>
        </w:rPr>
        <w:t xml:space="preserve">, 96. </w:t>
      </w:r>
    </w:p>
    <w:p w14:paraId="489137ED" w14:textId="6498FE36" w:rsidR="001F5FD3" w:rsidRPr="00ED0E77" w:rsidRDefault="001F5FD3" w:rsidP="00726050">
      <w:pPr>
        <w:pStyle w:val="Ref"/>
        <w:spacing w:after="280"/>
        <w:rPr>
          <w:u w:val="double"/>
          <w:lang w:val="en-IE"/>
        </w:rPr>
      </w:pPr>
      <w:r w:rsidRPr="001F5FD3">
        <w:rPr>
          <w:smallCaps/>
          <w:highlight w:val="yellow"/>
          <w:u w:val="double"/>
          <w:lang w:val="en-IE"/>
        </w:rPr>
        <w:t>Petry S., Py J., Wilhelm A., Duquesne F., Bayon-Auboyer M., Morvan H. &amp; Gassilloud B</w:t>
      </w:r>
      <w:r w:rsidRPr="001F5FD3">
        <w:rPr>
          <w:highlight w:val="yellow"/>
          <w:u w:val="double"/>
          <w:lang w:val="en-IE"/>
        </w:rPr>
        <w:t xml:space="preserve">.(2019) Evaluation of MALDI-TOF MS and an expanded custom reference spectra database for the identification and differentiation of </w:t>
      </w:r>
      <w:r w:rsidRPr="001F5FD3">
        <w:rPr>
          <w:i/>
          <w:iCs/>
          <w:highlight w:val="yellow"/>
          <w:u w:val="double"/>
          <w:lang w:val="en-IE"/>
        </w:rPr>
        <w:t xml:space="preserve">Taylorella equigenitalis </w:t>
      </w:r>
      <w:r w:rsidRPr="001F5FD3">
        <w:rPr>
          <w:highlight w:val="yellow"/>
          <w:u w:val="double"/>
          <w:lang w:val="en-IE"/>
        </w:rPr>
        <w:t xml:space="preserve">and </w:t>
      </w:r>
      <w:r w:rsidRPr="001F5FD3">
        <w:rPr>
          <w:i/>
          <w:iCs/>
          <w:highlight w:val="yellow"/>
          <w:u w:val="double"/>
          <w:lang w:val="en-IE"/>
        </w:rPr>
        <w:t>Taylorella asinigenitalis.</w:t>
      </w:r>
      <w:r w:rsidRPr="001F5FD3">
        <w:rPr>
          <w:highlight w:val="yellow"/>
          <w:u w:val="double"/>
          <w:lang w:val="en-IE"/>
        </w:rPr>
        <w:t xml:space="preserve"> </w:t>
      </w:r>
      <w:r w:rsidRPr="001F5FD3">
        <w:rPr>
          <w:i/>
          <w:iCs/>
          <w:highlight w:val="yellow"/>
          <w:u w:val="double"/>
          <w:lang w:val="en-IE"/>
        </w:rPr>
        <w:t>Diag</w:t>
      </w:r>
      <w:r w:rsidR="0019628A">
        <w:rPr>
          <w:i/>
          <w:iCs/>
          <w:highlight w:val="yellow"/>
          <w:u w:val="double"/>
          <w:lang w:val="en-IE"/>
        </w:rPr>
        <w:t>n</w:t>
      </w:r>
      <w:r w:rsidRPr="001F5FD3">
        <w:rPr>
          <w:i/>
          <w:iCs/>
          <w:highlight w:val="yellow"/>
          <w:u w:val="double"/>
          <w:lang w:val="en-IE"/>
        </w:rPr>
        <w:t>. Microbiol. Infect. Dis</w:t>
      </w:r>
      <w:r>
        <w:rPr>
          <w:highlight w:val="yellow"/>
          <w:u w:val="double"/>
          <w:lang w:val="en-IE"/>
        </w:rPr>
        <w:t>.</w:t>
      </w:r>
      <w:r w:rsidRPr="001F5FD3">
        <w:rPr>
          <w:highlight w:val="yellow"/>
          <w:u w:val="double"/>
          <w:lang w:val="en-IE"/>
        </w:rPr>
        <w:t>,</w:t>
      </w:r>
      <w:r>
        <w:rPr>
          <w:highlight w:val="yellow"/>
          <w:u w:val="double"/>
          <w:lang w:val="en-IE"/>
        </w:rPr>
        <w:t xml:space="preserve"> </w:t>
      </w:r>
      <w:r w:rsidRPr="001F5FD3">
        <w:rPr>
          <w:b/>
          <w:bCs/>
          <w:highlight w:val="yellow"/>
          <w:u w:val="double"/>
          <w:lang w:val="en-IE"/>
        </w:rPr>
        <w:t>94</w:t>
      </w:r>
      <w:r w:rsidRPr="001F5FD3">
        <w:rPr>
          <w:highlight w:val="yellow"/>
          <w:u w:val="double"/>
          <w:lang w:val="en-IE"/>
        </w:rPr>
        <w:t>, 326</w:t>
      </w:r>
      <w:r>
        <w:rPr>
          <w:highlight w:val="yellow"/>
          <w:u w:val="double"/>
          <w:lang w:val="en-IE"/>
        </w:rPr>
        <w:t>–</w:t>
      </w:r>
      <w:r w:rsidRPr="001F5FD3">
        <w:rPr>
          <w:highlight w:val="yellow"/>
          <w:u w:val="double"/>
          <w:lang w:val="en-IE"/>
        </w:rPr>
        <w:t>330.</w:t>
      </w:r>
    </w:p>
    <w:p w14:paraId="4EFD9995" w14:textId="77777777" w:rsidR="00757770" w:rsidRPr="001665D3" w:rsidRDefault="00757770" w:rsidP="0059378C">
      <w:pPr>
        <w:pStyle w:val="Ref"/>
        <w:spacing w:after="280"/>
        <w:rPr>
          <w:strike/>
          <w:lang w:val="en-IE"/>
        </w:rPr>
      </w:pPr>
      <w:r w:rsidRPr="001665D3">
        <w:rPr>
          <w:smallCaps/>
          <w:strike/>
          <w:lang w:val="en-IE"/>
        </w:rPr>
        <w:t>Premanandh J., George L.V., Wernery U. &amp; Sasse J.</w:t>
      </w:r>
      <w:r w:rsidRPr="001665D3">
        <w:rPr>
          <w:strike/>
          <w:lang w:val="en-IE"/>
        </w:rPr>
        <w:t xml:space="preserve"> (2003) Evaluation of a newly developed real-time PCR for the detection of </w:t>
      </w:r>
      <w:r w:rsidRPr="001665D3">
        <w:rPr>
          <w:i/>
          <w:strike/>
          <w:lang w:val="en-IE"/>
        </w:rPr>
        <w:t>Taylorella equigenitalis</w:t>
      </w:r>
      <w:r w:rsidRPr="001665D3">
        <w:rPr>
          <w:strike/>
          <w:lang w:val="en-IE"/>
        </w:rPr>
        <w:t xml:space="preserve"> and discrimination from </w:t>
      </w:r>
      <w:r w:rsidRPr="001665D3">
        <w:rPr>
          <w:i/>
          <w:strike/>
          <w:lang w:val="en-IE"/>
        </w:rPr>
        <w:t>T. asinigenitalis. Vet. Microbiol.,</w:t>
      </w:r>
      <w:r w:rsidRPr="001665D3">
        <w:rPr>
          <w:strike/>
          <w:lang w:val="en-IE"/>
        </w:rPr>
        <w:t xml:space="preserve"> </w:t>
      </w:r>
      <w:r w:rsidRPr="001665D3">
        <w:rPr>
          <w:b/>
          <w:strike/>
          <w:lang w:val="en-IE"/>
        </w:rPr>
        <w:t>95</w:t>
      </w:r>
      <w:r w:rsidRPr="001665D3">
        <w:rPr>
          <w:strike/>
          <w:lang w:val="en-IE"/>
        </w:rPr>
        <w:t>, 229–237.</w:t>
      </w:r>
    </w:p>
    <w:p w14:paraId="63B6ED9A" w14:textId="56D56C22" w:rsidR="0053190D" w:rsidRPr="00101C0B" w:rsidRDefault="0053190D" w:rsidP="0059378C">
      <w:pPr>
        <w:pStyle w:val="Ref"/>
        <w:spacing w:after="280"/>
        <w:rPr>
          <w:lang w:val="de-DE"/>
        </w:rPr>
      </w:pPr>
      <w:r w:rsidRPr="00ED0E77">
        <w:rPr>
          <w:smallCaps/>
          <w:lang w:val="en-IE"/>
        </w:rPr>
        <w:t>Sahu S.P., Dardiri A.H., Rommel F.A. &amp; Pierson R.E.</w:t>
      </w:r>
      <w:r w:rsidRPr="00ED0E77">
        <w:rPr>
          <w:lang w:val="en-IE"/>
        </w:rPr>
        <w:t xml:space="preserve"> (1979). Survival of contagious equine metritis bacteria in transport media. </w:t>
      </w:r>
      <w:r w:rsidRPr="00101C0B">
        <w:rPr>
          <w:i/>
          <w:lang w:val="de-DE"/>
        </w:rPr>
        <w:t>Am. J. Vet. Res.</w:t>
      </w:r>
      <w:r w:rsidRPr="00101C0B">
        <w:rPr>
          <w:lang w:val="de-DE"/>
        </w:rPr>
        <w:t xml:space="preserve">, </w:t>
      </w:r>
      <w:r w:rsidRPr="00101C0B">
        <w:rPr>
          <w:b/>
          <w:lang w:val="de-DE"/>
        </w:rPr>
        <w:t>40</w:t>
      </w:r>
      <w:r w:rsidRPr="00101C0B">
        <w:rPr>
          <w:lang w:val="de-DE"/>
        </w:rPr>
        <w:t>, 1040–1042</w:t>
      </w:r>
      <w:r w:rsidR="00F722CB" w:rsidRPr="00101C0B">
        <w:rPr>
          <w:lang w:val="de-DE"/>
        </w:rPr>
        <w:t>.</w:t>
      </w:r>
    </w:p>
    <w:p w14:paraId="19A1D7DB" w14:textId="27AB017E" w:rsidR="00613CA1" w:rsidRPr="00ED0E77" w:rsidRDefault="001A1070" w:rsidP="00726050">
      <w:pPr>
        <w:pStyle w:val="Ref"/>
        <w:spacing w:after="280"/>
        <w:rPr>
          <w:u w:val="double"/>
          <w:lang w:val="en-IE"/>
        </w:rPr>
      </w:pPr>
      <w:r w:rsidRPr="00101C0B">
        <w:rPr>
          <w:smallCaps/>
          <w:u w:val="double"/>
          <w:lang w:val="de-DE"/>
        </w:rPr>
        <w:t xml:space="preserve">Schulman M.L., May C.E., Fosgate G. &amp; Guthrie A.J. </w:t>
      </w:r>
      <w:r w:rsidRPr="00101C0B">
        <w:rPr>
          <w:u w:val="double"/>
          <w:lang w:val="de-DE"/>
        </w:rPr>
        <w:t>(2016)</w:t>
      </w:r>
      <w:r w:rsidR="007621DC" w:rsidRPr="00101C0B">
        <w:rPr>
          <w:u w:val="double"/>
          <w:lang w:val="de-DE"/>
        </w:rPr>
        <w:t xml:space="preserve">. </w:t>
      </w:r>
      <w:r w:rsidR="00613CA1" w:rsidRPr="00ED0E77">
        <w:rPr>
          <w:u w:val="double"/>
          <w:lang w:val="en-IE"/>
        </w:rPr>
        <w:t xml:space="preserve">Sensitivity of qPCR for screening cryopreserved semen from </w:t>
      </w:r>
      <w:r w:rsidR="00613CA1" w:rsidRPr="00ED0E77">
        <w:rPr>
          <w:i/>
          <w:u w:val="double"/>
          <w:lang w:val="en-IE"/>
        </w:rPr>
        <w:t>Taylorella equigenitalis</w:t>
      </w:r>
      <w:r w:rsidR="00613CA1" w:rsidRPr="00ED0E77">
        <w:rPr>
          <w:u w:val="double"/>
          <w:lang w:val="en-IE"/>
        </w:rPr>
        <w:t>-carrier stallions, 10th IEIDC Abstracts</w:t>
      </w:r>
      <w:r w:rsidRPr="00ED0E77">
        <w:rPr>
          <w:u w:val="double"/>
          <w:lang w:val="en-IE"/>
        </w:rPr>
        <w:t xml:space="preserve">. </w:t>
      </w:r>
      <w:r w:rsidR="00613CA1" w:rsidRPr="00ED0E77">
        <w:rPr>
          <w:i/>
          <w:iCs/>
          <w:u w:val="double"/>
          <w:lang w:val="en-IE"/>
        </w:rPr>
        <w:t>J</w:t>
      </w:r>
      <w:r w:rsidRPr="00ED0E77">
        <w:rPr>
          <w:i/>
          <w:iCs/>
          <w:u w:val="double"/>
          <w:lang w:val="en-IE"/>
        </w:rPr>
        <w:t>.</w:t>
      </w:r>
      <w:r w:rsidR="00613CA1" w:rsidRPr="00ED0E77">
        <w:rPr>
          <w:i/>
          <w:iCs/>
          <w:u w:val="double"/>
          <w:lang w:val="en-IE"/>
        </w:rPr>
        <w:t xml:space="preserve"> Eq</w:t>
      </w:r>
      <w:r w:rsidRPr="00ED0E77">
        <w:rPr>
          <w:i/>
          <w:iCs/>
          <w:u w:val="double"/>
          <w:lang w:val="en-IE"/>
        </w:rPr>
        <w:t>uine</w:t>
      </w:r>
      <w:r w:rsidR="00613CA1" w:rsidRPr="00ED0E77">
        <w:rPr>
          <w:i/>
          <w:iCs/>
          <w:u w:val="double"/>
          <w:lang w:val="en-IE"/>
        </w:rPr>
        <w:t xml:space="preserve"> Vet</w:t>
      </w:r>
      <w:r w:rsidRPr="00ED0E77">
        <w:rPr>
          <w:i/>
          <w:iCs/>
          <w:u w:val="double"/>
          <w:lang w:val="en-IE"/>
        </w:rPr>
        <w:t>.</w:t>
      </w:r>
      <w:r w:rsidR="00613CA1" w:rsidRPr="00ED0E77">
        <w:rPr>
          <w:i/>
          <w:iCs/>
          <w:u w:val="double"/>
          <w:lang w:val="en-IE"/>
        </w:rPr>
        <w:t xml:space="preserve"> Sci</w:t>
      </w:r>
      <w:r w:rsidRPr="00ED0E77">
        <w:rPr>
          <w:u w:val="double"/>
          <w:lang w:val="en-IE"/>
        </w:rPr>
        <w:t>.,</w:t>
      </w:r>
      <w:r w:rsidR="00613CA1" w:rsidRPr="00ED0E77">
        <w:rPr>
          <w:u w:val="double"/>
          <w:lang w:val="en-IE"/>
        </w:rPr>
        <w:t xml:space="preserve"> </w:t>
      </w:r>
      <w:r w:rsidR="00613CA1" w:rsidRPr="00ED0E77">
        <w:rPr>
          <w:b/>
          <w:bCs/>
          <w:u w:val="double"/>
          <w:lang w:val="en-IE"/>
        </w:rPr>
        <w:t>39</w:t>
      </w:r>
      <w:r w:rsidR="00613CA1" w:rsidRPr="00ED0E77">
        <w:rPr>
          <w:u w:val="double"/>
          <w:lang w:val="en-IE"/>
        </w:rPr>
        <w:t>, S60-S61</w:t>
      </w:r>
      <w:r w:rsidR="00705159" w:rsidRPr="00ED0E77">
        <w:rPr>
          <w:u w:val="double"/>
          <w:lang w:val="en-IE"/>
        </w:rPr>
        <w:t>.</w:t>
      </w:r>
    </w:p>
    <w:p w14:paraId="63B6ED9D" w14:textId="1E82FA09" w:rsidR="0053190D" w:rsidRPr="00101C0B" w:rsidRDefault="0053190D" w:rsidP="0059378C">
      <w:pPr>
        <w:pStyle w:val="Ref"/>
        <w:spacing w:after="280"/>
        <w:rPr>
          <w:lang w:val="nl-NL"/>
        </w:rPr>
      </w:pPr>
      <w:r w:rsidRPr="00ED0E77">
        <w:rPr>
          <w:smallCaps/>
          <w:lang w:val="en-IE"/>
        </w:rPr>
        <w:t>Swerczek T.W.</w:t>
      </w:r>
      <w:r w:rsidRPr="00ED0E77">
        <w:rPr>
          <w:lang w:val="en-IE"/>
        </w:rPr>
        <w:t xml:space="preserve"> (1978). Inhibition of the CEM organism by the normal flora of the reproductive tract. </w:t>
      </w:r>
      <w:r w:rsidRPr="00101C0B">
        <w:rPr>
          <w:i/>
          <w:iCs/>
          <w:lang w:val="nl-NL"/>
        </w:rPr>
        <w:t>Vet. Rec.</w:t>
      </w:r>
      <w:r w:rsidRPr="00101C0B">
        <w:rPr>
          <w:lang w:val="nl-NL"/>
        </w:rPr>
        <w:t xml:space="preserve">, </w:t>
      </w:r>
      <w:r w:rsidRPr="00101C0B">
        <w:rPr>
          <w:b/>
          <w:bCs/>
          <w:lang w:val="nl-NL"/>
        </w:rPr>
        <w:t>103</w:t>
      </w:r>
      <w:r w:rsidRPr="00101C0B">
        <w:rPr>
          <w:lang w:val="nl-NL"/>
        </w:rPr>
        <w:t>, 125.</w:t>
      </w:r>
    </w:p>
    <w:p w14:paraId="63B6ED9E" w14:textId="75E27D1B" w:rsidR="0053190D" w:rsidRPr="00ED0E77" w:rsidRDefault="0053190D" w:rsidP="0059378C">
      <w:pPr>
        <w:pStyle w:val="Ref"/>
        <w:spacing w:after="280"/>
        <w:rPr>
          <w:lang w:val="en-IE"/>
        </w:rPr>
      </w:pPr>
      <w:r w:rsidRPr="00101C0B">
        <w:rPr>
          <w:smallCaps/>
          <w:lang w:val="nl-NL"/>
        </w:rPr>
        <w:t xml:space="preserve">Ter Laak E.A. &amp; Wagenaars C.M.F. </w:t>
      </w:r>
      <w:r w:rsidRPr="00101C0B">
        <w:rPr>
          <w:lang w:val="nl-NL"/>
        </w:rPr>
        <w:t xml:space="preserve">(1990). </w:t>
      </w:r>
      <w:r w:rsidRPr="00ED0E77">
        <w:rPr>
          <w:lang w:val="en-IE"/>
        </w:rPr>
        <w:t xml:space="preserve">Autoagglutination and the specificity of the indirect fluorescent antibody test applied to the identification of </w:t>
      </w:r>
      <w:r w:rsidRPr="00ED0E77">
        <w:rPr>
          <w:i/>
          <w:iCs/>
          <w:lang w:val="en-IE"/>
        </w:rPr>
        <w:t>Taylorella equigenitalis</w:t>
      </w:r>
      <w:r w:rsidRPr="00ED0E77">
        <w:rPr>
          <w:lang w:val="en-IE"/>
        </w:rPr>
        <w:t xml:space="preserve">. </w:t>
      </w:r>
      <w:r w:rsidRPr="00ED0E77">
        <w:rPr>
          <w:i/>
          <w:iCs/>
          <w:lang w:val="en-IE"/>
        </w:rPr>
        <w:t>Res. Vet. Sci.</w:t>
      </w:r>
      <w:r w:rsidRPr="00ED0E77">
        <w:rPr>
          <w:lang w:val="en-IE"/>
        </w:rPr>
        <w:t xml:space="preserve">, </w:t>
      </w:r>
      <w:r w:rsidRPr="00ED0E77">
        <w:rPr>
          <w:b/>
          <w:bCs/>
          <w:lang w:val="en-IE"/>
        </w:rPr>
        <w:t>49</w:t>
      </w:r>
      <w:r w:rsidRPr="00ED0E77">
        <w:rPr>
          <w:lang w:val="en-IE"/>
        </w:rPr>
        <w:t>, 117–119</w:t>
      </w:r>
      <w:r w:rsidR="00F722CB" w:rsidRPr="00ED0E77">
        <w:rPr>
          <w:lang w:val="en-IE"/>
        </w:rPr>
        <w:t>.</w:t>
      </w:r>
    </w:p>
    <w:p w14:paraId="63B6EDA0" w14:textId="77777777" w:rsidR="0053190D" w:rsidRPr="00ED0E77" w:rsidRDefault="0053190D" w:rsidP="0059378C">
      <w:pPr>
        <w:pStyle w:val="Ref"/>
        <w:spacing w:after="280"/>
        <w:rPr>
          <w:lang w:val="en-IE"/>
        </w:rPr>
      </w:pPr>
      <w:r w:rsidRPr="00ED0E77">
        <w:rPr>
          <w:smallCaps/>
          <w:lang w:val="en-IE"/>
        </w:rPr>
        <w:t>Timoney P.J. &amp; Powell D.G.</w:t>
      </w:r>
      <w:r w:rsidRPr="00ED0E77">
        <w:rPr>
          <w:lang w:val="en-IE"/>
        </w:rPr>
        <w:t xml:space="preserve"> (1982). Isolation of the contagious equine metritis organism from colts and fillies in the United Kingdom and Ireland. </w:t>
      </w:r>
      <w:r w:rsidRPr="00ED0E77">
        <w:rPr>
          <w:i/>
          <w:iCs/>
          <w:lang w:val="en-IE"/>
        </w:rPr>
        <w:t>Vet. Rec.</w:t>
      </w:r>
      <w:r w:rsidRPr="00ED0E77">
        <w:rPr>
          <w:lang w:val="en-IE"/>
        </w:rPr>
        <w:t xml:space="preserve">, </w:t>
      </w:r>
      <w:r w:rsidRPr="00ED0E77">
        <w:rPr>
          <w:b/>
          <w:bCs/>
          <w:lang w:val="en-IE"/>
        </w:rPr>
        <w:t>111</w:t>
      </w:r>
      <w:r w:rsidRPr="00ED0E77">
        <w:rPr>
          <w:lang w:val="en-IE"/>
        </w:rPr>
        <w:t>, 478–482.</w:t>
      </w:r>
    </w:p>
    <w:p w14:paraId="63B6EDA4" w14:textId="77777777" w:rsidR="0053190D" w:rsidRPr="00ED0E77" w:rsidRDefault="0053190D" w:rsidP="0059378C">
      <w:pPr>
        <w:pStyle w:val="Ref"/>
        <w:spacing w:after="280"/>
        <w:rPr>
          <w:lang w:val="en-IE"/>
        </w:rPr>
      </w:pPr>
      <w:r w:rsidRPr="00ED0E77">
        <w:rPr>
          <w:smallCaps/>
          <w:lang w:val="en-IE"/>
        </w:rPr>
        <w:t>Wakeley P.R., Errington J., Hannon S., Roest H.I.J., Carson T. Hunt B. &amp; Heath P</w:t>
      </w:r>
      <w:r w:rsidRPr="00ED0E77">
        <w:rPr>
          <w:lang w:val="en-IE"/>
        </w:rPr>
        <w:t xml:space="preserve">. (2006). Development of a real time PCR for the detection of </w:t>
      </w:r>
      <w:r w:rsidRPr="00ED0E77">
        <w:rPr>
          <w:i/>
          <w:iCs/>
          <w:lang w:val="en-IE"/>
        </w:rPr>
        <w:t>Taylorella equigenitalis</w:t>
      </w:r>
      <w:r w:rsidRPr="00ED0E77">
        <w:rPr>
          <w:lang w:val="en-IE"/>
        </w:rPr>
        <w:t xml:space="preserve"> directly from genital swabs and discrimination from </w:t>
      </w:r>
      <w:r w:rsidR="00E40D1C" w:rsidRPr="00ED0E77">
        <w:rPr>
          <w:i/>
          <w:iCs/>
          <w:lang w:val="en-IE"/>
        </w:rPr>
        <w:t>T. </w:t>
      </w:r>
      <w:r w:rsidRPr="00ED0E77">
        <w:rPr>
          <w:i/>
          <w:iCs/>
          <w:lang w:val="en-IE"/>
        </w:rPr>
        <w:t xml:space="preserve">asinigenitalis. Vet. Microbiol., </w:t>
      </w:r>
      <w:r w:rsidRPr="00ED0E77">
        <w:rPr>
          <w:b/>
          <w:bCs/>
          <w:lang w:val="en-IE"/>
        </w:rPr>
        <w:t>118</w:t>
      </w:r>
      <w:r w:rsidRPr="00ED0E77">
        <w:rPr>
          <w:lang w:val="en-IE"/>
        </w:rPr>
        <w:t>, 247–254.</w:t>
      </w:r>
    </w:p>
    <w:p w14:paraId="63B6EDA5" w14:textId="6A311814" w:rsidR="0053190D" w:rsidRPr="00ED0E77" w:rsidRDefault="0053190D" w:rsidP="0059378C">
      <w:pPr>
        <w:pStyle w:val="Ref"/>
        <w:spacing w:after="280"/>
        <w:rPr>
          <w:lang w:val="en-IE"/>
        </w:rPr>
      </w:pPr>
      <w:r w:rsidRPr="00ED0E77">
        <w:rPr>
          <w:smallCaps/>
          <w:lang w:val="en-IE"/>
        </w:rPr>
        <w:t>Ward J., Hourigan M., McGuirk J. &amp; Gogarty</w:t>
      </w:r>
      <w:r w:rsidRPr="00ED0E77">
        <w:rPr>
          <w:lang w:val="en-IE"/>
        </w:rPr>
        <w:t xml:space="preserve"> A. (1984). Incubation times for primary isolation of contagious equine metritis organism. </w:t>
      </w:r>
      <w:r w:rsidRPr="00ED0E77">
        <w:rPr>
          <w:i/>
          <w:iCs/>
          <w:lang w:val="en-IE"/>
        </w:rPr>
        <w:t>Vet. Rec.</w:t>
      </w:r>
      <w:r w:rsidRPr="00ED0E77">
        <w:rPr>
          <w:lang w:val="en-IE"/>
        </w:rPr>
        <w:t xml:space="preserve">, </w:t>
      </w:r>
      <w:r w:rsidRPr="00ED0E77">
        <w:rPr>
          <w:b/>
          <w:bCs/>
          <w:lang w:val="en-IE"/>
        </w:rPr>
        <w:t>114</w:t>
      </w:r>
      <w:r w:rsidRPr="00ED0E77">
        <w:rPr>
          <w:lang w:val="en-IE"/>
        </w:rPr>
        <w:t>, 298.</w:t>
      </w:r>
    </w:p>
    <w:p w14:paraId="63B6EDA6" w14:textId="77777777" w:rsidR="0053190D" w:rsidRPr="00ED0E77" w:rsidRDefault="0053190D">
      <w:pPr>
        <w:pStyle w:val="rtoiles"/>
        <w:rPr>
          <w:rFonts w:ascii="Arial" w:hAnsi="Arial" w:cs="Arial"/>
          <w:lang w:val="en-IE"/>
        </w:rPr>
      </w:pPr>
      <w:r w:rsidRPr="00ED0E77">
        <w:rPr>
          <w:rFonts w:ascii="Arial" w:hAnsi="Arial" w:cs="Arial"/>
          <w:lang w:val="en-IE"/>
        </w:rPr>
        <w:t>*</w:t>
      </w:r>
      <w:r w:rsidRPr="00ED0E77">
        <w:rPr>
          <w:rFonts w:ascii="Arial" w:hAnsi="Arial" w:cs="Arial"/>
          <w:lang w:val="en-IE"/>
        </w:rPr>
        <w:br/>
        <w:t>*   *</w:t>
      </w:r>
    </w:p>
    <w:p w14:paraId="63B6EDA7" w14:textId="4811A9A2" w:rsidR="00222BEE" w:rsidRPr="00ED0E77" w:rsidRDefault="00222BEE" w:rsidP="00CB513F">
      <w:pPr>
        <w:tabs>
          <w:tab w:val="clear" w:pos="-720"/>
        </w:tabs>
        <w:spacing w:before="120" w:after="240" w:line="240" w:lineRule="auto"/>
        <w:jc w:val="center"/>
        <w:rPr>
          <w:rFonts w:ascii="Arial" w:hAnsi="Arial" w:cs="Arial"/>
          <w:sz w:val="18"/>
          <w:szCs w:val="18"/>
          <w:lang w:val="en-IE"/>
        </w:rPr>
      </w:pPr>
      <w:r w:rsidRPr="00ED0E77">
        <w:rPr>
          <w:rFonts w:ascii="Arial" w:hAnsi="Arial" w:cs="Arial"/>
          <w:b/>
          <w:bCs/>
          <w:sz w:val="18"/>
          <w:szCs w:val="18"/>
          <w:lang w:val="en-IE"/>
        </w:rPr>
        <w:t>NB:</w:t>
      </w:r>
      <w:r w:rsidRPr="00ED0E77">
        <w:rPr>
          <w:rFonts w:ascii="Arial" w:hAnsi="Arial" w:cs="Arial"/>
          <w:sz w:val="18"/>
          <w:szCs w:val="18"/>
          <w:lang w:val="en-IE"/>
        </w:rPr>
        <w:t xml:space="preserve"> There are OIE Reference Laboratories for </w:t>
      </w:r>
      <w:r w:rsidR="00F722CB" w:rsidRPr="00ED0E77">
        <w:rPr>
          <w:rFonts w:ascii="Arial" w:hAnsi="Arial" w:cs="Arial"/>
          <w:sz w:val="18"/>
          <w:szCs w:val="18"/>
          <w:lang w:val="en-IE"/>
        </w:rPr>
        <w:t xml:space="preserve">contagious </w:t>
      </w:r>
      <w:r w:rsidR="00800108" w:rsidRPr="00ED0E77">
        <w:rPr>
          <w:rFonts w:ascii="Arial" w:hAnsi="Arial" w:cs="Arial"/>
          <w:sz w:val="18"/>
          <w:szCs w:val="18"/>
          <w:lang w:val="en-IE"/>
        </w:rPr>
        <w:t>equine metritis</w:t>
      </w:r>
      <w:r w:rsidRPr="00ED0E77">
        <w:rPr>
          <w:rFonts w:ascii="Arial" w:hAnsi="Arial" w:cs="Arial"/>
          <w:sz w:val="18"/>
          <w:szCs w:val="18"/>
          <w:lang w:val="en-IE"/>
        </w:rPr>
        <w:br/>
      </w:r>
      <w:r w:rsidRPr="00ED0E77">
        <w:rPr>
          <w:rStyle w:val="ReflabnoteCar"/>
          <w:lang w:val="en-IE"/>
        </w:rPr>
        <w:t xml:space="preserve">(see Table in </w:t>
      </w:r>
      <w:r w:rsidR="00C17F2B" w:rsidRPr="00ED0E77">
        <w:rPr>
          <w:rStyle w:val="ReflabnoteCar"/>
          <w:lang w:val="en-IE"/>
        </w:rPr>
        <w:t>Part 4</w:t>
      </w:r>
      <w:r w:rsidRPr="00ED0E77">
        <w:rPr>
          <w:rStyle w:val="ReflabnoteCar"/>
          <w:lang w:val="en-IE"/>
        </w:rPr>
        <w:t xml:space="preserve"> of this </w:t>
      </w:r>
      <w:r w:rsidRPr="00ED0E77">
        <w:rPr>
          <w:rFonts w:ascii="Arial" w:hAnsi="Arial" w:cs="Arial"/>
          <w:i/>
          <w:sz w:val="18"/>
          <w:szCs w:val="18"/>
          <w:lang w:val="en-IE"/>
        </w:rPr>
        <w:t xml:space="preserve">Terrestrial Manual </w:t>
      </w:r>
      <w:r w:rsidRPr="00ED0E77">
        <w:rPr>
          <w:rStyle w:val="ReflabnoteCar"/>
          <w:lang w:val="en-IE"/>
        </w:rPr>
        <w:t xml:space="preserve">or consult the OIE Web site for the most up-to-date list: </w:t>
      </w:r>
      <w:hyperlink r:id="rId8" w:history="1">
        <w:r w:rsidR="00BD15CC" w:rsidRPr="00ED0E77">
          <w:rPr>
            <w:rStyle w:val="Hyperlink"/>
            <w:rFonts w:ascii="Arial" w:hAnsi="Arial" w:cs="Arial"/>
            <w:sz w:val="18"/>
            <w:szCs w:val="18"/>
            <w:u w:val="none"/>
            <w:lang w:val="en-IE"/>
          </w:rPr>
          <w:br/>
        </w:r>
      </w:hyperlink>
      <w:r w:rsidR="00BD15CC" w:rsidRPr="00ED0E77">
        <w:rPr>
          <w:rStyle w:val="Hyperlink"/>
          <w:rFonts w:ascii="Arial" w:hAnsi="Arial" w:cs="Arial"/>
          <w:color w:val="0000FF"/>
          <w:sz w:val="18"/>
          <w:szCs w:val="18"/>
          <w:u w:val="none"/>
          <w:lang w:val="en-IE"/>
        </w:rPr>
        <w:t>https://www.oie.int/en/what-we-offer/expertise-network/reference-laboratories/#ui-id-3</w:t>
      </w:r>
      <w:hyperlink r:id="rId9" w:history="1"/>
      <w:r w:rsidRPr="00ED0E77">
        <w:rPr>
          <w:rStyle w:val="ReflabnoteCar"/>
          <w:lang w:val="en-IE"/>
        </w:rPr>
        <w:t xml:space="preserve">). </w:t>
      </w:r>
      <w:r w:rsidRPr="00ED0E77">
        <w:rPr>
          <w:rStyle w:val="ReflabnoteCar"/>
          <w:lang w:val="en-IE"/>
        </w:rPr>
        <w:br/>
      </w:r>
      <w:r w:rsidRPr="00ED0E77">
        <w:rPr>
          <w:rFonts w:ascii="Arial" w:hAnsi="Arial" w:cs="Arial"/>
          <w:sz w:val="18"/>
          <w:szCs w:val="18"/>
          <w:lang w:val="en-IE"/>
        </w:rPr>
        <w:t xml:space="preserve">Please contact the OIE Reference Laboratories for any further information on </w:t>
      </w:r>
      <w:r w:rsidRPr="00ED0E77">
        <w:rPr>
          <w:rFonts w:ascii="Arial" w:hAnsi="Arial" w:cs="Arial"/>
          <w:sz w:val="18"/>
          <w:szCs w:val="18"/>
          <w:lang w:val="en-IE"/>
        </w:rPr>
        <w:br/>
        <w:t xml:space="preserve">diagnostic tests, reagents and vaccines for </w:t>
      </w:r>
      <w:r w:rsidR="00F722CB" w:rsidRPr="00ED0E77">
        <w:rPr>
          <w:rFonts w:ascii="Arial" w:hAnsi="Arial" w:cs="Arial"/>
          <w:sz w:val="18"/>
          <w:szCs w:val="18"/>
          <w:lang w:val="en-IE"/>
        </w:rPr>
        <w:t xml:space="preserve">contagious </w:t>
      </w:r>
      <w:r w:rsidR="00800108" w:rsidRPr="00ED0E77">
        <w:rPr>
          <w:rFonts w:ascii="Arial" w:hAnsi="Arial" w:cs="Arial"/>
          <w:sz w:val="18"/>
          <w:szCs w:val="18"/>
          <w:lang w:val="en-IE"/>
        </w:rPr>
        <w:t>equine metritis</w:t>
      </w:r>
    </w:p>
    <w:p w14:paraId="63B6EDA8" w14:textId="01AAA4A8" w:rsidR="00CB513F" w:rsidRPr="00ED0E77" w:rsidRDefault="00CB513F" w:rsidP="0078582C">
      <w:pPr>
        <w:spacing w:after="240" w:line="240" w:lineRule="auto"/>
        <w:jc w:val="center"/>
        <w:rPr>
          <w:rFonts w:ascii="Arial" w:hAnsi="Arial" w:cs="Arial"/>
          <w:sz w:val="18"/>
          <w:szCs w:val="18"/>
          <w:lang w:val="en-IE"/>
        </w:rPr>
      </w:pPr>
      <w:r w:rsidRPr="00ED0E77">
        <w:rPr>
          <w:rFonts w:ascii="Arial" w:hAnsi="Arial" w:cs="Arial"/>
          <w:b/>
          <w:smallCaps/>
          <w:sz w:val="18"/>
          <w:szCs w:val="18"/>
          <w:lang w:val="en-IE"/>
        </w:rPr>
        <w:t>NB:</w:t>
      </w:r>
      <w:r w:rsidRPr="00ED0E77">
        <w:rPr>
          <w:rFonts w:ascii="Arial" w:hAnsi="Arial" w:cs="Arial"/>
          <w:smallCaps/>
          <w:sz w:val="18"/>
          <w:szCs w:val="18"/>
          <w:lang w:val="en-IE"/>
        </w:rPr>
        <w:t xml:space="preserve"> First adopted in 1990; Most recent updates adopted in 201</w:t>
      </w:r>
      <w:r w:rsidR="0059378C" w:rsidRPr="00ED0E77">
        <w:rPr>
          <w:rFonts w:ascii="Arial" w:hAnsi="Arial" w:cs="Arial"/>
          <w:smallCaps/>
          <w:sz w:val="18"/>
          <w:szCs w:val="18"/>
          <w:lang w:val="en-IE"/>
        </w:rPr>
        <w:t>8</w:t>
      </w:r>
      <w:r w:rsidR="00F30C2E" w:rsidRPr="00ED0E77">
        <w:rPr>
          <w:rFonts w:ascii="Arial" w:hAnsi="Arial" w:cs="Arial"/>
          <w:smallCaps/>
          <w:sz w:val="18"/>
          <w:szCs w:val="18"/>
          <w:lang w:val="en-IE"/>
        </w:rPr>
        <w:t>.</w:t>
      </w:r>
    </w:p>
    <w:sectPr w:rsidR="00CB513F" w:rsidRPr="00ED0E77" w:rsidSect="00AB10B5">
      <w:headerReference w:type="even" r:id="rId10"/>
      <w:headerReference w:type="default" r:id="rId11"/>
      <w:footerReference w:type="even" r:id="rId12"/>
      <w:footerReference w:type="default" r:id="rId13"/>
      <w:footerReference w:type="first" r:id="rId14"/>
      <w:pgSz w:w="11907" w:h="16840" w:code="9"/>
      <w:pgMar w:top="1418" w:right="1418" w:bottom="1418" w:left="1418" w:header="567" w:footer="567" w:gutter="0"/>
      <w:paperSrc w:first="7" w:other="7"/>
      <w:lnNumType w:countBy="1" w:restart="continuou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EE48" w14:textId="77777777" w:rsidR="003E57D6" w:rsidRDefault="003E57D6">
      <w:pPr>
        <w:spacing w:line="240" w:lineRule="auto"/>
      </w:pPr>
      <w:r>
        <w:separator/>
      </w:r>
    </w:p>
  </w:endnote>
  <w:endnote w:type="continuationSeparator" w:id="0">
    <w:p w14:paraId="7E93BCF9" w14:textId="77777777" w:rsidR="003E57D6" w:rsidRDefault="003E57D6">
      <w:pPr>
        <w:spacing w:line="240" w:lineRule="auto"/>
      </w:pPr>
      <w:r>
        <w:continuationSeparator/>
      </w:r>
    </w:p>
  </w:endnote>
  <w:endnote w:type="continuationNotice" w:id="1">
    <w:p w14:paraId="2CDB4859" w14:textId="77777777" w:rsidR="003E57D6" w:rsidRDefault="003E57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ttawa">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Palatino-Roman">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9442" w14:textId="25CFF1CC" w:rsidR="002D66B2" w:rsidRPr="002B78BC" w:rsidRDefault="002D66B2" w:rsidP="002B78BC">
    <w:pPr>
      <w:pBdr>
        <w:top w:val="single" w:sz="6" w:space="5" w:color="auto"/>
      </w:pBdr>
      <w:tabs>
        <w:tab w:val="clear" w:pos="-720"/>
        <w:tab w:val="right" w:pos="9072"/>
      </w:tabs>
      <w:spacing w:line="240" w:lineRule="exact"/>
      <w:jc w:val="left"/>
      <w:rPr>
        <w:rFonts w:ascii="Ottawa" w:hAnsi="Ottawa" w:cs="Ottawa"/>
        <w:sz w:val="22"/>
        <w:szCs w:val="22"/>
      </w:rPr>
    </w:pPr>
    <w:r>
      <w:rPr>
        <w:rFonts w:ascii="Ottawa" w:hAnsi="Ottawa" w:cs="Ottawa"/>
        <w:sz w:val="22"/>
        <w:szCs w:val="22"/>
      </w:rPr>
      <w:fldChar w:fldCharType="begin"/>
    </w:r>
    <w:r>
      <w:rPr>
        <w:rFonts w:ascii="Ottawa" w:hAnsi="Ottawa" w:cs="Ottawa"/>
        <w:sz w:val="22"/>
        <w:szCs w:val="22"/>
      </w:rPr>
      <w:instrText>PAGE</w:instrText>
    </w:r>
    <w:r>
      <w:rPr>
        <w:rFonts w:ascii="Ottawa" w:hAnsi="Ottawa" w:cs="Ottawa"/>
        <w:sz w:val="22"/>
        <w:szCs w:val="22"/>
      </w:rPr>
      <w:fldChar w:fldCharType="separate"/>
    </w:r>
    <w:r w:rsidR="00B25168">
      <w:rPr>
        <w:rFonts w:ascii="Ottawa" w:hAnsi="Ottawa" w:cs="Ottawa"/>
        <w:noProof/>
        <w:sz w:val="22"/>
        <w:szCs w:val="22"/>
      </w:rPr>
      <w:t>8</w:t>
    </w:r>
    <w:r>
      <w:rPr>
        <w:rFonts w:ascii="Ottawa" w:hAnsi="Ottawa" w:cs="Ottawa"/>
        <w:sz w:val="22"/>
        <w:szCs w:val="22"/>
      </w:rPr>
      <w:fldChar w:fldCharType="end"/>
    </w:r>
    <w:r>
      <w:rPr>
        <w:rFonts w:ascii="Ottawa" w:hAnsi="Ottawa" w:cs="Ottawa"/>
        <w:sz w:val="22"/>
        <w:szCs w:val="22"/>
      </w:rPr>
      <w:tab/>
      <w:t xml:space="preserve">OIE </w:t>
    </w:r>
    <w:r>
      <w:rPr>
        <w:rFonts w:ascii="Ottawa" w:hAnsi="Ottawa" w:cs="Ottawa"/>
        <w:i/>
        <w:iCs/>
        <w:sz w:val="22"/>
        <w:szCs w:val="22"/>
      </w:rPr>
      <w:t>Terrestrial</w:t>
    </w:r>
    <w:r>
      <w:rPr>
        <w:rFonts w:ascii="Ottawa" w:hAnsi="Ottawa" w:cs="Ottawa"/>
        <w:sz w:val="22"/>
        <w:szCs w:val="22"/>
      </w:rPr>
      <w:t xml:space="preserve"> </w:t>
    </w:r>
    <w:r>
      <w:rPr>
        <w:rFonts w:ascii="Ottawa" w:hAnsi="Ottawa" w:cs="Ottawa"/>
        <w:i/>
        <w:iCs/>
        <w:sz w:val="22"/>
        <w:szCs w:val="22"/>
      </w:rPr>
      <w:t>Manual</w:t>
    </w:r>
    <w:r>
      <w:rPr>
        <w:rFonts w:ascii="Ottawa" w:hAnsi="Ottawa" w:cs="Ottawa"/>
        <w:sz w:val="22"/>
        <w:szCs w:val="22"/>
      </w:rPr>
      <w:t xml:space="preserve"> 20</w:t>
    </w:r>
    <w:r w:rsidR="00AB10B5">
      <w:rPr>
        <w:rFonts w:ascii="Ottawa" w:hAnsi="Ottawa" w:cs="Ottawa"/>
        <w:sz w:val="22"/>
        <w:szCs w:val="22"/>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9D3C" w14:textId="6B4120CA" w:rsidR="002D66B2" w:rsidRPr="002B78BC" w:rsidRDefault="002D66B2" w:rsidP="002B78BC">
    <w:pPr>
      <w:pBdr>
        <w:top w:val="single" w:sz="6" w:space="5" w:color="auto"/>
      </w:pBdr>
      <w:tabs>
        <w:tab w:val="clear" w:pos="-720"/>
        <w:tab w:val="right" w:pos="9072"/>
      </w:tabs>
      <w:spacing w:line="240" w:lineRule="exact"/>
      <w:jc w:val="left"/>
      <w:rPr>
        <w:rFonts w:ascii="Ottawa" w:hAnsi="Ottawa" w:cs="Ottawa"/>
        <w:sz w:val="22"/>
        <w:szCs w:val="22"/>
      </w:rPr>
    </w:pPr>
    <w:r>
      <w:rPr>
        <w:rFonts w:ascii="Ottawa" w:hAnsi="Ottawa" w:cs="Ottawa"/>
        <w:sz w:val="22"/>
        <w:szCs w:val="22"/>
      </w:rPr>
      <w:t xml:space="preserve">OIE </w:t>
    </w:r>
    <w:r>
      <w:rPr>
        <w:rFonts w:ascii="Ottawa" w:hAnsi="Ottawa" w:cs="Ottawa"/>
        <w:i/>
        <w:iCs/>
        <w:sz w:val="22"/>
        <w:szCs w:val="22"/>
      </w:rPr>
      <w:t>Terrestrial</w:t>
    </w:r>
    <w:r>
      <w:rPr>
        <w:rFonts w:ascii="Ottawa" w:hAnsi="Ottawa" w:cs="Ottawa"/>
        <w:sz w:val="22"/>
        <w:szCs w:val="22"/>
      </w:rPr>
      <w:t xml:space="preserve"> </w:t>
    </w:r>
    <w:r>
      <w:rPr>
        <w:rFonts w:ascii="Ottawa" w:hAnsi="Ottawa" w:cs="Ottawa"/>
        <w:i/>
        <w:iCs/>
        <w:sz w:val="22"/>
        <w:szCs w:val="22"/>
      </w:rPr>
      <w:t>Manual</w:t>
    </w:r>
    <w:r>
      <w:rPr>
        <w:rFonts w:ascii="Ottawa" w:hAnsi="Ottawa" w:cs="Ottawa"/>
        <w:sz w:val="22"/>
        <w:szCs w:val="22"/>
      </w:rPr>
      <w:t xml:space="preserve"> 20</w:t>
    </w:r>
    <w:r w:rsidR="00AB10B5">
      <w:rPr>
        <w:rFonts w:ascii="Ottawa" w:hAnsi="Ottawa" w:cs="Ottawa"/>
        <w:sz w:val="22"/>
        <w:szCs w:val="22"/>
      </w:rPr>
      <w:t>22</w:t>
    </w:r>
    <w:r>
      <w:rPr>
        <w:rFonts w:ascii="Ottawa" w:hAnsi="Ottawa" w:cs="Ottawa"/>
        <w:sz w:val="22"/>
        <w:szCs w:val="22"/>
      </w:rPr>
      <w:tab/>
    </w:r>
    <w:r>
      <w:rPr>
        <w:rFonts w:ascii="Ottawa" w:hAnsi="Ottawa" w:cs="Ottawa"/>
        <w:sz w:val="22"/>
        <w:szCs w:val="22"/>
      </w:rPr>
      <w:fldChar w:fldCharType="begin"/>
    </w:r>
    <w:r>
      <w:rPr>
        <w:rFonts w:ascii="Ottawa" w:hAnsi="Ottawa" w:cs="Ottawa"/>
        <w:sz w:val="22"/>
        <w:szCs w:val="22"/>
      </w:rPr>
      <w:instrText>PAGE</w:instrText>
    </w:r>
    <w:r>
      <w:rPr>
        <w:rFonts w:ascii="Ottawa" w:hAnsi="Ottawa" w:cs="Ottawa"/>
        <w:sz w:val="22"/>
        <w:szCs w:val="22"/>
      </w:rPr>
      <w:fldChar w:fldCharType="separate"/>
    </w:r>
    <w:r w:rsidR="00B25168">
      <w:rPr>
        <w:rFonts w:ascii="Ottawa" w:hAnsi="Ottawa" w:cs="Ottawa"/>
        <w:noProof/>
        <w:sz w:val="22"/>
        <w:szCs w:val="22"/>
      </w:rPr>
      <w:t>9</w:t>
    </w:r>
    <w:r>
      <w:rPr>
        <w:rFonts w:ascii="Ottawa" w:hAnsi="Ottawa" w:cs="Ottaw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4E21" w14:textId="57B5595B" w:rsidR="002D66B2" w:rsidRPr="002B78BC" w:rsidRDefault="002D66B2" w:rsidP="002B78BC">
    <w:pPr>
      <w:pBdr>
        <w:top w:val="single" w:sz="6" w:space="5" w:color="auto"/>
      </w:pBdr>
      <w:tabs>
        <w:tab w:val="clear" w:pos="-720"/>
        <w:tab w:val="right" w:pos="9072"/>
      </w:tabs>
      <w:spacing w:line="240" w:lineRule="exact"/>
      <w:jc w:val="left"/>
      <w:rPr>
        <w:rFonts w:ascii="Ottawa" w:hAnsi="Ottawa" w:cs="Ottawa"/>
        <w:sz w:val="22"/>
        <w:szCs w:val="22"/>
      </w:rPr>
    </w:pPr>
    <w:r>
      <w:rPr>
        <w:rFonts w:ascii="Ottawa" w:hAnsi="Ottawa" w:cs="Ottawa"/>
        <w:sz w:val="22"/>
        <w:szCs w:val="22"/>
      </w:rPr>
      <w:t xml:space="preserve">OIE </w:t>
    </w:r>
    <w:r>
      <w:rPr>
        <w:rFonts w:ascii="Ottawa" w:hAnsi="Ottawa" w:cs="Ottawa"/>
        <w:i/>
        <w:iCs/>
        <w:sz w:val="22"/>
        <w:szCs w:val="22"/>
      </w:rPr>
      <w:t>Terrestrial</w:t>
    </w:r>
    <w:r>
      <w:rPr>
        <w:rFonts w:ascii="Ottawa" w:hAnsi="Ottawa" w:cs="Ottawa"/>
        <w:sz w:val="22"/>
        <w:szCs w:val="22"/>
      </w:rPr>
      <w:t xml:space="preserve"> </w:t>
    </w:r>
    <w:r>
      <w:rPr>
        <w:rFonts w:ascii="Ottawa" w:hAnsi="Ottawa" w:cs="Ottawa"/>
        <w:i/>
        <w:iCs/>
        <w:sz w:val="22"/>
        <w:szCs w:val="22"/>
      </w:rPr>
      <w:t>Manual</w:t>
    </w:r>
    <w:r>
      <w:rPr>
        <w:rFonts w:ascii="Ottawa" w:hAnsi="Ottawa" w:cs="Ottawa"/>
        <w:sz w:val="22"/>
        <w:szCs w:val="22"/>
      </w:rPr>
      <w:t xml:space="preserve"> 20</w:t>
    </w:r>
    <w:r w:rsidR="00AB10B5">
      <w:rPr>
        <w:rFonts w:ascii="Ottawa" w:hAnsi="Ottawa" w:cs="Ottawa"/>
        <w:sz w:val="22"/>
        <w:szCs w:val="22"/>
      </w:rPr>
      <w:t>22</w:t>
    </w:r>
    <w:r>
      <w:rPr>
        <w:rFonts w:ascii="Ottawa" w:hAnsi="Ottawa" w:cs="Ottawa"/>
        <w:sz w:val="22"/>
        <w:szCs w:val="22"/>
      </w:rPr>
      <w:tab/>
    </w:r>
    <w:r>
      <w:rPr>
        <w:rFonts w:ascii="Ottawa" w:hAnsi="Ottawa" w:cs="Ottawa"/>
        <w:sz w:val="22"/>
        <w:szCs w:val="22"/>
      </w:rPr>
      <w:fldChar w:fldCharType="begin"/>
    </w:r>
    <w:r>
      <w:rPr>
        <w:rFonts w:ascii="Ottawa" w:hAnsi="Ottawa" w:cs="Ottawa"/>
        <w:sz w:val="22"/>
        <w:szCs w:val="22"/>
      </w:rPr>
      <w:instrText>PAGE</w:instrText>
    </w:r>
    <w:r>
      <w:rPr>
        <w:rFonts w:ascii="Ottawa" w:hAnsi="Ottawa" w:cs="Ottawa"/>
        <w:sz w:val="22"/>
        <w:szCs w:val="22"/>
      </w:rPr>
      <w:fldChar w:fldCharType="separate"/>
    </w:r>
    <w:r w:rsidR="00B25168">
      <w:rPr>
        <w:rFonts w:ascii="Ottawa" w:hAnsi="Ottawa" w:cs="Ottawa"/>
        <w:noProof/>
        <w:sz w:val="22"/>
        <w:szCs w:val="22"/>
      </w:rPr>
      <w:t>1</w:t>
    </w:r>
    <w:r>
      <w:rPr>
        <w:rFonts w:ascii="Ottawa" w:hAnsi="Ottawa" w:cs="Ottaw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7DAB8" w14:textId="77777777" w:rsidR="003E57D6" w:rsidRDefault="003E57D6">
      <w:r>
        <w:separator/>
      </w:r>
    </w:p>
  </w:footnote>
  <w:footnote w:type="continuationSeparator" w:id="0">
    <w:p w14:paraId="4681748A" w14:textId="77777777" w:rsidR="003E57D6" w:rsidRDefault="003E57D6">
      <w:pPr>
        <w:spacing w:line="240" w:lineRule="auto"/>
      </w:pPr>
      <w:r>
        <w:continuationSeparator/>
      </w:r>
    </w:p>
  </w:footnote>
  <w:footnote w:type="continuationNotice" w:id="1">
    <w:p w14:paraId="68DDB635" w14:textId="77777777" w:rsidR="003E57D6" w:rsidRDefault="003E57D6">
      <w:pPr>
        <w:spacing w:line="240" w:lineRule="auto"/>
      </w:pPr>
    </w:p>
  </w:footnote>
  <w:footnote w:id="2">
    <w:p w14:paraId="63B6EDB7" w14:textId="0232C8CF" w:rsidR="002D66B2" w:rsidRPr="00101C0B" w:rsidRDefault="002D66B2" w:rsidP="00101C0B">
      <w:pPr>
        <w:pStyle w:val="FootnoteText"/>
        <w:spacing w:line="240" w:lineRule="auto"/>
        <w:ind w:left="425" w:hanging="425"/>
        <w:rPr>
          <w:rFonts w:ascii="Arial" w:hAnsi="Arial" w:cs="Arial"/>
          <w:sz w:val="16"/>
          <w:szCs w:val="16"/>
        </w:rPr>
      </w:pPr>
      <w:r w:rsidRPr="00101C0B">
        <w:rPr>
          <w:rStyle w:val="FootnoteReference"/>
          <w:rFonts w:ascii="Arial" w:hAnsi="Arial" w:cs="Arial"/>
          <w:sz w:val="16"/>
          <w:szCs w:val="16"/>
          <w:vertAlign w:val="baseline"/>
        </w:rPr>
        <w:footnoteRef/>
      </w:r>
      <w:r w:rsidRPr="00101C0B">
        <w:rPr>
          <w:rFonts w:ascii="Arial" w:hAnsi="Arial" w:cs="Arial"/>
          <w:sz w:val="16"/>
          <w:szCs w:val="16"/>
        </w:rPr>
        <w:t xml:space="preserve"> </w:t>
      </w:r>
      <w:r w:rsidRPr="00101C0B">
        <w:rPr>
          <w:rFonts w:ascii="Arial" w:hAnsi="Arial" w:cs="Arial"/>
          <w:sz w:val="16"/>
          <w:szCs w:val="16"/>
        </w:rPr>
        <w:tab/>
        <w:t>Obtainable from the National Collection of Type Cultures, Colindale, London, UK</w:t>
      </w:r>
      <w:r w:rsidR="00101C0B" w:rsidRPr="00101C0B">
        <w:rPr>
          <w:rFonts w:ascii="Arial" w:hAnsi="Arial" w:cs="Arial"/>
          <w:sz w:val="16"/>
          <w:szCs w:val="16"/>
        </w:rPr>
        <w:t xml:space="preserve">: </w:t>
      </w:r>
      <w:r w:rsidR="00101C0B" w:rsidRPr="00101C0B">
        <w:rPr>
          <w:rFonts w:ascii="Arial" w:hAnsi="Arial" w:cs="Arial"/>
          <w:sz w:val="16"/>
          <w:szCs w:val="16"/>
          <w:u w:val="double"/>
        </w:rPr>
        <w:t>https://www.phe-culturecollections.org.uk/collections/nctc.aspx</w:t>
      </w:r>
      <w:r w:rsidRPr="00101C0B">
        <w:rPr>
          <w:rFonts w:ascii="Arial" w:hAnsi="Arial" w:cs="Arial"/>
          <w:sz w:val="16"/>
          <w:szCs w:val="16"/>
        </w:rPr>
        <w:t>.</w:t>
      </w:r>
    </w:p>
  </w:footnote>
  <w:footnote w:id="3">
    <w:p w14:paraId="131381AA" w14:textId="3703CEE9" w:rsidR="00101C0B" w:rsidRPr="00101C0B" w:rsidRDefault="00101C0B" w:rsidP="00101C0B">
      <w:pPr>
        <w:pStyle w:val="FootnoteText"/>
        <w:spacing w:line="240" w:lineRule="auto"/>
        <w:ind w:left="425" w:hanging="425"/>
      </w:pPr>
      <w:r w:rsidRPr="00101C0B">
        <w:rPr>
          <w:rStyle w:val="FootnoteReference"/>
          <w:rFonts w:ascii="Arial" w:hAnsi="Arial" w:cs="Arial"/>
          <w:sz w:val="16"/>
          <w:szCs w:val="16"/>
          <w:vertAlign w:val="baseline"/>
        </w:rPr>
        <w:footnoteRef/>
      </w:r>
      <w:r w:rsidRPr="00101C0B">
        <w:rPr>
          <w:rFonts w:ascii="Arial" w:hAnsi="Arial" w:cs="Arial"/>
          <w:sz w:val="16"/>
          <w:szCs w:val="16"/>
        </w:rPr>
        <w:t xml:space="preserve"> </w:t>
      </w:r>
      <w:r w:rsidRPr="00101C0B">
        <w:rPr>
          <w:rFonts w:ascii="Arial" w:hAnsi="Arial" w:cs="Arial"/>
          <w:sz w:val="16"/>
          <w:szCs w:val="16"/>
        </w:rPr>
        <w:tab/>
      </w:r>
      <w:hyperlink r:id="rId1" w:anchor="ui-id-5" w:history="1">
        <w:r w:rsidRPr="00101C0B">
          <w:rPr>
            <w:rStyle w:val="Hyperlink"/>
            <w:rFonts w:ascii="Arial" w:hAnsi="Arial" w:cs="Arial"/>
            <w:color w:val="0000FF"/>
            <w:sz w:val="16"/>
            <w:szCs w:val="16"/>
            <w:lang w:val="en-IE"/>
          </w:rPr>
          <w:t>https://www.oie.int/en/what-we-offer/veterinary-products/#ui-id-5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4E05" w14:textId="02D2B2EC" w:rsidR="002D66B2" w:rsidRPr="002B78BC" w:rsidRDefault="002D66B2" w:rsidP="002B78BC">
    <w:pPr>
      <w:pBdr>
        <w:bottom w:val="single" w:sz="6" w:space="1" w:color="auto"/>
      </w:pBdr>
      <w:spacing w:line="240" w:lineRule="auto"/>
      <w:ind w:right="-1"/>
      <w:jc w:val="center"/>
      <w:rPr>
        <w:rFonts w:ascii="Ottawa" w:hAnsi="Ottawa" w:cs="Ottawa"/>
        <w:i/>
        <w:iCs/>
      </w:rPr>
    </w:pPr>
    <w:r>
      <w:rPr>
        <w:rFonts w:ascii="Ottawa" w:hAnsi="Ottawa" w:cs="Ottawa"/>
        <w:i/>
        <w:iCs/>
      </w:rPr>
      <w:t>Chapter 3.</w:t>
    </w:r>
    <w:r w:rsidR="00AB10B5">
      <w:rPr>
        <w:rFonts w:ascii="Ottawa" w:hAnsi="Ottawa" w:cs="Ottawa"/>
        <w:i/>
        <w:iCs/>
      </w:rPr>
      <w:t>6</w:t>
    </w:r>
    <w:r>
      <w:rPr>
        <w:rFonts w:ascii="Ottawa" w:hAnsi="Ottawa" w:cs="Ottawa"/>
        <w:i/>
        <w:iCs/>
      </w:rPr>
      <w:t>.2. – Contagious equine metritis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7AA1" w14:textId="6EA31B1E" w:rsidR="002D66B2" w:rsidRPr="002B78BC" w:rsidRDefault="002D66B2" w:rsidP="002B78BC">
    <w:pPr>
      <w:pBdr>
        <w:bottom w:val="single" w:sz="6" w:space="1" w:color="auto"/>
      </w:pBdr>
      <w:spacing w:line="240" w:lineRule="auto"/>
      <w:ind w:right="-1"/>
      <w:jc w:val="center"/>
      <w:rPr>
        <w:rFonts w:ascii="Ottawa" w:hAnsi="Ottawa" w:cs="Ottawa"/>
        <w:i/>
        <w:iCs/>
      </w:rPr>
    </w:pPr>
    <w:r>
      <w:rPr>
        <w:rFonts w:ascii="Ottawa" w:hAnsi="Ottawa" w:cs="Ottawa"/>
        <w:i/>
        <w:iCs/>
      </w:rPr>
      <w:t>Chapter 3.</w:t>
    </w:r>
    <w:r w:rsidR="00AB10B5">
      <w:rPr>
        <w:rFonts w:ascii="Ottawa" w:hAnsi="Ottawa" w:cs="Ottawa"/>
        <w:i/>
        <w:iCs/>
      </w:rPr>
      <w:t>6</w:t>
    </w:r>
    <w:r>
      <w:rPr>
        <w:rFonts w:ascii="Ottawa" w:hAnsi="Ottawa" w:cs="Ottawa"/>
        <w:i/>
        <w:iCs/>
      </w:rPr>
      <w:t>.2. – Contagious equine metritis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110D4"/>
    <w:multiLevelType w:val="singleLevel"/>
    <w:tmpl w:val="8774F6E2"/>
    <w:lvl w:ilvl="0">
      <w:start w:val="1"/>
      <w:numFmt w:val="lowerRoman"/>
      <w:lvlText w:val="%1) "/>
      <w:legacy w:legacy="1" w:legacySpace="0" w:legacyIndent="283"/>
      <w:lvlJc w:val="left"/>
      <w:pPr>
        <w:ind w:left="708" w:hanging="283"/>
      </w:pPr>
      <w:rPr>
        <w:rFonts w:ascii="Arial" w:hAnsi="Arial" w:cs="Arial" w:hint="default"/>
        <w:b w:val="0"/>
        <w:bCs w:val="0"/>
        <w:i w:val="0"/>
        <w:iCs w:val="0"/>
        <w:sz w:val="18"/>
        <w:szCs w:val="18"/>
        <w:u w:val="none"/>
      </w:rPr>
    </w:lvl>
  </w:abstractNum>
  <w:abstractNum w:abstractNumId="1" w15:restartNumberingAfterBreak="0">
    <w:nsid w:val="7E055F70"/>
    <w:multiLevelType w:val="singleLevel"/>
    <w:tmpl w:val="0BD2D144"/>
    <w:lvl w:ilvl="0">
      <w:start w:val="2"/>
      <w:numFmt w:val="lowerRoman"/>
      <w:lvlText w:val="%1) "/>
      <w:legacy w:legacy="1" w:legacySpace="0" w:legacyIndent="283"/>
      <w:lvlJc w:val="left"/>
      <w:pPr>
        <w:ind w:left="708" w:hanging="283"/>
      </w:pPr>
      <w:rPr>
        <w:rFonts w:ascii="Arial" w:hAnsi="Arial" w:cs="Arial" w:hint="default"/>
        <w:b w:val="0"/>
        <w:bCs w:val="0"/>
        <w:i w:val="0"/>
        <w:iCs w:val="0"/>
        <w:sz w:val="18"/>
        <w:szCs w:val="18"/>
        <w:u w:val="none"/>
      </w:rPr>
    </w:lvl>
  </w:abstractNum>
  <w:num w:numId="1">
    <w:abstractNumId w:val="0"/>
  </w:num>
  <w:num w:numId="2">
    <w:abstractNumId w:val="1"/>
  </w:num>
  <w:num w:numId="3">
    <w:abstractNumId w:val="1"/>
    <w:lvlOverride w:ilvl="0">
      <w:lvl w:ilvl="0">
        <w:start w:val="1"/>
        <w:numFmt w:val="lowerRoman"/>
        <w:lvlText w:val="%1) "/>
        <w:legacy w:legacy="1" w:legacySpace="0" w:legacyIndent="283"/>
        <w:lvlJc w:val="left"/>
        <w:pPr>
          <w:ind w:left="708" w:hanging="283"/>
        </w:pPr>
        <w:rPr>
          <w:rFonts w:ascii="Arial" w:hAnsi="Arial" w:cs="Arial" w:hint="default"/>
          <w:b w:val="0"/>
          <w:bCs w:val="0"/>
          <w:i w:val="0"/>
          <w:iCs w:val="0"/>
          <w:sz w:val="18"/>
          <w:szCs w:val="18"/>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40A"/>
    <w:rsid w:val="00000F78"/>
    <w:rsid w:val="00001981"/>
    <w:rsid w:val="0000543A"/>
    <w:rsid w:val="00006277"/>
    <w:rsid w:val="000206C2"/>
    <w:rsid w:val="00025FF4"/>
    <w:rsid w:val="0003158B"/>
    <w:rsid w:val="00036C6F"/>
    <w:rsid w:val="00046C68"/>
    <w:rsid w:val="00047AE2"/>
    <w:rsid w:val="000549B3"/>
    <w:rsid w:val="00064CF0"/>
    <w:rsid w:val="000702BE"/>
    <w:rsid w:val="0007080E"/>
    <w:rsid w:val="00071AF0"/>
    <w:rsid w:val="00071E42"/>
    <w:rsid w:val="00076AC8"/>
    <w:rsid w:val="000802F2"/>
    <w:rsid w:val="00083760"/>
    <w:rsid w:val="00087D82"/>
    <w:rsid w:val="00090466"/>
    <w:rsid w:val="00096C28"/>
    <w:rsid w:val="000A6F51"/>
    <w:rsid w:val="000C1109"/>
    <w:rsid w:val="000C2546"/>
    <w:rsid w:val="000C4C71"/>
    <w:rsid w:val="000C7891"/>
    <w:rsid w:val="000D6CD6"/>
    <w:rsid w:val="000E3D1F"/>
    <w:rsid w:val="000F136B"/>
    <w:rsid w:val="000F513F"/>
    <w:rsid w:val="00100402"/>
    <w:rsid w:val="00101C0B"/>
    <w:rsid w:val="00102BA9"/>
    <w:rsid w:val="00104342"/>
    <w:rsid w:val="00104587"/>
    <w:rsid w:val="00107F99"/>
    <w:rsid w:val="00116498"/>
    <w:rsid w:val="00122A0C"/>
    <w:rsid w:val="00130047"/>
    <w:rsid w:val="00134CA2"/>
    <w:rsid w:val="00136AB5"/>
    <w:rsid w:val="00161EA0"/>
    <w:rsid w:val="001665D3"/>
    <w:rsid w:val="00166E98"/>
    <w:rsid w:val="00167FE1"/>
    <w:rsid w:val="001721FA"/>
    <w:rsid w:val="00173817"/>
    <w:rsid w:val="00176913"/>
    <w:rsid w:val="00190012"/>
    <w:rsid w:val="00192DC6"/>
    <w:rsid w:val="00194CDA"/>
    <w:rsid w:val="00195A0F"/>
    <w:rsid w:val="0019628A"/>
    <w:rsid w:val="001964B9"/>
    <w:rsid w:val="001A1070"/>
    <w:rsid w:val="001A7729"/>
    <w:rsid w:val="001B05D7"/>
    <w:rsid w:val="001B3969"/>
    <w:rsid w:val="001B6076"/>
    <w:rsid w:val="001C309F"/>
    <w:rsid w:val="001D22C1"/>
    <w:rsid w:val="001E0795"/>
    <w:rsid w:val="001F3377"/>
    <w:rsid w:val="001F5FD3"/>
    <w:rsid w:val="00204C1B"/>
    <w:rsid w:val="002118D2"/>
    <w:rsid w:val="002142EA"/>
    <w:rsid w:val="002152D1"/>
    <w:rsid w:val="00215B99"/>
    <w:rsid w:val="00222BEE"/>
    <w:rsid w:val="002234CF"/>
    <w:rsid w:val="00226441"/>
    <w:rsid w:val="0022732C"/>
    <w:rsid w:val="00237D9A"/>
    <w:rsid w:val="002434D6"/>
    <w:rsid w:val="00247CAE"/>
    <w:rsid w:val="00250D6E"/>
    <w:rsid w:val="0025500B"/>
    <w:rsid w:val="00260691"/>
    <w:rsid w:val="00270C16"/>
    <w:rsid w:val="00271878"/>
    <w:rsid w:val="002776B4"/>
    <w:rsid w:val="00287DEC"/>
    <w:rsid w:val="00291BF4"/>
    <w:rsid w:val="002A2DA4"/>
    <w:rsid w:val="002A3598"/>
    <w:rsid w:val="002A5A32"/>
    <w:rsid w:val="002B3B8D"/>
    <w:rsid w:val="002B78BC"/>
    <w:rsid w:val="002C6A58"/>
    <w:rsid w:val="002D1485"/>
    <w:rsid w:val="002D4EEF"/>
    <w:rsid w:val="002D66B2"/>
    <w:rsid w:val="002E2141"/>
    <w:rsid w:val="002E3AF9"/>
    <w:rsid w:val="002F0ABE"/>
    <w:rsid w:val="0030311F"/>
    <w:rsid w:val="003104B9"/>
    <w:rsid w:val="00312877"/>
    <w:rsid w:val="00317756"/>
    <w:rsid w:val="00324A8D"/>
    <w:rsid w:val="003267A3"/>
    <w:rsid w:val="00330054"/>
    <w:rsid w:val="003334E2"/>
    <w:rsid w:val="0033412A"/>
    <w:rsid w:val="00345602"/>
    <w:rsid w:val="00360E03"/>
    <w:rsid w:val="00366DE9"/>
    <w:rsid w:val="00366E27"/>
    <w:rsid w:val="0038005C"/>
    <w:rsid w:val="003A7992"/>
    <w:rsid w:val="003B13EE"/>
    <w:rsid w:val="003B534F"/>
    <w:rsid w:val="003B65CD"/>
    <w:rsid w:val="003C2E76"/>
    <w:rsid w:val="003C34C7"/>
    <w:rsid w:val="003C795F"/>
    <w:rsid w:val="003D727E"/>
    <w:rsid w:val="003E356C"/>
    <w:rsid w:val="003E452E"/>
    <w:rsid w:val="003E57D6"/>
    <w:rsid w:val="003F08A5"/>
    <w:rsid w:val="003F3869"/>
    <w:rsid w:val="003F50ED"/>
    <w:rsid w:val="003F69FB"/>
    <w:rsid w:val="00412BB5"/>
    <w:rsid w:val="004164D2"/>
    <w:rsid w:val="0042664A"/>
    <w:rsid w:val="00430159"/>
    <w:rsid w:val="00466184"/>
    <w:rsid w:val="00473A1A"/>
    <w:rsid w:val="00483339"/>
    <w:rsid w:val="0048527B"/>
    <w:rsid w:val="00497CA3"/>
    <w:rsid w:val="004A76C7"/>
    <w:rsid w:val="004C4A7F"/>
    <w:rsid w:val="004C63D9"/>
    <w:rsid w:val="004D26AD"/>
    <w:rsid w:val="004D71E1"/>
    <w:rsid w:val="004E6DB2"/>
    <w:rsid w:val="004F0375"/>
    <w:rsid w:val="004F647D"/>
    <w:rsid w:val="00504228"/>
    <w:rsid w:val="005100A2"/>
    <w:rsid w:val="0052074B"/>
    <w:rsid w:val="005249AD"/>
    <w:rsid w:val="00524D06"/>
    <w:rsid w:val="0053074A"/>
    <w:rsid w:val="0053190D"/>
    <w:rsid w:val="00531C54"/>
    <w:rsid w:val="0053590B"/>
    <w:rsid w:val="00536C3C"/>
    <w:rsid w:val="00536DB4"/>
    <w:rsid w:val="00541D2A"/>
    <w:rsid w:val="00545398"/>
    <w:rsid w:val="00547CB5"/>
    <w:rsid w:val="005522EA"/>
    <w:rsid w:val="00560167"/>
    <w:rsid w:val="00561457"/>
    <w:rsid w:val="005615CC"/>
    <w:rsid w:val="005708AA"/>
    <w:rsid w:val="00574235"/>
    <w:rsid w:val="005840B5"/>
    <w:rsid w:val="0059376B"/>
    <w:rsid w:val="0059378C"/>
    <w:rsid w:val="00595123"/>
    <w:rsid w:val="005A2311"/>
    <w:rsid w:val="005A4F8E"/>
    <w:rsid w:val="005A5E38"/>
    <w:rsid w:val="005A6C00"/>
    <w:rsid w:val="005B67B8"/>
    <w:rsid w:val="005C0824"/>
    <w:rsid w:val="005C1B73"/>
    <w:rsid w:val="005C2EF0"/>
    <w:rsid w:val="005C4336"/>
    <w:rsid w:val="005C584E"/>
    <w:rsid w:val="005C7DFC"/>
    <w:rsid w:val="005D0D85"/>
    <w:rsid w:val="005D716E"/>
    <w:rsid w:val="005E4BC4"/>
    <w:rsid w:val="005E6553"/>
    <w:rsid w:val="005E6BBC"/>
    <w:rsid w:val="005E6D5E"/>
    <w:rsid w:val="005E6E03"/>
    <w:rsid w:val="005F0551"/>
    <w:rsid w:val="005F6183"/>
    <w:rsid w:val="005F644E"/>
    <w:rsid w:val="00601C03"/>
    <w:rsid w:val="00602F38"/>
    <w:rsid w:val="00603187"/>
    <w:rsid w:val="00613CA1"/>
    <w:rsid w:val="00621B80"/>
    <w:rsid w:val="00623821"/>
    <w:rsid w:val="00624389"/>
    <w:rsid w:val="006253DA"/>
    <w:rsid w:val="00627B9A"/>
    <w:rsid w:val="00630989"/>
    <w:rsid w:val="00631D84"/>
    <w:rsid w:val="00633891"/>
    <w:rsid w:val="00650BBB"/>
    <w:rsid w:val="00653B9E"/>
    <w:rsid w:val="00662056"/>
    <w:rsid w:val="006629E8"/>
    <w:rsid w:val="0066621C"/>
    <w:rsid w:val="00667248"/>
    <w:rsid w:val="00670CC8"/>
    <w:rsid w:val="00684236"/>
    <w:rsid w:val="00687557"/>
    <w:rsid w:val="006947BF"/>
    <w:rsid w:val="00697C9B"/>
    <w:rsid w:val="006A0FDB"/>
    <w:rsid w:val="006A4760"/>
    <w:rsid w:val="006D05D7"/>
    <w:rsid w:val="006D0EB0"/>
    <w:rsid w:val="006D13D7"/>
    <w:rsid w:val="006D29A7"/>
    <w:rsid w:val="006D55FF"/>
    <w:rsid w:val="006E09E8"/>
    <w:rsid w:val="006E28A4"/>
    <w:rsid w:val="006E72D2"/>
    <w:rsid w:val="006F3196"/>
    <w:rsid w:val="006F5715"/>
    <w:rsid w:val="006F5B35"/>
    <w:rsid w:val="00700276"/>
    <w:rsid w:val="0070398C"/>
    <w:rsid w:val="00705159"/>
    <w:rsid w:val="0070540C"/>
    <w:rsid w:val="0070728D"/>
    <w:rsid w:val="00713E59"/>
    <w:rsid w:val="0072523C"/>
    <w:rsid w:val="00726050"/>
    <w:rsid w:val="007335D4"/>
    <w:rsid w:val="00733C1F"/>
    <w:rsid w:val="0073520B"/>
    <w:rsid w:val="0073796E"/>
    <w:rsid w:val="007408D8"/>
    <w:rsid w:val="00745595"/>
    <w:rsid w:val="00757770"/>
    <w:rsid w:val="007621DC"/>
    <w:rsid w:val="007631CB"/>
    <w:rsid w:val="0077508B"/>
    <w:rsid w:val="0077659F"/>
    <w:rsid w:val="00781705"/>
    <w:rsid w:val="00785778"/>
    <w:rsid w:val="0078582C"/>
    <w:rsid w:val="007939CA"/>
    <w:rsid w:val="007A0E2D"/>
    <w:rsid w:val="007A6DC9"/>
    <w:rsid w:val="007A6F71"/>
    <w:rsid w:val="007B21B4"/>
    <w:rsid w:val="007B224C"/>
    <w:rsid w:val="007B24DD"/>
    <w:rsid w:val="007B6A54"/>
    <w:rsid w:val="007C2544"/>
    <w:rsid w:val="007C440A"/>
    <w:rsid w:val="007C68BE"/>
    <w:rsid w:val="007D23A3"/>
    <w:rsid w:val="007E0B2F"/>
    <w:rsid w:val="007E55EF"/>
    <w:rsid w:val="007F10FE"/>
    <w:rsid w:val="007F1DAB"/>
    <w:rsid w:val="007F3EB1"/>
    <w:rsid w:val="00800108"/>
    <w:rsid w:val="00804E12"/>
    <w:rsid w:val="00805770"/>
    <w:rsid w:val="00810BA0"/>
    <w:rsid w:val="008161D8"/>
    <w:rsid w:val="0082164F"/>
    <w:rsid w:val="00821E64"/>
    <w:rsid w:val="0084119E"/>
    <w:rsid w:val="008431EB"/>
    <w:rsid w:val="008452A7"/>
    <w:rsid w:val="00850083"/>
    <w:rsid w:val="008505E6"/>
    <w:rsid w:val="00853405"/>
    <w:rsid w:val="00881773"/>
    <w:rsid w:val="00883E40"/>
    <w:rsid w:val="00893579"/>
    <w:rsid w:val="008A71D4"/>
    <w:rsid w:val="008C08A0"/>
    <w:rsid w:val="008C0CFC"/>
    <w:rsid w:val="008C1E58"/>
    <w:rsid w:val="008C2B8E"/>
    <w:rsid w:val="008D1BD4"/>
    <w:rsid w:val="008D2CD6"/>
    <w:rsid w:val="008D4FB8"/>
    <w:rsid w:val="008D756D"/>
    <w:rsid w:val="008E2C3F"/>
    <w:rsid w:val="008E359B"/>
    <w:rsid w:val="008F0842"/>
    <w:rsid w:val="008F1E6B"/>
    <w:rsid w:val="008F2AF0"/>
    <w:rsid w:val="008F2EE6"/>
    <w:rsid w:val="008F43E9"/>
    <w:rsid w:val="008F4579"/>
    <w:rsid w:val="008F627D"/>
    <w:rsid w:val="008F69EE"/>
    <w:rsid w:val="00905692"/>
    <w:rsid w:val="00906BE0"/>
    <w:rsid w:val="009128D8"/>
    <w:rsid w:val="00913103"/>
    <w:rsid w:val="00927E5F"/>
    <w:rsid w:val="009330D2"/>
    <w:rsid w:val="00940AE7"/>
    <w:rsid w:val="00945263"/>
    <w:rsid w:val="0095191F"/>
    <w:rsid w:val="00955747"/>
    <w:rsid w:val="00960BE8"/>
    <w:rsid w:val="00962ADA"/>
    <w:rsid w:val="0096556E"/>
    <w:rsid w:val="009670FC"/>
    <w:rsid w:val="00975AF8"/>
    <w:rsid w:val="00985850"/>
    <w:rsid w:val="00985941"/>
    <w:rsid w:val="00986428"/>
    <w:rsid w:val="009871AB"/>
    <w:rsid w:val="00993A84"/>
    <w:rsid w:val="009963AF"/>
    <w:rsid w:val="009A0216"/>
    <w:rsid w:val="009A66AA"/>
    <w:rsid w:val="009B0D87"/>
    <w:rsid w:val="009B5A15"/>
    <w:rsid w:val="009C14DB"/>
    <w:rsid w:val="009D15B0"/>
    <w:rsid w:val="009D19EC"/>
    <w:rsid w:val="009D31D5"/>
    <w:rsid w:val="009E3BCB"/>
    <w:rsid w:val="009E4C6A"/>
    <w:rsid w:val="009E5EDC"/>
    <w:rsid w:val="009E76AD"/>
    <w:rsid w:val="009F4134"/>
    <w:rsid w:val="009F4E81"/>
    <w:rsid w:val="009F63F3"/>
    <w:rsid w:val="009F6C26"/>
    <w:rsid w:val="00A0200F"/>
    <w:rsid w:val="00A021AC"/>
    <w:rsid w:val="00A0229A"/>
    <w:rsid w:val="00A05292"/>
    <w:rsid w:val="00A06262"/>
    <w:rsid w:val="00A17BD7"/>
    <w:rsid w:val="00A228F5"/>
    <w:rsid w:val="00A23740"/>
    <w:rsid w:val="00A3418D"/>
    <w:rsid w:val="00A42655"/>
    <w:rsid w:val="00A4475E"/>
    <w:rsid w:val="00A50ACC"/>
    <w:rsid w:val="00A5149D"/>
    <w:rsid w:val="00A556DC"/>
    <w:rsid w:val="00A8049F"/>
    <w:rsid w:val="00A82502"/>
    <w:rsid w:val="00A84116"/>
    <w:rsid w:val="00A84F2A"/>
    <w:rsid w:val="00A912A8"/>
    <w:rsid w:val="00A97C0C"/>
    <w:rsid w:val="00AA0F4C"/>
    <w:rsid w:val="00AA2056"/>
    <w:rsid w:val="00AB10B5"/>
    <w:rsid w:val="00AB1E7A"/>
    <w:rsid w:val="00AB58E0"/>
    <w:rsid w:val="00AB5CCD"/>
    <w:rsid w:val="00AC1008"/>
    <w:rsid w:val="00AC63A8"/>
    <w:rsid w:val="00AC6F4B"/>
    <w:rsid w:val="00AC7C62"/>
    <w:rsid w:val="00AE4D08"/>
    <w:rsid w:val="00AF00C9"/>
    <w:rsid w:val="00AF7019"/>
    <w:rsid w:val="00B023A9"/>
    <w:rsid w:val="00B06F50"/>
    <w:rsid w:val="00B07075"/>
    <w:rsid w:val="00B1008B"/>
    <w:rsid w:val="00B12212"/>
    <w:rsid w:val="00B1459F"/>
    <w:rsid w:val="00B15464"/>
    <w:rsid w:val="00B16180"/>
    <w:rsid w:val="00B24B39"/>
    <w:rsid w:val="00B25168"/>
    <w:rsid w:val="00B37A22"/>
    <w:rsid w:val="00B64A21"/>
    <w:rsid w:val="00B65C25"/>
    <w:rsid w:val="00B913E5"/>
    <w:rsid w:val="00B940C2"/>
    <w:rsid w:val="00B9704C"/>
    <w:rsid w:val="00BA6F22"/>
    <w:rsid w:val="00BB017C"/>
    <w:rsid w:val="00BC05E8"/>
    <w:rsid w:val="00BC3F8A"/>
    <w:rsid w:val="00BC4739"/>
    <w:rsid w:val="00BC7223"/>
    <w:rsid w:val="00BD15CC"/>
    <w:rsid w:val="00BD4584"/>
    <w:rsid w:val="00BD49A8"/>
    <w:rsid w:val="00BE2419"/>
    <w:rsid w:val="00BE3BD5"/>
    <w:rsid w:val="00BE459C"/>
    <w:rsid w:val="00C03414"/>
    <w:rsid w:val="00C048B2"/>
    <w:rsid w:val="00C05937"/>
    <w:rsid w:val="00C0682A"/>
    <w:rsid w:val="00C10B0D"/>
    <w:rsid w:val="00C17F2B"/>
    <w:rsid w:val="00C23C2F"/>
    <w:rsid w:val="00C24D66"/>
    <w:rsid w:val="00C309AE"/>
    <w:rsid w:val="00C3537B"/>
    <w:rsid w:val="00C35684"/>
    <w:rsid w:val="00C36C79"/>
    <w:rsid w:val="00C4272E"/>
    <w:rsid w:val="00C564C0"/>
    <w:rsid w:val="00C60BE7"/>
    <w:rsid w:val="00C61A14"/>
    <w:rsid w:val="00C66DFD"/>
    <w:rsid w:val="00C71416"/>
    <w:rsid w:val="00C7256E"/>
    <w:rsid w:val="00C72FF1"/>
    <w:rsid w:val="00C8143A"/>
    <w:rsid w:val="00C847CF"/>
    <w:rsid w:val="00C9360A"/>
    <w:rsid w:val="00C9787F"/>
    <w:rsid w:val="00CA376D"/>
    <w:rsid w:val="00CA6719"/>
    <w:rsid w:val="00CA6C87"/>
    <w:rsid w:val="00CA7D7A"/>
    <w:rsid w:val="00CA7FF1"/>
    <w:rsid w:val="00CB30B7"/>
    <w:rsid w:val="00CB513F"/>
    <w:rsid w:val="00CC1EAC"/>
    <w:rsid w:val="00CC5447"/>
    <w:rsid w:val="00CD572F"/>
    <w:rsid w:val="00CE4F0F"/>
    <w:rsid w:val="00CE631F"/>
    <w:rsid w:val="00CF0A9E"/>
    <w:rsid w:val="00CF56B3"/>
    <w:rsid w:val="00D049C5"/>
    <w:rsid w:val="00D07648"/>
    <w:rsid w:val="00D12801"/>
    <w:rsid w:val="00D134BA"/>
    <w:rsid w:val="00D20B46"/>
    <w:rsid w:val="00D21531"/>
    <w:rsid w:val="00D22D9A"/>
    <w:rsid w:val="00D27D89"/>
    <w:rsid w:val="00D3343F"/>
    <w:rsid w:val="00D334D5"/>
    <w:rsid w:val="00D34DB3"/>
    <w:rsid w:val="00D41B04"/>
    <w:rsid w:val="00D45760"/>
    <w:rsid w:val="00D462B8"/>
    <w:rsid w:val="00D46FF1"/>
    <w:rsid w:val="00D5401E"/>
    <w:rsid w:val="00D6476A"/>
    <w:rsid w:val="00D652F4"/>
    <w:rsid w:val="00D664C7"/>
    <w:rsid w:val="00D67EFF"/>
    <w:rsid w:val="00D75CFE"/>
    <w:rsid w:val="00D8452C"/>
    <w:rsid w:val="00D865A2"/>
    <w:rsid w:val="00D86F96"/>
    <w:rsid w:val="00D90CDB"/>
    <w:rsid w:val="00D90F42"/>
    <w:rsid w:val="00D93526"/>
    <w:rsid w:val="00DA5A7E"/>
    <w:rsid w:val="00DB3721"/>
    <w:rsid w:val="00DC23EB"/>
    <w:rsid w:val="00DD11D8"/>
    <w:rsid w:val="00DD678B"/>
    <w:rsid w:val="00DE09E9"/>
    <w:rsid w:val="00DE477B"/>
    <w:rsid w:val="00DF0715"/>
    <w:rsid w:val="00E01852"/>
    <w:rsid w:val="00E019EB"/>
    <w:rsid w:val="00E0385B"/>
    <w:rsid w:val="00E1380A"/>
    <w:rsid w:val="00E17473"/>
    <w:rsid w:val="00E23A18"/>
    <w:rsid w:val="00E30039"/>
    <w:rsid w:val="00E37500"/>
    <w:rsid w:val="00E40D1C"/>
    <w:rsid w:val="00E43C85"/>
    <w:rsid w:val="00E62AB3"/>
    <w:rsid w:val="00E64478"/>
    <w:rsid w:val="00E7701D"/>
    <w:rsid w:val="00E844B9"/>
    <w:rsid w:val="00E918B9"/>
    <w:rsid w:val="00E93682"/>
    <w:rsid w:val="00E95602"/>
    <w:rsid w:val="00EA040E"/>
    <w:rsid w:val="00EA3602"/>
    <w:rsid w:val="00EA4F9C"/>
    <w:rsid w:val="00EA68B9"/>
    <w:rsid w:val="00EA7F54"/>
    <w:rsid w:val="00EB3ED5"/>
    <w:rsid w:val="00EC298F"/>
    <w:rsid w:val="00EC48F6"/>
    <w:rsid w:val="00EC4FBB"/>
    <w:rsid w:val="00EC7082"/>
    <w:rsid w:val="00ED0E77"/>
    <w:rsid w:val="00ED3F3B"/>
    <w:rsid w:val="00ED7328"/>
    <w:rsid w:val="00EE25F8"/>
    <w:rsid w:val="00EE4BA0"/>
    <w:rsid w:val="00EE4E0F"/>
    <w:rsid w:val="00F00244"/>
    <w:rsid w:val="00F033EA"/>
    <w:rsid w:val="00F2304F"/>
    <w:rsid w:val="00F268A7"/>
    <w:rsid w:val="00F271DB"/>
    <w:rsid w:val="00F30C2E"/>
    <w:rsid w:val="00F31AAB"/>
    <w:rsid w:val="00F35BF4"/>
    <w:rsid w:val="00F40B20"/>
    <w:rsid w:val="00F42B2A"/>
    <w:rsid w:val="00F47E8D"/>
    <w:rsid w:val="00F56977"/>
    <w:rsid w:val="00F56BF6"/>
    <w:rsid w:val="00F65283"/>
    <w:rsid w:val="00F66628"/>
    <w:rsid w:val="00F722CB"/>
    <w:rsid w:val="00F82082"/>
    <w:rsid w:val="00F87B06"/>
    <w:rsid w:val="00F92474"/>
    <w:rsid w:val="00F9284B"/>
    <w:rsid w:val="00F97E25"/>
    <w:rsid w:val="00FA0EA2"/>
    <w:rsid w:val="00FA57BA"/>
    <w:rsid w:val="00FA745D"/>
    <w:rsid w:val="00FC13D4"/>
    <w:rsid w:val="00FC6629"/>
    <w:rsid w:val="00FD0955"/>
    <w:rsid w:val="00FD0D24"/>
    <w:rsid w:val="00FD2B5A"/>
    <w:rsid w:val="00FD3C5F"/>
    <w:rsid w:val="00FE1E27"/>
    <w:rsid w:val="00FE1E7C"/>
    <w:rsid w:val="00FE2642"/>
    <w:rsid w:val="00FF7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6ED1D"/>
  <w15:docId w15:val="{85294A13-6C3A-4C6F-A4C3-F932D762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2C1"/>
    <w:pPr>
      <w:tabs>
        <w:tab w:val="left" w:pos="-720"/>
      </w:tabs>
      <w:spacing w:line="360" w:lineRule="atLeast"/>
      <w:jc w:val="both"/>
    </w:pPr>
    <w:rPr>
      <w:sz w:val="20"/>
      <w:szCs w:val="20"/>
      <w:lang w:eastAsia="fr-FR"/>
    </w:rPr>
  </w:style>
  <w:style w:type="paragraph" w:styleId="Heading1">
    <w:name w:val="heading 1"/>
    <w:basedOn w:val="Normal"/>
    <w:next w:val="Normal"/>
    <w:link w:val="Heading1Char"/>
    <w:uiPriority w:val="99"/>
    <w:qFormat/>
    <w:rsid w:val="001D22C1"/>
    <w:pPr>
      <w:spacing w:before="240"/>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1D22C1"/>
    <w:pPr>
      <w:spacing w:before="120"/>
      <w:outlineLvl w:val="1"/>
    </w:pPr>
    <w:rPr>
      <w:rFonts w:ascii="Arial" w:hAnsi="Arial" w:cs="Arial"/>
      <w:b/>
      <w:bCs/>
      <w:sz w:val="24"/>
      <w:szCs w:val="24"/>
    </w:rPr>
  </w:style>
  <w:style w:type="paragraph" w:styleId="Heading3">
    <w:name w:val="heading 3"/>
    <w:basedOn w:val="Normal"/>
    <w:next w:val="Normal"/>
    <w:link w:val="Heading3Char"/>
    <w:uiPriority w:val="99"/>
    <w:qFormat/>
    <w:rsid w:val="001D22C1"/>
    <w:pPr>
      <w:ind w:left="360"/>
      <w:outlineLvl w:val="2"/>
    </w:pPr>
    <w:rPr>
      <w:b/>
      <w:bCs/>
      <w:sz w:val="24"/>
      <w:szCs w:val="24"/>
    </w:rPr>
  </w:style>
  <w:style w:type="paragraph" w:styleId="Heading4">
    <w:name w:val="heading 4"/>
    <w:basedOn w:val="Normal"/>
    <w:next w:val="Normal"/>
    <w:link w:val="Heading4Char"/>
    <w:uiPriority w:val="99"/>
    <w:qFormat/>
    <w:rsid w:val="001D22C1"/>
    <w:pPr>
      <w:ind w:left="360"/>
      <w:outlineLvl w:val="3"/>
    </w:pPr>
    <w:rPr>
      <w:sz w:val="24"/>
      <w:szCs w:val="24"/>
      <w:u w:val="single"/>
    </w:rPr>
  </w:style>
  <w:style w:type="paragraph" w:styleId="Heading5">
    <w:name w:val="heading 5"/>
    <w:basedOn w:val="Normal"/>
    <w:next w:val="Normal"/>
    <w:link w:val="Heading5Char"/>
    <w:uiPriority w:val="99"/>
    <w:qFormat/>
    <w:rsid w:val="001D22C1"/>
    <w:pPr>
      <w:ind w:left="720"/>
      <w:outlineLvl w:val="4"/>
    </w:pPr>
    <w:rPr>
      <w:b/>
      <w:bCs/>
    </w:rPr>
  </w:style>
  <w:style w:type="paragraph" w:styleId="Heading6">
    <w:name w:val="heading 6"/>
    <w:basedOn w:val="Normal"/>
    <w:next w:val="Normal"/>
    <w:link w:val="Heading6Char"/>
    <w:uiPriority w:val="99"/>
    <w:qFormat/>
    <w:rsid w:val="001D22C1"/>
    <w:pPr>
      <w:ind w:left="720"/>
      <w:outlineLvl w:val="5"/>
    </w:pPr>
    <w:rPr>
      <w:u w:val="single"/>
    </w:rPr>
  </w:style>
  <w:style w:type="paragraph" w:styleId="Heading7">
    <w:name w:val="heading 7"/>
    <w:basedOn w:val="Normal"/>
    <w:next w:val="Normal"/>
    <w:link w:val="Heading7Char"/>
    <w:uiPriority w:val="99"/>
    <w:qFormat/>
    <w:rsid w:val="001D22C1"/>
    <w:pPr>
      <w:ind w:left="720"/>
      <w:outlineLvl w:val="6"/>
    </w:pPr>
    <w:rPr>
      <w:i/>
      <w:iCs/>
    </w:rPr>
  </w:style>
  <w:style w:type="paragraph" w:styleId="Heading8">
    <w:name w:val="heading 8"/>
    <w:basedOn w:val="Normal"/>
    <w:next w:val="Normal"/>
    <w:link w:val="Heading8Char"/>
    <w:uiPriority w:val="99"/>
    <w:qFormat/>
    <w:rsid w:val="001D22C1"/>
    <w:pPr>
      <w:ind w:left="720"/>
      <w:outlineLvl w:val="7"/>
    </w:pPr>
    <w:rPr>
      <w:i/>
      <w:iCs/>
    </w:rPr>
  </w:style>
  <w:style w:type="paragraph" w:styleId="Heading9">
    <w:name w:val="heading 9"/>
    <w:basedOn w:val="Normal"/>
    <w:next w:val="Normal"/>
    <w:link w:val="Heading9Char"/>
    <w:uiPriority w:val="99"/>
    <w:qFormat/>
    <w:rsid w:val="001D22C1"/>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21B"/>
    <w:rPr>
      <w:rFonts w:asciiTheme="majorHAnsi" w:eastAsiaTheme="majorEastAsia" w:hAnsiTheme="majorHAnsi" w:cstheme="majorBidi"/>
      <w:b/>
      <w:bCs/>
      <w:kern w:val="32"/>
      <w:sz w:val="32"/>
      <w:szCs w:val="32"/>
      <w:lang w:eastAsia="fr-FR"/>
    </w:rPr>
  </w:style>
  <w:style w:type="character" w:customStyle="1" w:styleId="Heading2Char">
    <w:name w:val="Heading 2 Char"/>
    <w:basedOn w:val="DefaultParagraphFont"/>
    <w:link w:val="Heading2"/>
    <w:uiPriority w:val="9"/>
    <w:semiHidden/>
    <w:rsid w:val="0009021B"/>
    <w:rPr>
      <w:rFonts w:asciiTheme="majorHAnsi" w:eastAsiaTheme="majorEastAsia" w:hAnsiTheme="majorHAnsi" w:cstheme="majorBidi"/>
      <w:b/>
      <w:bCs/>
      <w:i/>
      <w:iCs/>
      <w:sz w:val="28"/>
      <w:szCs w:val="28"/>
      <w:lang w:eastAsia="fr-FR"/>
    </w:rPr>
  </w:style>
  <w:style w:type="character" w:customStyle="1" w:styleId="Heading3Char">
    <w:name w:val="Heading 3 Char"/>
    <w:basedOn w:val="DefaultParagraphFont"/>
    <w:link w:val="Heading3"/>
    <w:uiPriority w:val="9"/>
    <w:semiHidden/>
    <w:rsid w:val="0009021B"/>
    <w:rPr>
      <w:rFonts w:asciiTheme="majorHAnsi" w:eastAsiaTheme="majorEastAsia" w:hAnsiTheme="majorHAnsi" w:cstheme="majorBidi"/>
      <w:b/>
      <w:bCs/>
      <w:sz w:val="26"/>
      <w:szCs w:val="26"/>
      <w:lang w:eastAsia="fr-FR"/>
    </w:rPr>
  </w:style>
  <w:style w:type="character" w:customStyle="1" w:styleId="Heading4Char">
    <w:name w:val="Heading 4 Char"/>
    <w:basedOn w:val="DefaultParagraphFont"/>
    <w:link w:val="Heading4"/>
    <w:uiPriority w:val="9"/>
    <w:semiHidden/>
    <w:rsid w:val="0009021B"/>
    <w:rPr>
      <w:rFonts w:asciiTheme="minorHAnsi" w:eastAsiaTheme="minorEastAsia" w:hAnsiTheme="minorHAnsi" w:cstheme="minorBidi"/>
      <w:b/>
      <w:bCs/>
      <w:sz w:val="28"/>
      <w:szCs w:val="28"/>
      <w:lang w:eastAsia="fr-FR"/>
    </w:rPr>
  </w:style>
  <w:style w:type="character" w:customStyle="1" w:styleId="Heading5Char">
    <w:name w:val="Heading 5 Char"/>
    <w:basedOn w:val="DefaultParagraphFont"/>
    <w:link w:val="Heading5"/>
    <w:uiPriority w:val="9"/>
    <w:semiHidden/>
    <w:rsid w:val="0009021B"/>
    <w:rPr>
      <w:rFonts w:asciiTheme="minorHAnsi" w:eastAsiaTheme="minorEastAsia" w:hAnsiTheme="minorHAnsi" w:cstheme="minorBidi"/>
      <w:b/>
      <w:bCs/>
      <w:i/>
      <w:iCs/>
      <w:sz w:val="26"/>
      <w:szCs w:val="26"/>
      <w:lang w:eastAsia="fr-FR"/>
    </w:rPr>
  </w:style>
  <w:style w:type="character" w:customStyle="1" w:styleId="Heading6Char">
    <w:name w:val="Heading 6 Char"/>
    <w:basedOn w:val="DefaultParagraphFont"/>
    <w:link w:val="Heading6"/>
    <w:uiPriority w:val="9"/>
    <w:semiHidden/>
    <w:rsid w:val="0009021B"/>
    <w:rPr>
      <w:rFonts w:asciiTheme="minorHAnsi" w:eastAsiaTheme="minorEastAsia" w:hAnsiTheme="minorHAnsi" w:cstheme="minorBidi"/>
      <w:b/>
      <w:bCs/>
      <w:lang w:eastAsia="fr-FR"/>
    </w:rPr>
  </w:style>
  <w:style w:type="character" w:customStyle="1" w:styleId="Heading7Char">
    <w:name w:val="Heading 7 Char"/>
    <w:basedOn w:val="DefaultParagraphFont"/>
    <w:link w:val="Heading7"/>
    <w:uiPriority w:val="9"/>
    <w:semiHidden/>
    <w:rsid w:val="0009021B"/>
    <w:rPr>
      <w:rFonts w:asciiTheme="minorHAnsi" w:eastAsiaTheme="minorEastAsia" w:hAnsiTheme="minorHAnsi" w:cstheme="minorBidi"/>
      <w:sz w:val="24"/>
      <w:szCs w:val="24"/>
      <w:lang w:eastAsia="fr-FR"/>
    </w:rPr>
  </w:style>
  <w:style w:type="character" w:customStyle="1" w:styleId="Heading8Char">
    <w:name w:val="Heading 8 Char"/>
    <w:basedOn w:val="DefaultParagraphFont"/>
    <w:link w:val="Heading8"/>
    <w:uiPriority w:val="9"/>
    <w:semiHidden/>
    <w:rsid w:val="0009021B"/>
    <w:rPr>
      <w:rFonts w:asciiTheme="minorHAnsi" w:eastAsiaTheme="minorEastAsia" w:hAnsiTheme="minorHAnsi" w:cstheme="minorBidi"/>
      <w:i/>
      <w:iCs/>
      <w:sz w:val="24"/>
      <w:szCs w:val="24"/>
      <w:lang w:eastAsia="fr-FR"/>
    </w:rPr>
  </w:style>
  <w:style w:type="character" w:customStyle="1" w:styleId="Heading9Char">
    <w:name w:val="Heading 9 Char"/>
    <w:basedOn w:val="DefaultParagraphFont"/>
    <w:link w:val="Heading9"/>
    <w:uiPriority w:val="9"/>
    <w:semiHidden/>
    <w:rsid w:val="0009021B"/>
    <w:rPr>
      <w:rFonts w:asciiTheme="majorHAnsi" w:eastAsiaTheme="majorEastAsia" w:hAnsiTheme="majorHAnsi" w:cstheme="majorBidi"/>
      <w:lang w:eastAsia="fr-FR"/>
    </w:rPr>
  </w:style>
  <w:style w:type="character" w:styleId="LineNumber">
    <w:name w:val="line number"/>
    <w:basedOn w:val="DefaultParagraphFont"/>
    <w:uiPriority w:val="99"/>
    <w:rsid w:val="008E359B"/>
    <w:rPr>
      <w:rFonts w:ascii="Arial" w:hAnsi="Arial" w:cs="Arial"/>
      <w:sz w:val="16"/>
      <w:szCs w:val="18"/>
    </w:rPr>
  </w:style>
  <w:style w:type="paragraph" w:styleId="Header">
    <w:name w:val="header"/>
    <w:basedOn w:val="Normal"/>
    <w:link w:val="HeaderChar"/>
    <w:rsid w:val="001D22C1"/>
    <w:pPr>
      <w:tabs>
        <w:tab w:val="clear" w:pos="-720"/>
        <w:tab w:val="center" w:pos="4536"/>
        <w:tab w:val="right" w:pos="9072"/>
      </w:tabs>
    </w:pPr>
  </w:style>
  <w:style w:type="character" w:customStyle="1" w:styleId="HeaderChar">
    <w:name w:val="Header Char"/>
    <w:basedOn w:val="DefaultParagraphFont"/>
    <w:link w:val="Header"/>
    <w:rsid w:val="0009021B"/>
    <w:rPr>
      <w:sz w:val="20"/>
      <w:szCs w:val="20"/>
      <w:lang w:eastAsia="fr-FR"/>
    </w:rPr>
  </w:style>
  <w:style w:type="paragraph" w:customStyle="1" w:styleId="notedebas">
    <w:name w:val="note de bas"/>
    <w:basedOn w:val="Normal"/>
    <w:uiPriority w:val="99"/>
    <w:rsid w:val="001D22C1"/>
    <w:pPr>
      <w:widowControl w:val="0"/>
      <w:spacing w:line="240" w:lineRule="auto"/>
      <w:ind w:left="425" w:hanging="425"/>
    </w:pPr>
    <w:rPr>
      <w:rFonts w:ascii="Arial" w:hAnsi="Arial" w:cs="Arial"/>
      <w:sz w:val="16"/>
      <w:szCs w:val="16"/>
      <w:lang w:val="en-US"/>
    </w:rPr>
  </w:style>
  <w:style w:type="paragraph" w:customStyle="1" w:styleId="a">
    <w:name w:val="a)"/>
    <w:basedOn w:val="Normal"/>
    <w:uiPriority w:val="99"/>
    <w:rsid w:val="001D22C1"/>
    <w:pPr>
      <w:tabs>
        <w:tab w:val="clear" w:pos="-720"/>
      </w:tabs>
      <w:spacing w:after="120" w:line="240" w:lineRule="auto"/>
      <w:ind w:left="425" w:hanging="425"/>
    </w:pPr>
    <w:rPr>
      <w:rFonts w:ascii="Ottawa" w:hAnsi="Ottawa" w:cs="Ottawa"/>
      <w:b/>
      <w:bCs/>
    </w:rPr>
  </w:style>
  <w:style w:type="paragraph" w:customStyle="1" w:styleId="paraa">
    <w:name w:val="paraa)"/>
    <w:basedOn w:val="Normal"/>
    <w:uiPriority w:val="99"/>
    <w:rsid w:val="001D22C1"/>
    <w:pPr>
      <w:spacing w:after="240" w:line="240" w:lineRule="auto"/>
      <w:ind w:left="425"/>
    </w:pPr>
    <w:rPr>
      <w:rFonts w:ascii="Arial" w:hAnsi="Arial" w:cs="Arial"/>
      <w:sz w:val="18"/>
      <w:szCs w:val="18"/>
    </w:rPr>
  </w:style>
  <w:style w:type="paragraph" w:customStyle="1" w:styleId="1">
    <w:name w:val="1"/>
    <w:basedOn w:val="para1"/>
    <w:link w:val="1Char"/>
    <w:qFormat/>
    <w:rsid w:val="001D22C1"/>
    <w:pPr>
      <w:tabs>
        <w:tab w:val="clear" w:pos="-720"/>
      </w:tabs>
      <w:ind w:left="426" w:hanging="426"/>
    </w:pPr>
    <w:rPr>
      <w:rFonts w:ascii="Ottawa" w:hAnsi="Ottawa" w:cs="Ottawa"/>
      <w:b/>
      <w:bCs/>
      <w:sz w:val="22"/>
      <w:szCs w:val="22"/>
    </w:rPr>
  </w:style>
  <w:style w:type="paragraph" w:customStyle="1" w:styleId="para1">
    <w:name w:val="para1"/>
    <w:basedOn w:val="Normal"/>
    <w:link w:val="para1Char"/>
    <w:qFormat/>
    <w:rsid w:val="001D22C1"/>
    <w:pPr>
      <w:spacing w:after="240" w:line="240" w:lineRule="auto"/>
    </w:pPr>
    <w:rPr>
      <w:rFonts w:ascii="Arial" w:hAnsi="Arial" w:cs="Arial"/>
      <w:sz w:val="18"/>
      <w:szCs w:val="18"/>
    </w:rPr>
  </w:style>
  <w:style w:type="paragraph" w:customStyle="1" w:styleId="i">
    <w:name w:val="i)"/>
    <w:basedOn w:val="Normal"/>
    <w:qFormat/>
    <w:rsid w:val="0072523C"/>
    <w:pPr>
      <w:spacing w:after="120" w:line="240" w:lineRule="auto"/>
      <w:ind w:left="1843" w:hanging="425"/>
    </w:pPr>
    <w:rPr>
      <w:rFonts w:ascii="Arial" w:hAnsi="Arial" w:cs="Arial"/>
      <w:sz w:val="18"/>
      <w:szCs w:val="18"/>
    </w:rPr>
  </w:style>
  <w:style w:type="paragraph" w:customStyle="1" w:styleId="A0">
    <w:name w:val="A"/>
    <w:basedOn w:val="Normal"/>
    <w:uiPriority w:val="99"/>
    <w:rsid w:val="001D22C1"/>
    <w:pPr>
      <w:spacing w:after="240" w:line="240" w:lineRule="auto"/>
      <w:jc w:val="center"/>
    </w:pPr>
    <w:rPr>
      <w:rFonts w:ascii="Ottawa" w:hAnsi="Ottawa" w:cs="Ottawa"/>
      <w:b/>
      <w:bCs/>
      <w:caps/>
      <w:sz w:val="24"/>
      <w:szCs w:val="24"/>
    </w:rPr>
  </w:style>
  <w:style w:type="paragraph" w:customStyle="1" w:styleId="Ref">
    <w:name w:val="Ref."/>
    <w:basedOn w:val="Normal"/>
    <w:uiPriority w:val="99"/>
    <w:rsid w:val="00DD678B"/>
    <w:pPr>
      <w:spacing w:after="240" w:line="240" w:lineRule="auto"/>
    </w:pPr>
    <w:rPr>
      <w:rFonts w:ascii="Arial" w:hAnsi="Arial" w:cs="Arial"/>
      <w:sz w:val="18"/>
      <w:szCs w:val="18"/>
    </w:rPr>
  </w:style>
  <w:style w:type="paragraph" w:customStyle="1" w:styleId="sumtexte">
    <w:name w:val="sumtexte"/>
    <w:basedOn w:val="Normal"/>
    <w:uiPriority w:val="99"/>
    <w:rsid w:val="001D22C1"/>
    <w:pPr>
      <w:spacing w:after="120" w:line="240" w:lineRule="exact"/>
      <w:ind w:left="567" w:right="567"/>
    </w:pPr>
    <w:rPr>
      <w:rFonts w:ascii="Arial" w:hAnsi="Arial" w:cs="Arial"/>
      <w:i/>
      <w:iCs/>
      <w:sz w:val="18"/>
      <w:szCs w:val="18"/>
    </w:rPr>
  </w:style>
  <w:style w:type="paragraph" w:customStyle="1" w:styleId="paraA0">
    <w:name w:val="paraA"/>
    <w:basedOn w:val="Normal"/>
    <w:uiPriority w:val="99"/>
    <w:rsid w:val="001D22C1"/>
    <w:pPr>
      <w:spacing w:after="240" w:line="240" w:lineRule="auto"/>
    </w:pPr>
    <w:rPr>
      <w:rFonts w:ascii="Arial" w:hAnsi="Arial" w:cs="Arial"/>
      <w:sz w:val="18"/>
      <w:szCs w:val="18"/>
    </w:rPr>
  </w:style>
  <w:style w:type="paragraph" w:customStyle="1" w:styleId="TITRE">
    <w:name w:val="TITRE"/>
    <w:basedOn w:val="Normal"/>
    <w:uiPriority w:val="99"/>
    <w:rsid w:val="001D22C1"/>
    <w:pPr>
      <w:spacing w:after="240"/>
      <w:jc w:val="center"/>
    </w:pPr>
    <w:rPr>
      <w:b/>
      <w:bCs/>
      <w:caps/>
    </w:rPr>
  </w:style>
  <w:style w:type="paragraph" w:styleId="Footer">
    <w:name w:val="footer"/>
    <w:basedOn w:val="Normal"/>
    <w:link w:val="FooterChar"/>
    <w:uiPriority w:val="99"/>
    <w:rsid w:val="001D22C1"/>
    <w:pPr>
      <w:tabs>
        <w:tab w:val="clear" w:pos="-720"/>
        <w:tab w:val="center" w:pos="4536"/>
        <w:tab w:val="right" w:pos="9072"/>
      </w:tabs>
    </w:pPr>
  </w:style>
  <w:style w:type="character" w:customStyle="1" w:styleId="FooterChar">
    <w:name w:val="Footer Char"/>
    <w:basedOn w:val="DefaultParagraphFont"/>
    <w:link w:val="Footer"/>
    <w:uiPriority w:val="99"/>
    <w:semiHidden/>
    <w:rsid w:val="0009021B"/>
    <w:rPr>
      <w:sz w:val="20"/>
      <w:szCs w:val="20"/>
      <w:lang w:eastAsia="fr-FR"/>
    </w:rPr>
  </w:style>
  <w:style w:type="paragraph" w:styleId="FootnoteText">
    <w:name w:val="footnote text"/>
    <w:basedOn w:val="Normal"/>
    <w:link w:val="FootnoteTextChar"/>
    <w:uiPriority w:val="99"/>
    <w:semiHidden/>
    <w:rsid w:val="001D22C1"/>
  </w:style>
  <w:style w:type="character" w:customStyle="1" w:styleId="FootnoteTextChar">
    <w:name w:val="Footnote Text Char"/>
    <w:basedOn w:val="DefaultParagraphFont"/>
    <w:link w:val="FootnoteText"/>
    <w:uiPriority w:val="99"/>
    <w:rsid w:val="0009021B"/>
    <w:rPr>
      <w:sz w:val="20"/>
      <w:szCs w:val="20"/>
      <w:lang w:eastAsia="fr-FR"/>
    </w:rPr>
  </w:style>
  <w:style w:type="character" w:styleId="FootnoteReference">
    <w:name w:val="footnote reference"/>
    <w:basedOn w:val="DefaultParagraphFont"/>
    <w:uiPriority w:val="99"/>
    <w:semiHidden/>
    <w:rsid w:val="001D22C1"/>
    <w:rPr>
      <w:vertAlign w:val="superscript"/>
    </w:rPr>
  </w:style>
  <w:style w:type="paragraph" w:customStyle="1" w:styleId="sumtextelastpara">
    <w:name w:val="sumtexte last para"/>
    <w:basedOn w:val="sumtexte"/>
    <w:uiPriority w:val="99"/>
    <w:rsid w:val="001D22C1"/>
    <w:pPr>
      <w:spacing w:after="480"/>
    </w:pPr>
  </w:style>
  <w:style w:type="paragraph" w:customStyle="1" w:styleId="b">
    <w:name w:val="b)"/>
    <w:basedOn w:val="Normal"/>
    <w:uiPriority w:val="99"/>
    <w:rsid w:val="001D22C1"/>
    <w:pPr>
      <w:spacing w:after="120" w:line="240" w:lineRule="auto"/>
      <w:ind w:left="850" w:hanging="425"/>
    </w:pPr>
    <w:rPr>
      <w:rFonts w:ascii="Ottawa" w:hAnsi="Ottawa" w:cs="Ottawa"/>
      <w:b/>
      <w:bCs/>
      <w:sz w:val="18"/>
      <w:szCs w:val="18"/>
    </w:rPr>
  </w:style>
  <w:style w:type="paragraph" w:customStyle="1" w:styleId="ipara">
    <w:name w:val="i_para"/>
    <w:basedOn w:val="i"/>
    <w:uiPriority w:val="99"/>
    <w:rsid w:val="001D22C1"/>
    <w:pPr>
      <w:spacing w:line="200" w:lineRule="exact"/>
      <w:ind w:left="851" w:firstLine="0"/>
    </w:pPr>
  </w:style>
  <w:style w:type="paragraph" w:customStyle="1" w:styleId="iparalast">
    <w:name w:val="i_para_last"/>
    <w:basedOn w:val="i"/>
    <w:uiPriority w:val="99"/>
    <w:rsid w:val="001D22C1"/>
    <w:pPr>
      <w:spacing w:after="240" w:line="200" w:lineRule="exact"/>
    </w:pPr>
  </w:style>
  <w:style w:type="paragraph" w:customStyle="1" w:styleId="Referencetitle">
    <w:name w:val="Reference_title"/>
    <w:basedOn w:val="Normal"/>
    <w:uiPriority w:val="99"/>
    <w:rsid w:val="001D22C1"/>
    <w:pPr>
      <w:widowControl w:val="0"/>
      <w:tabs>
        <w:tab w:val="left" w:pos="2410"/>
      </w:tabs>
      <w:spacing w:after="240" w:line="240" w:lineRule="auto"/>
      <w:jc w:val="center"/>
    </w:pPr>
    <w:rPr>
      <w:rFonts w:ascii="Ottawa" w:hAnsi="Ottawa" w:cs="Ottawa"/>
      <w:b/>
      <w:bCs/>
      <w:sz w:val="22"/>
      <w:szCs w:val="22"/>
    </w:rPr>
  </w:style>
  <w:style w:type="paragraph" w:customStyle="1" w:styleId="Chatperno">
    <w:name w:val="Chatper_no"/>
    <w:basedOn w:val="Normal"/>
    <w:uiPriority w:val="99"/>
    <w:rsid w:val="001D22C1"/>
    <w:pPr>
      <w:spacing w:after="240" w:line="240" w:lineRule="auto"/>
      <w:jc w:val="center"/>
    </w:pPr>
    <w:rPr>
      <w:rFonts w:ascii="Ottawa" w:hAnsi="Ottawa" w:cs="Ottawa"/>
      <w:caps/>
      <w:spacing w:val="60"/>
      <w:sz w:val="24"/>
      <w:szCs w:val="24"/>
    </w:rPr>
  </w:style>
  <w:style w:type="paragraph" w:customStyle="1" w:styleId="Chaptertitle">
    <w:name w:val="Chapter_title"/>
    <w:basedOn w:val="Normal"/>
    <w:uiPriority w:val="99"/>
    <w:rsid w:val="001D22C1"/>
    <w:pPr>
      <w:pBdr>
        <w:bottom w:val="single" w:sz="6" w:space="10" w:color="auto"/>
      </w:pBdr>
      <w:spacing w:line="240" w:lineRule="auto"/>
      <w:jc w:val="center"/>
    </w:pPr>
    <w:rPr>
      <w:rFonts w:ascii="Ottawa" w:hAnsi="Ottawa" w:cs="Ottawa"/>
      <w:b/>
      <w:bCs/>
      <w:caps/>
      <w:spacing w:val="40"/>
      <w:sz w:val="32"/>
      <w:szCs w:val="32"/>
    </w:rPr>
  </w:style>
  <w:style w:type="paragraph" w:customStyle="1" w:styleId="Summarytitle">
    <w:name w:val="Summary_title"/>
    <w:basedOn w:val="A0"/>
    <w:uiPriority w:val="99"/>
    <w:rsid w:val="001D22C1"/>
    <w:pPr>
      <w:spacing w:before="1200"/>
    </w:pPr>
  </w:style>
  <w:style w:type="paragraph" w:customStyle="1" w:styleId="rtoiles">
    <w:name w:val="r_étoiles"/>
    <w:basedOn w:val="Normal"/>
    <w:next w:val="Normal"/>
    <w:uiPriority w:val="99"/>
    <w:rsid w:val="001D22C1"/>
    <w:pPr>
      <w:keepLines/>
      <w:tabs>
        <w:tab w:val="clear" w:pos="-720"/>
      </w:tabs>
      <w:spacing w:before="240" w:after="240" w:line="240" w:lineRule="atLeast"/>
      <w:jc w:val="center"/>
    </w:pPr>
    <w:rPr>
      <w:lang w:val="fr-FR"/>
    </w:rPr>
  </w:style>
  <w:style w:type="paragraph" w:styleId="BalloonText">
    <w:name w:val="Balloon Text"/>
    <w:basedOn w:val="Normal"/>
    <w:link w:val="BalloonTextChar"/>
    <w:uiPriority w:val="99"/>
    <w:semiHidden/>
    <w:rsid w:val="001D22C1"/>
    <w:rPr>
      <w:rFonts w:ascii="Tahoma" w:hAnsi="Tahoma" w:cs="Tahoma"/>
      <w:sz w:val="16"/>
      <w:szCs w:val="16"/>
    </w:rPr>
  </w:style>
  <w:style w:type="character" w:customStyle="1" w:styleId="BalloonTextChar">
    <w:name w:val="Balloon Text Char"/>
    <w:basedOn w:val="DefaultParagraphFont"/>
    <w:link w:val="BalloonText"/>
    <w:uiPriority w:val="99"/>
    <w:semiHidden/>
    <w:rsid w:val="0009021B"/>
    <w:rPr>
      <w:sz w:val="0"/>
      <w:szCs w:val="0"/>
      <w:lang w:eastAsia="fr-FR"/>
    </w:rPr>
  </w:style>
  <w:style w:type="character" w:styleId="Emphasis">
    <w:name w:val="Emphasis"/>
    <w:basedOn w:val="DefaultParagraphFont"/>
    <w:uiPriority w:val="20"/>
    <w:qFormat/>
    <w:rsid w:val="001D22C1"/>
    <w:rPr>
      <w:i/>
      <w:iCs/>
    </w:rPr>
  </w:style>
  <w:style w:type="character" w:styleId="Hyperlink">
    <w:name w:val="Hyperlink"/>
    <w:basedOn w:val="DefaultParagraphFont"/>
    <w:uiPriority w:val="99"/>
    <w:rsid w:val="001D22C1"/>
    <w:rPr>
      <w:color w:val="auto"/>
      <w:u w:val="single"/>
    </w:rPr>
  </w:style>
  <w:style w:type="character" w:styleId="CommentReference">
    <w:name w:val="annotation reference"/>
    <w:basedOn w:val="DefaultParagraphFont"/>
    <w:uiPriority w:val="99"/>
    <w:semiHidden/>
    <w:rsid w:val="001D22C1"/>
    <w:rPr>
      <w:sz w:val="16"/>
      <w:szCs w:val="16"/>
    </w:rPr>
  </w:style>
  <w:style w:type="paragraph" w:styleId="CommentText">
    <w:name w:val="annotation text"/>
    <w:basedOn w:val="Normal"/>
    <w:link w:val="CommentTextChar"/>
    <w:uiPriority w:val="99"/>
    <w:semiHidden/>
    <w:rsid w:val="001D22C1"/>
  </w:style>
  <w:style w:type="character" w:customStyle="1" w:styleId="CommentTextChar">
    <w:name w:val="Comment Text Char"/>
    <w:basedOn w:val="DefaultParagraphFont"/>
    <w:link w:val="CommentText"/>
    <w:uiPriority w:val="99"/>
    <w:semiHidden/>
    <w:rsid w:val="0009021B"/>
    <w:rPr>
      <w:sz w:val="20"/>
      <w:szCs w:val="20"/>
      <w:lang w:eastAsia="fr-FR"/>
    </w:rPr>
  </w:style>
  <w:style w:type="paragraph" w:styleId="CommentSubject">
    <w:name w:val="annotation subject"/>
    <w:basedOn w:val="CommentText"/>
    <w:next w:val="CommentText"/>
    <w:link w:val="CommentSubjectChar"/>
    <w:uiPriority w:val="99"/>
    <w:semiHidden/>
    <w:rsid w:val="001D22C1"/>
    <w:rPr>
      <w:b/>
      <w:bCs/>
    </w:rPr>
  </w:style>
  <w:style w:type="character" w:customStyle="1" w:styleId="CommentSubjectChar">
    <w:name w:val="Comment Subject Char"/>
    <w:basedOn w:val="CommentTextChar"/>
    <w:link w:val="CommentSubject"/>
    <w:uiPriority w:val="99"/>
    <w:semiHidden/>
    <w:rsid w:val="0009021B"/>
    <w:rPr>
      <w:b/>
      <w:bCs/>
      <w:sz w:val="20"/>
      <w:szCs w:val="20"/>
      <w:lang w:eastAsia="fr-FR"/>
    </w:rPr>
  </w:style>
  <w:style w:type="character" w:styleId="Strong">
    <w:name w:val="Strong"/>
    <w:basedOn w:val="DefaultParagraphFont"/>
    <w:uiPriority w:val="99"/>
    <w:qFormat/>
    <w:rsid w:val="00F42B2A"/>
    <w:rPr>
      <w:b/>
      <w:bCs/>
    </w:rPr>
  </w:style>
  <w:style w:type="paragraph" w:customStyle="1" w:styleId="Style1">
    <w:name w:val="Style1"/>
    <w:basedOn w:val="Ref"/>
    <w:uiPriority w:val="99"/>
    <w:rsid w:val="008D4FB8"/>
    <w:rPr>
      <w:smallCaps/>
    </w:rPr>
  </w:style>
  <w:style w:type="character" w:customStyle="1" w:styleId="para1Char">
    <w:name w:val="para1 Char"/>
    <w:link w:val="para1"/>
    <w:uiPriority w:val="99"/>
    <w:locked/>
    <w:rsid w:val="009E3BCB"/>
    <w:rPr>
      <w:rFonts w:ascii="Arial" w:hAnsi="Arial" w:cs="Arial"/>
      <w:sz w:val="18"/>
      <w:szCs w:val="18"/>
      <w:lang w:val="en-GB" w:eastAsia="fr-FR"/>
    </w:rPr>
  </w:style>
  <w:style w:type="character" w:customStyle="1" w:styleId="1Char">
    <w:name w:val="1 Char"/>
    <w:link w:val="1"/>
    <w:uiPriority w:val="99"/>
    <w:locked/>
    <w:rsid w:val="009E3BCB"/>
    <w:rPr>
      <w:rFonts w:ascii="Ottawa" w:hAnsi="Ottawa" w:cs="Ottawa"/>
      <w:b/>
      <w:bCs/>
      <w:sz w:val="22"/>
      <w:szCs w:val="22"/>
      <w:lang w:val="en-GB" w:eastAsia="fr-FR"/>
    </w:rPr>
  </w:style>
  <w:style w:type="paragraph" w:styleId="BodyText">
    <w:name w:val="Body Text"/>
    <w:basedOn w:val="Normal"/>
    <w:link w:val="BodyTextChar"/>
    <w:uiPriority w:val="99"/>
    <w:rsid w:val="006253DA"/>
    <w:pPr>
      <w:widowControl w:val="0"/>
      <w:tabs>
        <w:tab w:val="clear" w:pos="-720"/>
      </w:tabs>
      <w:spacing w:line="240" w:lineRule="auto"/>
      <w:jc w:val="left"/>
    </w:pPr>
    <w:rPr>
      <w:sz w:val="24"/>
      <w:szCs w:val="24"/>
    </w:rPr>
  </w:style>
  <w:style w:type="character" w:customStyle="1" w:styleId="BodyTextChar">
    <w:name w:val="Body Text Char"/>
    <w:basedOn w:val="DefaultParagraphFont"/>
    <w:link w:val="BodyText"/>
    <w:uiPriority w:val="99"/>
    <w:locked/>
    <w:rsid w:val="006253DA"/>
    <w:rPr>
      <w:sz w:val="24"/>
      <w:szCs w:val="24"/>
      <w:lang w:eastAsia="fr-FR"/>
    </w:rPr>
  </w:style>
  <w:style w:type="paragraph" w:customStyle="1" w:styleId="Reflabnote">
    <w:name w:val="Ref_lab_note"/>
    <w:basedOn w:val="Normal"/>
    <w:link w:val="ReflabnoteCar"/>
    <w:rsid w:val="00222BEE"/>
    <w:pPr>
      <w:tabs>
        <w:tab w:val="clear" w:pos="-720"/>
      </w:tabs>
      <w:spacing w:before="120" w:after="120" w:line="240" w:lineRule="auto"/>
      <w:jc w:val="center"/>
    </w:pPr>
    <w:rPr>
      <w:rFonts w:ascii="Arial" w:hAnsi="Arial" w:cs="Arial"/>
      <w:sz w:val="18"/>
      <w:szCs w:val="18"/>
    </w:rPr>
  </w:style>
  <w:style w:type="character" w:customStyle="1" w:styleId="ReflabnoteCar">
    <w:name w:val="Ref_lab_note Car"/>
    <w:basedOn w:val="DefaultParagraphFont"/>
    <w:link w:val="Reflabnote"/>
    <w:rsid w:val="00222BEE"/>
    <w:rPr>
      <w:rFonts w:ascii="Arial" w:hAnsi="Arial" w:cs="Arial"/>
      <w:sz w:val="18"/>
      <w:szCs w:val="18"/>
      <w:lang w:eastAsia="fr-FR"/>
    </w:rPr>
  </w:style>
  <w:style w:type="paragraph" w:customStyle="1" w:styleId="A1">
    <w:name w:val="A1"/>
    <w:basedOn w:val="Heading1"/>
    <w:qFormat/>
    <w:rsid w:val="00DD11D8"/>
    <w:pPr>
      <w:tabs>
        <w:tab w:val="clear" w:pos="-720"/>
      </w:tabs>
      <w:spacing w:before="0" w:after="240" w:line="240" w:lineRule="auto"/>
      <w:ind w:left="425" w:hanging="425"/>
      <w:jc w:val="left"/>
    </w:pPr>
    <w:rPr>
      <w:rFonts w:ascii="Ottawa" w:eastAsiaTheme="majorEastAsia" w:hAnsi="Ottawa"/>
      <w:sz w:val="22"/>
      <w:szCs w:val="28"/>
      <w:u w:val="none"/>
      <w:lang w:eastAsia="en-US"/>
    </w:rPr>
  </w:style>
  <w:style w:type="paragraph" w:customStyle="1" w:styleId="1Para">
    <w:name w:val="1_Para"/>
    <w:basedOn w:val="Normal"/>
    <w:qFormat/>
    <w:rsid w:val="00DD11D8"/>
    <w:pPr>
      <w:tabs>
        <w:tab w:val="clear" w:pos="-720"/>
      </w:tabs>
      <w:spacing w:after="240" w:line="240" w:lineRule="auto"/>
    </w:pPr>
    <w:rPr>
      <w:rFonts w:ascii="Arial" w:eastAsiaTheme="minorHAnsi" w:hAnsi="Arial" w:cs="Arial"/>
      <w:sz w:val="18"/>
      <w:szCs w:val="18"/>
      <w:lang w:eastAsia="en-US"/>
    </w:rPr>
  </w:style>
  <w:style w:type="paragraph" w:customStyle="1" w:styleId="11">
    <w:name w:val="1.1"/>
    <w:basedOn w:val="Normal"/>
    <w:qFormat/>
    <w:rsid w:val="00DD11D8"/>
    <w:pPr>
      <w:tabs>
        <w:tab w:val="clear" w:pos="-720"/>
      </w:tabs>
      <w:spacing w:after="240" w:line="240" w:lineRule="auto"/>
      <w:ind w:left="850" w:hanging="425"/>
      <w:jc w:val="left"/>
    </w:pPr>
    <w:rPr>
      <w:rFonts w:ascii="Ottawa" w:eastAsiaTheme="minorHAnsi" w:hAnsi="Ottawa" w:cs="Arial"/>
      <w:b/>
      <w:szCs w:val="22"/>
      <w:lang w:eastAsia="en-US"/>
    </w:rPr>
  </w:style>
  <w:style w:type="paragraph" w:customStyle="1" w:styleId="11Para">
    <w:name w:val="1.1_Para"/>
    <w:basedOn w:val="Normal"/>
    <w:qFormat/>
    <w:rsid w:val="00DD11D8"/>
    <w:pPr>
      <w:tabs>
        <w:tab w:val="clear" w:pos="-720"/>
      </w:tabs>
      <w:spacing w:after="240" w:line="240" w:lineRule="auto"/>
      <w:ind w:left="851"/>
    </w:pPr>
    <w:rPr>
      <w:rFonts w:ascii="Arial" w:eastAsiaTheme="minorHAnsi" w:hAnsi="Arial" w:cs="Arial"/>
      <w:sz w:val="18"/>
      <w:szCs w:val="18"/>
      <w:lang w:eastAsia="en-US"/>
    </w:rPr>
  </w:style>
  <w:style w:type="paragraph" w:customStyle="1" w:styleId="111">
    <w:name w:val="1.1.1"/>
    <w:basedOn w:val="Normal"/>
    <w:qFormat/>
    <w:rsid w:val="00DD11D8"/>
    <w:pPr>
      <w:tabs>
        <w:tab w:val="clear" w:pos="-720"/>
      </w:tabs>
      <w:spacing w:after="120" w:line="240" w:lineRule="auto"/>
      <w:ind w:left="1418" w:hanging="567"/>
      <w:jc w:val="left"/>
    </w:pPr>
    <w:rPr>
      <w:rFonts w:ascii="Ottawa" w:eastAsiaTheme="minorHAnsi" w:hAnsi="Ottawa" w:cs="Arial"/>
      <w:b/>
      <w:sz w:val="19"/>
      <w:lang w:eastAsia="en-US"/>
    </w:rPr>
  </w:style>
  <w:style w:type="paragraph" w:customStyle="1" w:styleId="111Para">
    <w:name w:val="1.1.1_Para"/>
    <w:basedOn w:val="Normal"/>
    <w:qFormat/>
    <w:rsid w:val="00DD11D8"/>
    <w:pPr>
      <w:tabs>
        <w:tab w:val="clear" w:pos="-720"/>
      </w:tabs>
      <w:spacing w:after="240" w:line="240" w:lineRule="auto"/>
      <w:ind w:left="1418"/>
    </w:pPr>
    <w:rPr>
      <w:rFonts w:ascii="Arial" w:eastAsiaTheme="minorHAnsi" w:hAnsi="Arial" w:cs="Arial"/>
      <w:sz w:val="18"/>
      <w:szCs w:val="18"/>
      <w:lang w:eastAsia="en-US"/>
    </w:rPr>
  </w:style>
  <w:style w:type="paragraph" w:customStyle="1" w:styleId="ilast">
    <w:name w:val="i)_last"/>
    <w:basedOn w:val="Normal"/>
    <w:qFormat/>
    <w:rsid w:val="00DD11D8"/>
    <w:pPr>
      <w:tabs>
        <w:tab w:val="clear" w:pos="-720"/>
      </w:tabs>
      <w:spacing w:after="240" w:line="240" w:lineRule="auto"/>
      <w:ind w:left="1843" w:hanging="425"/>
      <w:jc w:val="left"/>
    </w:pPr>
    <w:rPr>
      <w:rFonts w:ascii="Arial" w:eastAsiaTheme="minorHAnsi" w:hAnsi="Arial" w:cs="Arial"/>
      <w:sz w:val="18"/>
      <w:szCs w:val="18"/>
      <w:lang w:eastAsia="en-US"/>
    </w:rPr>
  </w:style>
  <w:style w:type="paragraph" w:customStyle="1" w:styleId="afourthlevel">
    <w:name w:val="a)_fourth_level"/>
    <w:basedOn w:val="Normal"/>
    <w:qFormat/>
    <w:rsid w:val="00DD11D8"/>
    <w:pPr>
      <w:tabs>
        <w:tab w:val="clear" w:pos="-720"/>
      </w:tabs>
      <w:spacing w:after="120" w:line="240" w:lineRule="auto"/>
      <w:ind w:left="1843" w:hanging="425"/>
      <w:jc w:val="left"/>
    </w:pPr>
    <w:rPr>
      <w:rFonts w:ascii="Ottawa" w:eastAsiaTheme="minorHAnsi" w:hAnsi="Ottawa" w:cs="Arial"/>
      <w:b/>
      <w:sz w:val="18"/>
      <w:lang w:eastAsia="en-US"/>
    </w:rPr>
  </w:style>
  <w:style w:type="paragraph" w:customStyle="1" w:styleId="afourthpara">
    <w:name w:val="a)_fourth_para"/>
    <w:basedOn w:val="Normal"/>
    <w:qFormat/>
    <w:rsid w:val="00DD11D8"/>
    <w:pPr>
      <w:tabs>
        <w:tab w:val="clear" w:pos="-720"/>
      </w:tabs>
      <w:spacing w:after="240" w:line="240" w:lineRule="auto"/>
      <w:ind w:left="1843"/>
    </w:pPr>
    <w:rPr>
      <w:rFonts w:ascii="Arial" w:eastAsiaTheme="minorHAnsi" w:hAnsi="Arial" w:cs="Arial"/>
      <w:sz w:val="18"/>
      <w:szCs w:val="18"/>
      <w:lang w:eastAsia="en-US"/>
    </w:rPr>
  </w:style>
  <w:style w:type="paragraph" w:customStyle="1" w:styleId="ififthlevel">
    <w:name w:val="i)_fifth_level"/>
    <w:basedOn w:val="Normal"/>
    <w:qFormat/>
    <w:rsid w:val="00DD11D8"/>
    <w:pPr>
      <w:tabs>
        <w:tab w:val="clear" w:pos="-720"/>
      </w:tabs>
      <w:spacing w:after="120" w:line="240" w:lineRule="auto"/>
      <w:ind w:left="2268" w:hanging="425"/>
      <w:jc w:val="left"/>
    </w:pPr>
    <w:rPr>
      <w:rFonts w:ascii="Ottawa" w:eastAsiaTheme="minorHAnsi" w:hAnsi="Ottawa" w:cs="Arial"/>
      <w:b/>
      <w:sz w:val="17"/>
      <w:szCs w:val="18"/>
      <w:lang w:eastAsia="en-US"/>
    </w:rPr>
  </w:style>
  <w:style w:type="paragraph" w:customStyle="1" w:styleId="ififthpara">
    <w:name w:val="i)_fifth_para"/>
    <w:basedOn w:val="Normal"/>
    <w:qFormat/>
    <w:rsid w:val="00DD11D8"/>
    <w:pPr>
      <w:tabs>
        <w:tab w:val="clear" w:pos="-720"/>
      </w:tabs>
      <w:spacing w:after="240" w:line="240" w:lineRule="auto"/>
      <w:ind w:left="2268"/>
    </w:pPr>
    <w:rPr>
      <w:rFonts w:ascii="Arial" w:eastAsiaTheme="minorHAnsi" w:hAnsi="Arial" w:cs="Arial"/>
      <w:sz w:val="18"/>
      <w:szCs w:val="18"/>
      <w:lang w:eastAsia="en-US"/>
    </w:rPr>
  </w:style>
  <w:style w:type="paragraph" w:customStyle="1" w:styleId="dotsixthlevel">
    <w:name w:val="dot_sixth_level"/>
    <w:basedOn w:val="Normal"/>
    <w:qFormat/>
    <w:rsid w:val="00DD11D8"/>
    <w:pPr>
      <w:tabs>
        <w:tab w:val="clear" w:pos="-720"/>
      </w:tabs>
      <w:spacing w:after="120" w:line="240" w:lineRule="auto"/>
      <w:ind w:left="2268" w:hanging="425"/>
      <w:jc w:val="left"/>
    </w:pPr>
    <w:rPr>
      <w:rFonts w:ascii="Arial" w:eastAsiaTheme="minorHAnsi" w:hAnsi="Arial" w:cs="Arial"/>
      <w:sz w:val="18"/>
      <w:szCs w:val="18"/>
      <w:lang w:eastAsia="en-US"/>
    </w:rPr>
  </w:style>
  <w:style w:type="paragraph" w:customStyle="1" w:styleId="dotsixthpara">
    <w:name w:val="dot_sixth_para"/>
    <w:basedOn w:val="Normal"/>
    <w:qFormat/>
    <w:rsid w:val="00DD11D8"/>
    <w:pPr>
      <w:tabs>
        <w:tab w:val="clear" w:pos="-720"/>
      </w:tabs>
      <w:spacing w:after="240" w:line="240" w:lineRule="auto"/>
      <w:ind w:left="2268"/>
    </w:pPr>
    <w:rPr>
      <w:rFonts w:ascii="Arial" w:eastAsiaTheme="minorHAnsi" w:hAnsi="Arial" w:cs="Arial"/>
      <w:sz w:val="18"/>
      <w:szCs w:val="18"/>
      <w:lang w:eastAsia="en-US"/>
    </w:rPr>
  </w:style>
  <w:style w:type="paragraph" w:customStyle="1" w:styleId="ififthlevellist">
    <w:name w:val="i_fifth_level_list"/>
    <w:basedOn w:val="ififthpara"/>
    <w:qFormat/>
    <w:rsid w:val="00DD11D8"/>
    <w:pPr>
      <w:spacing w:after="120"/>
      <w:ind w:hanging="425"/>
    </w:pPr>
  </w:style>
  <w:style w:type="paragraph" w:customStyle="1" w:styleId="11ilist">
    <w:name w:val="1.1.i_list"/>
    <w:basedOn w:val="i"/>
    <w:qFormat/>
    <w:rsid w:val="00DD11D8"/>
    <w:pPr>
      <w:tabs>
        <w:tab w:val="clear" w:pos="-720"/>
      </w:tabs>
      <w:ind w:left="1276"/>
    </w:pPr>
    <w:rPr>
      <w:rFonts w:eastAsiaTheme="minorHAnsi"/>
      <w:lang w:eastAsia="en-US"/>
    </w:rPr>
  </w:style>
  <w:style w:type="paragraph" w:customStyle="1" w:styleId="TableHead">
    <w:name w:val="Table Head"/>
    <w:basedOn w:val="Normal"/>
    <w:uiPriority w:val="99"/>
    <w:rsid w:val="008E359B"/>
    <w:pPr>
      <w:tabs>
        <w:tab w:val="clear" w:pos="-720"/>
      </w:tabs>
      <w:spacing w:before="120" w:after="120" w:line="240" w:lineRule="auto"/>
      <w:jc w:val="center"/>
    </w:pPr>
    <w:rPr>
      <w:rFonts w:ascii="Ottawa" w:hAnsi="Ottawa" w:cs="Ottawa"/>
      <w:b/>
      <w:bCs/>
      <w:sz w:val="18"/>
      <w:szCs w:val="18"/>
      <w:lang w:val="en-IE" w:eastAsia="en-US"/>
    </w:rPr>
  </w:style>
  <w:style w:type="paragraph" w:customStyle="1" w:styleId="Tabletext">
    <w:name w:val="Table text"/>
    <w:basedOn w:val="Normal"/>
    <w:uiPriority w:val="99"/>
    <w:rsid w:val="008E359B"/>
    <w:pPr>
      <w:tabs>
        <w:tab w:val="clear" w:pos="-720"/>
      </w:tabs>
      <w:spacing w:before="120" w:after="120" w:line="240" w:lineRule="auto"/>
      <w:jc w:val="center"/>
    </w:pPr>
    <w:rPr>
      <w:rFonts w:ascii="Arial" w:hAnsi="Arial" w:cs="Arial"/>
      <w:sz w:val="18"/>
      <w:szCs w:val="18"/>
      <w:lang w:val="en-IE" w:eastAsia="en-US"/>
    </w:rPr>
  </w:style>
  <w:style w:type="paragraph" w:customStyle="1" w:styleId="Tabletitle">
    <w:name w:val="Table title"/>
    <w:basedOn w:val="Normal"/>
    <w:autoRedefine/>
    <w:uiPriority w:val="99"/>
    <w:rsid w:val="00F92474"/>
    <w:pPr>
      <w:tabs>
        <w:tab w:val="clear" w:pos="-720"/>
      </w:tabs>
      <w:spacing w:before="240" w:after="120" w:line="240" w:lineRule="auto"/>
      <w:jc w:val="center"/>
    </w:pPr>
    <w:rPr>
      <w:rFonts w:ascii="Ottawa" w:hAnsi="Ottawa" w:cs="Ottawa"/>
      <w:b/>
      <w:bCs/>
      <w:i/>
      <w:iCs/>
      <w:strike/>
      <w:sz w:val="18"/>
      <w:szCs w:val="18"/>
      <w:lang w:eastAsia="en-US"/>
    </w:rPr>
  </w:style>
  <w:style w:type="paragraph" w:styleId="PlainText">
    <w:name w:val="Plain Text"/>
    <w:basedOn w:val="Normal"/>
    <w:link w:val="PlainTextChar"/>
    <w:uiPriority w:val="99"/>
    <w:rsid w:val="008E359B"/>
    <w:pPr>
      <w:tabs>
        <w:tab w:val="clear" w:pos="-720"/>
      </w:tabs>
      <w:spacing w:line="240" w:lineRule="auto"/>
      <w:jc w:val="left"/>
    </w:pPr>
    <w:rPr>
      <w:rFonts w:ascii="Calibri" w:hAnsi="Calibri" w:cs="Calibri"/>
      <w:sz w:val="22"/>
      <w:szCs w:val="22"/>
      <w:lang w:eastAsia="en-US"/>
    </w:rPr>
  </w:style>
  <w:style w:type="character" w:customStyle="1" w:styleId="PlainTextChar">
    <w:name w:val="Plain Text Char"/>
    <w:basedOn w:val="DefaultParagraphFont"/>
    <w:link w:val="PlainText"/>
    <w:uiPriority w:val="99"/>
    <w:rsid w:val="008E359B"/>
    <w:rPr>
      <w:rFonts w:ascii="Calibri" w:hAnsi="Calibri" w:cs="Calibri"/>
      <w:lang w:eastAsia="en-US"/>
    </w:rPr>
  </w:style>
  <w:style w:type="paragraph" w:customStyle="1" w:styleId="Para5">
    <w:name w:val="Para 5"/>
    <w:basedOn w:val="Normal"/>
    <w:rsid w:val="008F2EE6"/>
    <w:pPr>
      <w:tabs>
        <w:tab w:val="clear" w:pos="-720"/>
      </w:tabs>
      <w:spacing w:after="240" w:line="240" w:lineRule="auto"/>
      <w:ind w:left="1134"/>
    </w:pPr>
    <w:rPr>
      <w:rFonts w:ascii="Arial" w:eastAsia="PMingLiU" w:hAnsi="Arial"/>
      <w:bCs/>
      <w:sz w:val="18"/>
      <w:szCs w:val="22"/>
      <w:lang w:val="en-IE" w:eastAsia="en-US" w:bidi="en-US"/>
    </w:rPr>
  </w:style>
  <w:style w:type="character" w:styleId="FollowedHyperlink">
    <w:name w:val="FollowedHyperlink"/>
    <w:basedOn w:val="DefaultParagraphFont"/>
    <w:uiPriority w:val="99"/>
    <w:semiHidden/>
    <w:unhideWhenUsed/>
    <w:rsid w:val="00A228F5"/>
    <w:rPr>
      <w:color w:val="800080" w:themeColor="followedHyperlink"/>
      <w:u w:val="single"/>
    </w:rPr>
  </w:style>
  <w:style w:type="table" w:styleId="TableGrid">
    <w:name w:val="Table Grid"/>
    <w:basedOn w:val="TableNormal"/>
    <w:uiPriority w:val="59"/>
    <w:locked/>
    <w:rsid w:val="00006277"/>
    <w:rPr>
      <w:rFonts w:ascii="Verdana" w:eastAsiaTheme="minorHAnsi" w:hAnsi="Verdana" w:cstheme="minorBidi"/>
      <w:sz w:val="17"/>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2C3F"/>
    <w:rPr>
      <w:sz w:val="20"/>
      <w:szCs w:val="20"/>
      <w:lang w:eastAsia="fr-FR"/>
    </w:rPr>
  </w:style>
  <w:style w:type="paragraph" w:styleId="TOCHeading">
    <w:name w:val="TOC Heading"/>
    <w:basedOn w:val="Heading1"/>
    <w:next w:val="Normal"/>
    <w:uiPriority w:val="39"/>
    <w:unhideWhenUsed/>
    <w:qFormat/>
    <w:rsid w:val="00A42655"/>
    <w:pPr>
      <w:keepNext/>
      <w:keepLines/>
      <w:tabs>
        <w:tab w:val="clear" w:pos="-720"/>
      </w:tabs>
      <w:spacing w:line="259" w:lineRule="auto"/>
      <w:jc w:val="left"/>
      <w:outlineLvl w:val="9"/>
    </w:pPr>
    <w:rPr>
      <w:rFonts w:asciiTheme="majorHAnsi" w:eastAsiaTheme="majorEastAsia" w:hAnsiTheme="majorHAnsi" w:cstheme="majorBidi"/>
      <w:b w:val="0"/>
      <w:bCs w:val="0"/>
      <w:color w:val="365F91" w:themeColor="accent1" w:themeShade="BF"/>
      <w:sz w:val="32"/>
      <w:szCs w:val="32"/>
      <w:u w:val="none"/>
      <w:lang w:val="en-US" w:eastAsia="en-US"/>
    </w:rPr>
  </w:style>
  <w:style w:type="character" w:customStyle="1" w:styleId="UnresolvedMention1">
    <w:name w:val="Unresolved Mention1"/>
    <w:basedOn w:val="DefaultParagraphFont"/>
    <w:uiPriority w:val="99"/>
    <w:semiHidden/>
    <w:unhideWhenUsed/>
    <w:rsid w:val="002D66B2"/>
    <w:rPr>
      <w:color w:val="605E5C"/>
      <w:shd w:val="clear" w:color="auto" w:fill="E1DFDD"/>
    </w:rPr>
  </w:style>
  <w:style w:type="character" w:customStyle="1" w:styleId="Mentionnonrsolue1">
    <w:name w:val="Mention non résolue1"/>
    <w:basedOn w:val="DefaultParagraphFont"/>
    <w:uiPriority w:val="99"/>
    <w:semiHidden/>
    <w:unhideWhenUsed/>
    <w:rsid w:val="00F92474"/>
    <w:rPr>
      <w:color w:val="605E5C"/>
      <w:shd w:val="clear" w:color="auto" w:fill="E1DFDD"/>
    </w:rPr>
  </w:style>
  <w:style w:type="character" w:customStyle="1" w:styleId="para1Car">
    <w:name w:val="para1 Car"/>
    <w:rsid w:val="00653B9E"/>
    <w:rPr>
      <w:rFonts w:ascii="Arial" w:eastAsia="Times New Roman" w:hAnsi="Arial" w:cs="Arial"/>
      <w:sz w:val="18"/>
      <w:szCs w:val="18"/>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655">
      <w:bodyDiv w:val="1"/>
      <w:marLeft w:val="0"/>
      <w:marRight w:val="0"/>
      <w:marTop w:val="0"/>
      <w:marBottom w:val="0"/>
      <w:divBdr>
        <w:top w:val="none" w:sz="0" w:space="0" w:color="auto"/>
        <w:left w:val="none" w:sz="0" w:space="0" w:color="auto"/>
        <w:bottom w:val="none" w:sz="0" w:space="0" w:color="auto"/>
        <w:right w:val="none" w:sz="0" w:space="0" w:color="auto"/>
      </w:divBdr>
    </w:div>
    <w:div w:id="14384086">
      <w:bodyDiv w:val="1"/>
      <w:marLeft w:val="0"/>
      <w:marRight w:val="0"/>
      <w:marTop w:val="0"/>
      <w:marBottom w:val="0"/>
      <w:divBdr>
        <w:top w:val="none" w:sz="0" w:space="0" w:color="auto"/>
        <w:left w:val="none" w:sz="0" w:space="0" w:color="auto"/>
        <w:bottom w:val="none" w:sz="0" w:space="0" w:color="auto"/>
        <w:right w:val="none" w:sz="0" w:space="0" w:color="auto"/>
      </w:divBdr>
    </w:div>
    <w:div w:id="29497841">
      <w:bodyDiv w:val="1"/>
      <w:marLeft w:val="0"/>
      <w:marRight w:val="0"/>
      <w:marTop w:val="0"/>
      <w:marBottom w:val="0"/>
      <w:divBdr>
        <w:top w:val="none" w:sz="0" w:space="0" w:color="auto"/>
        <w:left w:val="none" w:sz="0" w:space="0" w:color="auto"/>
        <w:bottom w:val="none" w:sz="0" w:space="0" w:color="auto"/>
        <w:right w:val="none" w:sz="0" w:space="0" w:color="auto"/>
      </w:divBdr>
    </w:div>
    <w:div w:id="550726720">
      <w:bodyDiv w:val="1"/>
      <w:marLeft w:val="0"/>
      <w:marRight w:val="0"/>
      <w:marTop w:val="0"/>
      <w:marBottom w:val="0"/>
      <w:divBdr>
        <w:top w:val="none" w:sz="0" w:space="0" w:color="auto"/>
        <w:left w:val="none" w:sz="0" w:space="0" w:color="auto"/>
        <w:bottom w:val="none" w:sz="0" w:space="0" w:color="auto"/>
        <w:right w:val="none" w:sz="0" w:space="0" w:color="auto"/>
      </w:divBdr>
    </w:div>
    <w:div w:id="558174148">
      <w:bodyDiv w:val="1"/>
      <w:marLeft w:val="0"/>
      <w:marRight w:val="0"/>
      <w:marTop w:val="0"/>
      <w:marBottom w:val="0"/>
      <w:divBdr>
        <w:top w:val="none" w:sz="0" w:space="0" w:color="auto"/>
        <w:left w:val="none" w:sz="0" w:space="0" w:color="auto"/>
        <w:bottom w:val="none" w:sz="0" w:space="0" w:color="auto"/>
        <w:right w:val="none" w:sz="0" w:space="0" w:color="auto"/>
      </w:divBdr>
    </w:div>
    <w:div w:id="1052313980">
      <w:bodyDiv w:val="1"/>
      <w:marLeft w:val="0"/>
      <w:marRight w:val="0"/>
      <w:marTop w:val="0"/>
      <w:marBottom w:val="0"/>
      <w:divBdr>
        <w:top w:val="none" w:sz="0" w:space="0" w:color="auto"/>
        <w:left w:val="none" w:sz="0" w:space="0" w:color="auto"/>
        <w:bottom w:val="none" w:sz="0" w:space="0" w:color="auto"/>
        <w:right w:val="none" w:sz="0" w:space="0" w:color="auto"/>
      </w:divBdr>
    </w:div>
    <w:div w:id="1272250709">
      <w:bodyDiv w:val="1"/>
      <w:marLeft w:val="0"/>
      <w:marRight w:val="0"/>
      <w:marTop w:val="0"/>
      <w:marBottom w:val="0"/>
      <w:divBdr>
        <w:top w:val="none" w:sz="0" w:space="0" w:color="auto"/>
        <w:left w:val="none" w:sz="0" w:space="0" w:color="auto"/>
        <w:bottom w:val="none" w:sz="0" w:space="0" w:color="auto"/>
        <w:right w:val="none" w:sz="0" w:space="0" w:color="auto"/>
      </w:divBdr>
    </w:div>
    <w:div w:id="1714497169">
      <w:bodyDiv w:val="1"/>
      <w:marLeft w:val="0"/>
      <w:marRight w:val="0"/>
      <w:marTop w:val="0"/>
      <w:marBottom w:val="0"/>
      <w:divBdr>
        <w:top w:val="none" w:sz="0" w:space="0" w:color="auto"/>
        <w:left w:val="none" w:sz="0" w:space="0" w:color="auto"/>
        <w:bottom w:val="none" w:sz="0" w:space="0" w:color="auto"/>
        <w:right w:val="none" w:sz="0" w:space="0" w:color="auto"/>
      </w:divBdr>
    </w:div>
    <w:div w:id="1991016360">
      <w:bodyDiv w:val="1"/>
      <w:marLeft w:val="0"/>
      <w:marRight w:val="0"/>
      <w:marTop w:val="0"/>
      <w:marBottom w:val="0"/>
      <w:divBdr>
        <w:top w:val="none" w:sz="0" w:space="0" w:color="auto"/>
        <w:left w:val="none" w:sz="0" w:space="0" w:color="auto"/>
        <w:bottom w:val="none" w:sz="0" w:space="0" w:color="auto"/>
        <w:right w:val="none" w:sz="0" w:space="0" w:color="auto"/>
      </w:divBdr>
    </w:div>
    <w:div w:id="200069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e.int/en/scientific-expertise/reference-laboratories/list-of-laborator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ie.int"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oie.int/en/what-we-offer/veterinary-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BA878-581C-4656-8108-E5CC06E3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6523</Words>
  <Characters>37184</Characters>
  <Application>Microsoft Office Word</Application>
  <DocSecurity>0</DocSecurity>
  <Lines>309</Lines>
  <Paragraphs>87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CEM</vt:lpstr>
      <vt:lpstr>CEM</vt:lpstr>
      <vt:lpstr>CEM</vt:lpstr>
    </vt:vector>
  </TitlesOfParts>
  <Company>Veterinary Laboratories Agency</Company>
  <LinksUpToDate>false</LinksUpToDate>
  <CharactersWithSpaces>43620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dc:title>
  <dc:subject>arial/trait</dc:subject>
  <dc:creator>sara</dc:creator>
  <cp:lastModifiedBy>Egrie, Paul G - APHIS</cp:lastModifiedBy>
  <cp:revision>2</cp:revision>
  <cp:lastPrinted>2019-01-23T08:52:00Z</cp:lastPrinted>
  <dcterms:created xsi:type="dcterms:W3CDTF">2022-03-21T17:19:00Z</dcterms:created>
  <dcterms:modified xsi:type="dcterms:W3CDTF">2022-03-21T17:19:00Z</dcterms:modified>
</cp:coreProperties>
</file>